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0" w:firstLineChars="0"/>
        <w:jc w:val="center"/>
        <w:rPr>
          <w:b/>
          <w:bCs/>
          <w:color w:val="auto"/>
          <w:sz w:val="28"/>
          <w:szCs w:val="28"/>
        </w:rPr>
      </w:pPr>
    </w:p>
    <w:p>
      <w:pPr>
        <w:ind w:firstLine="0" w:firstLineChars="0"/>
        <w:jc w:val="center"/>
        <w:rPr>
          <w:b/>
          <w:bCs/>
          <w:color w:val="auto"/>
          <w:sz w:val="72"/>
          <w:szCs w:val="72"/>
        </w:rPr>
      </w:pPr>
      <w:r>
        <w:rPr>
          <w:b/>
          <w:bCs/>
          <w:color w:val="auto"/>
          <w:sz w:val="72"/>
          <w:szCs w:val="72"/>
        </w:rPr>
        <w:t>建设项目环境影响报告表</w:t>
      </w:r>
    </w:p>
    <w:p>
      <w:pPr>
        <w:ind w:firstLine="0" w:firstLineChars="0"/>
        <w:jc w:val="center"/>
        <w:rPr>
          <w:b/>
          <w:bCs/>
          <w:color w:val="auto"/>
          <w:sz w:val="48"/>
          <w:szCs w:val="48"/>
        </w:rPr>
      </w:pPr>
      <w:r>
        <w:rPr>
          <w:b/>
          <w:bCs/>
          <w:color w:val="auto"/>
          <w:sz w:val="48"/>
          <w:szCs w:val="48"/>
        </w:rPr>
        <w:t>（污染影响类）</w:t>
      </w:r>
    </w:p>
    <w:p>
      <w:pPr>
        <w:ind w:firstLine="0" w:firstLineChars="0"/>
        <w:jc w:val="center"/>
        <w:rPr>
          <w:b/>
          <w:bCs/>
          <w:color w:val="auto"/>
          <w:sz w:val="48"/>
          <w:szCs w:val="48"/>
        </w:rPr>
      </w:pPr>
      <w:r>
        <w:rPr>
          <w:b/>
          <w:bCs/>
          <w:color w:val="auto"/>
          <w:sz w:val="48"/>
          <w:szCs w:val="48"/>
        </w:rPr>
        <w:t>（</w:t>
      </w:r>
      <w:r>
        <w:rPr>
          <w:rFonts w:hint="eastAsia"/>
          <w:b/>
          <w:bCs/>
          <w:color w:val="auto"/>
          <w:sz w:val="48"/>
          <w:szCs w:val="48"/>
          <w:lang w:val="en-US" w:eastAsia="zh-CN"/>
        </w:rPr>
        <w:t>公示</w:t>
      </w:r>
      <w:r>
        <w:rPr>
          <w:rFonts w:hint="eastAsia"/>
          <w:b/>
          <w:bCs/>
          <w:color w:val="auto"/>
          <w:sz w:val="48"/>
          <w:szCs w:val="48"/>
        </w:rPr>
        <w:t>本</w:t>
      </w:r>
      <w:r>
        <w:rPr>
          <w:b/>
          <w:bCs/>
          <w:color w:val="auto"/>
          <w:sz w:val="48"/>
          <w:szCs w:val="48"/>
        </w:rPr>
        <w:t>）</w:t>
      </w:r>
    </w:p>
    <w:p>
      <w:pPr>
        <w:ind w:firstLine="0" w:firstLineChars="0"/>
        <w:jc w:val="center"/>
        <w:rPr>
          <w:b/>
          <w:bCs/>
          <w:color w:val="auto"/>
          <w:sz w:val="48"/>
          <w:szCs w:val="48"/>
        </w:rPr>
      </w:pPr>
      <w:bookmarkStart w:id="51" w:name="_GoBack"/>
      <w:bookmarkEnd w:id="51"/>
    </w:p>
    <w:p>
      <w:pPr>
        <w:ind w:firstLine="0" w:firstLineChars="0"/>
        <w:rPr>
          <w:color w:val="auto"/>
        </w:rPr>
      </w:pPr>
    </w:p>
    <w:p>
      <w:pPr>
        <w:ind w:firstLine="0" w:firstLineChars="0"/>
        <w:rPr>
          <w:color w:val="auto"/>
        </w:rPr>
      </w:pPr>
    </w:p>
    <w:p>
      <w:pPr>
        <w:ind w:firstLine="0" w:firstLineChars="0"/>
        <w:rPr>
          <w:color w:val="auto"/>
        </w:rPr>
      </w:pPr>
    </w:p>
    <w:p>
      <w:pPr>
        <w:ind w:firstLine="0" w:firstLineChars="0"/>
        <w:rPr>
          <w:color w:val="auto"/>
        </w:rPr>
      </w:pPr>
    </w:p>
    <w:p>
      <w:pPr>
        <w:widowControl/>
        <w:ind w:firstLine="361" w:firstLineChars="100"/>
        <w:jc w:val="left"/>
        <w:rPr>
          <w:rFonts w:hint="eastAsia" w:eastAsia="仿宋"/>
          <w:b/>
          <w:bCs/>
          <w:color w:val="auto"/>
          <w:sz w:val="36"/>
          <w:szCs w:val="36"/>
          <w:u w:val="single"/>
          <w:lang w:val="en-US" w:eastAsia="zh-CN"/>
        </w:rPr>
      </w:pPr>
      <w:r>
        <w:rPr>
          <w:rFonts w:eastAsia="仿宋"/>
          <w:b/>
          <w:bCs/>
          <w:color w:val="auto"/>
          <w:sz w:val="36"/>
          <w:szCs w:val="36"/>
        </w:rPr>
        <w:t>项</w:t>
      </w:r>
      <w:r>
        <w:rPr>
          <w:rFonts w:hint="eastAsia" w:eastAsia="仿宋"/>
          <w:b/>
          <w:bCs/>
          <w:color w:val="auto"/>
          <w:sz w:val="36"/>
          <w:szCs w:val="36"/>
        </w:rPr>
        <w:t xml:space="preserve">  </w:t>
      </w:r>
      <w:r>
        <w:rPr>
          <w:rFonts w:eastAsia="仿宋"/>
          <w:b/>
          <w:bCs/>
          <w:color w:val="auto"/>
          <w:sz w:val="36"/>
          <w:szCs w:val="36"/>
        </w:rPr>
        <w:t>目</w:t>
      </w:r>
      <w:r>
        <w:rPr>
          <w:rFonts w:hint="eastAsia" w:eastAsia="仿宋"/>
          <w:b/>
          <w:bCs/>
          <w:color w:val="auto"/>
          <w:sz w:val="36"/>
          <w:szCs w:val="36"/>
        </w:rPr>
        <w:t xml:space="preserve">  </w:t>
      </w:r>
      <w:r>
        <w:rPr>
          <w:rFonts w:eastAsia="仿宋"/>
          <w:b/>
          <w:bCs/>
          <w:color w:val="auto"/>
          <w:sz w:val="36"/>
          <w:szCs w:val="36"/>
        </w:rPr>
        <w:t>名</w:t>
      </w:r>
      <w:r>
        <w:rPr>
          <w:rFonts w:hint="eastAsia" w:eastAsia="仿宋"/>
          <w:b/>
          <w:bCs/>
          <w:color w:val="auto"/>
          <w:sz w:val="36"/>
          <w:szCs w:val="36"/>
        </w:rPr>
        <w:t xml:space="preserve">  </w:t>
      </w:r>
      <w:r>
        <w:rPr>
          <w:rFonts w:eastAsia="仿宋"/>
          <w:b/>
          <w:bCs/>
          <w:color w:val="auto"/>
          <w:sz w:val="36"/>
          <w:szCs w:val="36"/>
        </w:rPr>
        <w:t>称</w:t>
      </w:r>
      <w:r>
        <w:rPr>
          <w:rFonts w:hint="eastAsia" w:eastAsia="仿宋"/>
          <w:b/>
          <w:bCs/>
          <w:color w:val="auto"/>
          <w:sz w:val="36"/>
          <w:szCs w:val="36"/>
        </w:rPr>
        <w:t xml:space="preserve">  ：</w:t>
      </w:r>
      <w:r>
        <w:rPr>
          <w:rFonts w:hint="eastAsia" w:eastAsia="仿宋"/>
          <w:b/>
          <w:bCs/>
          <w:color w:val="auto"/>
          <w:sz w:val="36"/>
          <w:szCs w:val="36"/>
          <w:u w:val="single"/>
        </w:rPr>
        <w:t xml:space="preserve">  </w:t>
      </w:r>
      <w:r>
        <w:rPr>
          <w:rFonts w:hint="eastAsia" w:eastAsia="仿宋"/>
          <w:b/>
          <w:bCs/>
          <w:color w:val="auto"/>
          <w:sz w:val="36"/>
          <w:szCs w:val="36"/>
          <w:u w:val="single"/>
          <w:lang w:eastAsia="zh-CN"/>
        </w:rPr>
        <w:t>年产7500吨农用塑料薄膜</w:t>
      </w:r>
      <w:r>
        <w:rPr>
          <w:rFonts w:hint="eastAsia" w:eastAsia="仿宋"/>
          <w:b/>
          <w:bCs/>
          <w:color w:val="auto"/>
          <w:sz w:val="36"/>
          <w:szCs w:val="36"/>
          <w:u w:val="single"/>
        </w:rPr>
        <w:t xml:space="preserve">   </w:t>
      </w:r>
      <w:r>
        <w:rPr>
          <w:rFonts w:hint="eastAsia" w:eastAsia="仿宋"/>
          <w:b/>
          <w:bCs/>
          <w:color w:val="auto"/>
          <w:sz w:val="36"/>
          <w:szCs w:val="36"/>
          <w:u w:val="single"/>
          <w:lang w:val="en-US" w:eastAsia="zh-CN"/>
        </w:rPr>
        <w:t xml:space="preserve">  </w:t>
      </w:r>
      <w:r>
        <w:rPr>
          <w:rFonts w:hint="eastAsia" w:eastAsia="仿宋"/>
          <w:b/>
          <w:bCs/>
          <w:color w:val="auto"/>
          <w:sz w:val="36"/>
          <w:szCs w:val="36"/>
          <w:u w:val="single"/>
        </w:rPr>
        <w:t xml:space="preserve"> </w:t>
      </w:r>
      <w:r>
        <w:rPr>
          <w:rFonts w:hint="eastAsia" w:eastAsia="仿宋"/>
          <w:b/>
          <w:bCs/>
          <w:color w:val="auto"/>
          <w:sz w:val="36"/>
          <w:szCs w:val="36"/>
          <w:u w:val="single"/>
          <w:lang w:val="en-US" w:eastAsia="zh-CN"/>
        </w:rPr>
        <w:t xml:space="preserve"> </w:t>
      </w:r>
    </w:p>
    <w:p>
      <w:pPr>
        <w:ind w:firstLine="3614" w:firstLineChars="1000"/>
        <w:rPr>
          <w:rFonts w:eastAsia="仿宋"/>
          <w:b/>
          <w:bCs/>
          <w:color w:val="auto"/>
          <w:sz w:val="36"/>
          <w:szCs w:val="36"/>
          <w:u w:val="single"/>
        </w:rPr>
      </w:pPr>
      <w:r>
        <w:rPr>
          <w:rFonts w:hint="eastAsia" w:eastAsia="仿宋"/>
          <w:b/>
          <w:bCs/>
          <w:color w:val="auto"/>
          <w:sz w:val="36"/>
          <w:szCs w:val="36"/>
          <w:u w:val="single"/>
        </w:rPr>
        <w:t xml:space="preserve">     </w:t>
      </w:r>
      <w:r>
        <w:rPr>
          <w:rFonts w:hint="eastAsia" w:eastAsia="仿宋"/>
          <w:b/>
          <w:bCs/>
          <w:color w:val="auto"/>
          <w:sz w:val="36"/>
          <w:szCs w:val="36"/>
          <w:u w:val="single"/>
          <w:lang w:val="en-US" w:eastAsia="zh-CN"/>
        </w:rPr>
        <w:t xml:space="preserve"> </w:t>
      </w:r>
      <w:r>
        <w:rPr>
          <w:rFonts w:hint="eastAsia" w:eastAsia="仿宋"/>
          <w:b/>
          <w:bCs/>
          <w:color w:val="auto"/>
          <w:sz w:val="36"/>
          <w:szCs w:val="36"/>
          <w:u w:val="single"/>
          <w:lang w:eastAsia="zh-CN"/>
        </w:rPr>
        <w:t>回收再利用项目</w:t>
      </w:r>
      <w:r>
        <w:rPr>
          <w:rFonts w:hint="eastAsia" w:eastAsia="仿宋"/>
          <w:b/>
          <w:bCs/>
          <w:color w:val="auto"/>
          <w:sz w:val="36"/>
          <w:szCs w:val="36"/>
          <w:u w:val="single"/>
        </w:rPr>
        <w:t xml:space="preserve">     </w:t>
      </w:r>
      <w:r>
        <w:rPr>
          <w:rFonts w:hint="eastAsia" w:eastAsia="仿宋"/>
          <w:b/>
          <w:bCs/>
          <w:color w:val="auto"/>
          <w:sz w:val="36"/>
          <w:szCs w:val="36"/>
          <w:u w:val="single"/>
          <w:lang w:val="en-US" w:eastAsia="zh-CN"/>
        </w:rPr>
        <w:t xml:space="preserve">      </w:t>
      </w:r>
      <w:r>
        <w:rPr>
          <w:rFonts w:hint="eastAsia" w:eastAsia="仿宋"/>
          <w:b/>
          <w:bCs/>
          <w:color w:val="auto"/>
          <w:sz w:val="36"/>
          <w:szCs w:val="36"/>
          <w:u w:val="single"/>
        </w:rPr>
        <w:t xml:space="preserve"> </w:t>
      </w:r>
    </w:p>
    <w:p>
      <w:pPr>
        <w:ind w:firstLine="361" w:firstLineChars="100"/>
        <w:rPr>
          <w:rFonts w:hint="default" w:eastAsia="仿宋"/>
          <w:b/>
          <w:bCs/>
          <w:color w:val="auto"/>
          <w:sz w:val="36"/>
          <w:szCs w:val="36"/>
          <w:u w:val="single"/>
          <w:lang w:val="en-US" w:eastAsia="zh-CN"/>
        </w:rPr>
      </w:pPr>
      <w:r>
        <w:rPr>
          <w:rFonts w:eastAsia="仿宋"/>
          <w:b/>
          <w:bCs/>
          <w:color w:val="auto"/>
          <w:sz w:val="36"/>
          <w:szCs w:val="36"/>
        </w:rPr>
        <w:t>建设单位（盖章）：</w:t>
      </w:r>
      <w:r>
        <w:rPr>
          <w:rFonts w:hint="eastAsia" w:eastAsia="仿宋"/>
          <w:b/>
          <w:bCs/>
          <w:color w:val="auto"/>
          <w:sz w:val="36"/>
          <w:szCs w:val="36"/>
          <w:u w:val="single"/>
        </w:rPr>
        <w:t xml:space="preserve">  </w:t>
      </w:r>
      <w:r>
        <w:rPr>
          <w:rFonts w:hint="eastAsia" w:eastAsia="仿宋"/>
          <w:b/>
          <w:bCs/>
          <w:color w:val="auto"/>
          <w:sz w:val="36"/>
          <w:szCs w:val="36"/>
          <w:u w:val="single"/>
          <w:lang w:eastAsia="zh-CN"/>
        </w:rPr>
        <w:t>四川力爱塑料科技有限公司</w:t>
      </w:r>
      <w:r>
        <w:rPr>
          <w:rFonts w:eastAsia="仿宋"/>
          <w:b/>
          <w:bCs/>
          <w:color w:val="auto"/>
          <w:sz w:val="36"/>
          <w:szCs w:val="36"/>
          <w:u w:val="single"/>
        </w:rPr>
        <w:t xml:space="preserve"> </w:t>
      </w:r>
      <w:r>
        <w:rPr>
          <w:rFonts w:hint="eastAsia" w:eastAsia="仿宋"/>
          <w:b/>
          <w:bCs/>
          <w:color w:val="auto"/>
          <w:sz w:val="36"/>
          <w:szCs w:val="36"/>
          <w:u w:val="single"/>
        </w:rPr>
        <w:t xml:space="preserve">   </w:t>
      </w:r>
      <w:r>
        <w:rPr>
          <w:rFonts w:hint="eastAsia" w:eastAsia="仿宋"/>
          <w:b/>
          <w:bCs/>
          <w:color w:val="auto"/>
          <w:sz w:val="36"/>
          <w:szCs w:val="36"/>
          <w:u w:val="single"/>
          <w:lang w:val="en-US" w:eastAsia="zh-CN"/>
        </w:rPr>
        <w:t xml:space="preserve">  </w:t>
      </w:r>
    </w:p>
    <w:p>
      <w:pPr>
        <w:ind w:firstLine="361" w:firstLineChars="100"/>
        <w:rPr>
          <w:rFonts w:hint="default" w:eastAsia="仿宋"/>
          <w:b/>
          <w:bCs/>
          <w:color w:val="auto"/>
          <w:sz w:val="36"/>
          <w:szCs w:val="36"/>
          <w:u w:val="single"/>
          <w:lang w:val="en-US" w:eastAsia="zh-CN"/>
        </w:rPr>
      </w:pPr>
      <w:r>
        <w:rPr>
          <w:rFonts w:eastAsia="仿宋"/>
          <w:b/>
          <w:bCs/>
          <w:color w:val="auto"/>
          <w:sz w:val="36"/>
          <w:szCs w:val="36"/>
        </w:rPr>
        <w:t>编</w:t>
      </w:r>
      <w:r>
        <w:rPr>
          <w:rFonts w:hint="eastAsia" w:eastAsia="仿宋"/>
          <w:b/>
          <w:bCs/>
          <w:color w:val="auto"/>
          <w:sz w:val="36"/>
          <w:szCs w:val="36"/>
        </w:rPr>
        <w:t xml:space="preserve">  </w:t>
      </w:r>
      <w:r>
        <w:rPr>
          <w:rFonts w:eastAsia="仿宋"/>
          <w:b/>
          <w:bCs/>
          <w:color w:val="auto"/>
          <w:sz w:val="36"/>
          <w:szCs w:val="36"/>
        </w:rPr>
        <w:t>制</w:t>
      </w:r>
      <w:r>
        <w:rPr>
          <w:rFonts w:hint="eastAsia" w:eastAsia="仿宋"/>
          <w:b/>
          <w:bCs/>
          <w:color w:val="auto"/>
          <w:sz w:val="36"/>
          <w:szCs w:val="36"/>
        </w:rPr>
        <w:t xml:space="preserve">  </w:t>
      </w:r>
      <w:r>
        <w:rPr>
          <w:rFonts w:eastAsia="仿宋"/>
          <w:b/>
          <w:bCs/>
          <w:color w:val="auto"/>
          <w:sz w:val="36"/>
          <w:szCs w:val="36"/>
        </w:rPr>
        <w:t>日</w:t>
      </w:r>
      <w:r>
        <w:rPr>
          <w:rFonts w:hint="eastAsia" w:eastAsia="仿宋"/>
          <w:b/>
          <w:bCs/>
          <w:color w:val="auto"/>
          <w:sz w:val="36"/>
          <w:szCs w:val="36"/>
        </w:rPr>
        <w:t xml:space="preserve">  </w:t>
      </w:r>
      <w:r>
        <w:rPr>
          <w:rFonts w:eastAsia="仿宋"/>
          <w:b/>
          <w:bCs/>
          <w:color w:val="auto"/>
          <w:sz w:val="36"/>
          <w:szCs w:val="36"/>
        </w:rPr>
        <w:t>期</w:t>
      </w:r>
      <w:r>
        <w:rPr>
          <w:rFonts w:hint="eastAsia" w:eastAsia="仿宋"/>
          <w:b/>
          <w:bCs/>
          <w:color w:val="auto"/>
          <w:sz w:val="36"/>
          <w:szCs w:val="36"/>
        </w:rPr>
        <w:t xml:space="preserve">  </w:t>
      </w:r>
      <w:r>
        <w:rPr>
          <w:rFonts w:eastAsia="仿宋"/>
          <w:b/>
          <w:bCs/>
          <w:color w:val="auto"/>
          <w:sz w:val="36"/>
          <w:szCs w:val="36"/>
        </w:rPr>
        <w:t>：</w:t>
      </w:r>
      <w:r>
        <w:rPr>
          <w:rFonts w:eastAsia="仿宋"/>
          <w:b/>
          <w:bCs/>
          <w:color w:val="auto"/>
          <w:sz w:val="36"/>
          <w:szCs w:val="36"/>
          <w:u w:val="single"/>
        </w:rPr>
        <w:t xml:space="preserve"> </w:t>
      </w:r>
      <w:r>
        <w:rPr>
          <w:rFonts w:hint="eastAsia" w:eastAsia="仿宋"/>
          <w:b/>
          <w:bCs/>
          <w:color w:val="auto"/>
          <w:sz w:val="36"/>
          <w:szCs w:val="36"/>
          <w:u w:val="single"/>
        </w:rPr>
        <w:t xml:space="preserve">       </w:t>
      </w:r>
      <w:r>
        <w:rPr>
          <w:rFonts w:eastAsia="仿宋"/>
          <w:b/>
          <w:bCs/>
          <w:color w:val="auto"/>
          <w:sz w:val="36"/>
          <w:szCs w:val="36"/>
          <w:u w:val="single"/>
        </w:rPr>
        <w:t>202</w:t>
      </w:r>
      <w:r>
        <w:rPr>
          <w:rFonts w:hint="eastAsia" w:eastAsia="仿宋"/>
          <w:b/>
          <w:bCs/>
          <w:color w:val="auto"/>
          <w:sz w:val="36"/>
          <w:szCs w:val="36"/>
          <w:u w:val="single"/>
          <w:lang w:val="en-US" w:eastAsia="zh-CN"/>
        </w:rPr>
        <w:t>3</w:t>
      </w:r>
      <w:r>
        <w:rPr>
          <w:rFonts w:eastAsia="仿宋"/>
          <w:b/>
          <w:bCs/>
          <w:color w:val="auto"/>
          <w:sz w:val="36"/>
          <w:szCs w:val="36"/>
          <w:u w:val="single"/>
        </w:rPr>
        <w:t>年</w:t>
      </w:r>
      <w:r>
        <w:rPr>
          <w:rFonts w:hint="eastAsia" w:eastAsia="仿宋"/>
          <w:b/>
          <w:bCs/>
          <w:color w:val="auto"/>
          <w:sz w:val="36"/>
          <w:szCs w:val="36"/>
          <w:u w:val="single"/>
          <w:lang w:val="en-US" w:eastAsia="zh-CN"/>
        </w:rPr>
        <w:t>10</w:t>
      </w:r>
      <w:r>
        <w:rPr>
          <w:rFonts w:eastAsia="仿宋"/>
          <w:b/>
          <w:bCs/>
          <w:color w:val="auto"/>
          <w:sz w:val="36"/>
          <w:szCs w:val="36"/>
          <w:u w:val="single"/>
        </w:rPr>
        <w:t>月</w:t>
      </w:r>
      <w:r>
        <w:rPr>
          <w:rFonts w:hint="eastAsia" w:eastAsia="仿宋"/>
          <w:b/>
          <w:bCs/>
          <w:color w:val="auto"/>
          <w:sz w:val="36"/>
          <w:szCs w:val="36"/>
          <w:u w:val="single"/>
        </w:rPr>
        <w:t xml:space="preserve">        </w:t>
      </w:r>
      <w:r>
        <w:rPr>
          <w:rFonts w:hint="eastAsia" w:eastAsia="仿宋"/>
          <w:b/>
          <w:bCs/>
          <w:color w:val="auto"/>
          <w:sz w:val="36"/>
          <w:szCs w:val="36"/>
          <w:u w:val="single"/>
          <w:lang w:val="en-US" w:eastAsia="zh-CN"/>
        </w:rPr>
        <w:t xml:space="preserve">      </w:t>
      </w:r>
    </w:p>
    <w:p>
      <w:pPr>
        <w:ind w:firstLine="0" w:firstLineChars="0"/>
        <w:rPr>
          <w:color w:val="auto"/>
        </w:rPr>
      </w:pPr>
      <w:bookmarkStart w:id="0" w:name="_Hlk57884087"/>
    </w:p>
    <w:p>
      <w:pPr>
        <w:ind w:firstLine="0" w:firstLineChars="0"/>
        <w:rPr>
          <w:color w:val="auto"/>
        </w:rPr>
      </w:pPr>
    </w:p>
    <w:p>
      <w:pPr>
        <w:ind w:firstLine="0" w:firstLineChars="0"/>
        <w:rPr>
          <w:color w:val="auto"/>
        </w:rPr>
      </w:pPr>
    </w:p>
    <w:p>
      <w:pPr>
        <w:ind w:firstLine="0" w:firstLineChars="0"/>
        <w:rPr>
          <w:color w:val="auto"/>
        </w:rPr>
      </w:pPr>
    </w:p>
    <w:p>
      <w:pPr>
        <w:ind w:firstLine="0" w:firstLineChars="0"/>
        <w:rPr>
          <w:color w:val="auto"/>
        </w:rPr>
      </w:pPr>
    </w:p>
    <w:p>
      <w:pPr>
        <w:ind w:firstLine="0" w:firstLineChars="0"/>
        <w:rPr>
          <w:color w:val="auto"/>
        </w:rPr>
      </w:pPr>
    </w:p>
    <w:p>
      <w:pPr>
        <w:ind w:firstLine="0" w:firstLineChars="0"/>
        <w:rPr>
          <w:color w:val="auto"/>
        </w:rPr>
      </w:pPr>
    </w:p>
    <w:p>
      <w:pPr>
        <w:ind w:firstLine="0" w:firstLineChars="0"/>
        <w:rPr>
          <w:color w:val="auto"/>
        </w:rPr>
      </w:pPr>
    </w:p>
    <w:bookmarkEnd w:id="0"/>
    <w:p>
      <w:pPr>
        <w:ind w:firstLine="0" w:firstLineChars="0"/>
        <w:jc w:val="center"/>
        <w:rPr>
          <w:rFonts w:eastAsia="楷体"/>
          <w:b/>
          <w:bCs/>
          <w:color w:val="auto"/>
          <w:sz w:val="36"/>
          <w:szCs w:val="36"/>
        </w:rPr>
      </w:pPr>
      <w:r>
        <w:rPr>
          <w:rFonts w:eastAsia="楷体"/>
          <w:b/>
          <w:bCs/>
          <w:color w:val="auto"/>
          <w:sz w:val="36"/>
          <w:szCs w:val="36"/>
        </w:rPr>
        <w:t>中华人民共和国生态环境部制</w:t>
      </w:r>
    </w:p>
    <w:p>
      <w:pPr>
        <w:ind w:firstLine="0" w:firstLineChars="0"/>
        <w:rPr>
          <w:color w:val="auto"/>
        </w:rPr>
        <w:sectPr>
          <w:headerReference r:id="rId7" w:type="first"/>
          <w:footerReference r:id="rId10" w:type="first"/>
          <w:headerReference r:id="rId5" w:type="default"/>
          <w:footerReference r:id="rId8" w:type="default"/>
          <w:headerReference r:id="rId6" w:type="even"/>
          <w:footerReference r:id="rId9" w:type="even"/>
          <w:pgSz w:w="11906" w:h="16838"/>
          <w:pgMar w:top="1440" w:right="1080" w:bottom="1440" w:left="1080" w:header="851" w:footer="1077" w:gutter="0"/>
          <w:pgBorders>
            <w:top w:val="none" w:sz="0" w:space="0"/>
            <w:left w:val="none" w:sz="0" w:space="0"/>
            <w:bottom w:val="none" w:sz="0" w:space="0"/>
            <w:right w:val="none" w:sz="0" w:space="0"/>
          </w:pgBorders>
          <w:pgNumType w:start="3"/>
          <w:cols w:space="720" w:num="1"/>
          <w:docGrid w:linePitch="312" w:charSpace="0"/>
        </w:sectPr>
      </w:pPr>
    </w:p>
    <w:p>
      <w:pPr>
        <w:spacing w:line="432" w:lineRule="auto"/>
        <w:ind w:firstLine="482"/>
        <w:rPr>
          <w:b/>
          <w:bCs/>
          <w:color w:val="auto"/>
        </w:rPr>
      </w:pPr>
      <w:bookmarkStart w:id="1" w:name="_Toc12822"/>
    </w:p>
    <w:p>
      <w:pPr>
        <w:spacing w:line="432" w:lineRule="auto"/>
        <w:ind w:firstLine="482"/>
        <w:rPr>
          <w:b/>
          <w:bCs/>
          <w:color w:val="auto"/>
        </w:rPr>
      </w:pPr>
      <w:r>
        <w:rPr>
          <w:b/>
          <w:bCs/>
          <w:color w:val="auto"/>
        </w:rPr>
        <w:t>附图：</w:t>
      </w:r>
      <w:bookmarkEnd w:id="1"/>
    </w:p>
    <w:p>
      <w:pPr>
        <w:spacing w:line="432" w:lineRule="auto"/>
        <w:ind w:firstLine="482"/>
        <w:rPr>
          <w:color w:val="auto"/>
        </w:rPr>
      </w:pPr>
      <w:bookmarkStart w:id="2" w:name="_Toc1556"/>
      <w:bookmarkStart w:id="3" w:name="_Toc2851"/>
      <w:bookmarkStart w:id="4" w:name="_Toc7173"/>
      <w:bookmarkStart w:id="5" w:name="_Toc2127"/>
      <w:r>
        <w:rPr>
          <w:color w:val="auto"/>
        </w:rPr>
        <w:t>附图 1  项目地理位置图</w:t>
      </w:r>
      <w:bookmarkEnd w:id="2"/>
      <w:bookmarkEnd w:id="3"/>
    </w:p>
    <w:p>
      <w:pPr>
        <w:spacing w:line="432" w:lineRule="auto"/>
        <w:ind w:firstLine="482"/>
        <w:rPr>
          <w:color w:val="auto"/>
        </w:rPr>
      </w:pPr>
      <w:bookmarkStart w:id="6" w:name="_Toc4339"/>
      <w:bookmarkStart w:id="7" w:name="_Toc24693"/>
      <w:r>
        <w:rPr>
          <w:color w:val="auto"/>
        </w:rPr>
        <w:t xml:space="preserve">附图 2  </w:t>
      </w:r>
      <w:bookmarkEnd w:id="6"/>
      <w:r>
        <w:rPr>
          <w:rFonts w:hint="eastAsia"/>
          <w:color w:val="auto"/>
          <w:lang w:val="en-US" w:eastAsia="zh-CN"/>
        </w:rPr>
        <w:t>柳池</w:t>
      </w:r>
      <w:r>
        <w:rPr>
          <w:rFonts w:hint="eastAsia"/>
          <w:color w:val="auto"/>
        </w:rPr>
        <w:t>园区</w:t>
      </w:r>
      <w:r>
        <w:rPr>
          <w:color w:val="auto"/>
        </w:rPr>
        <w:t>规划图</w:t>
      </w:r>
      <w:bookmarkEnd w:id="7"/>
    </w:p>
    <w:p>
      <w:pPr>
        <w:spacing w:line="432" w:lineRule="auto"/>
        <w:ind w:firstLine="482"/>
        <w:rPr>
          <w:color w:val="auto"/>
        </w:rPr>
      </w:pPr>
      <w:bookmarkStart w:id="8" w:name="_Toc21939"/>
      <w:bookmarkStart w:id="9" w:name="_Toc4876"/>
      <w:r>
        <w:rPr>
          <w:color w:val="auto"/>
        </w:rPr>
        <w:t>附图 3  外环境关系</w:t>
      </w:r>
      <w:r>
        <w:rPr>
          <w:rFonts w:hint="eastAsia"/>
          <w:color w:val="auto"/>
        </w:rPr>
        <w:t>示意</w:t>
      </w:r>
      <w:r>
        <w:rPr>
          <w:color w:val="auto"/>
        </w:rPr>
        <w:t>图</w:t>
      </w:r>
      <w:bookmarkEnd w:id="8"/>
      <w:bookmarkEnd w:id="9"/>
    </w:p>
    <w:p>
      <w:pPr>
        <w:spacing w:line="432" w:lineRule="auto"/>
        <w:ind w:firstLine="482"/>
        <w:rPr>
          <w:color w:val="auto"/>
        </w:rPr>
      </w:pPr>
      <w:bookmarkStart w:id="10" w:name="_Toc4749"/>
      <w:bookmarkStart w:id="11" w:name="_Toc1171"/>
      <w:r>
        <w:rPr>
          <w:color w:val="auto"/>
        </w:rPr>
        <w:t xml:space="preserve">附图 4  </w:t>
      </w:r>
      <w:bookmarkEnd w:id="10"/>
      <w:bookmarkEnd w:id="11"/>
      <w:r>
        <w:rPr>
          <w:rFonts w:hint="eastAsia"/>
          <w:color w:val="auto"/>
        </w:rPr>
        <w:t>生产车间平面示意</w:t>
      </w:r>
      <w:r>
        <w:rPr>
          <w:color w:val="auto"/>
        </w:rPr>
        <w:t>图</w:t>
      </w:r>
    </w:p>
    <w:p>
      <w:pPr>
        <w:spacing w:line="432" w:lineRule="auto"/>
        <w:ind w:firstLine="482"/>
        <w:rPr>
          <w:color w:val="auto"/>
        </w:rPr>
      </w:pPr>
      <w:bookmarkStart w:id="12" w:name="_Toc28983"/>
      <w:bookmarkStart w:id="13" w:name="_Toc18737"/>
      <w:r>
        <w:rPr>
          <w:color w:val="auto"/>
        </w:rPr>
        <w:t xml:space="preserve">附图 5  </w:t>
      </w:r>
      <w:bookmarkEnd w:id="12"/>
      <w:bookmarkEnd w:id="13"/>
      <w:r>
        <w:rPr>
          <w:rFonts w:hint="eastAsia"/>
          <w:color w:val="auto"/>
        </w:rPr>
        <w:t>生产车间分区防渗</w:t>
      </w:r>
      <w:r>
        <w:rPr>
          <w:color w:val="auto"/>
        </w:rPr>
        <w:t>图</w:t>
      </w:r>
    </w:p>
    <w:p>
      <w:pPr>
        <w:spacing w:line="432" w:lineRule="auto"/>
        <w:ind w:firstLine="482"/>
        <w:rPr>
          <w:rFonts w:hint="eastAsia"/>
          <w:color w:val="auto"/>
        </w:rPr>
      </w:pPr>
      <w:r>
        <w:rPr>
          <w:color w:val="auto"/>
        </w:rPr>
        <w:t xml:space="preserve">附图 </w:t>
      </w:r>
      <w:r>
        <w:rPr>
          <w:rFonts w:hint="eastAsia"/>
          <w:color w:val="auto"/>
          <w:lang w:val="en-US" w:eastAsia="zh-CN"/>
        </w:rPr>
        <w:t>6</w:t>
      </w:r>
      <w:r>
        <w:rPr>
          <w:rFonts w:hint="eastAsia"/>
          <w:color w:val="auto"/>
        </w:rPr>
        <w:t xml:space="preserve">  </w:t>
      </w:r>
      <w:bookmarkStart w:id="14" w:name="_Toc24542"/>
      <w:bookmarkStart w:id="15" w:name="_Toc32148"/>
      <w:r>
        <w:rPr>
          <w:rFonts w:hint="eastAsia"/>
          <w:color w:val="auto"/>
        </w:rPr>
        <w:t>项目与后河徐家坡水源地取水点及其保护区的相对位置关系示意图</w:t>
      </w:r>
    </w:p>
    <w:p>
      <w:pPr>
        <w:spacing w:line="432" w:lineRule="auto"/>
        <w:ind w:firstLine="482"/>
        <w:rPr>
          <w:rFonts w:hint="default"/>
          <w:color w:val="auto"/>
          <w:lang w:val="en-US" w:eastAsia="zh-CN"/>
        </w:rPr>
      </w:pPr>
      <w:r>
        <w:rPr>
          <w:rFonts w:hint="eastAsia"/>
          <w:color w:val="auto"/>
          <w:lang w:val="en-US" w:eastAsia="zh-CN"/>
        </w:rPr>
        <w:t>附图 7  项目与后河特有鱼类国家级水产种质资源保护区相对位置图</w:t>
      </w:r>
    </w:p>
    <w:p>
      <w:pPr>
        <w:spacing w:line="432" w:lineRule="auto"/>
        <w:ind w:firstLine="482"/>
        <w:rPr>
          <w:rFonts w:hint="default"/>
          <w:color w:val="auto"/>
          <w:lang w:val="en-US" w:eastAsia="zh-CN"/>
        </w:rPr>
      </w:pPr>
      <w:r>
        <w:rPr>
          <w:color w:val="auto"/>
        </w:rPr>
        <w:t xml:space="preserve">附图 </w:t>
      </w:r>
      <w:bookmarkEnd w:id="14"/>
      <w:bookmarkEnd w:id="15"/>
      <w:r>
        <w:rPr>
          <w:rFonts w:hint="eastAsia"/>
          <w:color w:val="auto"/>
          <w:lang w:val="en-US" w:eastAsia="zh-CN"/>
        </w:rPr>
        <w:t xml:space="preserve">8 </w:t>
      </w:r>
      <w:r>
        <w:rPr>
          <w:rFonts w:hint="eastAsia"/>
          <w:color w:val="auto"/>
        </w:rPr>
        <w:t xml:space="preserve"> </w:t>
      </w:r>
      <w:r>
        <w:rPr>
          <w:color w:val="auto"/>
        </w:rPr>
        <w:t>四川省</w:t>
      </w:r>
      <w:r>
        <w:rPr>
          <w:rFonts w:hint="eastAsia"/>
          <w:color w:val="auto"/>
          <w:lang w:val="en-US" w:eastAsia="zh-CN"/>
        </w:rPr>
        <w:t>生态红线图</w:t>
      </w:r>
    </w:p>
    <w:p>
      <w:pPr>
        <w:spacing w:line="432" w:lineRule="auto"/>
        <w:ind w:firstLine="482"/>
        <w:rPr>
          <w:color w:val="auto"/>
        </w:rPr>
      </w:pPr>
      <w:r>
        <w:rPr>
          <w:color w:val="auto"/>
        </w:rPr>
        <w:t xml:space="preserve">附图 </w:t>
      </w:r>
      <w:r>
        <w:rPr>
          <w:rFonts w:hint="eastAsia"/>
          <w:color w:val="auto"/>
          <w:lang w:val="en-US" w:eastAsia="zh-CN"/>
        </w:rPr>
        <w:t xml:space="preserve">9 </w:t>
      </w:r>
      <w:r>
        <w:rPr>
          <w:rFonts w:hint="eastAsia"/>
          <w:color w:val="auto"/>
        </w:rPr>
        <w:t xml:space="preserve"> </w:t>
      </w:r>
      <w:r>
        <w:rPr>
          <w:rFonts w:hint="eastAsia"/>
          <w:color w:val="auto"/>
          <w:lang w:eastAsia="zh-CN"/>
        </w:rPr>
        <w:t>达州市</w:t>
      </w:r>
      <w:r>
        <w:rPr>
          <w:color w:val="auto"/>
        </w:rPr>
        <w:t>环境管控单元分布图</w:t>
      </w:r>
    </w:p>
    <w:p>
      <w:pPr>
        <w:spacing w:line="432" w:lineRule="auto"/>
        <w:ind w:firstLine="482"/>
        <w:rPr>
          <w:b/>
          <w:bCs/>
          <w:color w:val="auto"/>
        </w:rPr>
      </w:pPr>
      <w:r>
        <w:rPr>
          <w:b/>
          <w:bCs/>
          <w:color w:val="auto"/>
        </w:rPr>
        <w:t>附件：</w:t>
      </w:r>
      <w:bookmarkEnd w:id="4"/>
      <w:bookmarkEnd w:id="5"/>
    </w:p>
    <w:p>
      <w:pPr>
        <w:ind w:firstLine="643"/>
        <w:rPr>
          <w:color w:val="auto"/>
        </w:rPr>
      </w:pPr>
      <w:bookmarkStart w:id="16" w:name="_Toc12462"/>
      <w:bookmarkStart w:id="17" w:name="_Toc8549"/>
      <w:r>
        <w:rPr>
          <w:color w:val="auto"/>
        </w:rPr>
        <w:t>附件 1  环评委托书</w:t>
      </w:r>
      <w:bookmarkEnd w:id="16"/>
      <w:bookmarkEnd w:id="17"/>
      <w:r>
        <w:rPr>
          <w:color w:val="auto"/>
        </w:rPr>
        <w:t xml:space="preserve"> </w:t>
      </w:r>
    </w:p>
    <w:p>
      <w:pPr>
        <w:ind w:firstLine="643"/>
        <w:rPr>
          <w:color w:val="auto"/>
        </w:rPr>
      </w:pPr>
      <w:bookmarkStart w:id="18" w:name="_Toc31515"/>
      <w:bookmarkStart w:id="19" w:name="_Toc29543"/>
      <w:r>
        <w:rPr>
          <w:color w:val="auto"/>
        </w:rPr>
        <w:t xml:space="preserve">附件 2  </w:t>
      </w:r>
      <w:r>
        <w:rPr>
          <w:rFonts w:hint="eastAsia"/>
          <w:color w:val="auto"/>
          <w:lang w:val="en-US" w:eastAsia="zh-CN"/>
        </w:rPr>
        <w:t>备案证明</w:t>
      </w:r>
      <w:r>
        <w:rPr>
          <w:color w:val="auto"/>
        </w:rPr>
        <w:t>文件</w:t>
      </w:r>
      <w:bookmarkEnd w:id="18"/>
      <w:bookmarkEnd w:id="19"/>
    </w:p>
    <w:p>
      <w:pPr>
        <w:ind w:firstLine="643"/>
        <w:rPr>
          <w:color w:val="auto"/>
        </w:rPr>
      </w:pPr>
      <w:bookmarkStart w:id="20" w:name="_Toc21741"/>
      <w:bookmarkStart w:id="21" w:name="_Toc6184"/>
      <w:r>
        <w:rPr>
          <w:color w:val="auto"/>
        </w:rPr>
        <w:t>附件 3  营业执照</w:t>
      </w:r>
      <w:bookmarkEnd w:id="20"/>
      <w:bookmarkEnd w:id="21"/>
      <w:r>
        <w:rPr>
          <w:color w:val="auto"/>
        </w:rPr>
        <w:t xml:space="preserve"> </w:t>
      </w:r>
    </w:p>
    <w:p>
      <w:pPr>
        <w:ind w:firstLine="643"/>
        <w:rPr>
          <w:color w:val="auto"/>
        </w:rPr>
      </w:pPr>
      <w:bookmarkStart w:id="22" w:name="_Toc19303"/>
      <w:bookmarkStart w:id="23" w:name="_Toc23485"/>
      <w:r>
        <w:rPr>
          <w:color w:val="auto"/>
        </w:rPr>
        <w:t>附件 4  法人身份证</w:t>
      </w:r>
      <w:bookmarkEnd w:id="22"/>
      <w:bookmarkEnd w:id="23"/>
      <w:r>
        <w:rPr>
          <w:color w:val="auto"/>
        </w:rPr>
        <w:t xml:space="preserve"> </w:t>
      </w:r>
    </w:p>
    <w:p>
      <w:pPr>
        <w:ind w:firstLine="643"/>
        <w:rPr>
          <w:rFonts w:hint="default"/>
          <w:color w:val="auto"/>
          <w:lang w:val="en-US" w:eastAsia="zh-CN"/>
        </w:rPr>
      </w:pPr>
      <w:bookmarkStart w:id="24" w:name="_Toc14243"/>
      <w:bookmarkStart w:id="25" w:name="_Toc3029"/>
      <w:r>
        <w:rPr>
          <w:color w:val="auto"/>
        </w:rPr>
        <w:t xml:space="preserve">附件 5  </w:t>
      </w:r>
      <w:bookmarkEnd w:id="24"/>
      <w:bookmarkEnd w:id="25"/>
      <w:r>
        <w:rPr>
          <w:rFonts w:hint="eastAsia"/>
          <w:color w:val="auto"/>
          <w:lang w:val="en-US" w:eastAsia="zh-CN"/>
        </w:rPr>
        <w:t>厂房租赁协议及不动产权文件</w:t>
      </w:r>
    </w:p>
    <w:p>
      <w:pPr>
        <w:ind w:firstLine="643"/>
        <w:rPr>
          <w:rFonts w:hint="default"/>
          <w:color w:val="auto"/>
          <w:lang w:val="en-US"/>
        </w:rPr>
      </w:pPr>
      <w:bookmarkStart w:id="26" w:name="_Toc6623"/>
      <w:bookmarkStart w:id="27" w:name="_Toc12659"/>
      <w:r>
        <w:rPr>
          <w:color w:val="auto"/>
        </w:rPr>
        <w:t xml:space="preserve">附件 </w:t>
      </w:r>
      <w:r>
        <w:rPr>
          <w:rFonts w:hint="eastAsia"/>
          <w:color w:val="auto"/>
          <w:lang w:val="en-US" w:eastAsia="zh-CN"/>
        </w:rPr>
        <w:t>6</w:t>
      </w:r>
      <w:r>
        <w:rPr>
          <w:color w:val="auto"/>
        </w:rPr>
        <w:t xml:space="preserve">  </w:t>
      </w:r>
      <w:r>
        <w:rPr>
          <w:rFonts w:hint="eastAsia"/>
          <w:color w:val="auto"/>
          <w:lang w:val="en-US" w:eastAsia="zh-CN"/>
        </w:rPr>
        <w:t>厂房环评批复文件</w:t>
      </w:r>
    </w:p>
    <w:p>
      <w:pPr>
        <w:ind w:firstLine="643"/>
        <w:rPr>
          <w:rFonts w:hint="default"/>
          <w:color w:val="auto"/>
          <w:lang w:val="en-US"/>
        </w:rPr>
      </w:pPr>
      <w:r>
        <w:rPr>
          <w:color w:val="auto"/>
        </w:rPr>
        <w:t xml:space="preserve">附件 </w:t>
      </w:r>
      <w:r>
        <w:rPr>
          <w:rFonts w:hint="eastAsia"/>
          <w:color w:val="auto"/>
          <w:lang w:val="en-US" w:eastAsia="zh-CN"/>
        </w:rPr>
        <w:t>7</w:t>
      </w:r>
      <w:r>
        <w:rPr>
          <w:color w:val="auto"/>
        </w:rPr>
        <w:t xml:space="preserve">  </w:t>
      </w:r>
      <w:bookmarkEnd w:id="26"/>
      <w:bookmarkEnd w:id="27"/>
      <w:r>
        <w:rPr>
          <w:rFonts w:hint="eastAsia"/>
          <w:color w:val="auto"/>
          <w:lang w:val="en-US" w:eastAsia="zh-CN"/>
        </w:rPr>
        <w:t>入园证明文件</w:t>
      </w:r>
    </w:p>
    <w:p>
      <w:pPr>
        <w:ind w:firstLine="643"/>
        <w:rPr>
          <w:color w:val="auto"/>
        </w:rPr>
      </w:pPr>
      <w:bookmarkStart w:id="28" w:name="_Toc22312"/>
      <w:bookmarkStart w:id="29" w:name="_Toc4350"/>
      <w:r>
        <w:rPr>
          <w:color w:val="auto"/>
        </w:rPr>
        <w:t xml:space="preserve">附件 </w:t>
      </w:r>
      <w:r>
        <w:rPr>
          <w:rFonts w:hint="eastAsia"/>
          <w:color w:val="auto"/>
          <w:lang w:val="en-US" w:eastAsia="zh-CN"/>
        </w:rPr>
        <w:t>8</w:t>
      </w:r>
      <w:r>
        <w:rPr>
          <w:color w:val="auto"/>
        </w:rPr>
        <w:t xml:space="preserve">  </w:t>
      </w:r>
      <w:bookmarkEnd w:id="28"/>
      <w:bookmarkEnd w:id="29"/>
      <w:r>
        <w:rPr>
          <w:rFonts w:hint="eastAsia"/>
          <w:color w:val="auto"/>
        </w:rPr>
        <w:t>规划环评文件</w:t>
      </w:r>
    </w:p>
    <w:p>
      <w:pPr>
        <w:ind w:firstLine="643"/>
        <w:rPr>
          <w:rFonts w:hint="default"/>
          <w:color w:val="auto"/>
          <w:lang w:val="en-US" w:eastAsia="zh-CN"/>
        </w:rPr>
      </w:pPr>
      <w:r>
        <w:rPr>
          <w:color w:val="auto"/>
        </w:rPr>
        <w:t>附件</w:t>
      </w:r>
      <w:r>
        <w:rPr>
          <w:rFonts w:hint="eastAsia"/>
          <w:color w:val="auto"/>
        </w:rPr>
        <w:t xml:space="preserve"> </w:t>
      </w:r>
      <w:r>
        <w:rPr>
          <w:rFonts w:hint="eastAsia"/>
          <w:color w:val="auto"/>
          <w:lang w:val="en-US" w:eastAsia="zh-CN"/>
        </w:rPr>
        <w:t>9</w:t>
      </w:r>
      <w:r>
        <w:rPr>
          <w:color w:val="auto"/>
        </w:rPr>
        <w:t xml:space="preserve">  </w:t>
      </w:r>
      <w:r>
        <w:rPr>
          <w:rFonts w:hint="eastAsia"/>
          <w:color w:val="auto"/>
          <w:lang w:val="en-US" w:eastAsia="zh-CN"/>
        </w:rPr>
        <w:t>特征污染物环境监测报告</w:t>
      </w:r>
    </w:p>
    <w:p>
      <w:pPr>
        <w:ind w:firstLine="643"/>
        <w:rPr>
          <w:rFonts w:hint="default"/>
          <w:color w:val="auto"/>
          <w:lang w:val="en-US" w:eastAsia="zh-CN"/>
        </w:rPr>
      </w:pPr>
      <w:r>
        <w:rPr>
          <w:color w:val="auto"/>
        </w:rPr>
        <w:t>附件</w:t>
      </w:r>
      <w:r>
        <w:rPr>
          <w:rFonts w:hint="eastAsia"/>
          <w:color w:val="auto"/>
          <w:lang w:val="en-US" w:eastAsia="zh-CN"/>
        </w:rPr>
        <w:t>10</w:t>
      </w:r>
      <w:r>
        <w:rPr>
          <w:color w:val="auto"/>
        </w:rPr>
        <w:t xml:space="preserve"> </w:t>
      </w:r>
      <w:r>
        <w:rPr>
          <w:rFonts w:hint="eastAsia"/>
          <w:color w:val="auto"/>
          <w:lang w:val="en-US" w:eastAsia="zh-CN"/>
        </w:rPr>
        <w:t xml:space="preserve"> 总量文件</w:t>
      </w:r>
    </w:p>
    <w:p>
      <w:pPr>
        <w:ind w:firstLine="643"/>
        <w:rPr>
          <w:color w:val="auto"/>
          <w:sz w:val="32"/>
          <w:szCs w:val="32"/>
        </w:rPr>
      </w:pPr>
      <w:r>
        <w:rPr>
          <w:b/>
          <w:bCs/>
          <w:color w:val="auto"/>
          <w:sz w:val="32"/>
          <w:szCs w:val="32"/>
        </w:rPr>
        <w:fldChar w:fldCharType="begin"/>
      </w:r>
      <w:r>
        <w:rPr>
          <w:b/>
          <w:bCs/>
          <w:color w:val="auto"/>
          <w:sz w:val="32"/>
          <w:szCs w:val="32"/>
        </w:rPr>
        <w:instrText xml:space="preserve">TOC \o "1-1" \h \u </w:instrText>
      </w:r>
      <w:r>
        <w:rPr>
          <w:b/>
          <w:bCs/>
          <w:color w:val="auto"/>
          <w:sz w:val="32"/>
          <w:szCs w:val="32"/>
        </w:rPr>
        <w:fldChar w:fldCharType="separate"/>
      </w:r>
    </w:p>
    <w:p>
      <w:pPr>
        <w:pStyle w:val="2"/>
        <w:ind w:firstLine="643"/>
        <w:rPr>
          <w:color w:val="auto"/>
          <w:sz w:val="32"/>
          <w:szCs w:val="32"/>
        </w:rPr>
      </w:pPr>
      <w:r>
        <w:rPr>
          <w:color w:val="auto"/>
          <w:sz w:val="32"/>
          <w:szCs w:val="32"/>
        </w:rPr>
        <w:fldChar w:fldCharType="end"/>
      </w:r>
    </w:p>
    <w:p>
      <w:pPr>
        <w:pStyle w:val="2"/>
        <w:ind w:firstLine="602"/>
        <w:rPr>
          <w:color w:val="auto"/>
        </w:rPr>
        <w:sectPr>
          <w:footerReference r:id="rId11" w:type="default"/>
          <w:pgSz w:w="11906" w:h="16838"/>
          <w:pgMar w:top="1440" w:right="1080" w:bottom="1440" w:left="1080" w:header="851" w:footer="1077" w:gutter="0"/>
          <w:pgBorders>
            <w:top w:val="none" w:sz="0" w:space="0"/>
            <w:left w:val="none" w:sz="0" w:space="0"/>
            <w:bottom w:val="none" w:sz="0" w:space="0"/>
            <w:right w:val="none" w:sz="0" w:space="0"/>
          </w:pgBorders>
          <w:pgNumType w:fmt="upperRoman" w:start="1"/>
          <w:cols w:space="720" w:num="1"/>
          <w:docGrid w:linePitch="312" w:charSpace="0"/>
        </w:sectPr>
      </w:pPr>
    </w:p>
    <w:p>
      <w:pPr>
        <w:pStyle w:val="2"/>
        <w:ind w:firstLineChars="0"/>
        <w:rPr>
          <w:color w:val="auto"/>
        </w:rPr>
      </w:pPr>
      <w:bookmarkStart w:id="30" w:name="_Toc30706"/>
      <w:r>
        <w:rPr>
          <w:color w:val="auto"/>
        </w:rPr>
        <w:t>一、建设项目基本情况</w:t>
      </w:r>
      <w:bookmarkEnd w:id="30"/>
    </w:p>
    <w:tbl>
      <w:tblPr>
        <w:tblStyle w:val="5"/>
        <w:tblW w:w="1016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701"/>
        <w:gridCol w:w="2760"/>
        <w:gridCol w:w="2041"/>
        <w:gridCol w:w="365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701" w:type="dxa"/>
            <w:tcMar>
              <w:top w:w="16" w:type="dxa"/>
              <w:left w:w="16" w:type="dxa"/>
              <w:right w:w="16" w:type="dxa"/>
            </w:tcMar>
            <w:vAlign w:val="center"/>
          </w:tcPr>
          <w:p>
            <w:pPr>
              <w:pStyle w:val="11"/>
              <w:spacing w:line="360" w:lineRule="auto"/>
              <w:jc w:val="center"/>
              <w:rPr>
                <w:b/>
                <w:bCs/>
                <w:color w:val="auto"/>
                <w:sz w:val="24"/>
                <w:szCs w:val="24"/>
              </w:rPr>
            </w:pPr>
            <w:r>
              <w:rPr>
                <w:b/>
                <w:bCs/>
                <w:color w:val="auto"/>
                <w:sz w:val="24"/>
                <w:szCs w:val="24"/>
              </w:rPr>
              <w:t>建设项目名称</w:t>
            </w:r>
          </w:p>
        </w:tc>
        <w:tc>
          <w:tcPr>
            <w:tcW w:w="8459" w:type="dxa"/>
            <w:gridSpan w:val="3"/>
            <w:vAlign w:val="center"/>
          </w:tcPr>
          <w:p>
            <w:pPr>
              <w:pStyle w:val="11"/>
              <w:spacing w:line="360" w:lineRule="auto"/>
              <w:jc w:val="center"/>
              <w:rPr>
                <w:rFonts w:hint="eastAsia" w:eastAsia="宋体"/>
                <w:color w:val="auto"/>
                <w:sz w:val="24"/>
                <w:szCs w:val="24"/>
                <w:lang w:eastAsia="zh-CN"/>
              </w:rPr>
            </w:pPr>
            <w:r>
              <w:rPr>
                <w:rFonts w:hint="eastAsia"/>
                <w:color w:val="auto"/>
                <w:sz w:val="24"/>
                <w:szCs w:val="24"/>
                <w:lang w:eastAsia="zh-CN"/>
              </w:rPr>
              <w:t>年产7500吨农用塑料薄膜回收再利用项目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701" w:type="dxa"/>
            <w:tcMar>
              <w:top w:w="16" w:type="dxa"/>
              <w:left w:w="16" w:type="dxa"/>
              <w:right w:w="16" w:type="dxa"/>
            </w:tcMar>
            <w:vAlign w:val="center"/>
          </w:tcPr>
          <w:p>
            <w:pPr>
              <w:pStyle w:val="11"/>
              <w:spacing w:line="360" w:lineRule="auto"/>
              <w:jc w:val="center"/>
              <w:rPr>
                <w:b/>
                <w:bCs/>
                <w:color w:val="auto"/>
                <w:sz w:val="24"/>
                <w:szCs w:val="24"/>
              </w:rPr>
            </w:pPr>
            <w:r>
              <w:rPr>
                <w:b/>
                <w:bCs/>
                <w:color w:val="auto"/>
                <w:sz w:val="24"/>
                <w:szCs w:val="24"/>
              </w:rPr>
              <w:t>项目代码</w:t>
            </w:r>
          </w:p>
        </w:tc>
        <w:tc>
          <w:tcPr>
            <w:tcW w:w="8459" w:type="dxa"/>
            <w:gridSpan w:val="3"/>
            <w:vAlign w:val="center"/>
          </w:tcPr>
          <w:p>
            <w:pPr>
              <w:widowControl/>
              <w:ind w:firstLine="0" w:firstLineChars="0"/>
              <w:jc w:val="center"/>
              <w:rPr>
                <w:rFonts w:hint="eastAsia" w:eastAsia="宋体"/>
                <w:color w:val="auto"/>
                <w:lang w:eastAsia="zh-CN"/>
              </w:rPr>
            </w:pPr>
            <w:r>
              <w:rPr>
                <w:rFonts w:hint="eastAsia"/>
                <w:color w:val="auto"/>
                <w:lang w:eastAsia="zh-CN"/>
              </w:rPr>
              <w:t>2303-511722-04-01-475997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701" w:type="dxa"/>
            <w:tcMar>
              <w:top w:w="16" w:type="dxa"/>
              <w:left w:w="16" w:type="dxa"/>
              <w:right w:w="16" w:type="dxa"/>
            </w:tcMar>
            <w:vAlign w:val="center"/>
          </w:tcPr>
          <w:p>
            <w:pPr>
              <w:pStyle w:val="11"/>
              <w:spacing w:line="240" w:lineRule="auto"/>
              <w:jc w:val="center"/>
              <w:rPr>
                <w:b/>
                <w:bCs/>
                <w:color w:val="auto"/>
                <w:sz w:val="24"/>
                <w:szCs w:val="24"/>
              </w:rPr>
            </w:pPr>
            <w:r>
              <w:rPr>
                <w:b/>
                <w:bCs/>
                <w:color w:val="auto"/>
                <w:sz w:val="24"/>
                <w:szCs w:val="24"/>
              </w:rPr>
              <w:t>建设单位</w:t>
            </w:r>
          </w:p>
          <w:p>
            <w:pPr>
              <w:pStyle w:val="11"/>
              <w:spacing w:line="240" w:lineRule="auto"/>
              <w:jc w:val="center"/>
              <w:rPr>
                <w:b/>
                <w:bCs/>
                <w:color w:val="auto"/>
                <w:sz w:val="24"/>
                <w:szCs w:val="24"/>
              </w:rPr>
            </w:pPr>
            <w:r>
              <w:rPr>
                <w:b/>
                <w:bCs/>
                <w:color w:val="auto"/>
                <w:sz w:val="24"/>
                <w:szCs w:val="24"/>
              </w:rPr>
              <w:t>系人</w:t>
            </w:r>
          </w:p>
        </w:tc>
        <w:tc>
          <w:tcPr>
            <w:tcW w:w="2760" w:type="dxa"/>
            <w:vAlign w:val="center"/>
          </w:tcPr>
          <w:p>
            <w:pPr>
              <w:widowControl/>
              <w:ind w:firstLine="0" w:firstLineChars="0"/>
              <w:jc w:val="center"/>
              <w:rPr>
                <w:rFonts w:hint="default" w:eastAsia="宋体"/>
                <w:color w:val="auto"/>
                <w:lang w:val="en-US" w:eastAsia="zh-CN"/>
              </w:rPr>
            </w:pPr>
            <w:r>
              <w:rPr>
                <w:rFonts w:hint="eastAsia"/>
                <w:color w:val="auto"/>
                <w:lang w:val="en-US" w:eastAsia="zh-CN"/>
              </w:rPr>
              <w:t>张徐</w:t>
            </w:r>
          </w:p>
        </w:tc>
        <w:tc>
          <w:tcPr>
            <w:tcW w:w="2041" w:type="dxa"/>
            <w:vAlign w:val="center"/>
          </w:tcPr>
          <w:p>
            <w:pPr>
              <w:pStyle w:val="11"/>
              <w:spacing w:line="360" w:lineRule="auto"/>
              <w:jc w:val="center"/>
              <w:rPr>
                <w:color w:val="auto"/>
                <w:sz w:val="24"/>
                <w:szCs w:val="24"/>
              </w:rPr>
            </w:pPr>
            <w:r>
              <w:rPr>
                <w:b/>
                <w:bCs/>
                <w:color w:val="auto"/>
                <w:sz w:val="24"/>
                <w:szCs w:val="24"/>
              </w:rPr>
              <w:t>联系方式</w:t>
            </w:r>
          </w:p>
        </w:tc>
        <w:tc>
          <w:tcPr>
            <w:tcW w:w="3658" w:type="dxa"/>
            <w:vAlign w:val="center"/>
          </w:tcPr>
          <w:p>
            <w:pPr>
              <w:pStyle w:val="11"/>
              <w:spacing w:line="360" w:lineRule="auto"/>
              <w:jc w:val="center"/>
              <w:rPr>
                <w:rFonts w:hint="default" w:eastAsia="宋体"/>
                <w:color w:val="auto"/>
                <w:sz w:val="24"/>
                <w:szCs w:val="24"/>
                <w:lang w:val="en-US" w:eastAsia="zh-CN"/>
              </w:rPr>
            </w:pPr>
            <w:r>
              <w:rPr>
                <w:rFonts w:hint="eastAsia"/>
                <w:color w:val="auto"/>
                <w:sz w:val="24"/>
                <w:szCs w:val="24"/>
                <w:lang w:val="en-US" w:eastAsia="zh-CN"/>
              </w:rPr>
              <w:t>15181840679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701" w:type="dxa"/>
            <w:tcMar>
              <w:top w:w="16" w:type="dxa"/>
              <w:left w:w="16" w:type="dxa"/>
              <w:right w:w="16" w:type="dxa"/>
            </w:tcMar>
            <w:vAlign w:val="center"/>
          </w:tcPr>
          <w:p>
            <w:pPr>
              <w:pStyle w:val="11"/>
              <w:spacing w:line="360" w:lineRule="auto"/>
              <w:jc w:val="center"/>
              <w:rPr>
                <w:b/>
                <w:bCs/>
                <w:color w:val="auto"/>
                <w:sz w:val="24"/>
                <w:szCs w:val="24"/>
              </w:rPr>
            </w:pPr>
            <w:r>
              <w:rPr>
                <w:b/>
                <w:bCs/>
                <w:color w:val="auto"/>
                <w:sz w:val="24"/>
                <w:szCs w:val="24"/>
              </w:rPr>
              <w:t>建设地点</w:t>
            </w:r>
          </w:p>
        </w:tc>
        <w:tc>
          <w:tcPr>
            <w:tcW w:w="8459" w:type="dxa"/>
            <w:gridSpan w:val="3"/>
            <w:vAlign w:val="center"/>
          </w:tcPr>
          <w:p>
            <w:pPr>
              <w:pStyle w:val="11"/>
              <w:spacing w:line="360" w:lineRule="auto"/>
              <w:jc w:val="center"/>
              <w:rPr>
                <w:rFonts w:hint="eastAsia" w:eastAsia="宋体"/>
                <w:color w:val="auto"/>
                <w:sz w:val="24"/>
                <w:szCs w:val="24"/>
                <w:lang w:eastAsia="zh-CN"/>
              </w:rPr>
            </w:pPr>
            <w:r>
              <w:rPr>
                <w:rFonts w:hint="eastAsia"/>
                <w:color w:val="auto"/>
                <w:sz w:val="24"/>
                <w:szCs w:val="24"/>
                <w:lang w:eastAsia="zh-CN"/>
              </w:rPr>
              <w:t>四川省达州市宣汉县一号大道和四号大道交叉口东北180米</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701" w:type="dxa"/>
            <w:tcMar>
              <w:top w:w="16" w:type="dxa"/>
              <w:left w:w="16" w:type="dxa"/>
              <w:right w:w="16" w:type="dxa"/>
            </w:tcMar>
            <w:vAlign w:val="center"/>
          </w:tcPr>
          <w:p>
            <w:pPr>
              <w:pStyle w:val="11"/>
              <w:spacing w:line="360" w:lineRule="auto"/>
              <w:jc w:val="center"/>
              <w:rPr>
                <w:b/>
                <w:bCs/>
                <w:color w:val="auto"/>
                <w:sz w:val="24"/>
                <w:szCs w:val="24"/>
              </w:rPr>
            </w:pPr>
            <w:r>
              <w:rPr>
                <w:b/>
                <w:bCs/>
                <w:color w:val="auto"/>
                <w:sz w:val="24"/>
                <w:szCs w:val="24"/>
              </w:rPr>
              <w:t>地理坐标</w:t>
            </w:r>
          </w:p>
        </w:tc>
        <w:tc>
          <w:tcPr>
            <w:tcW w:w="8459" w:type="dxa"/>
            <w:gridSpan w:val="3"/>
            <w:vAlign w:val="center"/>
          </w:tcPr>
          <w:p>
            <w:pPr>
              <w:pStyle w:val="11"/>
              <w:spacing w:line="360" w:lineRule="auto"/>
              <w:jc w:val="center"/>
              <w:rPr>
                <w:color w:val="auto"/>
                <w:sz w:val="24"/>
                <w:szCs w:val="24"/>
              </w:rPr>
            </w:pPr>
            <w:r>
              <w:rPr>
                <w:rFonts w:hint="default" w:ascii="Times New Roman" w:hAnsi="Times New Roman" w:cs="Times New Roman"/>
                <w:color w:val="auto"/>
                <w:sz w:val="24"/>
                <w:szCs w:val="24"/>
              </w:rPr>
              <w:t>E：107°41′21.07″；N：31°26′</w:t>
            </w:r>
            <w:r>
              <w:rPr>
                <w:rFonts w:hint="default" w:ascii="Times New Roman" w:hAnsi="Times New Roman" w:cs="Times New Roman"/>
                <w:color w:val="auto"/>
                <w:sz w:val="24"/>
                <w:szCs w:val="24"/>
                <w:lang w:val="en-US" w:eastAsia="zh-CN"/>
              </w:rPr>
              <w:t>0</w:t>
            </w:r>
            <w:r>
              <w:rPr>
                <w:rFonts w:hint="default" w:ascii="Times New Roman" w:hAnsi="Times New Roman" w:cs="Times New Roman"/>
                <w:color w:val="auto"/>
                <w:sz w:val="24"/>
                <w:szCs w:val="24"/>
              </w:rPr>
              <w:t>3 .66″；H：</w:t>
            </w:r>
            <w:r>
              <w:rPr>
                <w:rFonts w:hint="default" w:ascii="Times New Roman" w:hAnsi="Times New Roman" w:cs="Times New Roman"/>
                <w:color w:val="auto"/>
                <w:sz w:val="24"/>
                <w:szCs w:val="24"/>
                <w:lang w:val="en-US" w:eastAsia="zh-CN"/>
              </w:rPr>
              <w:t>662.2</w:t>
            </w:r>
            <w:r>
              <w:rPr>
                <w:rFonts w:hint="default" w:ascii="Times New Roman" w:hAnsi="Times New Roman" w:cs="Times New Roman"/>
                <w:color w:val="auto"/>
                <w:sz w:val="24"/>
                <w:szCs w:val="24"/>
              </w:rPr>
              <w:t>m</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701" w:type="dxa"/>
            <w:tcMar>
              <w:top w:w="16" w:type="dxa"/>
              <w:left w:w="16" w:type="dxa"/>
              <w:right w:w="16" w:type="dxa"/>
            </w:tcMar>
            <w:vAlign w:val="center"/>
          </w:tcPr>
          <w:p>
            <w:pPr>
              <w:pStyle w:val="11"/>
              <w:jc w:val="center"/>
              <w:rPr>
                <w:b/>
                <w:bCs/>
                <w:color w:val="auto"/>
                <w:sz w:val="24"/>
                <w:szCs w:val="24"/>
              </w:rPr>
            </w:pPr>
            <w:r>
              <w:rPr>
                <w:b/>
                <w:bCs/>
                <w:color w:val="auto"/>
                <w:sz w:val="24"/>
                <w:szCs w:val="24"/>
              </w:rPr>
              <w:t>国民经济</w:t>
            </w:r>
          </w:p>
          <w:p>
            <w:pPr>
              <w:pStyle w:val="11"/>
              <w:jc w:val="center"/>
              <w:rPr>
                <w:b/>
                <w:bCs/>
                <w:color w:val="auto"/>
                <w:sz w:val="24"/>
                <w:szCs w:val="24"/>
              </w:rPr>
            </w:pPr>
            <w:r>
              <w:rPr>
                <w:b/>
                <w:bCs/>
                <w:color w:val="auto"/>
                <w:sz w:val="24"/>
                <w:szCs w:val="24"/>
              </w:rPr>
              <w:t>行业类别</w:t>
            </w:r>
          </w:p>
        </w:tc>
        <w:tc>
          <w:tcPr>
            <w:tcW w:w="2760" w:type="dxa"/>
            <w:vAlign w:val="center"/>
          </w:tcPr>
          <w:p>
            <w:pPr>
              <w:widowControl/>
              <w:spacing w:line="240" w:lineRule="auto"/>
              <w:ind w:firstLine="0" w:firstLineChars="0"/>
              <w:jc w:val="center"/>
              <w:rPr>
                <w:color w:val="auto"/>
              </w:rPr>
            </w:pPr>
            <w:r>
              <w:rPr>
                <w:color w:val="auto"/>
              </w:rPr>
              <w:t>C4220 非金属废料</w:t>
            </w:r>
          </w:p>
          <w:p>
            <w:pPr>
              <w:widowControl/>
              <w:spacing w:line="240" w:lineRule="auto"/>
              <w:ind w:firstLine="0" w:firstLineChars="0"/>
              <w:jc w:val="center"/>
              <w:rPr>
                <w:color w:val="auto"/>
              </w:rPr>
            </w:pPr>
            <w:r>
              <w:rPr>
                <w:color w:val="auto"/>
              </w:rPr>
              <w:t>和碎屑加工处理</w:t>
            </w:r>
          </w:p>
        </w:tc>
        <w:tc>
          <w:tcPr>
            <w:tcW w:w="2041" w:type="dxa"/>
            <w:vAlign w:val="center"/>
          </w:tcPr>
          <w:p>
            <w:pPr>
              <w:widowControl/>
              <w:spacing w:line="240" w:lineRule="auto"/>
              <w:ind w:firstLine="0" w:firstLineChars="0"/>
              <w:jc w:val="center"/>
              <w:rPr>
                <w:b/>
                <w:bCs/>
                <w:color w:val="auto"/>
              </w:rPr>
            </w:pPr>
            <w:bookmarkStart w:id="31" w:name="_Hlk49843745"/>
            <w:r>
              <w:rPr>
                <w:b/>
                <w:bCs/>
                <w:color w:val="auto"/>
              </w:rPr>
              <w:t>建设项目</w:t>
            </w:r>
          </w:p>
          <w:p>
            <w:pPr>
              <w:widowControl/>
              <w:spacing w:line="240" w:lineRule="auto"/>
              <w:ind w:firstLine="0" w:firstLineChars="0"/>
              <w:jc w:val="center"/>
              <w:rPr>
                <w:b/>
                <w:bCs/>
                <w:color w:val="auto"/>
              </w:rPr>
            </w:pPr>
            <w:r>
              <w:rPr>
                <w:b/>
                <w:bCs/>
                <w:color w:val="auto"/>
              </w:rPr>
              <w:t>行业类别</w:t>
            </w:r>
            <w:bookmarkEnd w:id="31"/>
          </w:p>
        </w:tc>
        <w:tc>
          <w:tcPr>
            <w:tcW w:w="3658" w:type="dxa"/>
            <w:vAlign w:val="center"/>
          </w:tcPr>
          <w:p>
            <w:pPr>
              <w:pStyle w:val="11"/>
              <w:jc w:val="center"/>
              <w:rPr>
                <w:color w:val="auto"/>
                <w:sz w:val="24"/>
                <w:szCs w:val="24"/>
              </w:rPr>
            </w:pPr>
            <w:r>
              <w:rPr>
                <w:color w:val="auto"/>
                <w:sz w:val="24"/>
                <w:szCs w:val="24"/>
              </w:rPr>
              <w:t>三十九 废弃资源综合利用业 85 非金属废料和碎屑加工处理 422 废塑料处理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701" w:type="dxa"/>
            <w:tcMar>
              <w:top w:w="16" w:type="dxa"/>
              <w:left w:w="16" w:type="dxa"/>
              <w:right w:w="16" w:type="dxa"/>
            </w:tcMar>
            <w:vAlign w:val="center"/>
          </w:tcPr>
          <w:p>
            <w:pPr>
              <w:pStyle w:val="11"/>
              <w:spacing w:line="360" w:lineRule="auto"/>
              <w:jc w:val="center"/>
              <w:rPr>
                <w:b/>
                <w:bCs/>
                <w:color w:val="auto"/>
                <w:sz w:val="24"/>
                <w:szCs w:val="24"/>
              </w:rPr>
            </w:pPr>
            <w:r>
              <w:rPr>
                <w:b/>
                <w:bCs/>
                <w:color w:val="auto"/>
                <w:sz w:val="24"/>
                <w:szCs w:val="24"/>
              </w:rPr>
              <w:t>建设性质</w:t>
            </w:r>
          </w:p>
        </w:tc>
        <w:tc>
          <w:tcPr>
            <w:tcW w:w="2760" w:type="dxa"/>
            <w:vAlign w:val="center"/>
          </w:tcPr>
          <w:p>
            <w:pPr>
              <w:widowControl/>
              <w:spacing w:line="240" w:lineRule="auto"/>
              <w:ind w:firstLine="0" w:firstLineChars="0"/>
              <w:jc w:val="left"/>
              <w:rPr>
                <w:color w:val="auto"/>
              </w:rPr>
            </w:pPr>
            <w:r>
              <w:rPr>
                <w:color w:val="auto"/>
              </w:rPr>
              <w:t>☑新建（迁建）</w:t>
            </w:r>
          </w:p>
          <w:p>
            <w:pPr>
              <w:widowControl/>
              <w:spacing w:line="240" w:lineRule="auto"/>
              <w:ind w:firstLine="0" w:firstLineChars="0"/>
              <w:jc w:val="left"/>
              <w:rPr>
                <w:color w:val="auto"/>
              </w:rPr>
            </w:pPr>
            <w:r>
              <w:rPr>
                <w:color w:val="auto"/>
              </w:rPr>
              <w:t>□改建</w:t>
            </w:r>
          </w:p>
          <w:p>
            <w:pPr>
              <w:widowControl/>
              <w:spacing w:line="240" w:lineRule="auto"/>
              <w:ind w:firstLine="0" w:firstLineChars="0"/>
              <w:jc w:val="left"/>
              <w:rPr>
                <w:color w:val="auto"/>
              </w:rPr>
            </w:pPr>
            <w:r>
              <w:rPr>
                <w:color w:val="auto"/>
              </w:rPr>
              <w:t>□扩建</w:t>
            </w:r>
          </w:p>
          <w:p>
            <w:pPr>
              <w:widowControl/>
              <w:spacing w:line="240" w:lineRule="auto"/>
              <w:ind w:firstLine="0" w:firstLineChars="0"/>
              <w:jc w:val="left"/>
              <w:rPr>
                <w:color w:val="auto"/>
              </w:rPr>
            </w:pPr>
            <w:r>
              <w:rPr>
                <w:color w:val="auto"/>
              </w:rPr>
              <w:t>□技术改造</w:t>
            </w:r>
          </w:p>
        </w:tc>
        <w:tc>
          <w:tcPr>
            <w:tcW w:w="2041" w:type="dxa"/>
            <w:vAlign w:val="center"/>
          </w:tcPr>
          <w:p>
            <w:pPr>
              <w:widowControl/>
              <w:spacing w:line="240" w:lineRule="auto"/>
              <w:ind w:firstLine="0" w:firstLineChars="0"/>
              <w:jc w:val="center"/>
              <w:rPr>
                <w:b/>
                <w:bCs/>
                <w:color w:val="auto"/>
              </w:rPr>
            </w:pPr>
            <w:r>
              <w:rPr>
                <w:b/>
                <w:bCs/>
                <w:color w:val="auto"/>
              </w:rPr>
              <w:t>建设项目</w:t>
            </w:r>
          </w:p>
          <w:p>
            <w:pPr>
              <w:widowControl/>
              <w:spacing w:line="240" w:lineRule="auto"/>
              <w:ind w:firstLine="0" w:firstLineChars="0"/>
              <w:jc w:val="center"/>
              <w:rPr>
                <w:b/>
                <w:bCs/>
                <w:color w:val="auto"/>
              </w:rPr>
            </w:pPr>
            <w:r>
              <w:rPr>
                <w:b/>
                <w:bCs/>
                <w:color w:val="auto"/>
              </w:rPr>
              <w:t>申报情形</w:t>
            </w:r>
          </w:p>
        </w:tc>
        <w:tc>
          <w:tcPr>
            <w:tcW w:w="3658" w:type="dxa"/>
            <w:vAlign w:val="center"/>
          </w:tcPr>
          <w:p>
            <w:pPr>
              <w:pStyle w:val="11"/>
              <w:rPr>
                <w:color w:val="auto"/>
                <w:sz w:val="24"/>
                <w:szCs w:val="24"/>
              </w:rPr>
            </w:pPr>
            <w:r>
              <w:rPr>
                <w:color w:val="auto"/>
                <w:sz w:val="24"/>
                <w:szCs w:val="24"/>
              </w:rPr>
              <w:t xml:space="preserve">☑首次申报项目             </w:t>
            </w:r>
          </w:p>
          <w:p>
            <w:pPr>
              <w:pStyle w:val="11"/>
              <w:rPr>
                <w:color w:val="auto"/>
                <w:sz w:val="24"/>
                <w:szCs w:val="24"/>
              </w:rPr>
            </w:pPr>
            <w:r>
              <w:rPr>
                <w:color w:val="auto"/>
                <w:sz w:val="24"/>
                <w:szCs w:val="24"/>
              </w:rPr>
              <w:t>□不予批准后再次申报项目</w:t>
            </w:r>
          </w:p>
          <w:p>
            <w:pPr>
              <w:pStyle w:val="11"/>
              <w:rPr>
                <w:color w:val="auto"/>
                <w:sz w:val="24"/>
                <w:szCs w:val="24"/>
              </w:rPr>
            </w:pPr>
            <w:r>
              <w:rPr>
                <w:color w:val="auto"/>
                <w:sz w:val="24"/>
                <w:szCs w:val="24"/>
              </w:rPr>
              <w:t xml:space="preserve">□超五年重新审核项目     </w:t>
            </w:r>
          </w:p>
          <w:p>
            <w:pPr>
              <w:pStyle w:val="11"/>
              <w:rPr>
                <w:color w:val="auto"/>
                <w:sz w:val="24"/>
                <w:szCs w:val="24"/>
              </w:rPr>
            </w:pPr>
            <w:r>
              <w:rPr>
                <w:color w:val="auto"/>
                <w:sz w:val="24"/>
                <w:szCs w:val="24"/>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701" w:type="dxa"/>
            <w:tcMar>
              <w:top w:w="16" w:type="dxa"/>
              <w:left w:w="16" w:type="dxa"/>
              <w:right w:w="16" w:type="dxa"/>
            </w:tcMar>
            <w:vAlign w:val="center"/>
          </w:tcPr>
          <w:p>
            <w:pPr>
              <w:pStyle w:val="11"/>
              <w:jc w:val="center"/>
              <w:rPr>
                <w:b/>
                <w:bCs/>
                <w:color w:val="auto"/>
                <w:sz w:val="24"/>
                <w:szCs w:val="24"/>
              </w:rPr>
            </w:pPr>
            <w:r>
              <w:rPr>
                <w:b/>
                <w:bCs/>
                <w:color w:val="auto"/>
                <w:sz w:val="24"/>
                <w:szCs w:val="24"/>
              </w:rPr>
              <w:t>项目审批</w:t>
            </w:r>
          </w:p>
          <w:p>
            <w:pPr>
              <w:pStyle w:val="11"/>
              <w:jc w:val="center"/>
              <w:rPr>
                <w:b/>
                <w:bCs/>
                <w:color w:val="auto"/>
                <w:sz w:val="24"/>
                <w:szCs w:val="24"/>
              </w:rPr>
            </w:pPr>
            <w:r>
              <w:rPr>
                <w:b/>
                <w:bCs/>
                <w:color w:val="auto"/>
                <w:sz w:val="24"/>
                <w:szCs w:val="24"/>
              </w:rPr>
              <w:t>（核准/备案）</w:t>
            </w:r>
          </w:p>
          <w:p>
            <w:pPr>
              <w:pStyle w:val="11"/>
              <w:jc w:val="center"/>
              <w:rPr>
                <w:b/>
                <w:bCs/>
                <w:color w:val="auto"/>
                <w:sz w:val="24"/>
                <w:szCs w:val="24"/>
              </w:rPr>
            </w:pPr>
            <w:r>
              <w:rPr>
                <w:b/>
                <w:bCs/>
                <w:color w:val="auto"/>
                <w:sz w:val="24"/>
                <w:szCs w:val="24"/>
              </w:rPr>
              <w:t>部门（选填）</w:t>
            </w:r>
          </w:p>
        </w:tc>
        <w:tc>
          <w:tcPr>
            <w:tcW w:w="2760" w:type="dxa"/>
            <w:vAlign w:val="center"/>
          </w:tcPr>
          <w:p>
            <w:pPr>
              <w:pStyle w:val="11"/>
              <w:jc w:val="center"/>
              <w:rPr>
                <w:rFonts w:hint="default" w:eastAsia="宋体"/>
                <w:color w:val="auto"/>
                <w:sz w:val="24"/>
                <w:szCs w:val="24"/>
                <w:lang w:val="en-US" w:eastAsia="zh-CN"/>
              </w:rPr>
            </w:pPr>
            <w:r>
              <w:rPr>
                <w:rFonts w:hint="eastAsia"/>
                <w:color w:val="auto"/>
                <w:sz w:val="24"/>
                <w:szCs w:val="24"/>
                <w:lang w:val="en-US" w:eastAsia="zh-CN"/>
              </w:rPr>
              <w:t>宣汉县发改局</w:t>
            </w:r>
          </w:p>
        </w:tc>
        <w:tc>
          <w:tcPr>
            <w:tcW w:w="2041" w:type="dxa"/>
            <w:vAlign w:val="center"/>
          </w:tcPr>
          <w:p>
            <w:pPr>
              <w:widowControl/>
              <w:spacing w:line="240" w:lineRule="auto"/>
              <w:ind w:firstLine="0" w:firstLineChars="0"/>
              <w:jc w:val="center"/>
              <w:rPr>
                <w:b/>
                <w:bCs/>
                <w:color w:val="auto"/>
              </w:rPr>
            </w:pPr>
            <w:r>
              <w:rPr>
                <w:b/>
                <w:bCs/>
                <w:color w:val="auto"/>
              </w:rPr>
              <w:t>项目审批（核准/</w:t>
            </w:r>
          </w:p>
          <w:p>
            <w:pPr>
              <w:widowControl/>
              <w:spacing w:line="240" w:lineRule="auto"/>
              <w:ind w:firstLine="0" w:firstLineChars="0"/>
              <w:jc w:val="center"/>
              <w:rPr>
                <w:b/>
                <w:bCs/>
                <w:color w:val="auto"/>
              </w:rPr>
            </w:pPr>
            <w:r>
              <w:rPr>
                <w:b/>
                <w:bCs/>
                <w:color w:val="auto"/>
              </w:rPr>
              <w:t>备案）文号（选填）</w:t>
            </w:r>
          </w:p>
        </w:tc>
        <w:tc>
          <w:tcPr>
            <w:tcW w:w="3658" w:type="dxa"/>
            <w:vAlign w:val="center"/>
          </w:tcPr>
          <w:p>
            <w:pPr>
              <w:widowControl/>
              <w:spacing w:line="240" w:lineRule="auto"/>
              <w:ind w:firstLine="0" w:firstLineChars="0"/>
              <w:jc w:val="center"/>
              <w:rPr>
                <w:color w:val="auto"/>
              </w:rPr>
            </w:pPr>
            <w:r>
              <w:rPr>
                <w:color w:val="auto"/>
              </w:rPr>
              <w:t>川投资备[</w:t>
            </w:r>
            <w:r>
              <w:rPr>
                <w:rFonts w:hint="eastAsia"/>
                <w:color w:val="auto"/>
                <w:lang w:eastAsia="zh-CN"/>
              </w:rPr>
              <w:t>2303-511722-04-01-475997</w:t>
            </w:r>
            <w:r>
              <w:rPr>
                <w:color w:val="auto"/>
              </w:rPr>
              <w:t>]</w:t>
            </w:r>
          </w:p>
          <w:p>
            <w:pPr>
              <w:widowControl/>
              <w:spacing w:line="240" w:lineRule="auto"/>
              <w:ind w:firstLine="0" w:firstLineChars="0"/>
              <w:jc w:val="center"/>
              <w:rPr>
                <w:color w:val="auto"/>
              </w:rPr>
            </w:pPr>
            <w:r>
              <w:rPr>
                <w:color w:val="auto"/>
              </w:rPr>
              <w:t>FGQB-</w:t>
            </w:r>
            <w:r>
              <w:rPr>
                <w:rFonts w:hint="eastAsia"/>
                <w:color w:val="auto"/>
                <w:lang w:val="en-US" w:eastAsia="zh-CN"/>
              </w:rPr>
              <w:t>0160</w:t>
            </w:r>
            <w:r>
              <w:rPr>
                <w:color w:val="auto"/>
              </w:rPr>
              <w:t>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701" w:type="dxa"/>
            <w:tcMar>
              <w:top w:w="16" w:type="dxa"/>
              <w:left w:w="16" w:type="dxa"/>
              <w:right w:w="16" w:type="dxa"/>
            </w:tcMar>
            <w:vAlign w:val="center"/>
          </w:tcPr>
          <w:p>
            <w:pPr>
              <w:pStyle w:val="11"/>
              <w:jc w:val="center"/>
              <w:rPr>
                <w:b/>
                <w:bCs/>
                <w:color w:val="auto"/>
                <w:sz w:val="24"/>
                <w:szCs w:val="24"/>
              </w:rPr>
            </w:pPr>
            <w:r>
              <w:rPr>
                <w:b/>
                <w:bCs/>
                <w:color w:val="auto"/>
                <w:sz w:val="24"/>
                <w:szCs w:val="24"/>
              </w:rPr>
              <w:t>总投资（万元）</w:t>
            </w:r>
          </w:p>
        </w:tc>
        <w:tc>
          <w:tcPr>
            <w:tcW w:w="2760" w:type="dxa"/>
            <w:vAlign w:val="center"/>
          </w:tcPr>
          <w:p>
            <w:pPr>
              <w:widowControl/>
              <w:ind w:firstLine="0" w:firstLineChars="0"/>
              <w:jc w:val="center"/>
              <w:rPr>
                <w:rFonts w:hint="default" w:eastAsia="宋体"/>
                <w:color w:val="auto"/>
                <w:lang w:val="en-US" w:eastAsia="zh-CN"/>
              </w:rPr>
            </w:pPr>
            <w:r>
              <w:rPr>
                <w:rFonts w:hint="eastAsia"/>
                <w:color w:val="auto"/>
                <w:lang w:val="en-US" w:eastAsia="zh-CN"/>
              </w:rPr>
              <w:t>300</w:t>
            </w:r>
          </w:p>
        </w:tc>
        <w:tc>
          <w:tcPr>
            <w:tcW w:w="2041" w:type="dxa"/>
            <w:tcMar>
              <w:top w:w="16" w:type="dxa"/>
              <w:left w:w="16" w:type="dxa"/>
              <w:right w:w="16" w:type="dxa"/>
            </w:tcMar>
            <w:vAlign w:val="center"/>
          </w:tcPr>
          <w:p>
            <w:pPr>
              <w:widowControl/>
              <w:ind w:firstLine="0" w:firstLineChars="0"/>
              <w:jc w:val="center"/>
              <w:rPr>
                <w:b/>
                <w:bCs/>
                <w:color w:val="auto"/>
              </w:rPr>
            </w:pPr>
            <w:r>
              <w:rPr>
                <w:b/>
                <w:bCs/>
                <w:color w:val="auto"/>
              </w:rPr>
              <w:t>环保投资（万元）</w:t>
            </w:r>
          </w:p>
        </w:tc>
        <w:tc>
          <w:tcPr>
            <w:tcW w:w="3658" w:type="dxa"/>
            <w:vAlign w:val="center"/>
          </w:tcPr>
          <w:p>
            <w:pPr>
              <w:pStyle w:val="11"/>
              <w:spacing w:line="360" w:lineRule="auto"/>
              <w:jc w:val="center"/>
              <w:rPr>
                <w:rFonts w:hint="default" w:eastAsia="宋体"/>
                <w:color w:val="auto"/>
                <w:sz w:val="24"/>
                <w:szCs w:val="24"/>
                <w:lang w:val="en-US" w:eastAsia="zh-CN"/>
              </w:rPr>
            </w:pPr>
            <w:r>
              <w:rPr>
                <w:rFonts w:hint="eastAsia"/>
                <w:color w:val="auto"/>
                <w:sz w:val="24"/>
                <w:szCs w:val="24"/>
                <w:lang w:val="en-US" w:eastAsia="zh-CN"/>
              </w:rPr>
              <w:t>51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701" w:type="dxa"/>
            <w:tcMar>
              <w:top w:w="16" w:type="dxa"/>
              <w:left w:w="16" w:type="dxa"/>
              <w:right w:w="16" w:type="dxa"/>
            </w:tcMar>
            <w:vAlign w:val="center"/>
          </w:tcPr>
          <w:p>
            <w:pPr>
              <w:pStyle w:val="11"/>
              <w:jc w:val="center"/>
              <w:rPr>
                <w:b/>
                <w:bCs/>
                <w:color w:val="auto"/>
                <w:sz w:val="24"/>
                <w:szCs w:val="24"/>
              </w:rPr>
            </w:pPr>
            <w:r>
              <w:rPr>
                <w:b/>
                <w:bCs/>
                <w:color w:val="auto"/>
                <w:sz w:val="24"/>
                <w:szCs w:val="24"/>
              </w:rPr>
              <w:t>环保投资占比（%）</w:t>
            </w:r>
          </w:p>
        </w:tc>
        <w:tc>
          <w:tcPr>
            <w:tcW w:w="2760" w:type="dxa"/>
            <w:vAlign w:val="center"/>
          </w:tcPr>
          <w:p>
            <w:pPr>
              <w:widowControl/>
              <w:ind w:firstLine="0" w:firstLineChars="0"/>
              <w:jc w:val="center"/>
              <w:rPr>
                <w:rFonts w:hint="default" w:eastAsia="宋体"/>
                <w:color w:val="auto"/>
                <w:lang w:val="en-US" w:eastAsia="zh-CN"/>
              </w:rPr>
            </w:pPr>
            <w:r>
              <w:rPr>
                <w:rFonts w:hint="eastAsia"/>
                <w:color w:val="auto"/>
                <w:lang w:val="en-US" w:eastAsia="zh-CN"/>
              </w:rPr>
              <w:t>17.0</w:t>
            </w:r>
          </w:p>
        </w:tc>
        <w:tc>
          <w:tcPr>
            <w:tcW w:w="2041" w:type="dxa"/>
            <w:tcMar>
              <w:top w:w="16" w:type="dxa"/>
              <w:left w:w="16" w:type="dxa"/>
              <w:right w:w="16" w:type="dxa"/>
            </w:tcMar>
            <w:vAlign w:val="center"/>
          </w:tcPr>
          <w:p>
            <w:pPr>
              <w:widowControl/>
              <w:ind w:firstLine="0" w:firstLineChars="0"/>
              <w:jc w:val="center"/>
              <w:rPr>
                <w:b/>
                <w:bCs/>
                <w:color w:val="auto"/>
              </w:rPr>
            </w:pPr>
            <w:r>
              <w:rPr>
                <w:b/>
                <w:bCs/>
                <w:color w:val="auto"/>
              </w:rPr>
              <w:t>施工工期</w:t>
            </w:r>
          </w:p>
        </w:tc>
        <w:tc>
          <w:tcPr>
            <w:tcW w:w="3658" w:type="dxa"/>
            <w:vAlign w:val="center"/>
          </w:tcPr>
          <w:p>
            <w:pPr>
              <w:pStyle w:val="11"/>
              <w:spacing w:line="360" w:lineRule="auto"/>
              <w:jc w:val="center"/>
              <w:rPr>
                <w:color w:val="auto"/>
                <w:sz w:val="24"/>
                <w:szCs w:val="24"/>
              </w:rPr>
            </w:pPr>
            <w:r>
              <w:rPr>
                <w:rFonts w:hint="eastAsia"/>
                <w:color w:val="auto"/>
                <w:sz w:val="24"/>
                <w:szCs w:val="24"/>
                <w:lang w:val="en-US" w:eastAsia="zh-CN"/>
              </w:rPr>
              <w:t>12</w:t>
            </w:r>
            <w:r>
              <w:rPr>
                <w:color w:val="auto"/>
                <w:sz w:val="24"/>
                <w:szCs w:val="24"/>
              </w:rPr>
              <w:t>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701" w:type="dxa"/>
            <w:tcMar>
              <w:top w:w="16" w:type="dxa"/>
              <w:left w:w="16" w:type="dxa"/>
              <w:right w:w="16" w:type="dxa"/>
            </w:tcMar>
            <w:vAlign w:val="center"/>
          </w:tcPr>
          <w:p>
            <w:pPr>
              <w:pStyle w:val="11"/>
              <w:jc w:val="center"/>
              <w:rPr>
                <w:b/>
                <w:bCs/>
                <w:color w:val="auto"/>
                <w:sz w:val="24"/>
                <w:szCs w:val="24"/>
              </w:rPr>
            </w:pPr>
            <w:r>
              <w:rPr>
                <w:b/>
                <w:bCs/>
                <w:color w:val="auto"/>
                <w:sz w:val="24"/>
                <w:szCs w:val="24"/>
              </w:rPr>
              <w:t>是否开工建设</w:t>
            </w:r>
          </w:p>
        </w:tc>
        <w:tc>
          <w:tcPr>
            <w:tcW w:w="2760" w:type="dxa"/>
            <w:vAlign w:val="center"/>
          </w:tcPr>
          <w:p>
            <w:pPr>
              <w:widowControl/>
              <w:ind w:firstLine="0" w:firstLineChars="0"/>
              <w:rPr>
                <w:color w:val="auto"/>
              </w:rPr>
            </w:pPr>
            <w:r>
              <w:rPr>
                <w:color w:val="auto"/>
              </w:rPr>
              <w:t>☑否</w:t>
            </w:r>
          </w:p>
          <w:p>
            <w:pPr>
              <w:widowControl/>
              <w:ind w:firstLine="0" w:firstLineChars="0"/>
              <w:rPr>
                <w:color w:val="auto"/>
              </w:rPr>
            </w:pPr>
            <w:r>
              <w:rPr>
                <w:color w:val="auto"/>
              </w:rPr>
              <w:t>□是：</w:t>
            </w:r>
            <w:r>
              <w:rPr>
                <w:color w:val="auto"/>
                <w:u w:val="single"/>
              </w:rPr>
              <w:t xml:space="preserve">             </w:t>
            </w:r>
          </w:p>
        </w:tc>
        <w:tc>
          <w:tcPr>
            <w:tcW w:w="2041" w:type="dxa"/>
            <w:tcMar>
              <w:top w:w="16" w:type="dxa"/>
              <w:left w:w="16" w:type="dxa"/>
              <w:right w:w="16" w:type="dxa"/>
            </w:tcMar>
            <w:vAlign w:val="center"/>
          </w:tcPr>
          <w:p>
            <w:pPr>
              <w:widowControl/>
              <w:spacing w:line="240" w:lineRule="auto"/>
              <w:ind w:firstLine="0" w:firstLineChars="0"/>
              <w:jc w:val="center"/>
              <w:rPr>
                <w:b/>
                <w:bCs/>
                <w:color w:val="auto"/>
                <w:spacing w:val="-6"/>
              </w:rPr>
            </w:pPr>
            <w:r>
              <w:rPr>
                <w:b/>
                <w:bCs/>
                <w:color w:val="auto"/>
                <w:spacing w:val="-6"/>
              </w:rPr>
              <w:t>用地（用海）</w:t>
            </w:r>
          </w:p>
          <w:p>
            <w:pPr>
              <w:widowControl/>
              <w:spacing w:line="240" w:lineRule="auto"/>
              <w:ind w:firstLine="0" w:firstLineChars="0"/>
              <w:jc w:val="center"/>
              <w:rPr>
                <w:b/>
                <w:bCs/>
                <w:color w:val="auto"/>
              </w:rPr>
            </w:pPr>
            <w:r>
              <w:rPr>
                <w:b/>
                <w:bCs/>
                <w:color w:val="auto"/>
                <w:spacing w:val="-6"/>
              </w:rPr>
              <w:t>面积（m</w:t>
            </w:r>
            <w:r>
              <w:rPr>
                <w:b/>
                <w:bCs/>
                <w:color w:val="auto"/>
                <w:spacing w:val="-6"/>
                <w:vertAlign w:val="superscript"/>
              </w:rPr>
              <w:t>2</w:t>
            </w:r>
            <w:r>
              <w:rPr>
                <w:b/>
                <w:bCs/>
                <w:color w:val="auto"/>
                <w:spacing w:val="-6"/>
              </w:rPr>
              <w:t>）</w:t>
            </w:r>
          </w:p>
        </w:tc>
        <w:tc>
          <w:tcPr>
            <w:tcW w:w="3658" w:type="dxa"/>
            <w:vAlign w:val="center"/>
          </w:tcPr>
          <w:p>
            <w:pPr>
              <w:pStyle w:val="11"/>
              <w:spacing w:line="360" w:lineRule="auto"/>
              <w:jc w:val="center"/>
              <w:rPr>
                <w:rFonts w:hint="default" w:eastAsia="宋体"/>
                <w:color w:val="auto"/>
                <w:sz w:val="24"/>
                <w:szCs w:val="24"/>
                <w:lang w:val="en-US" w:eastAsia="zh-CN"/>
              </w:rPr>
            </w:pPr>
            <w:r>
              <w:rPr>
                <w:rFonts w:hint="eastAsia"/>
                <w:color w:val="auto"/>
                <w:sz w:val="24"/>
                <w:szCs w:val="24"/>
                <w:lang w:val="en-US" w:eastAsia="zh-CN"/>
              </w:rPr>
              <w:t>约3500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01" w:type="dxa"/>
            <w:vAlign w:val="center"/>
          </w:tcPr>
          <w:p>
            <w:pPr>
              <w:pStyle w:val="11"/>
              <w:jc w:val="center"/>
              <w:rPr>
                <w:b/>
                <w:bCs/>
                <w:color w:val="auto"/>
                <w:sz w:val="24"/>
                <w:szCs w:val="24"/>
              </w:rPr>
            </w:pPr>
            <w:r>
              <w:rPr>
                <w:b/>
                <w:bCs/>
                <w:color w:val="auto"/>
                <w:sz w:val="24"/>
                <w:szCs w:val="24"/>
              </w:rPr>
              <w:t>专项评价</w:t>
            </w:r>
          </w:p>
          <w:p>
            <w:pPr>
              <w:pStyle w:val="11"/>
              <w:jc w:val="center"/>
              <w:rPr>
                <w:b/>
                <w:bCs/>
                <w:color w:val="auto"/>
                <w:sz w:val="24"/>
                <w:szCs w:val="24"/>
              </w:rPr>
            </w:pPr>
            <w:r>
              <w:rPr>
                <w:b/>
                <w:bCs/>
                <w:color w:val="auto"/>
                <w:sz w:val="24"/>
                <w:szCs w:val="24"/>
              </w:rPr>
              <w:t>设置情况</w:t>
            </w:r>
          </w:p>
        </w:tc>
        <w:tc>
          <w:tcPr>
            <w:tcW w:w="8459" w:type="dxa"/>
            <w:gridSpan w:val="3"/>
            <w:vAlign w:val="center"/>
          </w:tcPr>
          <w:p>
            <w:pPr>
              <w:ind w:firstLine="480"/>
              <w:rPr>
                <w:color w:val="auto"/>
              </w:rPr>
            </w:pPr>
            <w:r>
              <w:rPr>
                <w:color w:val="auto"/>
              </w:rPr>
              <w:t>大气专项评价：本项目排放的VOCs</w:t>
            </w:r>
            <w:r>
              <w:rPr>
                <w:rFonts w:hint="eastAsia"/>
                <w:color w:val="auto"/>
              </w:rPr>
              <w:t>等废气</w:t>
            </w:r>
            <w:r>
              <w:rPr>
                <w:color w:val="auto"/>
              </w:rPr>
              <w:t>未纳入《有毒有害大气污染物名录》（公告2019第4号），且厂界外500m范围内无自然保护区、风景名胜区、居住区、文化区和农村地区中人群较集中的区域（不涉及乡镇、安置小区等人群较集中区域），故不需设置大气专项评价。</w:t>
            </w:r>
          </w:p>
          <w:p>
            <w:pPr>
              <w:ind w:firstLine="480"/>
              <w:rPr>
                <w:color w:val="auto"/>
              </w:rPr>
            </w:pPr>
            <w:r>
              <w:rPr>
                <w:color w:val="auto"/>
              </w:rPr>
              <w:t>地表水专项评价：本项目的生活污水经预处理池处理后排入</w:t>
            </w:r>
            <w:r>
              <w:rPr>
                <w:rFonts w:hint="eastAsia"/>
                <w:color w:val="auto"/>
              </w:rPr>
              <w:t>园区管网</w:t>
            </w:r>
            <w:r>
              <w:rPr>
                <w:color w:val="auto"/>
              </w:rPr>
              <w:t>，故不需要设置地表水专项评价。</w:t>
            </w:r>
          </w:p>
          <w:p>
            <w:pPr>
              <w:ind w:firstLine="480"/>
              <w:rPr>
                <w:color w:val="auto"/>
              </w:rPr>
            </w:pPr>
            <w:r>
              <w:rPr>
                <w:color w:val="auto"/>
              </w:rPr>
              <w:t>环境风险专项评价：按照《建设项目环境风险评价技术导则》（HJ169-2018）相关内容划分，本项目的企业环境风险潜势为I，故不需要设置环境风险专项评价。</w:t>
            </w:r>
          </w:p>
          <w:p>
            <w:pPr>
              <w:ind w:firstLine="480"/>
              <w:rPr>
                <w:color w:val="auto"/>
              </w:rPr>
            </w:pPr>
            <w:r>
              <w:rPr>
                <w:color w:val="auto"/>
              </w:rPr>
              <w:t>生态专项评价：/。</w:t>
            </w:r>
          </w:p>
          <w:p>
            <w:pPr>
              <w:ind w:firstLine="480"/>
              <w:rPr>
                <w:color w:val="auto"/>
              </w:rPr>
            </w:pPr>
            <w:r>
              <w:rPr>
                <w:color w:val="auto"/>
              </w:rPr>
              <w:t>海洋专项评价：/。</w:t>
            </w:r>
          </w:p>
          <w:p>
            <w:pPr>
              <w:pStyle w:val="11"/>
              <w:jc w:val="center"/>
              <w:rPr>
                <w:b/>
                <w:bCs/>
                <w:color w:val="auto"/>
              </w:rPr>
            </w:pPr>
            <w:r>
              <w:rPr>
                <w:b/>
                <w:bCs/>
                <w:color w:val="auto"/>
              </w:rPr>
              <w:t>表</w:t>
            </w:r>
            <w:r>
              <w:rPr>
                <w:b/>
                <w:bCs/>
                <w:color w:val="auto"/>
                <w:lang w:val="zh-TW" w:eastAsia="zh-TW"/>
              </w:rPr>
              <w:t>1-</w:t>
            </w:r>
            <w:r>
              <w:rPr>
                <w:b/>
                <w:bCs/>
                <w:color w:val="auto"/>
              </w:rPr>
              <w:t>1</w:t>
            </w:r>
            <w:r>
              <w:rPr>
                <w:b/>
                <w:bCs/>
                <w:color w:val="auto"/>
                <w:lang w:val="zh-TW" w:eastAsia="zh-TW"/>
              </w:rPr>
              <w:t xml:space="preserve">   </w:t>
            </w:r>
            <w:r>
              <w:rPr>
                <w:b/>
                <w:bCs/>
                <w:color w:val="auto"/>
              </w:rPr>
              <w:t xml:space="preserve"> 专项评价设置</w:t>
            </w:r>
            <w:r>
              <w:rPr>
                <w:rFonts w:hint="eastAsia"/>
                <w:b/>
                <w:bCs/>
                <w:color w:val="auto"/>
              </w:rPr>
              <w:t>情况对照表</w:t>
            </w:r>
          </w:p>
          <w:tbl>
            <w:tblPr>
              <w:tblStyle w:val="5"/>
              <w:tblW w:w="8303"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756"/>
              <w:gridCol w:w="3902"/>
              <w:gridCol w:w="364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756" w:type="dxa"/>
                  <w:tcBorders>
                    <w:tl2br w:val="nil"/>
                    <w:tr2bl w:val="nil"/>
                  </w:tcBorders>
                  <w:shd w:val="clear" w:color="auto" w:fill="FFFFFF"/>
                  <w:vAlign w:val="center"/>
                </w:tcPr>
                <w:p>
                  <w:pPr>
                    <w:pStyle w:val="11"/>
                    <w:jc w:val="center"/>
                    <w:rPr>
                      <w:b/>
                      <w:bCs/>
                      <w:color w:val="auto"/>
                    </w:rPr>
                  </w:pPr>
                  <w:r>
                    <w:rPr>
                      <w:b/>
                      <w:bCs/>
                      <w:color w:val="auto"/>
                      <w:lang w:val="zh-TW" w:eastAsia="zh-TW"/>
                    </w:rPr>
                    <w:t>内容</w:t>
                  </w:r>
                </w:p>
              </w:tc>
              <w:tc>
                <w:tcPr>
                  <w:tcW w:w="3902" w:type="dxa"/>
                  <w:tcBorders>
                    <w:tl2br w:val="nil"/>
                    <w:tr2bl w:val="nil"/>
                  </w:tcBorders>
                  <w:shd w:val="clear" w:color="auto" w:fill="FFFFFF"/>
                  <w:vAlign w:val="center"/>
                </w:tcPr>
                <w:p>
                  <w:pPr>
                    <w:pStyle w:val="11"/>
                    <w:jc w:val="center"/>
                    <w:rPr>
                      <w:b/>
                      <w:bCs/>
                      <w:color w:val="auto"/>
                    </w:rPr>
                  </w:pPr>
                  <w:r>
                    <w:rPr>
                      <w:b/>
                      <w:bCs/>
                      <w:color w:val="auto"/>
                    </w:rPr>
                    <w:t>设置原则</w:t>
                  </w:r>
                </w:p>
              </w:tc>
              <w:tc>
                <w:tcPr>
                  <w:tcW w:w="3645" w:type="dxa"/>
                  <w:tcBorders>
                    <w:tl2br w:val="nil"/>
                    <w:tr2bl w:val="nil"/>
                  </w:tcBorders>
                  <w:shd w:val="clear" w:color="auto" w:fill="FFFFFF"/>
                  <w:vAlign w:val="center"/>
                </w:tcPr>
                <w:p>
                  <w:pPr>
                    <w:pStyle w:val="11"/>
                    <w:jc w:val="center"/>
                    <w:rPr>
                      <w:b/>
                      <w:bCs/>
                      <w:color w:val="auto"/>
                    </w:rPr>
                  </w:pPr>
                  <w:r>
                    <w:rPr>
                      <w:b/>
                      <w:bCs/>
                      <w:color w:val="auto"/>
                      <w:lang w:val="zh-TW" w:eastAsia="zh-TW"/>
                    </w:rPr>
                    <w:t>本项目情况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756" w:type="dxa"/>
                  <w:tcBorders>
                    <w:tl2br w:val="nil"/>
                    <w:tr2bl w:val="nil"/>
                  </w:tcBorders>
                  <w:shd w:val="clear" w:color="auto" w:fill="FFFFFF"/>
                  <w:vAlign w:val="center"/>
                </w:tcPr>
                <w:p>
                  <w:pPr>
                    <w:pStyle w:val="11"/>
                    <w:jc w:val="center"/>
                    <w:rPr>
                      <w:color w:val="auto"/>
                    </w:rPr>
                  </w:pPr>
                  <w:r>
                    <w:rPr>
                      <w:color w:val="auto"/>
                    </w:rPr>
                    <w:t>大气</w:t>
                  </w:r>
                </w:p>
              </w:tc>
              <w:tc>
                <w:tcPr>
                  <w:tcW w:w="3902" w:type="dxa"/>
                  <w:tcBorders>
                    <w:tl2br w:val="nil"/>
                    <w:tr2bl w:val="nil"/>
                  </w:tcBorders>
                  <w:shd w:val="clear" w:color="auto" w:fill="FFFFFF"/>
                  <w:vAlign w:val="center"/>
                </w:tcPr>
                <w:p>
                  <w:pPr>
                    <w:widowControl/>
                    <w:spacing w:line="240" w:lineRule="auto"/>
                    <w:ind w:firstLine="0" w:firstLineChars="0"/>
                    <w:rPr>
                      <w:color w:val="auto"/>
                      <w:sz w:val="21"/>
                      <w:szCs w:val="21"/>
                      <w:lang w:val="zh-TW" w:eastAsia="zh-TW"/>
                    </w:rPr>
                  </w:pPr>
                  <w:r>
                    <w:rPr>
                      <w:color w:val="auto"/>
                      <w:kern w:val="0"/>
                      <w:sz w:val="21"/>
                      <w:szCs w:val="21"/>
                      <w:lang w:bidi="ar"/>
                    </w:rPr>
                    <w:t>排放废气含有毒有害污染物、二噁英、苯并[</w:t>
                  </w:r>
                  <w:r>
                    <w:rPr>
                      <w:i/>
                      <w:iCs/>
                      <w:color w:val="auto"/>
                      <w:kern w:val="0"/>
                      <w:sz w:val="21"/>
                      <w:szCs w:val="21"/>
                      <w:lang w:bidi="ar"/>
                    </w:rPr>
                    <w:t>a</w:t>
                  </w:r>
                  <w:r>
                    <w:rPr>
                      <w:color w:val="auto"/>
                      <w:kern w:val="0"/>
                      <w:sz w:val="21"/>
                      <w:szCs w:val="21"/>
                      <w:lang w:bidi="ar"/>
                    </w:rPr>
                    <w:t>]芘、氰化物、氯气且厂界外 500 米范围内有环境空气保护目标的建设项目</w:t>
                  </w:r>
                </w:p>
              </w:tc>
              <w:tc>
                <w:tcPr>
                  <w:tcW w:w="3645" w:type="dxa"/>
                  <w:tcBorders>
                    <w:tl2br w:val="nil"/>
                    <w:tr2bl w:val="nil"/>
                  </w:tcBorders>
                  <w:shd w:val="clear" w:color="auto" w:fill="FFFFFF"/>
                  <w:vAlign w:val="center"/>
                </w:tcPr>
                <w:p>
                  <w:pPr>
                    <w:pStyle w:val="11"/>
                    <w:jc w:val="both"/>
                    <w:rPr>
                      <w:b/>
                      <w:bCs/>
                      <w:color w:val="auto"/>
                      <w:lang w:val="zh-TW" w:eastAsia="zh-TW"/>
                    </w:rPr>
                  </w:pPr>
                  <w:r>
                    <w:rPr>
                      <w:color w:val="auto"/>
                    </w:rPr>
                    <w:t>本项目排放的VOCs等污染物未纳入《有毒有害大气污染物名录》（公告2019第4号），故不需设置大气专项评价。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756" w:type="dxa"/>
                  <w:tcBorders>
                    <w:tl2br w:val="nil"/>
                    <w:tr2bl w:val="nil"/>
                  </w:tcBorders>
                  <w:shd w:val="clear" w:color="auto" w:fill="FFFFFF"/>
                  <w:vAlign w:val="center"/>
                </w:tcPr>
                <w:p>
                  <w:pPr>
                    <w:pStyle w:val="11"/>
                    <w:jc w:val="center"/>
                    <w:rPr>
                      <w:color w:val="auto"/>
                    </w:rPr>
                  </w:pPr>
                  <w:r>
                    <w:rPr>
                      <w:color w:val="auto"/>
                    </w:rPr>
                    <w:t>地</w:t>
                  </w:r>
                </w:p>
                <w:p>
                  <w:pPr>
                    <w:pStyle w:val="11"/>
                    <w:jc w:val="center"/>
                    <w:rPr>
                      <w:color w:val="auto"/>
                    </w:rPr>
                  </w:pPr>
                  <w:r>
                    <w:rPr>
                      <w:color w:val="auto"/>
                    </w:rPr>
                    <w:t>表水</w:t>
                  </w:r>
                </w:p>
              </w:tc>
              <w:tc>
                <w:tcPr>
                  <w:tcW w:w="3902" w:type="dxa"/>
                  <w:tcBorders>
                    <w:tl2br w:val="nil"/>
                    <w:tr2bl w:val="nil"/>
                  </w:tcBorders>
                  <w:shd w:val="clear" w:color="auto" w:fill="FFFFFF"/>
                  <w:vAlign w:val="center"/>
                </w:tcPr>
                <w:p>
                  <w:pPr>
                    <w:widowControl/>
                    <w:spacing w:line="240" w:lineRule="auto"/>
                    <w:ind w:firstLine="0" w:firstLineChars="0"/>
                    <w:rPr>
                      <w:color w:val="auto"/>
                      <w:sz w:val="21"/>
                      <w:szCs w:val="21"/>
                      <w:lang w:val="zh-TW" w:eastAsia="zh-TW"/>
                    </w:rPr>
                  </w:pPr>
                  <w:r>
                    <w:rPr>
                      <w:color w:val="auto"/>
                      <w:kern w:val="0"/>
                      <w:sz w:val="21"/>
                      <w:szCs w:val="21"/>
                      <w:lang w:bidi="ar"/>
                    </w:rPr>
                    <w:t>新增工业废水直排建设项目（槽罐车外送污水处理厂的除外）</w:t>
                  </w:r>
                  <w:r>
                    <w:rPr>
                      <w:rFonts w:hint="eastAsia"/>
                      <w:color w:val="auto"/>
                      <w:kern w:val="0"/>
                      <w:sz w:val="21"/>
                      <w:szCs w:val="21"/>
                      <w:lang w:bidi="ar"/>
                    </w:rPr>
                    <w:t>；</w:t>
                  </w:r>
                  <w:r>
                    <w:rPr>
                      <w:color w:val="auto"/>
                      <w:kern w:val="0"/>
                      <w:sz w:val="21"/>
                      <w:szCs w:val="21"/>
                      <w:lang w:bidi="ar"/>
                    </w:rPr>
                    <w:t>新增废水直排的污水集中处理厂</w:t>
                  </w:r>
                </w:p>
              </w:tc>
              <w:tc>
                <w:tcPr>
                  <w:tcW w:w="3645" w:type="dxa"/>
                  <w:tcBorders>
                    <w:tl2br w:val="nil"/>
                    <w:tr2bl w:val="nil"/>
                  </w:tcBorders>
                  <w:shd w:val="clear" w:color="auto" w:fill="FFFFFF"/>
                  <w:vAlign w:val="center"/>
                </w:tcPr>
                <w:p>
                  <w:pPr>
                    <w:spacing w:line="240" w:lineRule="auto"/>
                    <w:ind w:firstLine="0" w:firstLineChars="0"/>
                    <w:rPr>
                      <w:b/>
                      <w:bCs/>
                      <w:color w:val="auto"/>
                      <w:sz w:val="21"/>
                      <w:szCs w:val="21"/>
                      <w:lang w:val="zh-TW"/>
                    </w:rPr>
                  </w:pPr>
                  <w:r>
                    <w:rPr>
                      <w:color w:val="auto"/>
                      <w:sz w:val="21"/>
                      <w:szCs w:val="21"/>
                    </w:rPr>
                    <w:t>本项目的</w:t>
                  </w:r>
                  <w:r>
                    <w:rPr>
                      <w:rFonts w:hint="eastAsia"/>
                      <w:color w:val="auto"/>
                      <w:sz w:val="21"/>
                      <w:szCs w:val="21"/>
                    </w:rPr>
                    <w:t>本项目的生活污水经预处理池处理后排入园区管网。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756" w:type="dxa"/>
                  <w:tcBorders>
                    <w:tl2br w:val="nil"/>
                    <w:tr2bl w:val="nil"/>
                  </w:tcBorders>
                  <w:shd w:val="clear" w:color="auto" w:fill="FFFFFF"/>
                  <w:vAlign w:val="center"/>
                </w:tcPr>
                <w:p>
                  <w:pPr>
                    <w:pStyle w:val="11"/>
                    <w:jc w:val="center"/>
                    <w:rPr>
                      <w:color w:val="auto"/>
                    </w:rPr>
                  </w:pPr>
                  <w:r>
                    <w:rPr>
                      <w:color w:val="auto"/>
                    </w:rPr>
                    <w:t>环境</w:t>
                  </w:r>
                </w:p>
                <w:p>
                  <w:pPr>
                    <w:pStyle w:val="11"/>
                    <w:jc w:val="center"/>
                    <w:rPr>
                      <w:color w:val="auto"/>
                    </w:rPr>
                  </w:pPr>
                  <w:r>
                    <w:rPr>
                      <w:color w:val="auto"/>
                    </w:rPr>
                    <w:t>风险</w:t>
                  </w:r>
                </w:p>
              </w:tc>
              <w:tc>
                <w:tcPr>
                  <w:tcW w:w="3902" w:type="dxa"/>
                  <w:tcBorders>
                    <w:tl2br w:val="nil"/>
                    <w:tr2bl w:val="nil"/>
                  </w:tcBorders>
                  <w:shd w:val="clear" w:color="auto" w:fill="FFFFFF"/>
                  <w:vAlign w:val="center"/>
                </w:tcPr>
                <w:p>
                  <w:pPr>
                    <w:widowControl/>
                    <w:spacing w:line="240" w:lineRule="auto"/>
                    <w:ind w:firstLine="0" w:firstLineChars="0"/>
                    <w:rPr>
                      <w:color w:val="auto"/>
                      <w:sz w:val="21"/>
                      <w:szCs w:val="21"/>
                      <w:lang w:val="zh-TW" w:eastAsia="zh-TW"/>
                    </w:rPr>
                  </w:pPr>
                  <w:r>
                    <w:rPr>
                      <w:color w:val="auto"/>
                      <w:kern w:val="0"/>
                      <w:sz w:val="21"/>
                      <w:szCs w:val="21"/>
                      <w:lang w:bidi="ar"/>
                    </w:rPr>
                    <w:t>有毒有害和易燃易爆危险物质存储量超过临界量的建设项目</w:t>
                  </w:r>
                </w:p>
              </w:tc>
              <w:tc>
                <w:tcPr>
                  <w:tcW w:w="3645" w:type="dxa"/>
                  <w:tcBorders>
                    <w:tl2br w:val="nil"/>
                    <w:tr2bl w:val="nil"/>
                  </w:tcBorders>
                  <w:shd w:val="clear" w:color="auto" w:fill="FFFFFF"/>
                  <w:vAlign w:val="center"/>
                </w:tcPr>
                <w:p>
                  <w:pPr>
                    <w:pStyle w:val="11"/>
                    <w:jc w:val="both"/>
                    <w:rPr>
                      <w:color w:val="auto"/>
                    </w:rPr>
                  </w:pPr>
                  <w:r>
                    <w:rPr>
                      <w:rFonts w:hint="eastAsia"/>
                      <w:color w:val="auto"/>
                    </w:rPr>
                    <w:t>本项目不属于储存易燃易爆、有毒有害物质的建设项目，</w:t>
                  </w:r>
                  <w:r>
                    <w:rPr>
                      <w:color w:val="auto"/>
                    </w:rPr>
                    <w:t>故不需要设置</w:t>
                  </w:r>
                  <w:r>
                    <w:rPr>
                      <w:rFonts w:hint="eastAsia"/>
                      <w:color w:val="auto"/>
                    </w:rPr>
                    <w:t>环境风险</w:t>
                  </w:r>
                  <w:r>
                    <w:rPr>
                      <w:color w:val="auto"/>
                    </w:rPr>
                    <w:t>专项评价。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756" w:type="dxa"/>
                  <w:tcBorders>
                    <w:tl2br w:val="nil"/>
                    <w:tr2bl w:val="nil"/>
                  </w:tcBorders>
                  <w:shd w:val="clear" w:color="auto" w:fill="FFFFFF"/>
                  <w:vAlign w:val="center"/>
                </w:tcPr>
                <w:p>
                  <w:pPr>
                    <w:pStyle w:val="11"/>
                    <w:jc w:val="center"/>
                    <w:rPr>
                      <w:color w:val="auto"/>
                    </w:rPr>
                  </w:pPr>
                  <w:r>
                    <w:rPr>
                      <w:color w:val="auto"/>
                    </w:rPr>
                    <w:t>生态</w:t>
                  </w:r>
                </w:p>
              </w:tc>
              <w:tc>
                <w:tcPr>
                  <w:tcW w:w="3902" w:type="dxa"/>
                  <w:tcBorders>
                    <w:tl2br w:val="nil"/>
                    <w:tr2bl w:val="nil"/>
                  </w:tcBorders>
                  <w:shd w:val="clear" w:color="auto" w:fill="FFFFFF"/>
                  <w:vAlign w:val="center"/>
                </w:tcPr>
                <w:p>
                  <w:pPr>
                    <w:widowControl/>
                    <w:spacing w:line="240" w:lineRule="auto"/>
                    <w:ind w:firstLine="0" w:firstLineChars="0"/>
                    <w:rPr>
                      <w:color w:val="auto"/>
                      <w:sz w:val="21"/>
                      <w:szCs w:val="21"/>
                      <w:lang w:val="zh-TW" w:eastAsia="zh-TW"/>
                    </w:rPr>
                  </w:pPr>
                  <w:r>
                    <w:rPr>
                      <w:color w:val="auto"/>
                      <w:kern w:val="0"/>
                      <w:sz w:val="21"/>
                      <w:szCs w:val="21"/>
                      <w:lang w:bidi="ar"/>
                    </w:rPr>
                    <w:t>取水口下游 500 米范围内有重要水生生物的自然产卵场、索饵场、越冬场和洄游通道的新增河道取水的污染类建设项目</w:t>
                  </w:r>
                </w:p>
              </w:tc>
              <w:tc>
                <w:tcPr>
                  <w:tcW w:w="3645" w:type="dxa"/>
                  <w:tcBorders>
                    <w:tl2br w:val="nil"/>
                    <w:tr2bl w:val="nil"/>
                  </w:tcBorders>
                  <w:shd w:val="clear" w:color="auto" w:fill="FFFFFF"/>
                  <w:vAlign w:val="center"/>
                </w:tcPr>
                <w:p>
                  <w:pPr>
                    <w:pStyle w:val="11"/>
                    <w:jc w:val="both"/>
                    <w:rPr>
                      <w:color w:val="auto"/>
                      <w:lang w:val="zh-TW" w:eastAsia="zh-TW"/>
                    </w:rPr>
                  </w:pPr>
                  <w:r>
                    <w:rPr>
                      <w:rFonts w:hint="eastAsia"/>
                      <w:color w:val="auto"/>
                    </w:rPr>
                    <w:t>本项目不属于</w:t>
                  </w:r>
                  <w:r>
                    <w:rPr>
                      <w:color w:val="auto"/>
                      <w:lang w:bidi="ar"/>
                    </w:rPr>
                    <w:t>新增河道取水</w:t>
                  </w:r>
                  <w:r>
                    <w:rPr>
                      <w:rFonts w:hint="eastAsia"/>
                      <w:color w:val="auto"/>
                    </w:rPr>
                    <w:t>的建设项目，</w:t>
                  </w:r>
                  <w:r>
                    <w:rPr>
                      <w:color w:val="auto"/>
                    </w:rPr>
                    <w:t>故不需要设置</w:t>
                  </w:r>
                  <w:r>
                    <w:rPr>
                      <w:rFonts w:hint="eastAsia"/>
                      <w:color w:val="auto"/>
                    </w:rPr>
                    <w:t>生态</w:t>
                  </w:r>
                  <w:r>
                    <w:rPr>
                      <w:color w:val="auto"/>
                    </w:rPr>
                    <w:t>专项评价。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756" w:type="dxa"/>
                  <w:tcBorders>
                    <w:tl2br w:val="nil"/>
                    <w:tr2bl w:val="nil"/>
                  </w:tcBorders>
                  <w:shd w:val="clear" w:color="auto" w:fill="FFFFFF"/>
                  <w:vAlign w:val="center"/>
                </w:tcPr>
                <w:p>
                  <w:pPr>
                    <w:pStyle w:val="11"/>
                    <w:jc w:val="center"/>
                    <w:rPr>
                      <w:color w:val="auto"/>
                    </w:rPr>
                  </w:pPr>
                  <w:r>
                    <w:rPr>
                      <w:color w:val="auto"/>
                    </w:rPr>
                    <w:t>海洋</w:t>
                  </w:r>
                </w:p>
              </w:tc>
              <w:tc>
                <w:tcPr>
                  <w:tcW w:w="3902" w:type="dxa"/>
                  <w:tcBorders>
                    <w:tl2br w:val="nil"/>
                    <w:tr2bl w:val="nil"/>
                  </w:tcBorders>
                  <w:shd w:val="clear" w:color="auto" w:fill="FFFFFF"/>
                  <w:vAlign w:val="center"/>
                </w:tcPr>
                <w:p>
                  <w:pPr>
                    <w:widowControl/>
                    <w:spacing w:line="240" w:lineRule="auto"/>
                    <w:ind w:firstLine="0" w:firstLineChars="0"/>
                    <w:rPr>
                      <w:color w:val="auto"/>
                      <w:sz w:val="21"/>
                      <w:szCs w:val="21"/>
                      <w:lang w:val="zh-TW" w:eastAsia="zh-TW"/>
                    </w:rPr>
                  </w:pPr>
                  <w:r>
                    <w:rPr>
                      <w:color w:val="auto"/>
                      <w:kern w:val="0"/>
                      <w:sz w:val="21"/>
                      <w:szCs w:val="21"/>
                      <w:lang w:bidi="ar"/>
                    </w:rPr>
                    <w:t>直接向海排放污染物的海洋工程建设项目</w:t>
                  </w:r>
                </w:p>
              </w:tc>
              <w:tc>
                <w:tcPr>
                  <w:tcW w:w="3645" w:type="dxa"/>
                  <w:tcBorders>
                    <w:tl2br w:val="nil"/>
                    <w:tr2bl w:val="nil"/>
                  </w:tcBorders>
                  <w:shd w:val="clear" w:color="auto" w:fill="FFFFFF"/>
                  <w:vAlign w:val="center"/>
                </w:tcPr>
                <w:p>
                  <w:pPr>
                    <w:pStyle w:val="11"/>
                    <w:jc w:val="both"/>
                    <w:rPr>
                      <w:color w:val="auto"/>
                    </w:rPr>
                  </w:pPr>
                  <w:r>
                    <w:rPr>
                      <w:rFonts w:hint="eastAsia"/>
                      <w:color w:val="auto"/>
                    </w:rPr>
                    <w:t>本项目不属于</w:t>
                  </w:r>
                  <w:r>
                    <w:rPr>
                      <w:color w:val="auto"/>
                      <w:lang w:bidi="ar"/>
                    </w:rPr>
                    <w:t>海洋工程</w:t>
                  </w:r>
                  <w:r>
                    <w:rPr>
                      <w:rFonts w:hint="eastAsia"/>
                      <w:color w:val="auto"/>
                    </w:rPr>
                    <w:t>的建设项目，</w:t>
                  </w:r>
                  <w:r>
                    <w:rPr>
                      <w:color w:val="auto"/>
                    </w:rPr>
                    <w:t>故不需要设置</w:t>
                  </w:r>
                  <w:r>
                    <w:rPr>
                      <w:rFonts w:hint="eastAsia"/>
                      <w:color w:val="auto"/>
                    </w:rPr>
                    <w:t>海洋</w:t>
                  </w:r>
                  <w:r>
                    <w:rPr>
                      <w:color w:val="auto"/>
                    </w:rPr>
                    <w:t>专项评价。</w:t>
                  </w:r>
                </w:p>
              </w:tc>
            </w:tr>
          </w:tbl>
          <w:p>
            <w:pPr>
              <w:spacing w:line="240" w:lineRule="auto"/>
              <w:ind w:left="0" w:leftChars="0" w:firstLine="0" w:firstLineChars="0"/>
              <w:rPr>
                <w:color w:val="auto"/>
              </w:rPr>
            </w:pPr>
          </w:p>
          <w:p>
            <w:pPr>
              <w:spacing w:line="240" w:lineRule="auto"/>
              <w:ind w:left="0" w:leftChars="0" w:firstLine="0" w:firstLineChars="0"/>
              <w:rPr>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01" w:type="dxa"/>
            <w:vAlign w:val="center"/>
          </w:tcPr>
          <w:p>
            <w:pPr>
              <w:pStyle w:val="11"/>
              <w:spacing w:line="360" w:lineRule="auto"/>
              <w:jc w:val="center"/>
              <w:rPr>
                <w:b/>
                <w:bCs/>
                <w:color w:val="auto"/>
                <w:sz w:val="24"/>
                <w:szCs w:val="24"/>
              </w:rPr>
            </w:pPr>
            <w:r>
              <w:rPr>
                <w:b/>
                <w:bCs/>
                <w:color w:val="auto"/>
                <w:sz w:val="24"/>
                <w:szCs w:val="24"/>
              </w:rPr>
              <w:t>规划情况</w:t>
            </w:r>
          </w:p>
        </w:tc>
        <w:tc>
          <w:tcPr>
            <w:tcW w:w="8459" w:type="dxa"/>
            <w:gridSpan w:val="3"/>
            <w:vAlign w:val="center"/>
          </w:tcPr>
          <w:p>
            <w:pPr>
              <w:pStyle w:val="11"/>
              <w:spacing w:line="360" w:lineRule="auto"/>
              <w:jc w:val="center"/>
              <w:rPr>
                <w:rFonts w:hint="eastAsia" w:eastAsia="宋体"/>
                <w:color w:val="auto"/>
                <w:sz w:val="24"/>
                <w:szCs w:val="24"/>
                <w:lang w:eastAsia="zh-CN"/>
              </w:rPr>
            </w:pPr>
            <w:r>
              <w:rPr>
                <w:color w:val="auto"/>
                <w:sz w:val="24"/>
                <w:szCs w:val="24"/>
              </w:rPr>
              <w:t>产业园区名称：</w:t>
            </w:r>
            <w:r>
              <w:rPr>
                <w:rFonts w:hint="eastAsia"/>
                <w:color w:val="auto"/>
                <w:sz w:val="24"/>
                <w:szCs w:val="24"/>
                <w:lang w:eastAsia="zh-CN"/>
              </w:rPr>
              <w:t>四川达州普光经济开发区</w:t>
            </w:r>
          </w:p>
          <w:p>
            <w:pPr>
              <w:pStyle w:val="11"/>
              <w:spacing w:line="360" w:lineRule="auto"/>
              <w:jc w:val="center"/>
              <w:rPr>
                <w:color w:val="auto"/>
                <w:sz w:val="24"/>
                <w:szCs w:val="24"/>
              </w:rPr>
            </w:pPr>
            <w:r>
              <w:rPr>
                <w:color w:val="auto"/>
                <w:sz w:val="24"/>
                <w:szCs w:val="24"/>
              </w:rPr>
              <w:t>审批机关：四川省人民政府</w:t>
            </w:r>
          </w:p>
          <w:p>
            <w:pPr>
              <w:pStyle w:val="11"/>
              <w:spacing w:line="360" w:lineRule="auto"/>
              <w:jc w:val="center"/>
              <w:rPr>
                <w:color w:val="auto"/>
                <w:sz w:val="24"/>
                <w:szCs w:val="24"/>
              </w:rPr>
            </w:pPr>
            <w:r>
              <w:rPr>
                <w:color w:val="auto"/>
                <w:sz w:val="24"/>
                <w:szCs w:val="24"/>
              </w:rPr>
              <w:t>审批文号：川府函[20</w:t>
            </w:r>
            <w:r>
              <w:rPr>
                <w:rFonts w:hint="eastAsia"/>
                <w:color w:val="auto"/>
                <w:sz w:val="24"/>
                <w:szCs w:val="24"/>
                <w:lang w:val="en-US" w:eastAsia="zh-CN"/>
              </w:rPr>
              <w:t>21</w:t>
            </w:r>
            <w:r>
              <w:rPr>
                <w:color w:val="auto"/>
                <w:sz w:val="24"/>
                <w:szCs w:val="24"/>
              </w:rPr>
              <w:t>]</w:t>
            </w:r>
            <w:r>
              <w:rPr>
                <w:rFonts w:hint="eastAsia"/>
                <w:color w:val="auto"/>
                <w:sz w:val="24"/>
                <w:szCs w:val="24"/>
                <w:lang w:val="en-US" w:eastAsia="zh-CN"/>
              </w:rPr>
              <w:t>9</w:t>
            </w:r>
            <w:r>
              <w:rPr>
                <w:color w:val="auto"/>
                <w:sz w:val="24"/>
                <w:szCs w:val="24"/>
              </w:rPr>
              <w:t>号文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01" w:type="dxa"/>
            <w:vAlign w:val="center"/>
          </w:tcPr>
          <w:p>
            <w:pPr>
              <w:pStyle w:val="11"/>
              <w:spacing w:line="360" w:lineRule="auto"/>
              <w:jc w:val="center"/>
              <w:rPr>
                <w:b/>
                <w:bCs/>
                <w:color w:val="auto"/>
                <w:sz w:val="24"/>
                <w:szCs w:val="24"/>
              </w:rPr>
            </w:pPr>
          </w:p>
          <w:p>
            <w:pPr>
              <w:pStyle w:val="11"/>
              <w:spacing w:line="360" w:lineRule="auto"/>
              <w:jc w:val="center"/>
              <w:rPr>
                <w:b/>
                <w:bCs/>
                <w:color w:val="auto"/>
                <w:sz w:val="24"/>
                <w:szCs w:val="24"/>
              </w:rPr>
            </w:pPr>
            <w:r>
              <w:rPr>
                <w:b/>
                <w:bCs/>
                <w:color w:val="auto"/>
                <w:sz w:val="24"/>
                <w:szCs w:val="24"/>
              </w:rPr>
              <w:t>规划环境影响</w:t>
            </w:r>
          </w:p>
          <w:p>
            <w:pPr>
              <w:pStyle w:val="11"/>
              <w:spacing w:line="360" w:lineRule="auto"/>
              <w:jc w:val="center"/>
              <w:rPr>
                <w:b/>
                <w:bCs/>
                <w:color w:val="auto"/>
                <w:sz w:val="24"/>
                <w:szCs w:val="24"/>
              </w:rPr>
            </w:pPr>
            <w:r>
              <w:rPr>
                <w:b/>
                <w:bCs/>
                <w:color w:val="auto"/>
                <w:sz w:val="24"/>
                <w:szCs w:val="24"/>
              </w:rPr>
              <w:t>评价情况</w:t>
            </w:r>
          </w:p>
          <w:p>
            <w:pPr>
              <w:pStyle w:val="11"/>
              <w:spacing w:line="360" w:lineRule="auto"/>
              <w:jc w:val="center"/>
              <w:rPr>
                <w:b/>
                <w:bCs/>
                <w:color w:val="auto"/>
                <w:sz w:val="24"/>
                <w:szCs w:val="24"/>
              </w:rPr>
            </w:pPr>
          </w:p>
        </w:tc>
        <w:tc>
          <w:tcPr>
            <w:tcW w:w="8459" w:type="dxa"/>
            <w:gridSpan w:val="3"/>
            <w:vAlign w:val="center"/>
          </w:tcPr>
          <w:p>
            <w:pPr>
              <w:spacing w:line="360" w:lineRule="auto"/>
              <w:ind w:firstLine="480"/>
              <w:rPr>
                <w:color w:val="auto"/>
              </w:rPr>
            </w:pPr>
            <w:r>
              <w:rPr>
                <w:color w:val="auto"/>
              </w:rPr>
              <w:t>规划环评名称：《</w:t>
            </w:r>
            <w:r>
              <w:rPr>
                <w:rFonts w:hint="eastAsia"/>
                <w:color w:val="auto"/>
                <w:sz w:val="24"/>
                <w:szCs w:val="24"/>
                <w:lang w:eastAsia="zh-CN"/>
              </w:rPr>
              <w:t>四川达州普光经济开发区</w:t>
            </w:r>
            <w:r>
              <w:rPr>
                <w:rFonts w:hint="eastAsia"/>
                <w:color w:val="auto"/>
                <w:sz w:val="24"/>
                <w:szCs w:val="24"/>
                <w:lang w:val="en-US" w:eastAsia="zh-CN"/>
              </w:rPr>
              <w:t>总体</w:t>
            </w:r>
            <w:r>
              <w:rPr>
                <w:color w:val="auto"/>
              </w:rPr>
              <w:t>规划</w:t>
            </w:r>
            <w:r>
              <w:rPr>
                <w:rFonts w:hint="eastAsia"/>
                <w:color w:val="auto"/>
                <w:lang w:eastAsia="zh-CN"/>
              </w:rPr>
              <w:t>（</w:t>
            </w:r>
            <w:r>
              <w:rPr>
                <w:rFonts w:hint="eastAsia"/>
                <w:color w:val="auto"/>
                <w:lang w:val="en-US" w:eastAsia="zh-CN"/>
              </w:rPr>
              <w:t>2019-2035</w:t>
            </w:r>
            <w:r>
              <w:rPr>
                <w:rFonts w:hint="eastAsia"/>
                <w:color w:val="auto"/>
                <w:lang w:eastAsia="zh-CN"/>
              </w:rPr>
              <w:t>）</w:t>
            </w:r>
            <w:r>
              <w:rPr>
                <w:color w:val="auto"/>
              </w:rPr>
              <w:t>环境影响报告书》</w:t>
            </w:r>
          </w:p>
          <w:p>
            <w:pPr>
              <w:spacing w:line="360" w:lineRule="auto"/>
              <w:ind w:firstLine="480"/>
              <w:rPr>
                <w:color w:val="auto"/>
              </w:rPr>
            </w:pPr>
            <w:r>
              <w:rPr>
                <w:color w:val="auto"/>
              </w:rPr>
              <w:t xml:space="preserve">审查机关：四川省生态环境厅 </w:t>
            </w:r>
          </w:p>
          <w:p>
            <w:pPr>
              <w:spacing w:line="360" w:lineRule="auto"/>
              <w:ind w:firstLine="480"/>
              <w:rPr>
                <w:color w:val="auto"/>
              </w:rPr>
            </w:pPr>
            <w:r>
              <w:rPr>
                <w:color w:val="auto"/>
              </w:rPr>
              <w:t>审查文件及文号：《四川省环境保护厅关于印发&lt;</w:t>
            </w:r>
            <w:r>
              <w:rPr>
                <w:rFonts w:hint="eastAsia"/>
                <w:color w:val="auto"/>
                <w:sz w:val="24"/>
                <w:szCs w:val="24"/>
                <w:lang w:eastAsia="zh-CN"/>
              </w:rPr>
              <w:t>四川达州普光经济开发区</w:t>
            </w:r>
            <w:r>
              <w:rPr>
                <w:rFonts w:hint="eastAsia"/>
                <w:color w:val="auto"/>
                <w:sz w:val="24"/>
                <w:szCs w:val="24"/>
                <w:lang w:val="en-US" w:eastAsia="zh-CN"/>
              </w:rPr>
              <w:t>总体</w:t>
            </w:r>
            <w:r>
              <w:rPr>
                <w:color w:val="auto"/>
              </w:rPr>
              <w:t>规划</w:t>
            </w:r>
            <w:r>
              <w:rPr>
                <w:rFonts w:hint="eastAsia"/>
                <w:color w:val="auto"/>
                <w:lang w:eastAsia="zh-CN"/>
              </w:rPr>
              <w:t>（</w:t>
            </w:r>
            <w:r>
              <w:rPr>
                <w:rFonts w:hint="eastAsia"/>
                <w:color w:val="auto"/>
                <w:lang w:val="en-US" w:eastAsia="zh-CN"/>
              </w:rPr>
              <w:t>2019-2035</w:t>
            </w:r>
            <w:r>
              <w:rPr>
                <w:rFonts w:hint="eastAsia"/>
                <w:color w:val="auto"/>
                <w:lang w:eastAsia="zh-CN"/>
              </w:rPr>
              <w:t>）</w:t>
            </w:r>
            <w:r>
              <w:rPr>
                <w:color w:val="auto"/>
              </w:rPr>
              <w:t>环境影响报告书&gt;审查意见的函》（</w:t>
            </w:r>
            <w:r>
              <w:rPr>
                <w:color w:val="auto"/>
                <w:sz w:val="24"/>
                <w:szCs w:val="24"/>
              </w:rPr>
              <w:t>川府函[20</w:t>
            </w:r>
            <w:r>
              <w:rPr>
                <w:rFonts w:hint="eastAsia"/>
                <w:color w:val="auto"/>
                <w:sz w:val="24"/>
                <w:szCs w:val="24"/>
                <w:lang w:val="en-US" w:eastAsia="zh-CN"/>
              </w:rPr>
              <w:t>21</w:t>
            </w:r>
            <w:r>
              <w:rPr>
                <w:color w:val="auto"/>
                <w:sz w:val="24"/>
                <w:szCs w:val="24"/>
              </w:rPr>
              <w:t>]</w:t>
            </w:r>
            <w:r>
              <w:rPr>
                <w:rFonts w:hint="eastAsia"/>
                <w:color w:val="auto"/>
                <w:sz w:val="24"/>
                <w:szCs w:val="24"/>
                <w:lang w:val="en-US" w:eastAsia="zh-CN"/>
              </w:rPr>
              <w:t>9</w:t>
            </w:r>
            <w:r>
              <w:rPr>
                <w:color w:val="auto"/>
                <w:sz w:val="24"/>
                <w:szCs w:val="24"/>
              </w:rPr>
              <w:t>号文</w:t>
            </w:r>
            <w:r>
              <w:rPr>
                <w:color w:val="auto"/>
              </w:rPr>
              <w:t xml:space="preserve">）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01" w:type="dxa"/>
            <w:vAlign w:val="center"/>
          </w:tcPr>
          <w:p>
            <w:pPr>
              <w:pStyle w:val="11"/>
              <w:jc w:val="center"/>
              <w:rPr>
                <w:b/>
                <w:bCs/>
                <w:color w:val="auto"/>
                <w:sz w:val="24"/>
                <w:szCs w:val="24"/>
              </w:rPr>
            </w:pPr>
          </w:p>
          <w:p>
            <w:pPr>
              <w:pStyle w:val="11"/>
              <w:jc w:val="center"/>
              <w:rPr>
                <w:b/>
                <w:bCs/>
                <w:color w:val="auto"/>
                <w:sz w:val="24"/>
                <w:szCs w:val="24"/>
              </w:rPr>
            </w:pPr>
          </w:p>
          <w:p>
            <w:pPr>
              <w:pStyle w:val="11"/>
              <w:jc w:val="center"/>
              <w:rPr>
                <w:b/>
                <w:bCs/>
                <w:color w:val="auto"/>
                <w:sz w:val="24"/>
                <w:szCs w:val="24"/>
              </w:rPr>
            </w:pPr>
          </w:p>
          <w:p>
            <w:pPr>
              <w:pStyle w:val="11"/>
              <w:jc w:val="center"/>
              <w:rPr>
                <w:b/>
                <w:bCs/>
                <w:color w:val="auto"/>
                <w:sz w:val="24"/>
                <w:szCs w:val="24"/>
              </w:rPr>
            </w:pPr>
          </w:p>
          <w:p>
            <w:pPr>
              <w:pStyle w:val="11"/>
              <w:jc w:val="center"/>
              <w:rPr>
                <w:b/>
                <w:bCs/>
                <w:color w:val="auto"/>
                <w:sz w:val="24"/>
                <w:szCs w:val="24"/>
              </w:rPr>
            </w:pPr>
          </w:p>
          <w:p>
            <w:pPr>
              <w:pStyle w:val="11"/>
              <w:jc w:val="center"/>
              <w:rPr>
                <w:b/>
                <w:bCs/>
                <w:color w:val="auto"/>
                <w:sz w:val="24"/>
                <w:szCs w:val="24"/>
              </w:rPr>
            </w:pPr>
          </w:p>
          <w:p>
            <w:pPr>
              <w:pStyle w:val="11"/>
              <w:jc w:val="center"/>
              <w:rPr>
                <w:b/>
                <w:bCs/>
                <w:color w:val="auto"/>
                <w:sz w:val="24"/>
                <w:szCs w:val="24"/>
              </w:rPr>
            </w:pPr>
            <w:r>
              <w:rPr>
                <w:b/>
                <w:bCs/>
                <w:color w:val="auto"/>
                <w:sz w:val="24"/>
                <w:szCs w:val="24"/>
              </w:rPr>
              <w:t>规划及</w:t>
            </w:r>
          </w:p>
          <w:p>
            <w:pPr>
              <w:pStyle w:val="11"/>
              <w:jc w:val="center"/>
              <w:rPr>
                <w:b/>
                <w:bCs/>
                <w:color w:val="auto"/>
                <w:sz w:val="24"/>
                <w:szCs w:val="24"/>
              </w:rPr>
            </w:pPr>
            <w:r>
              <w:rPr>
                <w:b/>
                <w:bCs/>
                <w:color w:val="auto"/>
                <w:sz w:val="24"/>
                <w:szCs w:val="24"/>
              </w:rPr>
              <w:t>规划环境</w:t>
            </w:r>
          </w:p>
          <w:p>
            <w:pPr>
              <w:pStyle w:val="11"/>
              <w:jc w:val="center"/>
              <w:rPr>
                <w:b/>
                <w:bCs/>
                <w:color w:val="auto"/>
                <w:sz w:val="24"/>
                <w:szCs w:val="24"/>
              </w:rPr>
            </w:pPr>
            <w:r>
              <w:rPr>
                <w:b/>
                <w:bCs/>
                <w:color w:val="auto"/>
                <w:sz w:val="24"/>
                <w:szCs w:val="24"/>
              </w:rPr>
              <w:t>影响评价</w:t>
            </w:r>
          </w:p>
          <w:p>
            <w:pPr>
              <w:pStyle w:val="11"/>
              <w:jc w:val="center"/>
              <w:rPr>
                <w:b/>
                <w:bCs/>
                <w:color w:val="auto"/>
                <w:sz w:val="24"/>
                <w:szCs w:val="24"/>
              </w:rPr>
            </w:pPr>
            <w:r>
              <w:rPr>
                <w:b/>
                <w:bCs/>
                <w:color w:val="auto"/>
                <w:sz w:val="24"/>
                <w:szCs w:val="24"/>
              </w:rPr>
              <w:t>符合性分析</w:t>
            </w:r>
          </w:p>
        </w:tc>
        <w:tc>
          <w:tcPr>
            <w:tcW w:w="8459" w:type="dxa"/>
            <w:gridSpan w:val="3"/>
            <w:vAlign w:val="center"/>
          </w:tcPr>
          <w:p>
            <w:pPr>
              <w:bidi w:val="0"/>
              <w:rPr>
                <w:b/>
                <w:bCs/>
              </w:rPr>
            </w:pPr>
            <w:r>
              <w:rPr>
                <w:rFonts w:hint="eastAsia"/>
                <w:b/>
                <w:bCs/>
                <w:lang w:val="en-US" w:eastAsia="zh-CN"/>
              </w:rPr>
              <w:t>1、</w:t>
            </w:r>
            <w:r>
              <w:rPr>
                <w:b/>
                <w:bCs/>
                <w:lang w:val="en-US" w:eastAsia="zh-CN"/>
              </w:rPr>
              <w:t>与《四川达州普光经济开发区总体规划（</w:t>
            </w:r>
            <w:r>
              <w:rPr>
                <w:rFonts w:hint="default"/>
                <w:b/>
                <w:bCs/>
                <w:lang w:val="en-US" w:eastAsia="zh-CN"/>
              </w:rPr>
              <w:t>2019-2035</w:t>
            </w:r>
            <w:r>
              <w:rPr>
                <w:rFonts w:hint="eastAsia"/>
                <w:b/>
                <w:bCs/>
                <w:lang w:val="en-US" w:eastAsia="zh-CN"/>
              </w:rPr>
              <w:t>）环境影响报告书》及审查意见的符合性分析</w:t>
            </w:r>
          </w:p>
          <w:p>
            <w:pPr>
              <w:bidi w:val="0"/>
            </w:pPr>
            <w:r>
              <w:rPr>
                <w:rFonts w:hint="eastAsia"/>
                <w:lang w:val="en-US" w:eastAsia="zh-CN"/>
              </w:rPr>
              <w:t>《四川达州普光经济开发区总体规划（</w:t>
            </w:r>
            <w:r>
              <w:rPr>
                <w:rFonts w:hint="default"/>
                <w:lang w:val="en-US" w:eastAsia="zh-CN"/>
              </w:rPr>
              <w:t>2019-2035</w:t>
            </w:r>
            <w:r>
              <w:rPr>
                <w:rFonts w:hint="eastAsia"/>
                <w:lang w:val="en-US" w:eastAsia="zh-CN"/>
              </w:rPr>
              <w:t>）环境影响报告书》于</w:t>
            </w:r>
            <w:r>
              <w:rPr>
                <w:rFonts w:hint="default"/>
                <w:lang w:val="en-US" w:eastAsia="zh-CN"/>
              </w:rPr>
              <w:t>2020</w:t>
            </w:r>
            <w:r>
              <w:rPr>
                <w:rFonts w:hint="eastAsia"/>
                <w:lang w:val="en-US" w:eastAsia="zh-CN"/>
              </w:rPr>
              <w:t>年</w:t>
            </w:r>
            <w:r>
              <w:rPr>
                <w:rFonts w:hint="default"/>
                <w:lang w:val="en-US" w:eastAsia="zh-CN"/>
              </w:rPr>
              <w:t>12</w:t>
            </w:r>
            <w:r>
              <w:rPr>
                <w:rFonts w:hint="eastAsia"/>
                <w:lang w:val="en-US" w:eastAsia="zh-CN"/>
              </w:rPr>
              <w:t>月</w:t>
            </w:r>
            <w:r>
              <w:rPr>
                <w:rFonts w:hint="default"/>
                <w:lang w:val="en-US" w:eastAsia="zh-CN"/>
              </w:rPr>
              <w:t>10</w:t>
            </w:r>
            <w:r>
              <w:rPr>
                <w:rFonts w:hint="eastAsia"/>
                <w:lang w:val="en-US" w:eastAsia="zh-CN"/>
              </w:rPr>
              <w:t>日通过了技术审查会，四川省生态环境厅于</w:t>
            </w:r>
            <w:r>
              <w:rPr>
                <w:rFonts w:hint="default"/>
                <w:lang w:val="en-US" w:eastAsia="zh-CN"/>
              </w:rPr>
              <w:t>2021</w:t>
            </w:r>
            <w:r>
              <w:rPr>
                <w:rFonts w:hint="eastAsia"/>
                <w:lang w:val="en-US" w:eastAsia="zh-CN"/>
              </w:rPr>
              <w:t>年</w:t>
            </w:r>
            <w:r>
              <w:rPr>
                <w:rFonts w:hint="default"/>
                <w:lang w:val="en-US" w:eastAsia="zh-CN"/>
              </w:rPr>
              <w:t>3</w:t>
            </w:r>
            <w:r>
              <w:rPr>
                <w:rFonts w:hint="eastAsia"/>
                <w:lang w:val="en-US" w:eastAsia="zh-CN"/>
              </w:rPr>
              <w:t>月</w:t>
            </w:r>
            <w:r>
              <w:rPr>
                <w:rFonts w:hint="default"/>
                <w:lang w:val="en-US" w:eastAsia="zh-CN"/>
              </w:rPr>
              <w:t>19</w:t>
            </w:r>
            <w:r>
              <w:rPr>
                <w:rFonts w:hint="eastAsia"/>
                <w:lang w:val="en-US" w:eastAsia="zh-CN"/>
              </w:rPr>
              <w:t>日印发了《关于</w:t>
            </w:r>
            <w:r>
              <w:rPr>
                <w:rFonts w:hint="default"/>
                <w:lang w:val="en-US" w:eastAsia="zh-CN"/>
              </w:rPr>
              <w:t>&lt;</w:t>
            </w:r>
            <w:r>
              <w:rPr>
                <w:rFonts w:hint="eastAsia"/>
                <w:lang w:val="en-US" w:eastAsia="zh-CN"/>
              </w:rPr>
              <w:t>四川达州普光经济开发区总体规划（</w:t>
            </w:r>
            <w:r>
              <w:rPr>
                <w:rFonts w:hint="default"/>
                <w:lang w:val="en-US" w:eastAsia="zh-CN"/>
              </w:rPr>
              <w:t>2019-2035</w:t>
            </w:r>
            <w:r>
              <w:rPr>
                <w:rFonts w:hint="eastAsia"/>
                <w:lang w:val="en-US" w:eastAsia="zh-CN"/>
              </w:rPr>
              <w:t>）环境影响报告书</w:t>
            </w:r>
            <w:r>
              <w:rPr>
                <w:rFonts w:hint="default"/>
                <w:lang w:val="en-US" w:eastAsia="zh-CN"/>
              </w:rPr>
              <w:t>&gt;</w:t>
            </w:r>
            <w:r>
              <w:rPr>
                <w:rFonts w:hint="eastAsia"/>
                <w:lang w:val="en-US" w:eastAsia="zh-CN"/>
              </w:rPr>
              <w:t>审查意见的函》（川环建函</w:t>
            </w:r>
            <w:r>
              <w:rPr>
                <w:lang w:val="en-US" w:eastAsia="zh-CN"/>
              </w:rPr>
              <w:t>〔</w:t>
            </w:r>
            <w:r>
              <w:rPr>
                <w:rFonts w:hint="default"/>
                <w:lang w:val="en-US" w:eastAsia="zh-CN"/>
              </w:rPr>
              <w:t>2021</w:t>
            </w:r>
            <w:r>
              <w:rPr>
                <w:rFonts w:hint="eastAsia"/>
                <w:lang w:val="en-US" w:eastAsia="zh-CN"/>
              </w:rPr>
              <w:t>〕</w:t>
            </w:r>
            <w:r>
              <w:rPr>
                <w:rFonts w:hint="default"/>
                <w:lang w:val="en-US" w:eastAsia="zh-CN"/>
              </w:rPr>
              <w:t>9</w:t>
            </w:r>
            <w:r>
              <w:rPr>
                <w:rFonts w:hint="eastAsia"/>
                <w:lang w:val="en-US" w:eastAsia="zh-CN"/>
              </w:rPr>
              <w:t>号）。</w:t>
            </w:r>
          </w:p>
          <w:p>
            <w:pPr>
              <w:bidi w:val="0"/>
            </w:pPr>
            <w:r>
              <w:rPr>
                <w:color w:val="auto"/>
                <w:kern w:val="0"/>
                <w:szCs w:val="21"/>
                <w:lang w:val="zh-TW" w:eastAsia="zh-TW"/>
              </w:rPr>
              <w:t>本项目位于</w:t>
            </w:r>
            <w:r>
              <w:rPr>
                <w:rFonts w:hint="eastAsia"/>
                <w:color w:val="auto"/>
                <w:kern w:val="0"/>
                <w:szCs w:val="21"/>
                <w:lang w:val="zh-TW" w:eastAsia="zh-CN"/>
              </w:rPr>
              <w:t>四川省达州</w:t>
            </w:r>
            <w:r>
              <w:rPr>
                <w:color w:val="000000"/>
                <w:sz w:val="24"/>
              </w:rPr>
              <w:t>普光经济开发区</w:t>
            </w:r>
            <w:r>
              <w:rPr>
                <w:rFonts w:hint="eastAsia"/>
                <w:color w:val="000000"/>
                <w:sz w:val="24"/>
                <w:lang w:val="en-US" w:eastAsia="zh-CN"/>
              </w:rPr>
              <w:t>的柳池功能区板块</w:t>
            </w:r>
            <w:r>
              <w:rPr>
                <w:rFonts w:hint="eastAsia"/>
                <w:color w:val="auto"/>
                <w:kern w:val="0"/>
                <w:szCs w:val="21"/>
                <w:lang w:val="en-US" w:eastAsia="zh-CN"/>
              </w:rPr>
              <w:t>，</w:t>
            </w:r>
            <w:r>
              <w:rPr>
                <w:rFonts w:hint="eastAsia"/>
                <w:lang w:val="en-US" w:eastAsia="zh-CN"/>
              </w:rPr>
              <w:t>项目与园区环境管控要求和生态环境准入清单的符合性见下表。</w:t>
            </w:r>
          </w:p>
          <w:p>
            <w:pPr>
              <w:pStyle w:val="11"/>
              <w:bidi w:val="0"/>
              <w:jc w:val="center"/>
              <w:rPr>
                <w:rFonts w:hint="eastAsia"/>
                <w:b/>
                <w:bCs/>
              </w:rPr>
            </w:pPr>
            <w:r>
              <w:rPr>
                <w:rFonts w:hint="eastAsia"/>
                <w:b/>
                <w:bCs/>
                <w:lang w:val="zh-TW" w:eastAsia="zh-TW"/>
              </w:rPr>
              <w:t>表</w:t>
            </w:r>
            <w:r>
              <w:rPr>
                <w:rFonts w:hint="default"/>
                <w:b/>
                <w:bCs/>
                <w:lang w:val="en-US" w:eastAsia="en-US"/>
              </w:rPr>
              <w:t>1-</w:t>
            </w:r>
            <w:r>
              <w:rPr>
                <w:rFonts w:hint="eastAsia"/>
                <w:b/>
                <w:bCs/>
                <w:lang w:val="en-US" w:eastAsia="zh-CN"/>
              </w:rPr>
              <w:t xml:space="preserve">2  </w:t>
            </w:r>
            <w:r>
              <w:rPr>
                <w:rFonts w:hint="eastAsia"/>
                <w:b/>
                <w:bCs/>
                <w:lang w:val="zh-TW" w:eastAsia="zh-TW"/>
              </w:rPr>
              <w:t>与园区环境管控要求和生态环境准入清单的符合性分析</w:t>
            </w:r>
          </w:p>
          <w:tbl>
            <w:tblPr>
              <w:tblStyle w:val="5"/>
              <w:tblW w:w="7902"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151"/>
              <w:gridCol w:w="3246"/>
              <w:gridCol w:w="2621"/>
              <w:gridCol w:w="884"/>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151" w:type="dxa"/>
                  <w:tcBorders>
                    <w:tl2br w:val="nil"/>
                    <w:tr2bl w:val="nil"/>
                  </w:tcBorders>
                  <w:shd w:val="clear" w:color="auto" w:fill="FFFFFF"/>
                  <w:noWrap w:val="0"/>
                  <w:vAlign w:val="bottom"/>
                </w:tcPr>
                <w:p>
                  <w:pPr>
                    <w:pStyle w:val="11"/>
                    <w:bidi w:val="0"/>
                    <w:jc w:val="center"/>
                    <w:rPr>
                      <w:rFonts w:hint="default"/>
                      <w:b/>
                      <w:bCs/>
                    </w:rPr>
                  </w:pPr>
                  <w:r>
                    <w:rPr>
                      <w:rFonts w:hint="default"/>
                      <w:b/>
                      <w:bCs/>
                      <w:lang w:val="zh-TW" w:eastAsia="zh-TW"/>
                    </w:rPr>
                    <w:t>功能区</w:t>
                  </w:r>
                </w:p>
              </w:tc>
              <w:tc>
                <w:tcPr>
                  <w:tcW w:w="3246" w:type="dxa"/>
                  <w:tcBorders>
                    <w:tl2br w:val="nil"/>
                    <w:tr2bl w:val="nil"/>
                  </w:tcBorders>
                  <w:shd w:val="clear" w:color="auto" w:fill="FFFFFF"/>
                  <w:noWrap w:val="0"/>
                  <w:vAlign w:val="bottom"/>
                </w:tcPr>
                <w:p>
                  <w:pPr>
                    <w:pStyle w:val="11"/>
                    <w:bidi w:val="0"/>
                    <w:jc w:val="center"/>
                    <w:rPr>
                      <w:rFonts w:hint="default"/>
                      <w:b/>
                      <w:bCs/>
                    </w:rPr>
                  </w:pPr>
                  <w:r>
                    <w:rPr>
                      <w:rFonts w:hint="default"/>
                      <w:b/>
                      <w:bCs/>
                      <w:lang w:val="zh-TW" w:eastAsia="zh-TW"/>
                    </w:rPr>
                    <w:t>禁止准入</w:t>
                  </w:r>
                </w:p>
              </w:tc>
              <w:tc>
                <w:tcPr>
                  <w:tcW w:w="2621" w:type="dxa"/>
                  <w:tcBorders>
                    <w:tl2br w:val="nil"/>
                    <w:tr2bl w:val="nil"/>
                  </w:tcBorders>
                  <w:shd w:val="clear" w:color="auto" w:fill="FFFFFF"/>
                  <w:noWrap w:val="0"/>
                  <w:vAlign w:val="bottom"/>
                </w:tcPr>
                <w:p>
                  <w:pPr>
                    <w:pStyle w:val="11"/>
                    <w:bidi w:val="0"/>
                    <w:jc w:val="center"/>
                    <w:rPr>
                      <w:rFonts w:hint="default"/>
                      <w:b/>
                      <w:bCs/>
                    </w:rPr>
                  </w:pPr>
                  <w:r>
                    <w:rPr>
                      <w:rFonts w:hint="default"/>
                      <w:b/>
                      <w:bCs/>
                      <w:lang w:val="zh-TW" w:eastAsia="zh-TW"/>
                    </w:rPr>
                    <w:t>本项目</w:t>
                  </w:r>
                </w:p>
              </w:tc>
              <w:tc>
                <w:tcPr>
                  <w:tcW w:w="884" w:type="dxa"/>
                  <w:tcBorders>
                    <w:tl2br w:val="nil"/>
                    <w:tr2bl w:val="nil"/>
                  </w:tcBorders>
                  <w:shd w:val="clear" w:color="auto" w:fill="FFFFFF"/>
                  <w:noWrap w:val="0"/>
                  <w:vAlign w:val="bottom"/>
                </w:tcPr>
                <w:p>
                  <w:pPr>
                    <w:pStyle w:val="11"/>
                    <w:bidi w:val="0"/>
                    <w:jc w:val="center"/>
                    <w:rPr>
                      <w:rFonts w:hint="default"/>
                      <w:b/>
                      <w:bCs/>
                    </w:rPr>
                  </w:pPr>
                  <w:r>
                    <w:rPr>
                      <w:rFonts w:hint="default"/>
                      <w:b/>
                      <w:bCs/>
                      <w:lang w:val="zh-TW" w:eastAsia="zh-TW"/>
                    </w:rPr>
                    <w:t>符合性</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151" w:type="dxa"/>
                  <w:tcBorders>
                    <w:tl2br w:val="nil"/>
                    <w:tr2bl w:val="nil"/>
                  </w:tcBorders>
                  <w:shd w:val="clear" w:color="auto" w:fill="FFFFFF"/>
                  <w:noWrap w:val="0"/>
                  <w:vAlign w:val="center"/>
                </w:tcPr>
                <w:p>
                  <w:pPr>
                    <w:pStyle w:val="11"/>
                    <w:bidi w:val="0"/>
                    <w:jc w:val="center"/>
                    <w:rPr>
                      <w:rFonts w:hint="default"/>
                    </w:rPr>
                  </w:pPr>
                  <w:r>
                    <w:rPr>
                      <w:rFonts w:hint="default"/>
                      <w:lang w:val="zh-TW" w:eastAsia="zh-TW"/>
                    </w:rPr>
                    <w:t>总体管</w:t>
                  </w:r>
                </w:p>
                <w:p>
                  <w:pPr>
                    <w:pStyle w:val="11"/>
                    <w:bidi w:val="0"/>
                    <w:jc w:val="center"/>
                    <w:rPr>
                      <w:rFonts w:hint="default"/>
                    </w:rPr>
                  </w:pPr>
                  <w:r>
                    <w:rPr>
                      <w:rFonts w:hint="default"/>
                      <w:lang w:val="zh-TW" w:eastAsia="zh-TW"/>
                    </w:rPr>
                    <w:t>控要求</w:t>
                  </w:r>
                </w:p>
                <w:p>
                  <w:pPr>
                    <w:pStyle w:val="11"/>
                    <w:bidi w:val="0"/>
                    <w:jc w:val="center"/>
                    <w:rPr>
                      <w:rFonts w:hint="default"/>
                    </w:rPr>
                  </w:pPr>
                  <w:r>
                    <w:rPr>
                      <w:rFonts w:hint="default"/>
                      <w:lang w:val="zh-TW" w:eastAsia="zh-TW"/>
                    </w:rPr>
                    <w:t>及准入</w:t>
                  </w:r>
                </w:p>
                <w:p>
                  <w:pPr>
                    <w:pStyle w:val="11"/>
                    <w:bidi w:val="0"/>
                    <w:jc w:val="center"/>
                    <w:rPr>
                      <w:rFonts w:hint="default"/>
                    </w:rPr>
                  </w:pPr>
                  <w:r>
                    <w:rPr>
                      <w:rFonts w:hint="default"/>
                      <w:lang w:val="zh-TW" w:eastAsia="zh-TW"/>
                    </w:rPr>
                    <w:t>清单</w:t>
                  </w:r>
                </w:p>
              </w:tc>
              <w:tc>
                <w:tcPr>
                  <w:tcW w:w="3246" w:type="dxa"/>
                  <w:tcBorders>
                    <w:tl2br w:val="nil"/>
                    <w:tr2bl w:val="nil"/>
                  </w:tcBorders>
                  <w:shd w:val="clear" w:color="auto" w:fill="FFFFFF"/>
                  <w:noWrap w:val="0"/>
                  <w:vAlign w:val="center"/>
                </w:tcPr>
                <w:p>
                  <w:pPr>
                    <w:pStyle w:val="11"/>
                    <w:bidi w:val="0"/>
                    <w:jc w:val="both"/>
                    <w:rPr>
                      <w:rFonts w:hint="eastAsia"/>
                      <w:lang w:val="en-US" w:eastAsia="zh-CN"/>
                    </w:rPr>
                  </w:pPr>
                  <w:r>
                    <w:rPr>
                      <w:rFonts w:hint="eastAsia"/>
                      <w:lang w:val="en-US" w:eastAsia="zh-CN"/>
                    </w:rPr>
                    <w:t>禁止引入不符合国家产业政策、行业准入条件以及国家和地方明令禁止的项目；</w:t>
                  </w:r>
                </w:p>
                <w:p>
                  <w:pPr>
                    <w:pStyle w:val="11"/>
                    <w:bidi w:val="0"/>
                    <w:jc w:val="both"/>
                    <w:rPr>
                      <w:rFonts w:hint="eastAsia"/>
                      <w:lang w:val="en-US" w:eastAsia="zh-CN"/>
                    </w:rPr>
                  </w:pPr>
                  <w:r>
                    <w:rPr>
                      <w:rFonts w:hint="eastAsia"/>
                      <w:lang w:val="en-US" w:eastAsia="zh-CN"/>
                    </w:rPr>
                    <w:t>禁止引入清洁生产水平达不到行业清洁生产水平二级标准或低于全国同类企业平均清洁生产水平的项目；</w:t>
                  </w:r>
                </w:p>
                <w:p>
                  <w:pPr>
                    <w:pStyle w:val="11"/>
                    <w:bidi w:val="0"/>
                    <w:jc w:val="both"/>
                  </w:pPr>
                  <w:r>
                    <w:rPr>
                      <w:rFonts w:hint="eastAsia"/>
                      <w:lang w:val="en-US" w:eastAsia="zh-CN"/>
                    </w:rPr>
                    <w:t xml:space="preserve">禁止引入不符合国家、省、市重金属污染防治规划相关要求的 </w:t>
                  </w:r>
                </w:p>
                <w:p>
                  <w:pPr>
                    <w:pStyle w:val="11"/>
                    <w:bidi w:val="0"/>
                    <w:jc w:val="both"/>
                    <w:rPr>
                      <w:rFonts w:hint="default"/>
                      <w:lang w:val="en-US" w:eastAsia="zh-CN"/>
                    </w:rPr>
                  </w:pPr>
                  <w:r>
                    <w:rPr>
                      <w:rFonts w:hint="eastAsia"/>
                      <w:lang w:val="en-US" w:eastAsia="zh-CN"/>
                    </w:rPr>
                    <w:t>项目</w:t>
                  </w:r>
                </w:p>
              </w:tc>
              <w:tc>
                <w:tcPr>
                  <w:tcW w:w="2621" w:type="dxa"/>
                  <w:tcBorders>
                    <w:tl2br w:val="nil"/>
                    <w:tr2bl w:val="nil"/>
                  </w:tcBorders>
                  <w:shd w:val="clear" w:color="auto" w:fill="FFFFFF"/>
                  <w:noWrap w:val="0"/>
                  <w:vAlign w:val="center"/>
                </w:tcPr>
                <w:p>
                  <w:pPr>
                    <w:pStyle w:val="11"/>
                    <w:bidi w:val="0"/>
                  </w:pPr>
                  <w:r>
                    <w:rPr>
                      <w:rFonts w:hint="eastAsia"/>
                      <w:lang w:val="en-US" w:eastAsia="zh-CN"/>
                    </w:rPr>
                    <w:t>符合国家产业政策及行业准入条件，本项目采用国内先进生产工艺、设备，符合四川达州普光经济开发区总体准入要求。</w:t>
                  </w:r>
                </w:p>
                <w:p>
                  <w:pPr>
                    <w:pStyle w:val="11"/>
                    <w:bidi w:val="0"/>
                    <w:rPr>
                      <w:rFonts w:hint="default"/>
                      <w:lang w:val="en-US" w:eastAsia="zh-CN"/>
                    </w:rPr>
                  </w:pPr>
                </w:p>
              </w:tc>
              <w:tc>
                <w:tcPr>
                  <w:tcW w:w="884" w:type="dxa"/>
                  <w:tcBorders>
                    <w:tl2br w:val="nil"/>
                    <w:tr2bl w:val="nil"/>
                  </w:tcBorders>
                  <w:shd w:val="clear" w:color="auto" w:fill="FFFFFF"/>
                  <w:noWrap w:val="0"/>
                  <w:vAlign w:val="center"/>
                </w:tcPr>
                <w:p>
                  <w:pPr>
                    <w:pStyle w:val="11"/>
                    <w:bidi w:val="0"/>
                    <w:jc w:val="center"/>
                    <w:rPr>
                      <w:rFonts w:hint="default"/>
                    </w:rPr>
                  </w:pPr>
                  <w:r>
                    <w:rPr>
                      <w:rFonts w:hint="default"/>
                      <w:lang w:val="zh-TW" w:eastAsia="zh-TW"/>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151" w:type="dxa"/>
                  <w:tcBorders>
                    <w:tl2br w:val="nil"/>
                    <w:tr2bl w:val="nil"/>
                  </w:tcBorders>
                  <w:shd w:val="clear" w:color="auto" w:fill="FFFFFF"/>
                  <w:noWrap w:val="0"/>
                  <w:vAlign w:val="center"/>
                </w:tcPr>
                <w:p>
                  <w:pPr>
                    <w:pStyle w:val="11"/>
                    <w:bidi w:val="0"/>
                    <w:jc w:val="center"/>
                    <w:rPr>
                      <w:rFonts w:hint="default" w:eastAsia="宋体"/>
                      <w:lang w:val="en-US" w:eastAsia="zh-CN"/>
                    </w:rPr>
                  </w:pPr>
                  <w:r>
                    <w:rPr>
                      <w:rFonts w:hint="eastAsia"/>
                      <w:lang w:val="en-US" w:eastAsia="zh-CN"/>
                    </w:rPr>
                    <w:t>柳池功能区准入要求</w:t>
                  </w:r>
                </w:p>
              </w:tc>
              <w:tc>
                <w:tcPr>
                  <w:tcW w:w="3246" w:type="dxa"/>
                  <w:tcBorders>
                    <w:tl2br w:val="nil"/>
                    <w:tr2bl w:val="nil"/>
                  </w:tcBorders>
                  <w:shd w:val="clear" w:color="auto" w:fill="FFFFFF"/>
                  <w:noWrap w:val="0"/>
                  <w:vAlign w:val="center"/>
                </w:tcPr>
                <w:p>
                  <w:pPr>
                    <w:pStyle w:val="11"/>
                    <w:bidi w:val="0"/>
                    <w:jc w:val="both"/>
                    <w:rPr>
                      <w:rFonts w:hint="default"/>
                      <w:lang w:val="zh-TW" w:eastAsia="zh-TW"/>
                    </w:rPr>
                  </w:pPr>
                  <w:r>
                    <w:rPr>
                      <w:rFonts w:hint="eastAsia"/>
                      <w:lang w:val="en-US" w:eastAsia="zh-CN"/>
                    </w:rPr>
                    <w:t>禁止引入以原矿为原料的有色金属冶炼、印染、皮革鞣制、制浆造纸、印制电路板、专业电镀、化工项目。</w:t>
                  </w:r>
                </w:p>
              </w:tc>
              <w:tc>
                <w:tcPr>
                  <w:tcW w:w="2621" w:type="dxa"/>
                  <w:tcBorders>
                    <w:tl2br w:val="nil"/>
                    <w:tr2bl w:val="nil"/>
                  </w:tcBorders>
                  <w:shd w:val="clear" w:color="auto" w:fill="FFFFFF"/>
                  <w:noWrap w:val="0"/>
                  <w:vAlign w:val="center"/>
                </w:tcPr>
                <w:p>
                  <w:pPr>
                    <w:pStyle w:val="11"/>
                    <w:bidi w:val="0"/>
                  </w:pPr>
                  <w:r>
                    <w:rPr>
                      <w:rFonts w:hint="eastAsia"/>
                      <w:lang w:val="en-US" w:eastAsia="zh-CN"/>
                    </w:rPr>
                    <w:t>本项目主要进行，符合柳池功能区准入要求。</w:t>
                  </w:r>
                </w:p>
                <w:p>
                  <w:pPr>
                    <w:pStyle w:val="11"/>
                    <w:bidi w:val="0"/>
                    <w:rPr>
                      <w:rFonts w:hint="default"/>
                      <w:lang w:val="en-US" w:eastAsia="zh-CN"/>
                    </w:rPr>
                  </w:pPr>
                </w:p>
              </w:tc>
              <w:tc>
                <w:tcPr>
                  <w:tcW w:w="884" w:type="dxa"/>
                  <w:tcBorders>
                    <w:tl2br w:val="nil"/>
                    <w:tr2bl w:val="nil"/>
                  </w:tcBorders>
                  <w:shd w:val="clear" w:color="auto" w:fill="FFFFFF"/>
                  <w:noWrap w:val="0"/>
                  <w:vAlign w:val="center"/>
                </w:tcPr>
                <w:p>
                  <w:pPr>
                    <w:pStyle w:val="11"/>
                    <w:bidi w:val="0"/>
                    <w:jc w:val="center"/>
                    <w:rPr>
                      <w:rFonts w:hint="default"/>
                      <w:lang w:val="zh-TW" w:eastAsia="zh-TW"/>
                    </w:rPr>
                  </w:pPr>
                  <w:r>
                    <w:rPr>
                      <w:rFonts w:hint="default"/>
                      <w:lang w:val="zh-TW" w:eastAsia="zh-TW"/>
                    </w:rPr>
                    <w:t>符合</w:t>
                  </w:r>
                </w:p>
              </w:tc>
            </w:tr>
          </w:tbl>
          <w:p>
            <w:pPr>
              <w:bidi w:val="0"/>
            </w:pPr>
            <w:r>
              <w:rPr>
                <w:rFonts w:hint="eastAsia"/>
                <w:lang w:val="en-US" w:eastAsia="zh-CN"/>
              </w:rPr>
              <w:t>由上表可知，本项目符合《四川达州普光经济开发区总体规划（</w:t>
            </w:r>
            <w:r>
              <w:rPr>
                <w:rFonts w:hint="default"/>
                <w:lang w:val="en-US" w:eastAsia="zh-CN"/>
              </w:rPr>
              <w:t>2019-2035</w:t>
            </w:r>
            <w:r>
              <w:rPr>
                <w:rFonts w:hint="eastAsia"/>
                <w:lang w:val="en-US" w:eastAsia="zh-CN"/>
              </w:rPr>
              <w:t>）环境影响报告书》中园区行业准入和清洁生产门槛等要求。</w:t>
            </w:r>
          </w:p>
          <w:p>
            <w:pPr>
              <w:autoSpaceDE w:val="0"/>
              <w:autoSpaceDN w:val="0"/>
              <w:adjustRightInd w:val="0"/>
              <w:snapToGrid w:val="0"/>
              <w:ind w:firstLine="480"/>
              <w:jc w:val="left"/>
              <w:rPr>
                <w:color w:val="auto"/>
                <w:kern w:val="0"/>
                <w:szCs w:val="21"/>
              </w:rPr>
            </w:pPr>
            <w:r>
              <w:rPr>
                <w:color w:val="auto"/>
                <w:kern w:val="0"/>
                <w:szCs w:val="21"/>
              </w:rPr>
              <w:t>综上，项目符合相关发展规划要求。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01" w:type="dxa"/>
            <w:vAlign w:val="center"/>
          </w:tcPr>
          <w:p>
            <w:pPr>
              <w:pStyle w:val="11"/>
              <w:jc w:val="center"/>
              <w:rPr>
                <w:b/>
                <w:bCs/>
                <w:color w:val="auto"/>
                <w:sz w:val="24"/>
                <w:szCs w:val="24"/>
              </w:rPr>
            </w:pPr>
            <w:r>
              <w:rPr>
                <w:b/>
                <w:bCs/>
                <w:color w:val="auto"/>
                <w:sz w:val="24"/>
                <w:szCs w:val="24"/>
              </w:rPr>
              <w:t>其他</w:t>
            </w:r>
          </w:p>
          <w:p>
            <w:pPr>
              <w:pStyle w:val="11"/>
              <w:jc w:val="center"/>
              <w:rPr>
                <w:b/>
                <w:bCs/>
                <w:color w:val="auto"/>
                <w:sz w:val="24"/>
                <w:szCs w:val="24"/>
              </w:rPr>
            </w:pPr>
            <w:r>
              <w:rPr>
                <w:b/>
                <w:bCs/>
                <w:color w:val="auto"/>
                <w:sz w:val="24"/>
                <w:szCs w:val="24"/>
              </w:rPr>
              <w:t>符合性分析</w:t>
            </w:r>
          </w:p>
        </w:tc>
        <w:tc>
          <w:tcPr>
            <w:tcW w:w="8459" w:type="dxa"/>
            <w:gridSpan w:val="3"/>
            <w:vAlign w:val="center"/>
          </w:tcPr>
          <w:p>
            <w:pPr>
              <w:autoSpaceDE w:val="0"/>
              <w:autoSpaceDN w:val="0"/>
              <w:adjustRightInd w:val="0"/>
              <w:snapToGrid w:val="0"/>
              <w:ind w:firstLine="482"/>
              <w:rPr>
                <w:b/>
                <w:bCs/>
                <w:color w:val="auto"/>
                <w:kern w:val="0"/>
                <w:szCs w:val="21"/>
              </w:rPr>
            </w:pPr>
            <w:bookmarkStart w:id="32" w:name="bookmark19"/>
            <w:r>
              <w:rPr>
                <w:b/>
                <w:bCs/>
                <w:color w:val="auto"/>
                <w:kern w:val="0"/>
                <w:szCs w:val="21"/>
              </w:rPr>
              <w:t>1、产业政策符合性分析</w:t>
            </w:r>
          </w:p>
          <w:p>
            <w:pPr>
              <w:ind w:firstLine="480"/>
              <w:rPr>
                <w:color w:val="auto"/>
              </w:rPr>
            </w:pPr>
            <w:r>
              <w:rPr>
                <w:color w:val="auto"/>
              </w:rPr>
              <w:t>本项目</w:t>
            </w:r>
            <w:r>
              <w:rPr>
                <w:rFonts w:hint="eastAsia"/>
                <w:color w:val="auto"/>
              </w:rPr>
              <w:t>主要进行再生塑料产品生产，</w:t>
            </w:r>
            <w:r>
              <w:rPr>
                <w:color w:val="auto"/>
              </w:rPr>
              <w:t>根据《国民经济行业分类》（GB/T4754-2017）</w:t>
            </w:r>
            <w:r>
              <w:rPr>
                <w:rFonts w:hint="eastAsia"/>
                <w:color w:val="auto"/>
              </w:rPr>
              <w:t>及第1号修改单的</w:t>
            </w:r>
            <w:r>
              <w:rPr>
                <w:color w:val="auto"/>
              </w:rPr>
              <w:t>相关内容，本项目属于C4220 非金属废料和碎屑加工处理</w:t>
            </w:r>
            <w:r>
              <w:rPr>
                <w:rFonts w:hint="eastAsia"/>
                <w:color w:val="auto"/>
              </w:rPr>
              <w:t>的范畴</w:t>
            </w:r>
            <w:r>
              <w:rPr>
                <w:color w:val="auto"/>
              </w:rPr>
              <w:t>，根据中华人民共和国国家发展和改革委员会令第29号《产业结构调整指导目录（2019年本）》</w:t>
            </w:r>
            <w:r>
              <w:rPr>
                <w:rFonts w:hint="eastAsia"/>
                <w:color w:val="auto"/>
              </w:rPr>
              <w:t>相关内容：</w:t>
            </w:r>
          </w:p>
          <w:p>
            <w:pPr>
              <w:ind w:firstLine="480"/>
              <w:rPr>
                <w:color w:val="auto"/>
              </w:rPr>
            </w:pPr>
            <w:r>
              <w:rPr>
                <w:rFonts w:hint="eastAsia"/>
                <w:color w:val="auto"/>
              </w:rPr>
              <w:t>本项目的再生塑料产品生产（C4220 非金属废料和碎屑加工处理）属于“鼓励类”第四十三项“环境环保与资源节约综合利用”、第27条“废旧物资等资源循环再利用技术、设备开发应用”。</w:t>
            </w:r>
          </w:p>
          <w:p>
            <w:pPr>
              <w:ind w:firstLine="480"/>
              <w:rPr>
                <w:color w:val="auto"/>
                <w:kern w:val="0"/>
                <w:szCs w:val="21"/>
              </w:rPr>
            </w:pPr>
            <w:r>
              <w:rPr>
                <w:color w:val="auto"/>
              </w:rPr>
              <w:t>据此，</w:t>
            </w:r>
            <w:r>
              <w:rPr>
                <w:rFonts w:hint="eastAsia"/>
                <w:color w:val="auto"/>
                <w:lang w:val="en-US" w:eastAsia="zh-CN"/>
              </w:rPr>
              <w:t>宣汉县发改局</w:t>
            </w:r>
            <w:r>
              <w:rPr>
                <w:color w:val="auto"/>
              </w:rPr>
              <w:t>以[川投资备[</w:t>
            </w:r>
            <w:r>
              <w:rPr>
                <w:rFonts w:hint="eastAsia"/>
                <w:color w:val="auto"/>
                <w:lang w:eastAsia="zh-CN"/>
              </w:rPr>
              <w:t>2303-511722-04-01-475997</w:t>
            </w:r>
            <w:r>
              <w:rPr>
                <w:color w:val="auto"/>
              </w:rPr>
              <w:t>]FGQB-</w:t>
            </w:r>
            <w:r>
              <w:rPr>
                <w:rFonts w:hint="eastAsia"/>
                <w:color w:val="auto"/>
                <w:lang w:val="en-US" w:eastAsia="zh-CN"/>
              </w:rPr>
              <w:t>0160</w:t>
            </w:r>
            <w:r>
              <w:rPr>
                <w:color w:val="auto"/>
              </w:rPr>
              <w:t>号]</w:t>
            </w:r>
            <w:r>
              <w:rPr>
                <w:color w:val="auto"/>
                <w:kern w:val="0"/>
                <w:szCs w:val="21"/>
              </w:rPr>
              <w:t>号文件予以项目备案。</w:t>
            </w:r>
          </w:p>
          <w:p>
            <w:pPr>
              <w:autoSpaceDE w:val="0"/>
              <w:autoSpaceDN w:val="0"/>
              <w:adjustRightInd w:val="0"/>
              <w:snapToGrid w:val="0"/>
              <w:ind w:firstLine="480"/>
              <w:rPr>
                <w:color w:val="auto"/>
                <w:kern w:val="0"/>
                <w:szCs w:val="21"/>
              </w:rPr>
            </w:pPr>
            <w:r>
              <w:rPr>
                <w:color w:val="auto"/>
                <w:kern w:val="0"/>
                <w:szCs w:val="21"/>
              </w:rPr>
              <w:t>综上所述，本项目符合国家产业政策。</w:t>
            </w:r>
          </w:p>
          <w:p>
            <w:pPr>
              <w:adjustRightInd w:val="0"/>
              <w:snapToGrid w:val="0"/>
              <w:ind w:firstLine="482"/>
              <w:rPr>
                <w:b/>
                <w:bCs/>
                <w:color w:val="auto"/>
                <w:kern w:val="0"/>
                <w:szCs w:val="21"/>
              </w:rPr>
            </w:pPr>
            <w:r>
              <w:rPr>
                <w:rFonts w:hint="eastAsia"/>
                <w:b/>
                <w:bCs/>
                <w:color w:val="auto"/>
                <w:kern w:val="0"/>
                <w:szCs w:val="21"/>
                <w:lang w:val="en-US" w:eastAsia="zh-CN"/>
              </w:rPr>
              <w:t>2</w:t>
            </w:r>
            <w:r>
              <w:rPr>
                <w:b/>
                <w:bCs/>
                <w:color w:val="auto"/>
                <w:kern w:val="0"/>
                <w:szCs w:val="21"/>
              </w:rPr>
              <w:t>、本项目与外环境相容性分析</w:t>
            </w:r>
          </w:p>
          <w:p>
            <w:pPr>
              <w:ind w:firstLine="480"/>
              <w:rPr>
                <w:color w:val="auto"/>
                <w:kern w:val="0"/>
                <w:szCs w:val="21"/>
              </w:rPr>
            </w:pPr>
            <w:r>
              <w:rPr>
                <w:color w:val="auto"/>
                <w:kern w:val="0"/>
                <w:szCs w:val="21"/>
                <w:lang w:val="zh-TW" w:eastAsia="zh-TW"/>
              </w:rPr>
              <w:t>本项目位于</w:t>
            </w:r>
            <w:r>
              <w:rPr>
                <w:rFonts w:hint="eastAsia"/>
                <w:color w:val="auto"/>
                <w:kern w:val="0"/>
                <w:szCs w:val="21"/>
                <w:lang w:val="zh-TW" w:eastAsia="zh-CN"/>
              </w:rPr>
              <w:t>四川省达州市宣汉县一号大道和四号大道交叉口东北180米</w:t>
            </w:r>
            <w:r>
              <w:rPr>
                <w:rFonts w:hint="eastAsia"/>
                <w:color w:val="auto"/>
                <w:kern w:val="0"/>
                <w:szCs w:val="21"/>
              </w:rPr>
              <w:t>（</w:t>
            </w:r>
            <w:r>
              <w:rPr>
                <w:color w:val="000000"/>
                <w:sz w:val="24"/>
              </w:rPr>
              <w:t>达州普光经济开发区</w:t>
            </w:r>
            <w:r>
              <w:rPr>
                <w:rFonts w:hint="eastAsia"/>
                <w:color w:val="auto"/>
                <w:kern w:val="0"/>
                <w:szCs w:val="21"/>
              </w:rPr>
              <w:t>），根据现场实际调查，周边多为</w:t>
            </w:r>
            <w:r>
              <w:rPr>
                <w:rFonts w:hint="eastAsia"/>
                <w:color w:val="auto"/>
                <w:kern w:val="0"/>
                <w:szCs w:val="21"/>
                <w:lang w:val="en-US" w:eastAsia="zh-CN"/>
              </w:rPr>
              <w:t>工业</w:t>
            </w:r>
            <w:r>
              <w:rPr>
                <w:rFonts w:hint="eastAsia"/>
                <w:color w:val="auto"/>
                <w:kern w:val="0"/>
                <w:szCs w:val="21"/>
              </w:rPr>
              <w:t>企业聚集区，</w:t>
            </w:r>
            <w:r>
              <w:rPr>
                <w:color w:val="auto"/>
                <w:kern w:val="0"/>
                <w:szCs w:val="21"/>
              </w:rPr>
              <w:t>其它区域为园区规划用地</w:t>
            </w:r>
            <w:r>
              <w:rPr>
                <w:rFonts w:hint="eastAsia"/>
                <w:color w:val="auto"/>
                <w:kern w:val="0"/>
                <w:szCs w:val="21"/>
              </w:rPr>
              <w:t>（待建空地）</w:t>
            </w:r>
            <w:r>
              <w:rPr>
                <w:color w:val="auto"/>
                <w:kern w:val="0"/>
                <w:szCs w:val="21"/>
              </w:rPr>
              <w:t>，</w:t>
            </w:r>
            <w:r>
              <w:rPr>
                <w:rFonts w:hint="eastAsia"/>
                <w:color w:val="auto"/>
                <w:kern w:val="0"/>
                <w:szCs w:val="21"/>
              </w:rPr>
              <w:t>周边500m范围内无学校、医院、居民区等环境敏感点。</w:t>
            </w:r>
          </w:p>
          <w:p>
            <w:pPr>
              <w:ind w:firstLine="480"/>
              <w:rPr>
                <w:color w:val="auto"/>
              </w:rPr>
            </w:pPr>
            <w:r>
              <w:rPr>
                <w:rFonts w:hint="eastAsia"/>
                <w:color w:val="auto"/>
              </w:rPr>
              <w:t>本项目主要外环境关系为：南侧100m处为</w:t>
            </w:r>
            <w:r>
              <w:rPr>
                <w:rFonts w:hint="eastAsia"/>
                <w:color w:val="auto"/>
                <w:lang w:val="en-US" w:eastAsia="zh-CN"/>
              </w:rPr>
              <w:t>四川清神金属制造有限公司</w:t>
            </w:r>
            <w:r>
              <w:rPr>
                <w:rFonts w:hint="eastAsia"/>
                <w:color w:val="auto"/>
                <w:lang w:eastAsia="zh-CN"/>
              </w:rPr>
              <w:t>（</w:t>
            </w:r>
            <w:r>
              <w:rPr>
                <w:rFonts w:hint="eastAsia"/>
                <w:color w:val="auto"/>
                <w:lang w:val="en-US" w:eastAsia="zh-CN"/>
              </w:rPr>
              <w:t>从事金属制品生产</w:t>
            </w:r>
            <w:r>
              <w:rPr>
                <w:rFonts w:hint="eastAsia"/>
                <w:color w:val="auto"/>
                <w:lang w:eastAsia="zh-CN"/>
              </w:rPr>
              <w:t>），</w:t>
            </w:r>
            <w:r>
              <w:rPr>
                <w:rFonts w:hint="eastAsia"/>
                <w:color w:val="auto"/>
                <w:lang w:val="en-US" w:eastAsia="zh-CN"/>
              </w:rPr>
              <w:t>西南侧</w:t>
            </w:r>
            <w:r>
              <w:rPr>
                <w:rFonts w:hint="eastAsia"/>
                <w:color w:val="auto"/>
              </w:rPr>
              <w:t>1</w:t>
            </w:r>
            <w:r>
              <w:rPr>
                <w:rFonts w:hint="eastAsia"/>
                <w:color w:val="auto"/>
                <w:lang w:val="en-US" w:eastAsia="zh-CN"/>
              </w:rPr>
              <w:t>5</w:t>
            </w:r>
            <w:r>
              <w:rPr>
                <w:rFonts w:hint="eastAsia"/>
                <w:color w:val="auto"/>
              </w:rPr>
              <w:t>0m处为四川普源玻纤新材料有限公司</w:t>
            </w:r>
            <w:r>
              <w:rPr>
                <w:rFonts w:hint="eastAsia"/>
                <w:color w:val="auto"/>
                <w:lang w:eastAsia="zh-CN"/>
              </w:rPr>
              <w:t>（</w:t>
            </w:r>
            <w:r>
              <w:rPr>
                <w:rFonts w:hint="eastAsia"/>
                <w:color w:val="auto"/>
                <w:lang w:val="en-US" w:eastAsia="zh-CN"/>
              </w:rPr>
              <w:t>从事玻璃制品生产</w:t>
            </w:r>
            <w:r>
              <w:rPr>
                <w:rFonts w:hint="eastAsia"/>
                <w:color w:val="auto"/>
                <w:lang w:eastAsia="zh-CN"/>
              </w:rPr>
              <w:t>）、</w:t>
            </w:r>
            <w:r>
              <w:rPr>
                <w:rFonts w:hint="eastAsia"/>
                <w:color w:val="auto"/>
                <w:lang w:val="en-US" w:eastAsia="zh-CN"/>
              </w:rPr>
              <w:t>2</w:t>
            </w:r>
            <w:r>
              <w:rPr>
                <w:rFonts w:hint="eastAsia"/>
                <w:color w:val="auto"/>
              </w:rPr>
              <w:t>60m处为宣汉普光科睿新材料有限公司</w:t>
            </w:r>
            <w:r>
              <w:rPr>
                <w:rFonts w:hint="eastAsia"/>
                <w:color w:val="auto"/>
                <w:lang w:eastAsia="zh-CN"/>
              </w:rPr>
              <w:t>（</w:t>
            </w:r>
            <w:r>
              <w:rPr>
                <w:rFonts w:hint="eastAsia"/>
                <w:color w:val="auto"/>
                <w:lang w:val="en-US" w:eastAsia="zh-CN"/>
              </w:rPr>
              <w:t>从事玻璃制品生产</w:t>
            </w:r>
            <w:r>
              <w:rPr>
                <w:rFonts w:hint="eastAsia"/>
                <w:color w:val="auto"/>
                <w:lang w:eastAsia="zh-CN"/>
              </w:rPr>
              <w:t>）</w:t>
            </w:r>
            <w:r>
              <w:rPr>
                <w:rFonts w:hint="eastAsia"/>
                <w:color w:val="auto"/>
              </w:rPr>
              <w:t>，</w:t>
            </w:r>
            <w:r>
              <w:rPr>
                <w:rFonts w:hint="eastAsia"/>
                <w:color w:val="auto"/>
                <w:lang w:val="en-US" w:eastAsia="zh-CN"/>
              </w:rPr>
              <w:t>4</w:t>
            </w:r>
            <w:r>
              <w:rPr>
                <w:rFonts w:hint="eastAsia"/>
                <w:color w:val="auto"/>
              </w:rPr>
              <w:t>60m处为四川海洋塑胶有限公司</w:t>
            </w:r>
            <w:r>
              <w:rPr>
                <w:rFonts w:hint="eastAsia"/>
                <w:color w:val="auto"/>
                <w:lang w:eastAsia="zh-CN"/>
              </w:rPr>
              <w:t>（</w:t>
            </w:r>
            <w:r>
              <w:rPr>
                <w:rFonts w:hint="eastAsia"/>
                <w:color w:val="auto"/>
                <w:lang w:val="en-US" w:eastAsia="zh-CN"/>
              </w:rPr>
              <w:t>从事塑料型材生产</w:t>
            </w:r>
            <w:r>
              <w:rPr>
                <w:rFonts w:hint="eastAsia"/>
                <w:color w:val="auto"/>
                <w:lang w:eastAsia="zh-CN"/>
              </w:rPr>
              <w:t>）</w:t>
            </w:r>
            <w:r>
              <w:rPr>
                <w:rFonts w:hint="eastAsia"/>
                <w:color w:val="auto"/>
              </w:rPr>
              <w:t>，</w:t>
            </w:r>
            <w:r>
              <w:rPr>
                <w:rFonts w:hint="eastAsia"/>
                <w:color w:val="auto"/>
                <w:lang w:val="en-US" w:eastAsia="zh-CN"/>
              </w:rPr>
              <w:t>西侧22</w:t>
            </w:r>
            <w:r>
              <w:rPr>
                <w:rFonts w:hint="eastAsia"/>
                <w:color w:val="auto"/>
              </w:rPr>
              <w:t>0m处为四川黔柜电力有限公司</w:t>
            </w:r>
            <w:r>
              <w:rPr>
                <w:rFonts w:hint="eastAsia"/>
                <w:color w:val="auto"/>
                <w:lang w:eastAsia="zh-CN"/>
              </w:rPr>
              <w:t>（</w:t>
            </w:r>
            <w:r>
              <w:rPr>
                <w:rFonts w:hint="eastAsia"/>
                <w:color w:val="auto"/>
                <w:lang w:val="en-US" w:eastAsia="zh-CN"/>
              </w:rPr>
              <w:t>从事电气产品生产</w:t>
            </w:r>
            <w:r>
              <w:rPr>
                <w:rFonts w:hint="eastAsia"/>
                <w:color w:val="auto"/>
                <w:lang w:eastAsia="zh-CN"/>
              </w:rPr>
              <w:t>）</w:t>
            </w:r>
            <w:r>
              <w:rPr>
                <w:rFonts w:hint="eastAsia"/>
                <w:color w:val="auto"/>
              </w:rPr>
              <w:t>。项目最近地表水体为项目西南侧约7</w:t>
            </w:r>
            <w:r>
              <w:rPr>
                <w:rFonts w:hint="eastAsia"/>
                <w:color w:val="auto"/>
                <w:lang w:val="en-US" w:eastAsia="zh-CN"/>
              </w:rPr>
              <w:t>00</w:t>
            </w:r>
            <w:r>
              <w:rPr>
                <w:rFonts w:hint="eastAsia"/>
                <w:color w:val="auto"/>
              </w:rPr>
              <w:t>0m处的</w:t>
            </w:r>
            <w:r>
              <w:rPr>
                <w:rFonts w:hint="eastAsia"/>
                <w:color w:val="auto"/>
                <w:lang w:val="en-US" w:eastAsia="zh-CN"/>
              </w:rPr>
              <w:t>州河（后河）</w:t>
            </w:r>
            <w:r>
              <w:rPr>
                <w:rFonts w:hint="eastAsia"/>
                <w:color w:val="auto"/>
              </w:rPr>
              <w:t>，其主要水体功能为行洪</w:t>
            </w:r>
            <w:r>
              <w:rPr>
                <w:rFonts w:hint="eastAsia"/>
                <w:color w:val="auto"/>
                <w:lang w:eastAsia="zh-CN"/>
              </w:rPr>
              <w:t>、</w:t>
            </w:r>
            <w:r>
              <w:rPr>
                <w:rFonts w:hint="eastAsia"/>
                <w:color w:val="auto"/>
              </w:rPr>
              <w:t>纳污及城市景观</w:t>
            </w:r>
            <w:r>
              <w:rPr>
                <w:rFonts w:hint="eastAsia"/>
                <w:color w:val="auto"/>
                <w:lang w:eastAsia="zh-CN"/>
              </w:rPr>
              <w:t>，</w:t>
            </w:r>
            <w:r>
              <w:rPr>
                <w:rFonts w:hint="eastAsia"/>
                <w:color w:val="auto"/>
              </w:rPr>
              <w:t>项目主要外环境关系见下表。</w:t>
            </w:r>
          </w:p>
          <w:p>
            <w:pPr>
              <w:pStyle w:val="11"/>
              <w:jc w:val="center"/>
              <w:rPr>
                <w:rFonts w:hint="default" w:eastAsia="宋体"/>
                <w:b/>
                <w:bCs/>
                <w:color w:val="auto"/>
                <w:lang w:val="en-US" w:eastAsia="zh-CN"/>
              </w:rPr>
            </w:pPr>
            <w:r>
              <w:rPr>
                <w:rFonts w:hint="eastAsia"/>
                <w:b/>
                <w:bCs/>
                <w:color w:val="auto"/>
              </w:rPr>
              <w:t>表1-</w:t>
            </w:r>
            <w:r>
              <w:rPr>
                <w:rFonts w:hint="eastAsia"/>
                <w:b/>
                <w:bCs/>
                <w:color w:val="auto"/>
                <w:lang w:val="en-US" w:eastAsia="zh-CN"/>
              </w:rPr>
              <w:t>3</w:t>
            </w:r>
            <w:r>
              <w:rPr>
                <w:rFonts w:hint="eastAsia"/>
                <w:b/>
                <w:bCs/>
                <w:color w:val="auto"/>
              </w:rPr>
              <w:t xml:space="preserve">  </w:t>
            </w:r>
            <w:r>
              <w:rPr>
                <w:rFonts w:hint="eastAsia"/>
                <w:b/>
                <w:bCs/>
                <w:color w:val="auto"/>
                <w:lang w:val="en-US" w:eastAsia="zh-CN"/>
              </w:rPr>
              <w:t xml:space="preserve">  </w:t>
            </w:r>
            <w:r>
              <w:rPr>
                <w:rFonts w:hint="eastAsia"/>
                <w:b/>
                <w:bCs/>
                <w:color w:val="auto"/>
              </w:rPr>
              <w:t>项目外环境企业关系一览表</w:t>
            </w:r>
            <w:r>
              <w:rPr>
                <w:rFonts w:hint="eastAsia"/>
                <w:b/>
                <w:bCs/>
                <w:color w:val="auto"/>
                <w:lang w:val="en-US" w:eastAsia="zh-CN"/>
              </w:rPr>
              <w:t xml:space="preserve">     单位：m</w:t>
            </w:r>
          </w:p>
          <w:tbl>
            <w:tblPr>
              <w:tblStyle w:val="5"/>
              <w:tblW w:w="8315"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93"/>
              <w:gridCol w:w="3280"/>
              <w:gridCol w:w="932"/>
              <w:gridCol w:w="742"/>
              <w:gridCol w:w="2668"/>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3" w:type="dxa"/>
                  <w:vAlign w:val="center"/>
                </w:tcPr>
                <w:p>
                  <w:pPr>
                    <w:pStyle w:val="11"/>
                    <w:jc w:val="center"/>
                    <w:rPr>
                      <w:b/>
                      <w:bCs/>
                      <w:color w:val="auto"/>
                    </w:rPr>
                  </w:pPr>
                  <w:r>
                    <w:rPr>
                      <w:rFonts w:hint="eastAsia"/>
                      <w:b/>
                      <w:bCs/>
                      <w:color w:val="auto"/>
                    </w:rPr>
                    <w:t>序号</w:t>
                  </w:r>
                </w:p>
              </w:tc>
              <w:tc>
                <w:tcPr>
                  <w:tcW w:w="3280" w:type="dxa"/>
                  <w:vAlign w:val="center"/>
                </w:tcPr>
                <w:p>
                  <w:pPr>
                    <w:pStyle w:val="11"/>
                    <w:jc w:val="center"/>
                    <w:rPr>
                      <w:b/>
                      <w:bCs/>
                      <w:color w:val="auto"/>
                    </w:rPr>
                  </w:pPr>
                  <w:r>
                    <w:rPr>
                      <w:rFonts w:hint="eastAsia"/>
                      <w:b/>
                      <w:bCs/>
                      <w:color w:val="auto"/>
                    </w:rPr>
                    <w:t>名称</w:t>
                  </w:r>
                </w:p>
              </w:tc>
              <w:tc>
                <w:tcPr>
                  <w:tcW w:w="932" w:type="dxa"/>
                  <w:vAlign w:val="center"/>
                </w:tcPr>
                <w:p>
                  <w:pPr>
                    <w:pStyle w:val="11"/>
                    <w:jc w:val="center"/>
                    <w:rPr>
                      <w:b/>
                      <w:bCs/>
                      <w:color w:val="auto"/>
                    </w:rPr>
                  </w:pPr>
                  <w:r>
                    <w:rPr>
                      <w:rFonts w:hint="eastAsia"/>
                      <w:b/>
                      <w:bCs/>
                      <w:color w:val="auto"/>
                    </w:rPr>
                    <w:t>方位</w:t>
                  </w:r>
                </w:p>
              </w:tc>
              <w:tc>
                <w:tcPr>
                  <w:tcW w:w="742" w:type="dxa"/>
                  <w:vAlign w:val="center"/>
                </w:tcPr>
                <w:p>
                  <w:pPr>
                    <w:pStyle w:val="11"/>
                    <w:jc w:val="center"/>
                    <w:rPr>
                      <w:b/>
                      <w:bCs/>
                      <w:color w:val="auto"/>
                    </w:rPr>
                  </w:pPr>
                  <w:r>
                    <w:rPr>
                      <w:rFonts w:hint="eastAsia"/>
                      <w:b/>
                      <w:bCs/>
                      <w:color w:val="auto"/>
                    </w:rPr>
                    <w:t>距离</w:t>
                  </w:r>
                </w:p>
              </w:tc>
              <w:tc>
                <w:tcPr>
                  <w:tcW w:w="2668" w:type="dxa"/>
                  <w:vAlign w:val="center"/>
                </w:tcPr>
                <w:p>
                  <w:pPr>
                    <w:pStyle w:val="11"/>
                    <w:jc w:val="center"/>
                    <w:rPr>
                      <w:b/>
                      <w:bCs/>
                      <w:color w:val="auto"/>
                    </w:rPr>
                  </w:pPr>
                  <w:r>
                    <w:rPr>
                      <w:rFonts w:hint="eastAsia"/>
                      <w:b/>
                      <w:bCs/>
                      <w:color w:val="auto"/>
                    </w:rPr>
                    <w:t>从事生产项目</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3" w:type="dxa"/>
                  <w:vAlign w:val="center"/>
                </w:tcPr>
                <w:p>
                  <w:pPr>
                    <w:pStyle w:val="11"/>
                    <w:jc w:val="center"/>
                    <w:rPr>
                      <w:color w:val="auto"/>
                    </w:rPr>
                  </w:pPr>
                  <w:r>
                    <w:rPr>
                      <w:rFonts w:hint="eastAsia"/>
                      <w:color w:val="auto"/>
                    </w:rPr>
                    <w:t>1</w:t>
                  </w:r>
                </w:p>
              </w:tc>
              <w:tc>
                <w:tcPr>
                  <w:tcW w:w="3280" w:type="dxa"/>
                  <w:vAlign w:val="center"/>
                </w:tcPr>
                <w:p>
                  <w:pPr>
                    <w:pStyle w:val="11"/>
                    <w:jc w:val="center"/>
                    <w:rPr>
                      <w:color w:val="auto"/>
                    </w:rPr>
                  </w:pPr>
                  <w:r>
                    <w:rPr>
                      <w:rFonts w:hint="eastAsia"/>
                      <w:color w:val="auto"/>
                      <w:lang w:val="en-US" w:eastAsia="zh-CN"/>
                    </w:rPr>
                    <w:t>四川清神金属制造有限公司</w:t>
                  </w:r>
                </w:p>
              </w:tc>
              <w:tc>
                <w:tcPr>
                  <w:tcW w:w="932" w:type="dxa"/>
                  <w:vAlign w:val="center"/>
                </w:tcPr>
                <w:p>
                  <w:pPr>
                    <w:pStyle w:val="11"/>
                    <w:jc w:val="center"/>
                    <w:rPr>
                      <w:color w:val="auto"/>
                    </w:rPr>
                  </w:pPr>
                  <w:r>
                    <w:rPr>
                      <w:rFonts w:hint="eastAsia"/>
                      <w:color w:val="auto"/>
                    </w:rPr>
                    <w:t>南侧</w:t>
                  </w:r>
                </w:p>
              </w:tc>
              <w:tc>
                <w:tcPr>
                  <w:tcW w:w="742" w:type="dxa"/>
                  <w:vAlign w:val="center"/>
                </w:tcPr>
                <w:p>
                  <w:pPr>
                    <w:pStyle w:val="11"/>
                    <w:jc w:val="center"/>
                    <w:rPr>
                      <w:color w:val="auto"/>
                    </w:rPr>
                  </w:pPr>
                  <w:r>
                    <w:rPr>
                      <w:rFonts w:hint="eastAsia"/>
                      <w:color w:val="auto"/>
                    </w:rPr>
                    <w:t>100</w:t>
                  </w:r>
                </w:p>
              </w:tc>
              <w:tc>
                <w:tcPr>
                  <w:tcW w:w="2668" w:type="dxa"/>
                  <w:vAlign w:val="center"/>
                </w:tcPr>
                <w:p>
                  <w:pPr>
                    <w:pStyle w:val="11"/>
                    <w:jc w:val="center"/>
                    <w:rPr>
                      <w:color w:val="auto"/>
                    </w:rPr>
                  </w:pPr>
                  <w:r>
                    <w:rPr>
                      <w:rFonts w:hint="eastAsia"/>
                      <w:color w:val="auto"/>
                      <w:lang w:val="en-US" w:eastAsia="zh-CN"/>
                    </w:rPr>
                    <w:t>金属制品生产</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3" w:type="dxa"/>
                  <w:vAlign w:val="center"/>
                </w:tcPr>
                <w:p>
                  <w:pPr>
                    <w:pStyle w:val="11"/>
                    <w:jc w:val="center"/>
                    <w:rPr>
                      <w:color w:val="auto"/>
                    </w:rPr>
                  </w:pPr>
                  <w:r>
                    <w:rPr>
                      <w:rFonts w:hint="eastAsia"/>
                      <w:color w:val="auto"/>
                    </w:rPr>
                    <w:t>2</w:t>
                  </w:r>
                </w:p>
              </w:tc>
              <w:tc>
                <w:tcPr>
                  <w:tcW w:w="3280" w:type="dxa"/>
                  <w:vAlign w:val="center"/>
                </w:tcPr>
                <w:p>
                  <w:pPr>
                    <w:pStyle w:val="11"/>
                    <w:jc w:val="center"/>
                    <w:rPr>
                      <w:color w:val="auto"/>
                    </w:rPr>
                  </w:pPr>
                  <w:r>
                    <w:rPr>
                      <w:rFonts w:hint="eastAsia"/>
                      <w:color w:val="auto"/>
                    </w:rPr>
                    <w:t>四川普源玻纤新材料有限公司</w:t>
                  </w:r>
                </w:p>
              </w:tc>
              <w:tc>
                <w:tcPr>
                  <w:tcW w:w="932" w:type="dxa"/>
                  <w:vAlign w:val="center"/>
                </w:tcPr>
                <w:p>
                  <w:pPr>
                    <w:pStyle w:val="11"/>
                    <w:jc w:val="center"/>
                    <w:rPr>
                      <w:rFonts w:hint="eastAsia" w:eastAsia="宋体"/>
                      <w:color w:val="auto"/>
                      <w:lang w:eastAsia="zh-CN"/>
                    </w:rPr>
                  </w:pPr>
                  <w:r>
                    <w:rPr>
                      <w:rFonts w:hint="eastAsia"/>
                      <w:color w:val="auto"/>
                      <w:lang w:val="en-US" w:eastAsia="zh-CN"/>
                    </w:rPr>
                    <w:t>西南侧</w:t>
                  </w:r>
                </w:p>
              </w:tc>
              <w:tc>
                <w:tcPr>
                  <w:tcW w:w="742" w:type="dxa"/>
                  <w:vAlign w:val="center"/>
                </w:tcPr>
                <w:p>
                  <w:pPr>
                    <w:pStyle w:val="11"/>
                    <w:jc w:val="center"/>
                    <w:rPr>
                      <w:color w:val="auto"/>
                    </w:rPr>
                  </w:pPr>
                  <w:r>
                    <w:rPr>
                      <w:rFonts w:hint="eastAsia"/>
                      <w:color w:val="auto"/>
                    </w:rPr>
                    <w:t>1</w:t>
                  </w:r>
                  <w:r>
                    <w:rPr>
                      <w:rFonts w:hint="eastAsia"/>
                      <w:color w:val="auto"/>
                      <w:lang w:val="en-US" w:eastAsia="zh-CN"/>
                    </w:rPr>
                    <w:t>5</w:t>
                  </w:r>
                  <w:r>
                    <w:rPr>
                      <w:rFonts w:hint="eastAsia"/>
                      <w:color w:val="auto"/>
                    </w:rPr>
                    <w:t>0</w:t>
                  </w:r>
                </w:p>
              </w:tc>
              <w:tc>
                <w:tcPr>
                  <w:tcW w:w="2668" w:type="dxa"/>
                  <w:vAlign w:val="center"/>
                </w:tcPr>
                <w:p>
                  <w:pPr>
                    <w:pStyle w:val="11"/>
                    <w:jc w:val="center"/>
                    <w:rPr>
                      <w:color w:val="auto"/>
                    </w:rPr>
                  </w:pPr>
                  <w:r>
                    <w:rPr>
                      <w:rFonts w:hint="eastAsia"/>
                      <w:color w:val="auto"/>
                      <w:lang w:val="en-US" w:eastAsia="zh-CN"/>
                    </w:rPr>
                    <w:t>玻璃制品生产</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3" w:type="dxa"/>
                  <w:vAlign w:val="center"/>
                </w:tcPr>
                <w:p>
                  <w:pPr>
                    <w:pStyle w:val="11"/>
                    <w:jc w:val="center"/>
                    <w:rPr>
                      <w:color w:val="auto"/>
                    </w:rPr>
                  </w:pPr>
                  <w:r>
                    <w:rPr>
                      <w:rFonts w:hint="eastAsia"/>
                      <w:color w:val="auto"/>
                    </w:rPr>
                    <w:t>3</w:t>
                  </w:r>
                </w:p>
              </w:tc>
              <w:tc>
                <w:tcPr>
                  <w:tcW w:w="3280" w:type="dxa"/>
                  <w:vAlign w:val="center"/>
                </w:tcPr>
                <w:p>
                  <w:pPr>
                    <w:pStyle w:val="11"/>
                    <w:jc w:val="center"/>
                    <w:rPr>
                      <w:color w:val="auto"/>
                    </w:rPr>
                  </w:pPr>
                  <w:r>
                    <w:rPr>
                      <w:rFonts w:hint="eastAsia"/>
                      <w:color w:val="auto"/>
                    </w:rPr>
                    <w:t>宣汉普光科睿新材料有限公司</w:t>
                  </w:r>
                </w:p>
              </w:tc>
              <w:tc>
                <w:tcPr>
                  <w:tcW w:w="932" w:type="dxa"/>
                  <w:vAlign w:val="center"/>
                </w:tcPr>
                <w:p>
                  <w:pPr>
                    <w:pStyle w:val="11"/>
                    <w:jc w:val="center"/>
                    <w:rPr>
                      <w:color w:val="auto"/>
                    </w:rPr>
                  </w:pPr>
                  <w:r>
                    <w:rPr>
                      <w:rFonts w:hint="eastAsia"/>
                      <w:color w:val="auto"/>
                    </w:rPr>
                    <w:t>西南侧</w:t>
                  </w:r>
                </w:p>
              </w:tc>
              <w:tc>
                <w:tcPr>
                  <w:tcW w:w="742" w:type="dxa"/>
                  <w:vAlign w:val="center"/>
                </w:tcPr>
                <w:p>
                  <w:pPr>
                    <w:pStyle w:val="11"/>
                    <w:jc w:val="center"/>
                    <w:rPr>
                      <w:color w:val="auto"/>
                    </w:rPr>
                  </w:pPr>
                  <w:r>
                    <w:rPr>
                      <w:rFonts w:hint="eastAsia"/>
                      <w:color w:val="auto"/>
                      <w:lang w:val="en-US" w:eastAsia="zh-CN"/>
                    </w:rPr>
                    <w:t>26</w:t>
                  </w:r>
                  <w:r>
                    <w:rPr>
                      <w:rFonts w:hint="eastAsia"/>
                      <w:color w:val="auto"/>
                    </w:rPr>
                    <w:t>0</w:t>
                  </w:r>
                </w:p>
              </w:tc>
              <w:tc>
                <w:tcPr>
                  <w:tcW w:w="2668" w:type="dxa"/>
                  <w:vAlign w:val="center"/>
                </w:tcPr>
                <w:p>
                  <w:pPr>
                    <w:pStyle w:val="11"/>
                    <w:jc w:val="center"/>
                    <w:rPr>
                      <w:color w:val="auto"/>
                    </w:rPr>
                  </w:pPr>
                  <w:r>
                    <w:rPr>
                      <w:rFonts w:hint="eastAsia"/>
                      <w:color w:val="auto"/>
                      <w:lang w:val="en-US" w:eastAsia="zh-CN"/>
                    </w:rPr>
                    <w:t>玻璃制品生产</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3" w:type="dxa"/>
                  <w:vAlign w:val="center"/>
                </w:tcPr>
                <w:p>
                  <w:pPr>
                    <w:pStyle w:val="11"/>
                    <w:jc w:val="center"/>
                    <w:rPr>
                      <w:color w:val="auto"/>
                    </w:rPr>
                  </w:pPr>
                  <w:r>
                    <w:rPr>
                      <w:rFonts w:hint="eastAsia"/>
                      <w:color w:val="auto"/>
                    </w:rPr>
                    <w:t>4</w:t>
                  </w:r>
                </w:p>
              </w:tc>
              <w:tc>
                <w:tcPr>
                  <w:tcW w:w="3280" w:type="dxa"/>
                  <w:vAlign w:val="center"/>
                </w:tcPr>
                <w:p>
                  <w:pPr>
                    <w:pStyle w:val="11"/>
                    <w:jc w:val="center"/>
                    <w:rPr>
                      <w:color w:val="auto"/>
                    </w:rPr>
                  </w:pPr>
                  <w:r>
                    <w:rPr>
                      <w:rFonts w:hint="eastAsia"/>
                      <w:color w:val="auto"/>
                    </w:rPr>
                    <w:t>四川海洋塑胶有限公司</w:t>
                  </w:r>
                </w:p>
              </w:tc>
              <w:tc>
                <w:tcPr>
                  <w:tcW w:w="932" w:type="dxa"/>
                  <w:vAlign w:val="center"/>
                </w:tcPr>
                <w:p>
                  <w:pPr>
                    <w:pStyle w:val="11"/>
                    <w:jc w:val="center"/>
                    <w:rPr>
                      <w:color w:val="auto"/>
                    </w:rPr>
                  </w:pPr>
                  <w:r>
                    <w:rPr>
                      <w:rFonts w:hint="eastAsia"/>
                      <w:color w:val="auto"/>
                    </w:rPr>
                    <w:t>西南侧</w:t>
                  </w:r>
                </w:p>
              </w:tc>
              <w:tc>
                <w:tcPr>
                  <w:tcW w:w="742" w:type="dxa"/>
                  <w:vAlign w:val="center"/>
                </w:tcPr>
                <w:p>
                  <w:pPr>
                    <w:pStyle w:val="11"/>
                    <w:jc w:val="center"/>
                    <w:rPr>
                      <w:color w:val="auto"/>
                    </w:rPr>
                  </w:pPr>
                  <w:r>
                    <w:rPr>
                      <w:rFonts w:hint="eastAsia"/>
                      <w:color w:val="auto"/>
                      <w:lang w:val="en-US" w:eastAsia="zh-CN"/>
                    </w:rPr>
                    <w:t>46</w:t>
                  </w:r>
                  <w:r>
                    <w:rPr>
                      <w:rFonts w:hint="eastAsia"/>
                      <w:color w:val="auto"/>
                    </w:rPr>
                    <w:t>0</w:t>
                  </w:r>
                </w:p>
              </w:tc>
              <w:tc>
                <w:tcPr>
                  <w:tcW w:w="2668" w:type="dxa"/>
                  <w:vAlign w:val="center"/>
                </w:tcPr>
                <w:p>
                  <w:pPr>
                    <w:pStyle w:val="11"/>
                    <w:jc w:val="center"/>
                    <w:rPr>
                      <w:color w:val="auto"/>
                    </w:rPr>
                  </w:pPr>
                  <w:r>
                    <w:rPr>
                      <w:rFonts w:hint="eastAsia"/>
                      <w:color w:val="auto"/>
                      <w:lang w:val="en-US" w:eastAsia="zh-CN"/>
                    </w:rPr>
                    <w:t>塑料型材生产</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3" w:type="dxa"/>
                  <w:vAlign w:val="center"/>
                </w:tcPr>
                <w:p>
                  <w:pPr>
                    <w:pStyle w:val="11"/>
                    <w:jc w:val="center"/>
                    <w:rPr>
                      <w:color w:val="auto"/>
                    </w:rPr>
                  </w:pPr>
                  <w:r>
                    <w:rPr>
                      <w:rFonts w:hint="eastAsia"/>
                      <w:color w:val="auto"/>
                    </w:rPr>
                    <w:t>5</w:t>
                  </w:r>
                </w:p>
              </w:tc>
              <w:tc>
                <w:tcPr>
                  <w:tcW w:w="3280" w:type="dxa"/>
                  <w:vAlign w:val="center"/>
                </w:tcPr>
                <w:p>
                  <w:pPr>
                    <w:pStyle w:val="11"/>
                    <w:jc w:val="center"/>
                    <w:rPr>
                      <w:color w:val="auto"/>
                    </w:rPr>
                  </w:pPr>
                  <w:r>
                    <w:rPr>
                      <w:rFonts w:hint="eastAsia"/>
                      <w:color w:val="auto"/>
                    </w:rPr>
                    <w:t>四川黔柜电力有限公司</w:t>
                  </w:r>
                </w:p>
              </w:tc>
              <w:tc>
                <w:tcPr>
                  <w:tcW w:w="932" w:type="dxa"/>
                  <w:vAlign w:val="center"/>
                </w:tcPr>
                <w:p>
                  <w:pPr>
                    <w:pStyle w:val="11"/>
                    <w:jc w:val="center"/>
                    <w:rPr>
                      <w:color w:val="auto"/>
                    </w:rPr>
                  </w:pPr>
                  <w:r>
                    <w:rPr>
                      <w:rFonts w:hint="eastAsia"/>
                      <w:color w:val="auto"/>
                    </w:rPr>
                    <w:t>西侧</w:t>
                  </w:r>
                </w:p>
              </w:tc>
              <w:tc>
                <w:tcPr>
                  <w:tcW w:w="742" w:type="dxa"/>
                  <w:vAlign w:val="center"/>
                </w:tcPr>
                <w:p>
                  <w:pPr>
                    <w:pStyle w:val="11"/>
                    <w:jc w:val="center"/>
                    <w:rPr>
                      <w:color w:val="auto"/>
                    </w:rPr>
                  </w:pPr>
                  <w:r>
                    <w:rPr>
                      <w:rFonts w:hint="eastAsia"/>
                      <w:color w:val="auto"/>
                      <w:lang w:val="en-US" w:eastAsia="zh-CN"/>
                    </w:rPr>
                    <w:t>22</w:t>
                  </w:r>
                  <w:r>
                    <w:rPr>
                      <w:rFonts w:hint="eastAsia"/>
                      <w:color w:val="auto"/>
                    </w:rPr>
                    <w:t>0</w:t>
                  </w:r>
                </w:p>
              </w:tc>
              <w:tc>
                <w:tcPr>
                  <w:tcW w:w="2668" w:type="dxa"/>
                  <w:vAlign w:val="center"/>
                </w:tcPr>
                <w:p>
                  <w:pPr>
                    <w:pStyle w:val="11"/>
                    <w:jc w:val="center"/>
                    <w:rPr>
                      <w:color w:val="auto"/>
                    </w:rPr>
                  </w:pPr>
                  <w:r>
                    <w:rPr>
                      <w:rFonts w:hint="eastAsia"/>
                      <w:color w:val="auto"/>
                      <w:lang w:val="en-US" w:eastAsia="zh-CN"/>
                    </w:rPr>
                    <w:t>电气产品生产</w:t>
                  </w:r>
                </w:p>
              </w:tc>
            </w:tr>
          </w:tbl>
          <w:p>
            <w:pPr>
              <w:ind w:firstLine="480"/>
              <w:rPr>
                <w:color w:val="auto"/>
                <w:kern w:val="0"/>
                <w:szCs w:val="21"/>
              </w:rPr>
            </w:pPr>
            <w:r>
              <w:rPr>
                <w:rFonts w:hint="eastAsia"/>
                <w:color w:val="auto"/>
                <w:kern w:val="0"/>
                <w:szCs w:val="21"/>
              </w:rPr>
              <w:t>由上表知，项目所在区域周边主要为园区工业企业，本项目生产过程中产生的废气主要为VOCs，无其</w:t>
            </w:r>
            <w:r>
              <w:rPr>
                <w:rFonts w:hint="eastAsia"/>
                <w:color w:val="auto"/>
                <w:kern w:val="0"/>
                <w:szCs w:val="21"/>
                <w:lang w:val="en-US" w:eastAsia="zh-CN"/>
              </w:rPr>
              <w:t>它</w:t>
            </w:r>
            <w:r>
              <w:rPr>
                <w:rFonts w:hint="eastAsia"/>
                <w:color w:val="auto"/>
                <w:kern w:val="0"/>
                <w:szCs w:val="21"/>
              </w:rPr>
              <w:t>无有毒、有害气体排放，项目生产过程中应注重废气和废水对周边外环境的影响，并采取相应的防治措施，在做好自身环防护的前提下对周边基本不会产生影响。</w:t>
            </w:r>
          </w:p>
          <w:p>
            <w:pPr>
              <w:ind w:firstLine="480"/>
              <w:rPr>
                <w:color w:val="auto"/>
                <w:kern w:val="0"/>
                <w:szCs w:val="21"/>
              </w:rPr>
            </w:pPr>
            <w:r>
              <w:rPr>
                <w:color w:val="auto"/>
                <w:kern w:val="0"/>
                <w:szCs w:val="21"/>
              </w:rPr>
              <w:t>综上，本项目所在地地理位置优越，交通便利，能够满足本项目生产及生活需要。因此，项目外环境不存在明显的环境制约因素，项目选址合理。</w:t>
            </w:r>
          </w:p>
          <w:p>
            <w:pPr>
              <w:autoSpaceDE w:val="0"/>
              <w:autoSpaceDN w:val="0"/>
              <w:adjustRightInd w:val="0"/>
              <w:snapToGrid w:val="0"/>
              <w:ind w:firstLine="482"/>
              <w:rPr>
                <w:b/>
                <w:bCs/>
                <w:color w:val="auto"/>
                <w:kern w:val="0"/>
                <w:szCs w:val="21"/>
              </w:rPr>
            </w:pPr>
            <w:r>
              <w:rPr>
                <w:rFonts w:hint="eastAsia"/>
                <w:b/>
                <w:bCs/>
                <w:color w:val="auto"/>
                <w:kern w:val="0"/>
                <w:szCs w:val="21"/>
                <w:lang w:val="en-US" w:eastAsia="zh-CN"/>
              </w:rPr>
              <w:t>3</w:t>
            </w:r>
            <w:r>
              <w:rPr>
                <w:b/>
                <w:bCs/>
                <w:color w:val="auto"/>
                <w:kern w:val="0"/>
                <w:szCs w:val="21"/>
              </w:rPr>
              <w:t>、用地规划符合性分析</w:t>
            </w:r>
          </w:p>
          <w:p>
            <w:pPr>
              <w:autoSpaceDE w:val="0"/>
              <w:autoSpaceDN w:val="0"/>
              <w:adjustRightInd w:val="0"/>
              <w:snapToGrid w:val="0"/>
              <w:ind w:firstLine="480"/>
              <w:rPr>
                <w:b w:val="0"/>
                <w:bCs w:val="0"/>
                <w:color w:val="auto"/>
                <w:kern w:val="0"/>
                <w:szCs w:val="21"/>
              </w:rPr>
            </w:pPr>
            <w:r>
              <w:rPr>
                <w:b w:val="0"/>
                <w:bCs w:val="0"/>
                <w:color w:val="auto"/>
                <w:kern w:val="0"/>
                <w:szCs w:val="21"/>
                <w:lang w:val="zh-TW" w:eastAsia="zh-TW"/>
              </w:rPr>
              <w:t>本项目位于</w:t>
            </w:r>
            <w:r>
              <w:rPr>
                <w:rFonts w:hint="eastAsia"/>
                <w:b w:val="0"/>
                <w:bCs w:val="0"/>
                <w:color w:val="auto"/>
                <w:kern w:val="0"/>
                <w:szCs w:val="21"/>
                <w:lang w:val="zh-TW" w:eastAsia="zh-CN"/>
              </w:rPr>
              <w:t>四川省达州市宣汉县一号大道和四号大道交叉口东北180米</w:t>
            </w:r>
            <w:r>
              <w:rPr>
                <w:b w:val="0"/>
                <w:bCs w:val="0"/>
                <w:color w:val="auto"/>
                <w:kern w:val="0"/>
                <w:szCs w:val="21"/>
              </w:rPr>
              <w:t>，根据</w:t>
            </w:r>
            <w:r>
              <w:rPr>
                <w:b w:val="0"/>
                <w:bCs w:val="0"/>
                <w:color w:val="auto"/>
                <w:kern w:val="0"/>
                <w:lang w:bidi="ar"/>
              </w:rPr>
              <w:t>四川省</w:t>
            </w:r>
            <w:r>
              <w:rPr>
                <w:rFonts w:hint="eastAsia"/>
                <w:b w:val="0"/>
                <w:bCs w:val="0"/>
                <w:color w:val="auto"/>
                <w:sz w:val="24"/>
                <w:szCs w:val="24"/>
                <w:lang w:eastAsia="zh-CN"/>
              </w:rPr>
              <w:t>达州普光经济开发区</w:t>
            </w:r>
            <w:r>
              <w:rPr>
                <w:rFonts w:hint="eastAsia"/>
                <w:b w:val="0"/>
                <w:bCs w:val="0"/>
                <w:color w:val="auto"/>
                <w:sz w:val="24"/>
                <w:szCs w:val="24"/>
                <w:lang w:val="en-US" w:eastAsia="zh-CN"/>
              </w:rPr>
              <w:t>用地</w:t>
            </w:r>
            <w:r>
              <w:rPr>
                <w:b w:val="0"/>
                <w:bCs w:val="0"/>
                <w:color w:val="auto"/>
                <w:kern w:val="0"/>
                <w:lang w:bidi="ar"/>
              </w:rPr>
              <w:t>规划</w:t>
            </w:r>
            <w:r>
              <w:rPr>
                <w:b w:val="0"/>
                <w:bCs w:val="0"/>
                <w:color w:val="auto"/>
                <w:kern w:val="0"/>
                <w:szCs w:val="21"/>
              </w:rPr>
              <w:t>，本项目所在位置属于工业用地，项目符合</w:t>
            </w:r>
            <w:r>
              <w:rPr>
                <w:rFonts w:hint="eastAsia"/>
                <w:b w:val="0"/>
                <w:bCs w:val="0"/>
                <w:color w:val="auto"/>
                <w:kern w:val="0"/>
                <w:szCs w:val="21"/>
                <w:lang w:val="en-US" w:eastAsia="zh-CN"/>
              </w:rPr>
              <w:t>相关</w:t>
            </w:r>
            <w:r>
              <w:rPr>
                <w:b w:val="0"/>
                <w:bCs w:val="0"/>
                <w:color w:val="auto"/>
                <w:kern w:val="0"/>
                <w:szCs w:val="21"/>
              </w:rPr>
              <w:t>用地规划。</w:t>
            </w:r>
          </w:p>
          <w:p>
            <w:pPr>
              <w:autoSpaceDE w:val="0"/>
              <w:autoSpaceDN w:val="0"/>
              <w:adjustRightInd w:val="0"/>
              <w:snapToGrid w:val="0"/>
              <w:ind w:firstLine="482"/>
              <w:rPr>
                <w:b/>
                <w:bCs/>
                <w:color w:val="auto"/>
                <w:kern w:val="0"/>
                <w:szCs w:val="21"/>
                <w:lang w:val="zh-TW" w:eastAsia="zh-TW"/>
              </w:rPr>
            </w:pPr>
            <w:r>
              <w:rPr>
                <w:rFonts w:hint="eastAsia"/>
                <w:b/>
                <w:bCs/>
                <w:color w:val="auto"/>
                <w:kern w:val="0"/>
                <w:szCs w:val="21"/>
                <w:lang w:val="en-US" w:eastAsia="zh-CN"/>
              </w:rPr>
              <w:t>4</w:t>
            </w:r>
            <w:r>
              <w:rPr>
                <w:b/>
                <w:bCs/>
                <w:color w:val="auto"/>
                <w:kern w:val="0"/>
                <w:szCs w:val="21"/>
              </w:rPr>
              <w:t>、</w:t>
            </w:r>
            <w:r>
              <w:rPr>
                <w:b/>
                <w:bCs/>
                <w:color w:val="auto"/>
                <w:kern w:val="0"/>
                <w:szCs w:val="21"/>
                <w:lang w:val="zh-TW" w:eastAsia="zh-TW"/>
              </w:rPr>
              <w:t>项目与《四川省</w:t>
            </w:r>
            <w:r>
              <w:rPr>
                <w:rFonts w:hint="eastAsia"/>
                <w:b/>
                <w:bCs/>
                <w:color w:val="auto"/>
                <w:kern w:val="0"/>
                <w:szCs w:val="21"/>
                <w:lang w:val="zh-TW"/>
              </w:rPr>
              <w:t>、</w:t>
            </w:r>
            <w:r>
              <w:rPr>
                <w:rFonts w:hint="eastAsia"/>
                <w:b/>
                <w:bCs/>
                <w:color w:val="auto"/>
                <w:kern w:val="0"/>
                <w:szCs w:val="21"/>
              </w:rPr>
              <w:t>重庆市</w:t>
            </w:r>
            <w:r>
              <w:rPr>
                <w:b/>
                <w:bCs/>
                <w:color w:val="auto"/>
                <w:kern w:val="0"/>
                <w:szCs w:val="21"/>
                <w:lang w:val="zh-TW" w:eastAsia="zh-TW"/>
              </w:rPr>
              <w:t>长江经济带发展负面清单实施细则（试行）》符合性分析</w:t>
            </w:r>
          </w:p>
          <w:p>
            <w:pPr>
              <w:autoSpaceDE w:val="0"/>
              <w:autoSpaceDN w:val="0"/>
              <w:adjustRightInd w:val="0"/>
              <w:snapToGrid w:val="0"/>
              <w:ind w:firstLine="480"/>
              <w:rPr>
                <w:color w:val="auto"/>
                <w:kern w:val="0"/>
                <w:szCs w:val="21"/>
                <w:lang w:val="zh-TW" w:eastAsia="zh-TW"/>
              </w:rPr>
            </w:pPr>
            <w:r>
              <w:rPr>
                <w:color w:val="auto"/>
                <w:kern w:val="0"/>
                <w:szCs w:val="21"/>
                <w:lang w:val="zh-TW" w:eastAsia="zh-TW"/>
              </w:rPr>
              <w:t>本项目位于</w:t>
            </w:r>
            <w:r>
              <w:rPr>
                <w:rFonts w:hint="eastAsia"/>
                <w:color w:val="auto"/>
                <w:kern w:val="0"/>
                <w:szCs w:val="21"/>
                <w:lang w:val="zh-TW" w:eastAsia="zh-CN"/>
              </w:rPr>
              <w:t>四川省达州市宣汉县一号大道和四号大道交叉口东北180米</w:t>
            </w:r>
            <w:r>
              <w:rPr>
                <w:color w:val="auto"/>
                <w:kern w:val="0"/>
                <w:szCs w:val="21"/>
                <w:lang w:val="zh-TW" w:eastAsia="zh-TW"/>
              </w:rPr>
              <w:t>，根据《四川省</w:t>
            </w:r>
            <w:r>
              <w:rPr>
                <w:rFonts w:hint="eastAsia"/>
                <w:color w:val="auto"/>
                <w:kern w:val="0"/>
                <w:szCs w:val="21"/>
                <w:lang w:val="zh-TW"/>
              </w:rPr>
              <w:t>、</w:t>
            </w:r>
            <w:r>
              <w:rPr>
                <w:rFonts w:hint="eastAsia"/>
                <w:color w:val="auto"/>
                <w:kern w:val="0"/>
                <w:szCs w:val="21"/>
              </w:rPr>
              <w:t>重庆市</w:t>
            </w:r>
            <w:r>
              <w:rPr>
                <w:color w:val="auto"/>
                <w:kern w:val="0"/>
                <w:szCs w:val="21"/>
                <w:lang w:val="zh-TW" w:eastAsia="zh-TW"/>
              </w:rPr>
              <w:t>长江经济带发展负面清单实施细则（试行）》相关内容，本项目不涉及饮用水源、自然保护区和基本农田及林地占用，不属于文件中禁止建设的项目，符合《四川省</w:t>
            </w:r>
            <w:r>
              <w:rPr>
                <w:rFonts w:hint="eastAsia"/>
                <w:color w:val="auto"/>
                <w:kern w:val="0"/>
                <w:szCs w:val="21"/>
                <w:lang w:val="zh-TW"/>
              </w:rPr>
              <w:t>、</w:t>
            </w:r>
            <w:r>
              <w:rPr>
                <w:rFonts w:hint="eastAsia"/>
                <w:color w:val="auto"/>
                <w:kern w:val="0"/>
                <w:szCs w:val="21"/>
              </w:rPr>
              <w:t>重庆市</w:t>
            </w:r>
            <w:r>
              <w:rPr>
                <w:color w:val="auto"/>
                <w:kern w:val="0"/>
                <w:szCs w:val="21"/>
                <w:lang w:val="zh-TW" w:eastAsia="zh-TW"/>
              </w:rPr>
              <w:t>长江经济带发展负面清单实施细则（试行）》相关内容的要求。</w:t>
            </w:r>
          </w:p>
          <w:p>
            <w:pPr>
              <w:pStyle w:val="11"/>
              <w:jc w:val="center"/>
              <w:rPr>
                <w:b/>
                <w:bCs/>
                <w:color w:val="auto"/>
              </w:rPr>
            </w:pPr>
            <w:r>
              <w:rPr>
                <w:b/>
                <w:bCs/>
                <w:color w:val="auto"/>
              </w:rPr>
              <w:t>表1-</w:t>
            </w:r>
            <w:r>
              <w:rPr>
                <w:rFonts w:hint="eastAsia"/>
                <w:b/>
                <w:bCs/>
                <w:color w:val="auto"/>
                <w:lang w:val="en-US" w:eastAsia="zh-CN"/>
              </w:rPr>
              <w:t>4</w:t>
            </w:r>
            <w:r>
              <w:rPr>
                <w:rFonts w:hint="eastAsia"/>
                <w:b/>
                <w:bCs/>
                <w:color w:val="auto"/>
              </w:rPr>
              <w:t xml:space="preserve">  </w:t>
            </w:r>
            <w:r>
              <w:rPr>
                <w:b/>
                <w:bCs/>
                <w:color w:val="auto"/>
              </w:rPr>
              <w:t>与《四川省</w:t>
            </w:r>
            <w:r>
              <w:rPr>
                <w:rFonts w:hint="eastAsia"/>
                <w:b/>
                <w:bCs/>
                <w:color w:val="auto"/>
                <w:lang w:val="zh-TW"/>
              </w:rPr>
              <w:t>、</w:t>
            </w:r>
            <w:r>
              <w:rPr>
                <w:rFonts w:hint="eastAsia"/>
                <w:b/>
                <w:bCs/>
                <w:color w:val="auto"/>
              </w:rPr>
              <w:t>重庆市</w:t>
            </w:r>
            <w:r>
              <w:rPr>
                <w:b/>
                <w:bCs/>
                <w:color w:val="auto"/>
              </w:rPr>
              <w:t>长江经济带发展负面清单实施细则》符合性分析</w:t>
            </w:r>
          </w:p>
          <w:tbl>
            <w:tblPr>
              <w:tblStyle w:val="5"/>
              <w:tblW w:w="838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58"/>
              <w:gridCol w:w="4539"/>
              <w:gridCol w:w="1832"/>
              <w:gridCol w:w="85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58" w:type="dxa"/>
                  <w:vAlign w:val="center"/>
                </w:tcPr>
                <w:p>
                  <w:pPr>
                    <w:pStyle w:val="11"/>
                    <w:jc w:val="center"/>
                    <w:rPr>
                      <w:b/>
                      <w:bCs/>
                      <w:color w:val="auto"/>
                    </w:rPr>
                  </w:pPr>
                  <w:r>
                    <w:rPr>
                      <w:rFonts w:hint="eastAsia"/>
                      <w:b/>
                      <w:bCs/>
                      <w:color w:val="auto"/>
                    </w:rPr>
                    <w:t>文件名称</w:t>
                  </w:r>
                </w:p>
              </w:tc>
              <w:tc>
                <w:tcPr>
                  <w:tcW w:w="4539" w:type="dxa"/>
                  <w:vAlign w:val="center"/>
                </w:tcPr>
                <w:p>
                  <w:pPr>
                    <w:pStyle w:val="11"/>
                    <w:jc w:val="center"/>
                    <w:rPr>
                      <w:b/>
                      <w:bCs/>
                      <w:color w:val="auto"/>
                    </w:rPr>
                  </w:pPr>
                  <w:r>
                    <w:rPr>
                      <w:rFonts w:hint="eastAsia"/>
                      <w:b/>
                      <w:bCs/>
                      <w:color w:val="auto"/>
                    </w:rPr>
                    <w:t>方案（规划要求）</w:t>
                  </w:r>
                </w:p>
              </w:tc>
              <w:tc>
                <w:tcPr>
                  <w:tcW w:w="1832" w:type="dxa"/>
                  <w:vAlign w:val="center"/>
                </w:tcPr>
                <w:p>
                  <w:pPr>
                    <w:pStyle w:val="11"/>
                    <w:jc w:val="center"/>
                    <w:rPr>
                      <w:b/>
                      <w:bCs/>
                      <w:color w:val="auto"/>
                    </w:rPr>
                  </w:pPr>
                  <w:r>
                    <w:rPr>
                      <w:rFonts w:hint="eastAsia"/>
                      <w:b/>
                      <w:bCs/>
                      <w:color w:val="auto"/>
                    </w:rPr>
                    <w:t>本项目情况</w:t>
                  </w:r>
                </w:p>
              </w:tc>
              <w:tc>
                <w:tcPr>
                  <w:tcW w:w="856" w:type="dxa"/>
                  <w:vAlign w:val="center"/>
                </w:tcPr>
                <w:p>
                  <w:pPr>
                    <w:pStyle w:val="11"/>
                    <w:jc w:val="center"/>
                    <w:rPr>
                      <w:b/>
                      <w:bCs/>
                      <w:color w:val="auto"/>
                    </w:rPr>
                  </w:pPr>
                  <w:r>
                    <w:rPr>
                      <w:rFonts w:hint="eastAsia"/>
                      <w:b/>
                      <w:bCs/>
                      <w:color w:val="auto"/>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58" w:type="dxa"/>
                  <w:vMerge w:val="restart"/>
                  <w:vAlign w:val="center"/>
                </w:tcPr>
                <w:p>
                  <w:pPr>
                    <w:pStyle w:val="11"/>
                    <w:rPr>
                      <w:color w:val="auto"/>
                    </w:rPr>
                  </w:pPr>
                  <w:r>
                    <w:rPr>
                      <w:rFonts w:hint="eastAsia"/>
                      <w:color w:val="auto"/>
                    </w:rPr>
                    <w:t>《四川省长江经济带发展负面清单实施细则（试行）》</w:t>
                  </w:r>
                </w:p>
              </w:tc>
              <w:tc>
                <w:tcPr>
                  <w:tcW w:w="4539" w:type="dxa"/>
                  <w:vAlign w:val="center"/>
                </w:tcPr>
                <w:p>
                  <w:pPr>
                    <w:pStyle w:val="11"/>
                    <w:jc w:val="both"/>
                    <w:rPr>
                      <w:color w:val="auto"/>
                    </w:rPr>
                  </w:pPr>
                  <w:r>
                    <w:rPr>
                      <w:rFonts w:hint="eastAsia"/>
                      <w:color w:val="auto"/>
                    </w:rPr>
                    <w:t>禁止新建、改建和扩建不符合《全国内河航道与港口布局规划》等全国港口规划，以及《四川省内河水运发展规划》《泸州—宜宾—乐山港口群布局规划》《重庆港总体规划（2035年）》等省级港口布局规划及市级港口总体规划的码头项目</w:t>
                  </w:r>
                </w:p>
              </w:tc>
              <w:tc>
                <w:tcPr>
                  <w:tcW w:w="1832" w:type="dxa"/>
                  <w:vAlign w:val="center"/>
                </w:tcPr>
                <w:p>
                  <w:pPr>
                    <w:pStyle w:val="11"/>
                    <w:jc w:val="center"/>
                    <w:rPr>
                      <w:color w:val="auto"/>
                    </w:rPr>
                  </w:pPr>
                  <w:r>
                    <w:rPr>
                      <w:rFonts w:hint="eastAsia"/>
                      <w:color w:val="auto"/>
                      <w:lang w:val="en-US" w:eastAsia="zh-CN"/>
                    </w:rPr>
                    <w:t>本</w:t>
                  </w:r>
                  <w:r>
                    <w:rPr>
                      <w:color w:val="auto"/>
                    </w:rPr>
                    <w:t>项目不属于码头项目</w:t>
                  </w:r>
                  <w:r>
                    <w:rPr>
                      <w:rFonts w:hint="eastAsia"/>
                      <w:color w:val="auto"/>
                    </w:rPr>
                    <w:t>。</w:t>
                  </w:r>
                </w:p>
              </w:tc>
              <w:tc>
                <w:tcPr>
                  <w:tcW w:w="856" w:type="dxa"/>
                  <w:vAlign w:val="center"/>
                </w:tcPr>
                <w:p>
                  <w:pPr>
                    <w:pStyle w:val="11"/>
                    <w:jc w:val="center"/>
                    <w:rPr>
                      <w:color w:val="auto"/>
                    </w:rPr>
                  </w:pPr>
                  <w:r>
                    <w:rPr>
                      <w:rFonts w:hint="eastAsia"/>
                      <w:color w:val="auto"/>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58" w:type="dxa"/>
                  <w:vMerge w:val="continue"/>
                  <w:vAlign w:val="center"/>
                </w:tcPr>
                <w:p>
                  <w:pPr>
                    <w:pStyle w:val="11"/>
                    <w:rPr>
                      <w:color w:val="auto"/>
                    </w:rPr>
                  </w:pPr>
                </w:p>
              </w:tc>
              <w:tc>
                <w:tcPr>
                  <w:tcW w:w="4539" w:type="dxa"/>
                  <w:vAlign w:val="center"/>
                </w:tcPr>
                <w:p>
                  <w:pPr>
                    <w:pStyle w:val="11"/>
                    <w:jc w:val="both"/>
                    <w:rPr>
                      <w:color w:val="auto"/>
                    </w:rPr>
                  </w:pPr>
                  <w:r>
                    <w:rPr>
                      <w:rFonts w:hint="eastAsia"/>
                      <w:color w:val="auto"/>
                    </w:rPr>
                    <w:t>禁止在自然保护区核心区、缓冲区的岸线和河段范围内投资建设旅游和生产经营项目。自然保护区的内部未分区的，依照本实施细则核心区和缓冲区的规定管控。</w:t>
                  </w:r>
                </w:p>
              </w:tc>
              <w:tc>
                <w:tcPr>
                  <w:tcW w:w="1832" w:type="dxa"/>
                  <w:vAlign w:val="center"/>
                </w:tcPr>
                <w:p>
                  <w:pPr>
                    <w:pStyle w:val="11"/>
                    <w:jc w:val="center"/>
                    <w:rPr>
                      <w:color w:val="auto"/>
                    </w:rPr>
                  </w:pPr>
                  <w:r>
                    <w:rPr>
                      <w:rFonts w:hint="eastAsia"/>
                      <w:color w:val="auto"/>
                      <w:lang w:val="en-US" w:eastAsia="zh-CN"/>
                    </w:rPr>
                    <w:t>本</w:t>
                  </w:r>
                  <w:r>
                    <w:rPr>
                      <w:color w:val="auto"/>
                    </w:rPr>
                    <w:t>项目选址不在自然保护区</w:t>
                  </w:r>
                  <w:r>
                    <w:rPr>
                      <w:rFonts w:hint="eastAsia"/>
                      <w:color w:val="auto"/>
                    </w:rPr>
                    <w:t>核心区、缓冲区</w:t>
                  </w:r>
                  <w:r>
                    <w:rPr>
                      <w:color w:val="auto"/>
                    </w:rPr>
                    <w:t>范围内</w:t>
                  </w:r>
                  <w:r>
                    <w:rPr>
                      <w:rFonts w:hint="eastAsia"/>
                      <w:color w:val="auto"/>
                    </w:rPr>
                    <w:t>。</w:t>
                  </w:r>
                </w:p>
              </w:tc>
              <w:tc>
                <w:tcPr>
                  <w:tcW w:w="856" w:type="dxa"/>
                  <w:vAlign w:val="center"/>
                </w:tcPr>
                <w:p>
                  <w:pPr>
                    <w:pStyle w:val="11"/>
                    <w:jc w:val="center"/>
                    <w:rPr>
                      <w:color w:val="auto"/>
                    </w:rPr>
                  </w:pPr>
                  <w:r>
                    <w:rPr>
                      <w:rFonts w:hint="eastAsia"/>
                      <w:color w:val="auto"/>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58" w:type="dxa"/>
                  <w:vMerge w:val="continue"/>
                  <w:vAlign w:val="center"/>
                </w:tcPr>
                <w:p>
                  <w:pPr>
                    <w:pStyle w:val="11"/>
                    <w:rPr>
                      <w:color w:val="auto"/>
                    </w:rPr>
                  </w:pPr>
                </w:p>
              </w:tc>
              <w:tc>
                <w:tcPr>
                  <w:tcW w:w="4539" w:type="dxa"/>
                  <w:vAlign w:val="center"/>
                </w:tcPr>
                <w:p>
                  <w:pPr>
                    <w:pStyle w:val="11"/>
                    <w:jc w:val="both"/>
                    <w:rPr>
                      <w:color w:val="auto"/>
                    </w:rPr>
                  </w:pPr>
                  <w:r>
                    <w:rPr>
                      <w:rFonts w:hint="eastAsia"/>
                      <w:color w:val="auto"/>
                    </w:rPr>
                    <w:t>禁止在自然保护区核心区、缓冲区的岸线和河段范围内投资建设旅游和生产经营项目。自然保护区的内部未分区的，依照本实施细则核心区和缓冲区禁止违反风景名胜区规划，在风景名胜区内设立各类开发区。禁止在风景名胜区核心景区的岸线和河段范围内建设宾馆、招待所、培训中心、疗养院以及与风景名胜资源保护无关的项目。规定管控。</w:t>
                  </w:r>
                </w:p>
              </w:tc>
              <w:tc>
                <w:tcPr>
                  <w:tcW w:w="1832" w:type="dxa"/>
                  <w:vAlign w:val="center"/>
                </w:tcPr>
                <w:p>
                  <w:pPr>
                    <w:pStyle w:val="11"/>
                    <w:jc w:val="center"/>
                    <w:rPr>
                      <w:color w:val="auto"/>
                    </w:rPr>
                  </w:pPr>
                  <w:r>
                    <w:rPr>
                      <w:rFonts w:hint="eastAsia"/>
                      <w:color w:val="auto"/>
                      <w:lang w:val="en-US" w:eastAsia="zh-CN"/>
                    </w:rPr>
                    <w:t>本</w:t>
                  </w:r>
                  <w:r>
                    <w:rPr>
                      <w:color w:val="auto"/>
                    </w:rPr>
                    <w:t>项目选址不在风景名胜区</w:t>
                  </w:r>
                  <w:r>
                    <w:rPr>
                      <w:rFonts w:hint="eastAsia"/>
                      <w:color w:val="auto"/>
                    </w:rPr>
                    <w:t>核心景区</w:t>
                  </w:r>
                  <w:r>
                    <w:rPr>
                      <w:color w:val="auto"/>
                    </w:rPr>
                    <w:t>内</w:t>
                  </w:r>
                  <w:r>
                    <w:rPr>
                      <w:rFonts w:hint="eastAsia"/>
                      <w:color w:val="auto"/>
                    </w:rPr>
                    <w:t>。</w:t>
                  </w:r>
                </w:p>
              </w:tc>
              <w:tc>
                <w:tcPr>
                  <w:tcW w:w="856" w:type="dxa"/>
                  <w:vAlign w:val="center"/>
                </w:tcPr>
                <w:p>
                  <w:pPr>
                    <w:pStyle w:val="11"/>
                    <w:jc w:val="center"/>
                    <w:rPr>
                      <w:color w:val="auto"/>
                    </w:rPr>
                  </w:pPr>
                  <w:r>
                    <w:rPr>
                      <w:rFonts w:hint="eastAsia"/>
                      <w:color w:val="auto"/>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58" w:type="dxa"/>
                  <w:vMerge w:val="continue"/>
                  <w:vAlign w:val="center"/>
                </w:tcPr>
                <w:p>
                  <w:pPr>
                    <w:pStyle w:val="11"/>
                    <w:rPr>
                      <w:color w:val="auto"/>
                    </w:rPr>
                  </w:pPr>
                </w:p>
              </w:tc>
              <w:tc>
                <w:tcPr>
                  <w:tcW w:w="4539" w:type="dxa"/>
                  <w:vAlign w:val="center"/>
                </w:tcPr>
                <w:p>
                  <w:pPr>
                    <w:pStyle w:val="11"/>
                    <w:jc w:val="both"/>
                    <w:rPr>
                      <w:color w:val="auto"/>
                    </w:rPr>
                  </w:pPr>
                  <w:r>
                    <w:rPr>
                      <w:rFonts w:hint="eastAsia"/>
                      <w:color w:val="auto"/>
                    </w:rPr>
                    <w:t>饮用水水源一级保护区的岸线和河段范围内，除应遵守二级保护区规定外，禁止新建、改建、扩建与供（取）水设施和保护水源无关的项目，以及网箱养殖、畜禽养殖、旅游等投资建设项目。</w:t>
                  </w:r>
                </w:p>
                <w:p>
                  <w:pPr>
                    <w:pStyle w:val="11"/>
                    <w:jc w:val="both"/>
                    <w:rPr>
                      <w:color w:val="auto"/>
                    </w:rPr>
                  </w:pPr>
                  <w:r>
                    <w:rPr>
                      <w:rFonts w:hint="eastAsia"/>
                      <w:color w:val="auto"/>
                    </w:rPr>
                    <w:t>饮用水水源二级保护区的岸线和河段范围内，除应遵守准保护区规定外，禁止新建、改建、扩建排放污染物的投资建设项目；禁止从事采石（砂）、对水体有污染的水产养殖等活动。</w:t>
                  </w:r>
                </w:p>
              </w:tc>
              <w:tc>
                <w:tcPr>
                  <w:tcW w:w="1832" w:type="dxa"/>
                  <w:vAlign w:val="center"/>
                </w:tcPr>
                <w:p>
                  <w:pPr>
                    <w:pStyle w:val="11"/>
                    <w:jc w:val="center"/>
                    <w:rPr>
                      <w:color w:val="auto"/>
                    </w:rPr>
                  </w:pPr>
                  <w:r>
                    <w:rPr>
                      <w:rFonts w:hint="eastAsia"/>
                      <w:color w:val="auto"/>
                      <w:lang w:val="en-US" w:eastAsia="zh-CN"/>
                    </w:rPr>
                    <w:t>本</w:t>
                  </w:r>
                  <w:r>
                    <w:rPr>
                      <w:color w:val="auto"/>
                    </w:rPr>
                    <w:t>项目选址不在饮用水保护区</w:t>
                  </w:r>
                  <w:r>
                    <w:rPr>
                      <w:rFonts w:hint="eastAsia"/>
                      <w:color w:val="auto"/>
                    </w:rPr>
                    <w:t>岸线和河段范围内</w:t>
                  </w:r>
                  <w:r>
                    <w:rPr>
                      <w:color w:val="auto"/>
                    </w:rPr>
                    <w:t>内</w:t>
                  </w:r>
                  <w:r>
                    <w:rPr>
                      <w:rFonts w:hint="eastAsia"/>
                      <w:color w:val="auto"/>
                    </w:rPr>
                    <w:t>。</w:t>
                  </w:r>
                </w:p>
              </w:tc>
              <w:tc>
                <w:tcPr>
                  <w:tcW w:w="856" w:type="dxa"/>
                  <w:vAlign w:val="center"/>
                </w:tcPr>
                <w:p>
                  <w:pPr>
                    <w:pStyle w:val="11"/>
                    <w:jc w:val="center"/>
                    <w:rPr>
                      <w:color w:val="auto"/>
                    </w:rPr>
                  </w:pPr>
                  <w:r>
                    <w:rPr>
                      <w:rFonts w:hint="eastAsia"/>
                      <w:color w:val="auto"/>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58" w:type="dxa"/>
                  <w:vMerge w:val="continue"/>
                  <w:vAlign w:val="center"/>
                </w:tcPr>
                <w:p>
                  <w:pPr>
                    <w:pStyle w:val="11"/>
                    <w:rPr>
                      <w:color w:val="auto"/>
                    </w:rPr>
                  </w:pPr>
                </w:p>
              </w:tc>
              <w:tc>
                <w:tcPr>
                  <w:tcW w:w="4539" w:type="dxa"/>
                  <w:vAlign w:val="center"/>
                </w:tcPr>
                <w:p>
                  <w:pPr>
                    <w:pStyle w:val="11"/>
                    <w:jc w:val="both"/>
                    <w:rPr>
                      <w:color w:val="auto"/>
                    </w:rPr>
                  </w:pPr>
                  <w:r>
                    <w:rPr>
                      <w:rFonts w:hint="eastAsia"/>
                      <w:color w:val="auto"/>
                    </w:rPr>
                    <w:t>禁止在饮用水水源准保护区的岸线和河段范围内新建、扩建对水体污染严重的建设项目，禁止改建增加排污量的建设项目</w:t>
                  </w:r>
                </w:p>
              </w:tc>
              <w:tc>
                <w:tcPr>
                  <w:tcW w:w="1832" w:type="dxa"/>
                  <w:vAlign w:val="center"/>
                </w:tcPr>
                <w:p>
                  <w:pPr>
                    <w:pStyle w:val="11"/>
                    <w:jc w:val="center"/>
                    <w:rPr>
                      <w:color w:val="auto"/>
                    </w:rPr>
                  </w:pPr>
                  <w:r>
                    <w:rPr>
                      <w:rFonts w:hint="eastAsia"/>
                      <w:color w:val="auto"/>
                    </w:rPr>
                    <w:t>本项目不在饮用水水源准保护区岸线和河段范围内内。</w:t>
                  </w:r>
                </w:p>
              </w:tc>
              <w:tc>
                <w:tcPr>
                  <w:tcW w:w="856" w:type="dxa"/>
                  <w:vAlign w:val="center"/>
                </w:tcPr>
                <w:p>
                  <w:pPr>
                    <w:pStyle w:val="11"/>
                    <w:jc w:val="center"/>
                    <w:rPr>
                      <w:color w:val="auto"/>
                    </w:rPr>
                  </w:pPr>
                  <w:r>
                    <w:rPr>
                      <w:rFonts w:hint="eastAsia"/>
                      <w:color w:val="auto"/>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58" w:type="dxa"/>
                  <w:vMerge w:val="continue"/>
                  <w:vAlign w:val="center"/>
                </w:tcPr>
                <w:p>
                  <w:pPr>
                    <w:pStyle w:val="11"/>
                    <w:rPr>
                      <w:color w:val="auto"/>
                    </w:rPr>
                  </w:pPr>
                </w:p>
              </w:tc>
              <w:tc>
                <w:tcPr>
                  <w:tcW w:w="4539" w:type="dxa"/>
                  <w:vAlign w:val="center"/>
                </w:tcPr>
                <w:p>
                  <w:pPr>
                    <w:pStyle w:val="11"/>
                    <w:jc w:val="both"/>
                    <w:rPr>
                      <w:color w:val="auto"/>
                    </w:rPr>
                  </w:pPr>
                  <w:r>
                    <w:rPr>
                      <w:rFonts w:hint="eastAsia"/>
                      <w:color w:val="auto"/>
                    </w:rPr>
                    <w:t>禁止违法利用、占用长江流域河湖岸线。禁止在《长江岸线保护和开发利用总体规划》划定的岸线保护区和岸线保留区内投资建设除事关公共安全及公众利益的防洪护岸、河道治理、供水、生态环境保护、航道整治、国家重要基础设施以外的项目。</w:t>
                  </w:r>
                </w:p>
                <w:p>
                  <w:pPr>
                    <w:pStyle w:val="11"/>
                    <w:jc w:val="both"/>
                    <w:rPr>
                      <w:color w:val="auto"/>
                    </w:rPr>
                  </w:pPr>
                  <w:r>
                    <w:rPr>
                      <w:rFonts w:hint="eastAsia"/>
                      <w:color w:val="auto"/>
                    </w:rPr>
                    <w:t>禁止在《全国重要江河湖泊水功能区划》划定的河段及湖泊保护区、保留区内投资建设不利于水资源及自然生态保护的项目。</w:t>
                  </w:r>
                </w:p>
              </w:tc>
              <w:tc>
                <w:tcPr>
                  <w:tcW w:w="1832" w:type="dxa"/>
                  <w:vAlign w:val="center"/>
                </w:tcPr>
                <w:p>
                  <w:pPr>
                    <w:pStyle w:val="11"/>
                    <w:jc w:val="center"/>
                    <w:rPr>
                      <w:color w:val="auto"/>
                    </w:rPr>
                  </w:pPr>
                  <w:r>
                    <w:rPr>
                      <w:rFonts w:hint="eastAsia"/>
                      <w:color w:val="auto"/>
                    </w:rPr>
                    <w:t>本项目不属于《长江岸线保护和开发利用总体规划》划定的岸线保护区。</w:t>
                  </w:r>
                </w:p>
              </w:tc>
              <w:tc>
                <w:tcPr>
                  <w:tcW w:w="856" w:type="dxa"/>
                  <w:vAlign w:val="center"/>
                </w:tcPr>
                <w:p>
                  <w:pPr>
                    <w:pStyle w:val="11"/>
                    <w:jc w:val="center"/>
                    <w:rPr>
                      <w:color w:val="auto"/>
                    </w:rPr>
                  </w:pPr>
                  <w:r>
                    <w:rPr>
                      <w:rFonts w:hint="eastAsia"/>
                      <w:color w:val="auto"/>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58" w:type="dxa"/>
                  <w:vMerge w:val="continue"/>
                  <w:vAlign w:val="center"/>
                </w:tcPr>
                <w:p>
                  <w:pPr>
                    <w:pStyle w:val="11"/>
                    <w:rPr>
                      <w:color w:val="auto"/>
                    </w:rPr>
                  </w:pPr>
                </w:p>
              </w:tc>
              <w:tc>
                <w:tcPr>
                  <w:tcW w:w="4539" w:type="dxa"/>
                  <w:vAlign w:val="center"/>
                </w:tcPr>
                <w:p>
                  <w:pPr>
                    <w:pStyle w:val="11"/>
                    <w:jc w:val="both"/>
                    <w:rPr>
                      <w:color w:val="auto"/>
                    </w:rPr>
                  </w:pPr>
                  <w:r>
                    <w:rPr>
                      <w:rFonts w:hint="eastAsia"/>
                      <w:color w:val="auto"/>
                    </w:rPr>
                    <w:t>禁止在长江干支流、重要湖泊岸线一公里范围内新建、扩建化工园区和化工项目。</w:t>
                  </w:r>
                </w:p>
              </w:tc>
              <w:tc>
                <w:tcPr>
                  <w:tcW w:w="1832" w:type="dxa"/>
                  <w:vAlign w:val="center"/>
                </w:tcPr>
                <w:p>
                  <w:pPr>
                    <w:pStyle w:val="11"/>
                    <w:jc w:val="center"/>
                    <w:rPr>
                      <w:color w:val="auto"/>
                    </w:rPr>
                  </w:pPr>
                  <w:r>
                    <w:rPr>
                      <w:rFonts w:hint="eastAsia"/>
                      <w:color w:val="auto"/>
                    </w:rPr>
                    <w:t>本项目不属于化工行业。</w:t>
                  </w:r>
                </w:p>
              </w:tc>
              <w:tc>
                <w:tcPr>
                  <w:tcW w:w="856" w:type="dxa"/>
                  <w:vAlign w:val="center"/>
                </w:tcPr>
                <w:p>
                  <w:pPr>
                    <w:pStyle w:val="11"/>
                    <w:jc w:val="center"/>
                    <w:rPr>
                      <w:color w:val="auto"/>
                    </w:rPr>
                  </w:pPr>
                  <w:r>
                    <w:rPr>
                      <w:rFonts w:hint="eastAsia"/>
                      <w:color w:val="auto"/>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58" w:type="dxa"/>
                  <w:vMerge w:val="continue"/>
                  <w:vAlign w:val="center"/>
                </w:tcPr>
                <w:p>
                  <w:pPr>
                    <w:pStyle w:val="11"/>
                    <w:rPr>
                      <w:color w:val="auto"/>
                    </w:rPr>
                  </w:pPr>
                </w:p>
              </w:tc>
              <w:tc>
                <w:tcPr>
                  <w:tcW w:w="4539" w:type="dxa"/>
                  <w:vAlign w:val="center"/>
                </w:tcPr>
                <w:p>
                  <w:pPr>
                    <w:pStyle w:val="11"/>
                    <w:jc w:val="both"/>
                    <w:rPr>
                      <w:color w:val="auto"/>
                    </w:rPr>
                  </w:pPr>
                  <w:r>
                    <w:rPr>
                      <w:rFonts w:hint="eastAsia"/>
                      <w:color w:val="auto"/>
                    </w:rPr>
                    <w:t>禁止在合规园区外新建、扩建钢铁、石化、化工、焦化、建材、有色、制浆造纸等高污染项目。</w:t>
                  </w:r>
                </w:p>
              </w:tc>
              <w:tc>
                <w:tcPr>
                  <w:tcW w:w="1832" w:type="dxa"/>
                  <w:vAlign w:val="center"/>
                </w:tcPr>
                <w:p>
                  <w:pPr>
                    <w:pStyle w:val="11"/>
                    <w:jc w:val="center"/>
                    <w:rPr>
                      <w:color w:val="auto"/>
                    </w:rPr>
                  </w:pPr>
                  <w:r>
                    <w:rPr>
                      <w:rFonts w:hint="eastAsia"/>
                      <w:color w:val="auto"/>
                    </w:rPr>
                    <w:t>本项目位于工业园区内。</w:t>
                  </w:r>
                </w:p>
              </w:tc>
              <w:tc>
                <w:tcPr>
                  <w:tcW w:w="856" w:type="dxa"/>
                  <w:vAlign w:val="center"/>
                </w:tcPr>
                <w:p>
                  <w:pPr>
                    <w:pStyle w:val="11"/>
                    <w:jc w:val="center"/>
                    <w:rPr>
                      <w:color w:val="auto"/>
                    </w:rPr>
                  </w:pPr>
                  <w:r>
                    <w:rPr>
                      <w:rFonts w:hint="eastAsia"/>
                      <w:color w:val="auto"/>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58" w:type="dxa"/>
                  <w:vMerge w:val="continue"/>
                  <w:vAlign w:val="center"/>
                </w:tcPr>
                <w:p>
                  <w:pPr>
                    <w:pStyle w:val="11"/>
                    <w:rPr>
                      <w:color w:val="auto"/>
                    </w:rPr>
                  </w:pPr>
                </w:p>
              </w:tc>
              <w:tc>
                <w:tcPr>
                  <w:tcW w:w="4539" w:type="dxa"/>
                  <w:vAlign w:val="center"/>
                </w:tcPr>
                <w:p>
                  <w:pPr>
                    <w:pStyle w:val="11"/>
                    <w:jc w:val="both"/>
                    <w:rPr>
                      <w:color w:val="auto"/>
                    </w:rPr>
                  </w:pPr>
                  <w:r>
                    <w:rPr>
                      <w:rFonts w:hint="eastAsia"/>
                      <w:color w:val="auto"/>
                    </w:rPr>
                    <w:t>禁止新建、扩建法律法规和相关政策明令禁止的落后产能项目。对《产业结构调整指导目录》中淘汰类项目，禁止投资；限制类的新建项目，禁止投资，对属于限制类的现有生产能力，允许企业在一定期限内采取措施改造升级。</w:t>
                  </w:r>
                </w:p>
              </w:tc>
              <w:tc>
                <w:tcPr>
                  <w:tcW w:w="1832" w:type="dxa"/>
                  <w:vAlign w:val="center"/>
                </w:tcPr>
                <w:p>
                  <w:pPr>
                    <w:pStyle w:val="11"/>
                    <w:jc w:val="center"/>
                    <w:rPr>
                      <w:rFonts w:hint="default" w:eastAsia="宋体"/>
                      <w:color w:val="auto"/>
                      <w:lang w:val="en-US" w:eastAsia="zh-CN"/>
                    </w:rPr>
                  </w:pPr>
                  <w:r>
                    <w:rPr>
                      <w:rFonts w:hint="eastAsia"/>
                      <w:color w:val="auto"/>
                      <w:lang w:val="en-US" w:eastAsia="zh-CN"/>
                    </w:rPr>
                    <w:t>本项目的非金属废料和碎屑加工处理属于鼓励类。</w:t>
                  </w:r>
                </w:p>
              </w:tc>
              <w:tc>
                <w:tcPr>
                  <w:tcW w:w="856" w:type="dxa"/>
                  <w:vAlign w:val="center"/>
                </w:tcPr>
                <w:p>
                  <w:pPr>
                    <w:pStyle w:val="11"/>
                    <w:jc w:val="center"/>
                    <w:rPr>
                      <w:color w:val="auto"/>
                    </w:rPr>
                  </w:pPr>
                  <w:r>
                    <w:rPr>
                      <w:rFonts w:hint="eastAsia"/>
                      <w:color w:val="auto"/>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3" w:hRule="atLeast"/>
                <w:jc w:val="center"/>
              </w:trPr>
              <w:tc>
                <w:tcPr>
                  <w:tcW w:w="1158" w:type="dxa"/>
                  <w:vMerge w:val="continue"/>
                  <w:vAlign w:val="center"/>
                </w:tcPr>
                <w:p>
                  <w:pPr>
                    <w:pStyle w:val="11"/>
                    <w:rPr>
                      <w:color w:val="auto"/>
                    </w:rPr>
                  </w:pPr>
                </w:p>
              </w:tc>
              <w:tc>
                <w:tcPr>
                  <w:tcW w:w="4539" w:type="dxa"/>
                  <w:vAlign w:val="center"/>
                </w:tcPr>
                <w:p>
                  <w:pPr>
                    <w:pStyle w:val="11"/>
                    <w:jc w:val="both"/>
                    <w:rPr>
                      <w:color w:val="auto"/>
                    </w:rPr>
                  </w:pPr>
                  <w:r>
                    <w:rPr>
                      <w:rFonts w:hint="eastAsia"/>
                      <w:color w:val="auto"/>
                    </w:rPr>
                    <w:t>禁止新建、扩建不符合国家产能置换要求的严重过剩产能行业的项目。对于不符合国家产能置换要求的严重过剩产能行业，不得以其他任何名义、任何方式备案新增产能项目</w:t>
                  </w:r>
                </w:p>
              </w:tc>
              <w:tc>
                <w:tcPr>
                  <w:tcW w:w="1832" w:type="dxa"/>
                  <w:vAlign w:val="center"/>
                </w:tcPr>
                <w:p>
                  <w:pPr>
                    <w:pStyle w:val="11"/>
                    <w:jc w:val="center"/>
                    <w:rPr>
                      <w:color w:val="auto"/>
                    </w:rPr>
                  </w:pPr>
                  <w:r>
                    <w:rPr>
                      <w:rFonts w:hint="eastAsia"/>
                      <w:color w:val="auto"/>
                      <w:lang w:val="en-US" w:eastAsia="zh-CN"/>
                    </w:rPr>
                    <w:t>本项目</w:t>
                  </w:r>
                  <w:r>
                    <w:rPr>
                      <w:rFonts w:hint="eastAsia"/>
                      <w:color w:val="auto"/>
                    </w:rPr>
                    <w:t>不属于过剩产能行业的项目。</w:t>
                  </w:r>
                </w:p>
              </w:tc>
              <w:tc>
                <w:tcPr>
                  <w:tcW w:w="856" w:type="dxa"/>
                  <w:vAlign w:val="center"/>
                </w:tcPr>
                <w:p>
                  <w:pPr>
                    <w:pStyle w:val="11"/>
                    <w:jc w:val="center"/>
                    <w:rPr>
                      <w:color w:val="auto"/>
                    </w:rPr>
                  </w:pPr>
                  <w:r>
                    <w:rPr>
                      <w:rFonts w:hint="eastAsia"/>
                      <w:color w:val="auto"/>
                    </w:rPr>
                    <w:t>符合</w:t>
                  </w:r>
                </w:p>
              </w:tc>
            </w:tr>
            <w:bookmarkEnd w:id="32"/>
          </w:tbl>
          <w:p>
            <w:pPr>
              <w:autoSpaceDE w:val="0"/>
              <w:autoSpaceDN w:val="0"/>
              <w:adjustRightInd w:val="0"/>
              <w:snapToGrid w:val="0"/>
              <w:ind w:firstLine="482"/>
              <w:rPr>
                <w:b/>
                <w:bCs/>
                <w:color w:val="auto"/>
                <w:kern w:val="0"/>
                <w:szCs w:val="21"/>
                <w:lang w:val="zh-TW" w:eastAsia="zh-TW"/>
              </w:rPr>
            </w:pPr>
            <w:r>
              <w:rPr>
                <w:rFonts w:hint="eastAsia"/>
                <w:b/>
                <w:bCs/>
                <w:color w:val="auto"/>
                <w:kern w:val="0"/>
                <w:szCs w:val="21"/>
                <w:lang w:val="en-US" w:eastAsia="zh-CN"/>
              </w:rPr>
              <w:t>5</w:t>
            </w:r>
            <w:r>
              <w:rPr>
                <w:b/>
                <w:bCs/>
                <w:color w:val="auto"/>
                <w:kern w:val="0"/>
                <w:szCs w:val="21"/>
              </w:rPr>
              <w:t>、</w:t>
            </w:r>
            <w:r>
              <w:rPr>
                <w:b/>
                <w:bCs/>
                <w:color w:val="auto"/>
                <w:kern w:val="0"/>
                <w:szCs w:val="21"/>
                <w:lang w:val="zh-TW" w:eastAsia="zh-TW"/>
              </w:rPr>
              <w:t>项目与《四川省人民政府关于落实生态保护红线、环境质量底线、资源利用上线制定生态环境准入清单实施生态环境分区管控的通知》符合性分析</w:t>
            </w:r>
          </w:p>
          <w:p>
            <w:pPr>
              <w:ind w:firstLine="480"/>
              <w:rPr>
                <w:color w:val="auto"/>
                <w:kern w:val="0"/>
                <w:szCs w:val="21"/>
                <w:lang w:val="zh-TW" w:eastAsia="zh-TW"/>
              </w:rPr>
            </w:pPr>
            <w:r>
              <w:rPr>
                <w:color w:val="auto"/>
                <w:kern w:val="0"/>
                <w:szCs w:val="21"/>
                <w:lang w:val="zh-TW" w:eastAsia="zh-TW"/>
              </w:rPr>
              <w:t>本项目位于</w:t>
            </w:r>
            <w:r>
              <w:rPr>
                <w:rFonts w:hint="eastAsia"/>
                <w:color w:val="auto"/>
                <w:kern w:val="0"/>
                <w:szCs w:val="21"/>
                <w:lang w:val="zh-TW" w:eastAsia="zh-CN"/>
              </w:rPr>
              <w:t>四川省达州市宣汉县一号大道和四号大道交叉口东北180米</w:t>
            </w:r>
            <w:r>
              <w:rPr>
                <w:color w:val="auto"/>
                <w:kern w:val="0"/>
                <w:szCs w:val="21"/>
                <w:lang w:val="zh-TW" w:eastAsia="zh-TW"/>
              </w:rPr>
              <w:t>，根据《四川省人民政府关于落实生态保护红线、环境质量底线、资源利用上线制定生态环境准入清单实施生态环境分区管控的通知》中的相关内容及四川省生态环保厅“三线一单”数据分析系统查询结果</w:t>
            </w:r>
            <w:r>
              <w:rPr>
                <w:color w:val="auto"/>
                <w:kern w:val="0"/>
                <w:szCs w:val="21"/>
                <w:lang w:val="zh-TW"/>
              </w:rPr>
              <w:t>（</w:t>
            </w:r>
            <w:r>
              <w:rPr>
                <w:color w:val="auto"/>
                <w:kern w:val="0"/>
                <w:szCs w:val="21"/>
              </w:rPr>
              <w:t>见</w:t>
            </w:r>
            <w:r>
              <w:rPr>
                <w:rFonts w:hint="eastAsia"/>
                <w:color w:val="auto"/>
                <w:kern w:val="0"/>
                <w:szCs w:val="21"/>
              </w:rPr>
              <w:t>表1-</w:t>
            </w:r>
            <w:r>
              <w:rPr>
                <w:rFonts w:hint="eastAsia"/>
                <w:color w:val="auto"/>
                <w:kern w:val="0"/>
                <w:szCs w:val="21"/>
                <w:lang w:val="en-US" w:eastAsia="zh-CN"/>
              </w:rPr>
              <w:t>4</w:t>
            </w:r>
            <w:r>
              <w:rPr>
                <w:rFonts w:hint="eastAsia"/>
                <w:color w:val="auto"/>
                <w:kern w:val="0"/>
                <w:szCs w:val="21"/>
              </w:rPr>
              <w:t>，</w:t>
            </w:r>
            <w:r>
              <w:rPr>
                <w:color w:val="auto"/>
                <w:kern w:val="0"/>
                <w:szCs w:val="21"/>
              </w:rPr>
              <w:t>图1-1</w:t>
            </w:r>
            <w:r>
              <w:rPr>
                <w:rFonts w:hint="eastAsia"/>
                <w:color w:val="auto"/>
                <w:kern w:val="0"/>
                <w:szCs w:val="21"/>
                <w:lang w:eastAsia="zh-CN"/>
              </w:rPr>
              <w:t>，</w:t>
            </w:r>
            <w:r>
              <w:rPr>
                <w:color w:val="auto"/>
                <w:kern w:val="0"/>
                <w:szCs w:val="21"/>
              </w:rPr>
              <w:t>图1-</w:t>
            </w:r>
            <w:r>
              <w:rPr>
                <w:rFonts w:hint="eastAsia"/>
                <w:color w:val="auto"/>
                <w:kern w:val="0"/>
                <w:szCs w:val="21"/>
                <w:lang w:val="en-US" w:eastAsia="zh-CN"/>
              </w:rPr>
              <w:t>2</w:t>
            </w:r>
            <w:r>
              <w:rPr>
                <w:color w:val="auto"/>
                <w:kern w:val="0"/>
                <w:szCs w:val="21"/>
                <w:lang w:val="zh-TW"/>
              </w:rPr>
              <w:t>）</w:t>
            </w:r>
            <w:r>
              <w:rPr>
                <w:color w:val="auto"/>
                <w:kern w:val="0"/>
                <w:szCs w:val="21"/>
                <w:lang w:val="zh-TW" w:eastAsia="zh-TW"/>
              </w:rPr>
              <w:t>：</w:t>
            </w:r>
            <w:r>
              <w:rPr>
                <w:rFonts w:hint="eastAsia"/>
                <w:color w:val="auto"/>
                <w:lang w:eastAsia="zh-CN"/>
              </w:rPr>
              <w:t>年产7500吨农用塑料薄膜回收再利用项目</w:t>
            </w:r>
            <w:r>
              <w:rPr>
                <w:color w:val="auto"/>
              </w:rPr>
              <w:t>位于</w:t>
            </w:r>
            <w:r>
              <w:rPr>
                <w:rFonts w:hint="eastAsia"/>
                <w:lang w:val="en-US" w:eastAsia="zh-CN"/>
              </w:rPr>
              <w:t>后河特有鱼类国家级水产种质资源保护区、后河徐家坡水源地、达州市罗江库区集中式饮用水水源保护区</w:t>
            </w:r>
            <w:r>
              <w:rPr>
                <w:lang w:val="zh-TW" w:eastAsia="zh-TW"/>
              </w:rPr>
              <w:t>，</w:t>
            </w:r>
            <w:r>
              <w:rPr>
                <w:color w:val="auto"/>
                <w:kern w:val="0"/>
                <w:szCs w:val="21"/>
                <w:lang w:val="zh-TW" w:eastAsia="zh-TW"/>
              </w:rPr>
              <w:t>管控单元编号：</w:t>
            </w:r>
            <w:r>
              <w:rPr>
                <w:rFonts w:hint="eastAsia"/>
                <w:color w:val="auto"/>
                <w:kern w:val="0"/>
                <w:szCs w:val="21"/>
                <w:lang w:val="zh-TW" w:eastAsia="zh-CN"/>
              </w:rPr>
              <w:t>ZH51172210002</w:t>
            </w:r>
            <w:r>
              <w:rPr>
                <w:color w:val="auto"/>
                <w:kern w:val="0"/>
                <w:szCs w:val="21"/>
                <w:lang w:val="zh-TW"/>
              </w:rPr>
              <w:t>，</w:t>
            </w:r>
            <w:r>
              <w:rPr>
                <w:color w:val="auto"/>
                <w:kern w:val="0"/>
                <w:szCs w:val="21"/>
                <w:lang w:val="zh-TW" w:eastAsia="zh-TW"/>
              </w:rPr>
              <w:t>其中，</w:t>
            </w:r>
            <w:r>
              <w:rPr>
                <w:color w:val="auto"/>
                <w:lang w:val="zh-TW" w:eastAsia="zh-TW"/>
              </w:rPr>
              <w:t>优先保护单元中，应以生态环境保护优先为原则，严格执行相关法律、法规要求，严守生态环境质量底线，确保生态环境功能不降低</w:t>
            </w:r>
            <w:r>
              <w:rPr>
                <w:rFonts w:hint="eastAsia"/>
                <w:color w:val="auto"/>
                <w:lang w:val="zh-TW"/>
              </w:rPr>
              <w:t>。</w:t>
            </w:r>
          </w:p>
          <w:tbl>
            <w:tblPr>
              <w:tblStyle w:val="6"/>
              <w:tblW w:w="813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1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130" w:type="dxa"/>
                  <w:tcBorders>
                    <w:tl2br w:val="nil"/>
                    <w:tr2bl w:val="nil"/>
                  </w:tcBorders>
                </w:tcPr>
                <w:p>
                  <w:pPr>
                    <w:pStyle w:val="11"/>
                    <w:jc w:val="center"/>
                    <w:rPr>
                      <w:rFonts w:eastAsia="Helvetica"/>
                      <w:color w:val="auto"/>
                      <w:sz w:val="28"/>
                    </w:rPr>
                  </w:pPr>
                  <w:r>
                    <w:drawing>
                      <wp:inline distT="0" distB="0" distL="114300" distR="114300">
                        <wp:extent cx="4768215" cy="2844165"/>
                        <wp:effectExtent l="0" t="0" r="1905" b="5715"/>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5"/>
                                <a:stretch>
                                  <a:fillRect/>
                                </a:stretch>
                              </pic:blipFill>
                              <pic:spPr>
                                <a:xfrm>
                                  <a:off x="0" y="0"/>
                                  <a:ext cx="4768215" cy="284416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130" w:type="dxa"/>
                  <w:tcBorders>
                    <w:tl2br w:val="nil"/>
                    <w:tr2bl w:val="nil"/>
                  </w:tcBorders>
                </w:tcPr>
                <w:p>
                  <w:pPr>
                    <w:pStyle w:val="11"/>
                    <w:jc w:val="center"/>
                    <w:rPr>
                      <w:rFonts w:hint="default" w:eastAsia="宋体"/>
                      <w:color w:val="auto"/>
                      <w:sz w:val="28"/>
                      <w:lang w:val="en-US" w:eastAsia="zh-CN"/>
                    </w:rPr>
                  </w:pPr>
                  <w:r>
                    <w:rPr>
                      <w:b/>
                      <w:bCs/>
                      <w:color w:val="auto"/>
                    </w:rPr>
                    <w:t>图1-1</w:t>
                  </w:r>
                  <w:r>
                    <w:rPr>
                      <w:rFonts w:hint="eastAsia"/>
                      <w:b/>
                      <w:bCs/>
                      <w:color w:val="auto"/>
                    </w:rPr>
                    <w:t>项目所在区域</w:t>
                  </w:r>
                  <w:r>
                    <w:rPr>
                      <w:rFonts w:hint="eastAsia"/>
                      <w:b/>
                      <w:bCs/>
                      <w:color w:val="auto"/>
                      <w:lang w:eastAsia="zh-CN"/>
                    </w:rPr>
                    <w:t>“</w:t>
                  </w:r>
                  <w:r>
                    <w:rPr>
                      <w:rFonts w:hint="eastAsia"/>
                      <w:b/>
                      <w:bCs/>
                      <w:color w:val="auto"/>
                      <w:lang w:val="en-US" w:eastAsia="zh-CN"/>
                    </w:rPr>
                    <w:t>三线一单</w:t>
                  </w:r>
                  <w:r>
                    <w:rPr>
                      <w:rFonts w:hint="eastAsia"/>
                      <w:b/>
                      <w:bCs/>
                      <w:color w:val="auto"/>
                      <w:lang w:eastAsia="zh-CN"/>
                    </w:rPr>
                    <w:t>”</w:t>
                  </w:r>
                  <w:r>
                    <w:rPr>
                      <w:rFonts w:hint="eastAsia"/>
                      <w:b/>
                      <w:bCs/>
                      <w:color w:val="auto"/>
                      <w:lang w:val="en-US" w:eastAsia="zh-CN"/>
                    </w:rPr>
                    <w:t>符合性分析查询结果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130" w:type="dxa"/>
                  <w:tcBorders>
                    <w:tl2br w:val="nil"/>
                    <w:tr2bl w:val="nil"/>
                  </w:tcBorders>
                </w:tcPr>
                <w:p>
                  <w:pPr>
                    <w:pStyle w:val="11"/>
                    <w:jc w:val="center"/>
                    <w:rPr>
                      <w:rFonts w:eastAsia="Helvetica"/>
                      <w:color w:val="auto"/>
                      <w:sz w:val="28"/>
                    </w:rPr>
                  </w:pPr>
                  <w:r>
                    <w:drawing>
                      <wp:inline distT="0" distB="0" distL="114300" distR="114300">
                        <wp:extent cx="4811395" cy="2592070"/>
                        <wp:effectExtent l="0" t="0" r="4445" b="13970"/>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16"/>
                                <a:stretch>
                                  <a:fillRect/>
                                </a:stretch>
                              </pic:blipFill>
                              <pic:spPr>
                                <a:xfrm>
                                  <a:off x="0" y="0"/>
                                  <a:ext cx="4811395" cy="259207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130" w:type="dxa"/>
                  <w:tcBorders>
                    <w:tl2br w:val="nil"/>
                    <w:tr2bl w:val="nil"/>
                  </w:tcBorders>
                </w:tcPr>
                <w:p>
                  <w:pPr>
                    <w:pStyle w:val="11"/>
                    <w:jc w:val="center"/>
                    <w:rPr>
                      <w:color w:val="auto"/>
                    </w:rPr>
                  </w:pPr>
                  <w:r>
                    <w:rPr>
                      <w:b/>
                      <w:bCs/>
                      <w:color w:val="auto"/>
                    </w:rPr>
                    <w:t>图1-</w:t>
                  </w:r>
                  <w:r>
                    <w:rPr>
                      <w:rFonts w:hint="eastAsia"/>
                      <w:b/>
                      <w:bCs/>
                      <w:color w:val="auto"/>
                      <w:lang w:val="en-US" w:eastAsia="zh-CN"/>
                    </w:rPr>
                    <w:t>2</w:t>
                  </w:r>
                  <w:r>
                    <w:rPr>
                      <w:rFonts w:hint="eastAsia"/>
                      <w:b/>
                      <w:bCs/>
                      <w:color w:val="auto"/>
                    </w:rPr>
                    <w:t>项目所在区域环境管控单元的位置关系图</w:t>
                  </w:r>
                </w:p>
              </w:tc>
            </w:tr>
          </w:tbl>
          <w:p>
            <w:pPr>
              <w:pStyle w:val="11"/>
              <w:jc w:val="center"/>
              <w:rPr>
                <w:b/>
                <w:bCs/>
                <w:color w:val="auto"/>
              </w:rPr>
            </w:pPr>
            <w:r>
              <w:rPr>
                <w:rFonts w:hint="eastAsia"/>
                <w:b/>
                <w:bCs/>
                <w:color w:val="auto"/>
                <w:lang w:val="en-US" w:eastAsia="zh-CN"/>
              </w:rPr>
              <w:t>表</w:t>
            </w:r>
            <w:r>
              <w:rPr>
                <w:b/>
                <w:bCs/>
                <w:color w:val="auto"/>
                <w:lang w:val="zh-TW" w:eastAsia="zh-TW"/>
              </w:rPr>
              <w:t>1-</w:t>
            </w:r>
            <w:r>
              <w:rPr>
                <w:rFonts w:hint="eastAsia"/>
                <w:b/>
                <w:bCs/>
                <w:color w:val="auto"/>
                <w:lang w:val="en-US" w:eastAsia="zh-CN"/>
              </w:rPr>
              <w:t>5</w:t>
            </w:r>
            <w:r>
              <w:rPr>
                <w:b/>
                <w:bCs/>
                <w:color w:val="auto"/>
                <w:lang w:val="zh-TW" w:eastAsia="zh-TW"/>
              </w:rPr>
              <w:t xml:space="preserve">   四川省生态环保厅“三线一单”数据分析系统查询</w:t>
            </w:r>
            <w:r>
              <w:rPr>
                <w:rFonts w:hint="eastAsia"/>
                <w:b/>
                <w:bCs/>
                <w:color w:val="auto"/>
              </w:rPr>
              <w:t>表</w:t>
            </w:r>
          </w:p>
          <w:tbl>
            <w:tblPr>
              <w:tblStyle w:val="6"/>
              <w:tblW w:w="8300" w:type="dxa"/>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53"/>
              <w:gridCol w:w="2666"/>
              <w:gridCol w:w="1137"/>
              <w:gridCol w:w="1042"/>
              <w:gridCol w:w="1200"/>
              <w:gridCol w:w="1102"/>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53" w:type="dxa"/>
                  <w:tcBorders>
                    <w:tl2br w:val="nil"/>
                    <w:tr2bl w:val="nil"/>
                  </w:tcBorders>
                  <w:vAlign w:val="center"/>
                </w:tcPr>
                <w:p>
                  <w:pPr>
                    <w:widowControl/>
                    <w:spacing w:line="240" w:lineRule="auto"/>
                    <w:ind w:firstLine="0" w:firstLineChars="0"/>
                    <w:jc w:val="center"/>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环境管控</w:t>
                  </w:r>
                </w:p>
                <w:p>
                  <w:pPr>
                    <w:widowControl/>
                    <w:spacing w:line="240" w:lineRule="auto"/>
                    <w:ind w:firstLine="0" w:firstLineChars="0"/>
                    <w:jc w:val="center"/>
                    <w:rPr>
                      <w:rFonts w:hint="default" w:ascii="Times New Roman" w:hAnsi="Times New Roman" w:cs="Times New Roman"/>
                      <w:color w:val="auto"/>
                      <w:kern w:val="0"/>
                      <w:szCs w:val="21"/>
                      <w:lang w:val="zh-TW" w:eastAsia="zh-TW"/>
                    </w:rPr>
                  </w:pPr>
                  <w:r>
                    <w:rPr>
                      <w:rFonts w:hint="default" w:ascii="Times New Roman" w:hAnsi="Times New Roman" w:cs="Times New Roman"/>
                      <w:b/>
                      <w:bCs/>
                      <w:color w:val="auto"/>
                      <w:kern w:val="0"/>
                      <w:sz w:val="21"/>
                      <w:szCs w:val="21"/>
                    </w:rPr>
                    <w:t>单元编码</w:t>
                  </w:r>
                </w:p>
              </w:tc>
              <w:tc>
                <w:tcPr>
                  <w:tcW w:w="2666" w:type="dxa"/>
                  <w:tcBorders>
                    <w:tl2br w:val="nil"/>
                    <w:tr2bl w:val="nil"/>
                  </w:tcBorders>
                  <w:vAlign w:val="center"/>
                </w:tcPr>
                <w:p>
                  <w:pPr>
                    <w:widowControl/>
                    <w:spacing w:line="240" w:lineRule="auto"/>
                    <w:ind w:firstLine="0" w:firstLineChars="0"/>
                    <w:jc w:val="center"/>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环境管控</w:t>
                  </w:r>
                </w:p>
                <w:p>
                  <w:pPr>
                    <w:widowControl/>
                    <w:spacing w:line="240" w:lineRule="auto"/>
                    <w:ind w:firstLine="0" w:firstLineChars="0"/>
                    <w:jc w:val="center"/>
                    <w:rPr>
                      <w:rFonts w:hint="default" w:ascii="Times New Roman" w:hAnsi="Times New Roman" w:cs="Times New Roman"/>
                      <w:color w:val="auto"/>
                      <w:kern w:val="0"/>
                      <w:szCs w:val="21"/>
                      <w:lang w:val="zh-TW" w:eastAsia="zh-TW"/>
                    </w:rPr>
                  </w:pPr>
                  <w:r>
                    <w:rPr>
                      <w:rFonts w:hint="default" w:ascii="Times New Roman" w:hAnsi="Times New Roman" w:cs="Times New Roman"/>
                      <w:b/>
                      <w:bCs/>
                      <w:color w:val="auto"/>
                      <w:kern w:val="0"/>
                      <w:sz w:val="21"/>
                      <w:szCs w:val="21"/>
                    </w:rPr>
                    <w:t>单元名称</w:t>
                  </w:r>
                </w:p>
              </w:tc>
              <w:tc>
                <w:tcPr>
                  <w:tcW w:w="1137" w:type="dxa"/>
                  <w:tcBorders>
                    <w:tl2br w:val="nil"/>
                    <w:tr2bl w:val="nil"/>
                  </w:tcBorders>
                  <w:vAlign w:val="center"/>
                </w:tcPr>
                <w:p>
                  <w:pPr>
                    <w:widowControl/>
                    <w:spacing w:line="240" w:lineRule="auto"/>
                    <w:ind w:firstLine="0" w:firstLineChars="0"/>
                    <w:jc w:val="center"/>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所属</w:t>
                  </w:r>
                </w:p>
                <w:p>
                  <w:pPr>
                    <w:widowControl/>
                    <w:spacing w:line="240" w:lineRule="auto"/>
                    <w:ind w:firstLine="0" w:firstLineChars="0"/>
                    <w:jc w:val="center"/>
                    <w:rPr>
                      <w:rFonts w:hint="default" w:ascii="Times New Roman" w:hAnsi="Times New Roman" w:cs="Times New Roman"/>
                      <w:color w:val="auto"/>
                      <w:kern w:val="0"/>
                      <w:szCs w:val="21"/>
                      <w:lang w:val="zh-TW" w:eastAsia="zh-TW"/>
                    </w:rPr>
                  </w:pPr>
                  <w:r>
                    <w:rPr>
                      <w:rFonts w:hint="default" w:ascii="Times New Roman" w:hAnsi="Times New Roman" w:cs="Times New Roman"/>
                      <w:b/>
                      <w:bCs/>
                      <w:color w:val="auto"/>
                      <w:kern w:val="0"/>
                      <w:sz w:val="21"/>
                      <w:szCs w:val="21"/>
                    </w:rPr>
                    <w:t>市（州）</w:t>
                  </w:r>
                </w:p>
              </w:tc>
              <w:tc>
                <w:tcPr>
                  <w:tcW w:w="1042" w:type="dxa"/>
                  <w:tcBorders>
                    <w:tl2br w:val="nil"/>
                    <w:tr2bl w:val="nil"/>
                  </w:tcBorders>
                  <w:vAlign w:val="center"/>
                </w:tcPr>
                <w:p>
                  <w:pPr>
                    <w:widowControl/>
                    <w:spacing w:line="240" w:lineRule="auto"/>
                    <w:ind w:firstLine="0" w:firstLineChars="0"/>
                    <w:jc w:val="center"/>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所属</w:t>
                  </w:r>
                </w:p>
                <w:p>
                  <w:pPr>
                    <w:widowControl/>
                    <w:spacing w:line="240" w:lineRule="auto"/>
                    <w:ind w:firstLine="0" w:firstLineChars="0"/>
                    <w:jc w:val="center"/>
                    <w:rPr>
                      <w:rFonts w:hint="default" w:ascii="Times New Roman" w:hAnsi="Times New Roman" w:cs="Times New Roman"/>
                      <w:color w:val="auto"/>
                      <w:kern w:val="0"/>
                      <w:szCs w:val="21"/>
                      <w:lang w:val="zh-TW" w:eastAsia="zh-TW"/>
                    </w:rPr>
                  </w:pPr>
                  <w:r>
                    <w:rPr>
                      <w:rFonts w:hint="default" w:ascii="Times New Roman" w:hAnsi="Times New Roman" w:cs="Times New Roman"/>
                      <w:b/>
                      <w:bCs/>
                      <w:color w:val="auto"/>
                      <w:kern w:val="0"/>
                      <w:sz w:val="21"/>
                      <w:szCs w:val="21"/>
                    </w:rPr>
                    <w:t>区县</w:t>
                  </w:r>
                </w:p>
              </w:tc>
              <w:tc>
                <w:tcPr>
                  <w:tcW w:w="1200" w:type="dxa"/>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auto"/>
                      <w:kern w:val="0"/>
                      <w:szCs w:val="21"/>
                      <w:lang w:val="zh-TW" w:eastAsia="zh-TW"/>
                    </w:rPr>
                  </w:pPr>
                  <w:r>
                    <w:rPr>
                      <w:rFonts w:hint="default" w:ascii="Times New Roman" w:hAnsi="Times New Roman" w:cs="Times New Roman"/>
                      <w:b/>
                      <w:bCs/>
                      <w:color w:val="auto"/>
                      <w:kern w:val="0"/>
                      <w:sz w:val="21"/>
                      <w:szCs w:val="21"/>
                    </w:rPr>
                    <w:t>准入清单类型</w:t>
                  </w:r>
                </w:p>
              </w:tc>
              <w:tc>
                <w:tcPr>
                  <w:tcW w:w="1102" w:type="dxa"/>
                  <w:tcBorders>
                    <w:tl2br w:val="nil"/>
                    <w:tr2bl w:val="nil"/>
                  </w:tcBorders>
                  <w:vAlign w:val="center"/>
                </w:tcPr>
                <w:p>
                  <w:pPr>
                    <w:widowControl/>
                    <w:spacing w:line="240" w:lineRule="auto"/>
                    <w:ind w:firstLine="0" w:firstLineChars="0"/>
                    <w:jc w:val="center"/>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管控</w:t>
                  </w:r>
                </w:p>
                <w:p>
                  <w:pPr>
                    <w:widowControl/>
                    <w:spacing w:line="240" w:lineRule="auto"/>
                    <w:ind w:firstLine="0" w:firstLineChars="0"/>
                    <w:jc w:val="center"/>
                    <w:rPr>
                      <w:rFonts w:hint="default" w:ascii="Times New Roman" w:hAnsi="Times New Roman" w:cs="Times New Roman"/>
                      <w:color w:val="auto"/>
                      <w:kern w:val="0"/>
                      <w:szCs w:val="21"/>
                      <w:lang w:val="zh-TW" w:eastAsia="zh-TW"/>
                    </w:rPr>
                  </w:pPr>
                  <w:r>
                    <w:rPr>
                      <w:rFonts w:hint="default" w:ascii="Times New Roman" w:hAnsi="Times New Roman" w:cs="Times New Roman"/>
                      <w:b/>
                      <w:bCs/>
                      <w:color w:val="auto"/>
                      <w:kern w:val="0"/>
                      <w:sz w:val="21"/>
                      <w:szCs w:val="21"/>
                    </w:rPr>
                    <w:t>类型</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53" w:type="dxa"/>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auto"/>
                      <w:kern w:val="0"/>
                      <w:szCs w:val="21"/>
                      <w:lang w:val="zh-TW" w:eastAsia="zh-TW"/>
                    </w:rPr>
                  </w:pPr>
                  <w:r>
                    <w:rPr>
                      <w:rStyle w:val="7"/>
                      <w:rFonts w:hint="default" w:ascii="Times New Roman" w:hAnsi="Times New Roman" w:eastAsia="宋体" w:cs="Times New Roman"/>
                      <w:kern w:val="2"/>
                      <w:sz w:val="21"/>
                      <w:szCs w:val="21"/>
                      <w:lang w:val="en-US" w:eastAsia="zh-CN" w:bidi="ar-SA"/>
                    </w:rPr>
                    <w:t>ZH51172210002</w:t>
                  </w:r>
                </w:p>
              </w:tc>
              <w:tc>
                <w:tcPr>
                  <w:tcW w:w="2666" w:type="dxa"/>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auto"/>
                      <w:kern w:val="0"/>
                      <w:szCs w:val="21"/>
                      <w:lang w:val="zh-TW" w:eastAsia="zh-TW"/>
                    </w:rPr>
                  </w:pPr>
                  <w:r>
                    <w:rPr>
                      <w:rStyle w:val="7"/>
                      <w:rFonts w:hint="default" w:ascii="Times New Roman" w:hAnsi="Times New Roman" w:eastAsia="宋体" w:cs="Times New Roman"/>
                      <w:kern w:val="2"/>
                      <w:sz w:val="21"/>
                      <w:szCs w:val="21"/>
                      <w:lang w:val="en-US" w:eastAsia="zh-CN" w:bidi="ar-SA"/>
                    </w:rPr>
                    <w:t>后河特有鱼类国家级水产种质资源保护区、后河徐家坡水源地、达州市罗江库区集中式饮用水水源保护区</w:t>
                  </w:r>
                </w:p>
              </w:tc>
              <w:tc>
                <w:tcPr>
                  <w:tcW w:w="1137" w:type="dxa"/>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auto"/>
                      <w:kern w:val="0"/>
                      <w:szCs w:val="21"/>
                      <w:lang w:val="zh-TW" w:eastAsia="zh-TW"/>
                    </w:rPr>
                  </w:pPr>
                  <w:r>
                    <w:rPr>
                      <w:rStyle w:val="7"/>
                      <w:rFonts w:hint="default" w:ascii="Times New Roman" w:hAnsi="Times New Roman" w:eastAsia="宋体" w:cs="Times New Roman"/>
                      <w:kern w:val="2"/>
                      <w:sz w:val="21"/>
                      <w:szCs w:val="21"/>
                      <w:lang w:val="en-US" w:eastAsia="zh-CN" w:bidi="ar-SA"/>
                    </w:rPr>
                    <w:t>达州市</w:t>
                  </w:r>
                </w:p>
              </w:tc>
              <w:tc>
                <w:tcPr>
                  <w:tcW w:w="1042" w:type="dxa"/>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auto"/>
                      <w:kern w:val="0"/>
                      <w:szCs w:val="21"/>
                      <w:lang w:val="zh-TW" w:eastAsia="zh-TW"/>
                    </w:rPr>
                  </w:pPr>
                  <w:r>
                    <w:rPr>
                      <w:rStyle w:val="7"/>
                      <w:rFonts w:hint="default" w:ascii="Times New Roman" w:hAnsi="Times New Roman" w:eastAsia="宋体" w:cs="Times New Roman"/>
                      <w:kern w:val="2"/>
                      <w:sz w:val="21"/>
                      <w:szCs w:val="21"/>
                      <w:lang w:val="en-US" w:eastAsia="zh-CN" w:bidi="ar-SA"/>
                    </w:rPr>
                    <w:t>宣汉县</w:t>
                  </w:r>
                </w:p>
              </w:tc>
              <w:tc>
                <w:tcPr>
                  <w:tcW w:w="1200" w:type="dxa"/>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auto"/>
                      <w:kern w:val="0"/>
                      <w:szCs w:val="21"/>
                      <w:lang w:val="zh-TW" w:eastAsia="zh-TW"/>
                    </w:rPr>
                  </w:pPr>
                  <w:r>
                    <w:rPr>
                      <w:rStyle w:val="7"/>
                      <w:rFonts w:hint="default" w:ascii="Times New Roman" w:hAnsi="Times New Roman" w:eastAsia="宋体" w:cs="Times New Roman"/>
                      <w:kern w:val="2"/>
                      <w:sz w:val="21"/>
                      <w:szCs w:val="21"/>
                      <w:lang w:val="en-US" w:eastAsia="zh-CN" w:bidi="ar-SA"/>
                    </w:rPr>
                    <w:t>环境管控单元</w:t>
                  </w:r>
                </w:p>
              </w:tc>
              <w:tc>
                <w:tcPr>
                  <w:tcW w:w="1102" w:type="dxa"/>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auto"/>
                      <w:kern w:val="0"/>
                      <w:szCs w:val="21"/>
                      <w:lang w:val="zh-TW" w:eastAsia="zh-TW"/>
                    </w:rPr>
                  </w:pPr>
                  <w:r>
                    <w:rPr>
                      <w:rStyle w:val="7"/>
                      <w:rFonts w:hint="default" w:ascii="Times New Roman" w:hAnsi="Times New Roman" w:eastAsia="宋体" w:cs="Times New Roman"/>
                      <w:kern w:val="2"/>
                      <w:sz w:val="21"/>
                      <w:szCs w:val="21"/>
                      <w:lang w:val="en-US" w:eastAsia="zh-CN" w:bidi="ar-SA"/>
                    </w:rPr>
                    <w:t>环境综合管控单元优先保护单元</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53" w:type="dxa"/>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auto"/>
                      <w:kern w:val="0"/>
                      <w:szCs w:val="21"/>
                      <w:lang w:val="zh-TW" w:eastAsia="zh-TW"/>
                    </w:rPr>
                  </w:pPr>
                  <w:r>
                    <w:rPr>
                      <w:rStyle w:val="7"/>
                      <w:rFonts w:hint="default" w:ascii="Times New Roman" w:hAnsi="Times New Roman" w:eastAsia="宋体" w:cs="Times New Roman"/>
                      <w:kern w:val="2"/>
                      <w:sz w:val="21"/>
                      <w:szCs w:val="21"/>
                      <w:lang w:val="en-US" w:eastAsia="zh-CN" w:bidi="ar-SA"/>
                    </w:rPr>
                    <w:t>YS5117221130019</w:t>
                  </w:r>
                </w:p>
              </w:tc>
              <w:tc>
                <w:tcPr>
                  <w:tcW w:w="2666" w:type="dxa"/>
                  <w:tcBorders>
                    <w:tl2br w:val="nil"/>
                    <w:tr2bl w:val="nil"/>
                  </w:tcBorders>
                  <w:vAlign w:val="center"/>
                </w:tcPr>
                <w:p>
                  <w:pPr>
                    <w:widowControl/>
                    <w:spacing w:line="240" w:lineRule="auto"/>
                    <w:ind w:firstLine="0" w:firstLineChars="0"/>
                    <w:jc w:val="center"/>
                    <w:rPr>
                      <w:rStyle w:val="7"/>
                      <w:rFonts w:hint="default" w:ascii="Times New Roman" w:hAnsi="Times New Roman" w:eastAsia="宋体" w:cs="Times New Roman"/>
                      <w:kern w:val="2"/>
                      <w:sz w:val="21"/>
                      <w:szCs w:val="21"/>
                      <w:lang w:val="en-US" w:eastAsia="zh-CN" w:bidi="ar-SA"/>
                    </w:rPr>
                  </w:pPr>
                  <w:r>
                    <w:rPr>
                      <w:rStyle w:val="7"/>
                      <w:rFonts w:hint="default" w:ascii="Times New Roman" w:hAnsi="Times New Roman" w:eastAsia="宋体" w:cs="Times New Roman"/>
                      <w:kern w:val="2"/>
                      <w:sz w:val="21"/>
                      <w:szCs w:val="21"/>
                      <w:lang w:val="en-US" w:eastAsia="zh-CN" w:bidi="ar-SA"/>
                    </w:rPr>
                    <w:t>生态优先保护区</w:t>
                  </w:r>
                </w:p>
                <w:p>
                  <w:pPr>
                    <w:widowControl/>
                    <w:spacing w:line="240" w:lineRule="auto"/>
                    <w:ind w:firstLine="0" w:firstLineChars="0"/>
                    <w:jc w:val="center"/>
                    <w:rPr>
                      <w:rFonts w:hint="default" w:ascii="Times New Roman" w:hAnsi="Times New Roman" w:cs="Times New Roman"/>
                      <w:color w:val="auto"/>
                      <w:kern w:val="0"/>
                      <w:szCs w:val="21"/>
                      <w:lang w:val="zh-TW" w:eastAsia="zh-TW"/>
                    </w:rPr>
                  </w:pPr>
                  <w:r>
                    <w:rPr>
                      <w:rStyle w:val="7"/>
                      <w:rFonts w:hint="default" w:ascii="Times New Roman" w:hAnsi="Times New Roman" w:eastAsia="宋体" w:cs="Times New Roman"/>
                      <w:kern w:val="2"/>
                      <w:sz w:val="21"/>
                      <w:szCs w:val="21"/>
                      <w:lang w:val="en-US" w:eastAsia="zh-CN" w:bidi="ar-SA"/>
                    </w:rPr>
                    <w:t>（一般生态空间）</w:t>
                  </w:r>
                </w:p>
              </w:tc>
              <w:tc>
                <w:tcPr>
                  <w:tcW w:w="1137" w:type="dxa"/>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auto"/>
                      <w:kern w:val="0"/>
                      <w:szCs w:val="21"/>
                      <w:lang w:val="zh-TW" w:eastAsia="zh-TW"/>
                    </w:rPr>
                  </w:pPr>
                  <w:r>
                    <w:rPr>
                      <w:rStyle w:val="7"/>
                      <w:rFonts w:hint="default" w:ascii="Times New Roman" w:hAnsi="Times New Roman" w:eastAsia="宋体" w:cs="Times New Roman"/>
                      <w:kern w:val="2"/>
                      <w:sz w:val="21"/>
                      <w:szCs w:val="21"/>
                      <w:lang w:val="en-US" w:eastAsia="zh-CN" w:bidi="ar-SA"/>
                    </w:rPr>
                    <w:t>达州市</w:t>
                  </w:r>
                </w:p>
              </w:tc>
              <w:tc>
                <w:tcPr>
                  <w:tcW w:w="1042" w:type="dxa"/>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auto"/>
                      <w:kern w:val="0"/>
                      <w:szCs w:val="21"/>
                      <w:lang w:val="zh-TW" w:eastAsia="zh-TW"/>
                    </w:rPr>
                  </w:pPr>
                  <w:r>
                    <w:rPr>
                      <w:rStyle w:val="7"/>
                      <w:rFonts w:hint="default" w:ascii="Times New Roman" w:hAnsi="Times New Roman" w:eastAsia="宋体" w:cs="Times New Roman"/>
                      <w:kern w:val="2"/>
                      <w:sz w:val="21"/>
                      <w:szCs w:val="21"/>
                      <w:lang w:val="en-US" w:eastAsia="zh-CN" w:bidi="ar-SA"/>
                    </w:rPr>
                    <w:t>宣汉县</w:t>
                  </w:r>
                </w:p>
              </w:tc>
              <w:tc>
                <w:tcPr>
                  <w:tcW w:w="1200" w:type="dxa"/>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auto"/>
                      <w:kern w:val="0"/>
                      <w:szCs w:val="21"/>
                      <w:lang w:val="zh-TW" w:eastAsia="zh-TW"/>
                    </w:rPr>
                  </w:pPr>
                  <w:r>
                    <w:rPr>
                      <w:rStyle w:val="7"/>
                      <w:rFonts w:hint="default" w:ascii="Times New Roman" w:hAnsi="Times New Roman" w:eastAsia="宋体" w:cs="Times New Roman"/>
                      <w:kern w:val="2"/>
                      <w:sz w:val="21"/>
                      <w:szCs w:val="21"/>
                      <w:lang w:val="en-US" w:eastAsia="zh-CN" w:bidi="ar-SA"/>
                    </w:rPr>
                    <w:t>生态空间分区</w:t>
                  </w:r>
                </w:p>
              </w:tc>
              <w:tc>
                <w:tcPr>
                  <w:tcW w:w="1102" w:type="dxa"/>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auto"/>
                      <w:kern w:val="0"/>
                      <w:szCs w:val="21"/>
                      <w:lang w:val="zh-TW" w:eastAsia="zh-TW"/>
                    </w:rPr>
                  </w:pPr>
                  <w:r>
                    <w:rPr>
                      <w:rStyle w:val="7"/>
                      <w:rFonts w:hint="default" w:ascii="Times New Roman" w:hAnsi="Times New Roman" w:eastAsia="宋体" w:cs="Times New Roman"/>
                      <w:kern w:val="2"/>
                      <w:sz w:val="21"/>
                      <w:szCs w:val="21"/>
                      <w:lang w:val="en-US" w:eastAsia="zh-CN" w:bidi="ar-SA"/>
                    </w:rPr>
                    <w:t>生态空间分区一般生态空间</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53" w:type="dxa"/>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auto"/>
                      <w:kern w:val="0"/>
                      <w:szCs w:val="21"/>
                      <w:lang w:val="zh-TW" w:eastAsia="zh-TW"/>
                    </w:rPr>
                  </w:pPr>
                  <w:r>
                    <w:rPr>
                      <w:rStyle w:val="7"/>
                      <w:rFonts w:hint="default" w:ascii="Times New Roman" w:hAnsi="Times New Roman" w:eastAsia="宋体" w:cs="Times New Roman"/>
                      <w:kern w:val="2"/>
                      <w:sz w:val="21"/>
                      <w:szCs w:val="21"/>
                      <w:lang w:val="en-US" w:eastAsia="zh-CN" w:bidi="ar-SA"/>
                    </w:rPr>
                    <w:t>YS5117221210003</w:t>
                  </w:r>
                </w:p>
              </w:tc>
              <w:tc>
                <w:tcPr>
                  <w:tcW w:w="2666" w:type="dxa"/>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auto"/>
                      <w:kern w:val="0"/>
                      <w:szCs w:val="21"/>
                      <w:lang w:val="zh-TW" w:eastAsia="zh-TW"/>
                    </w:rPr>
                  </w:pPr>
                  <w:r>
                    <w:rPr>
                      <w:rStyle w:val="7"/>
                      <w:rFonts w:hint="default" w:ascii="Times New Roman" w:hAnsi="Times New Roman" w:eastAsia="宋体" w:cs="Times New Roman"/>
                      <w:kern w:val="2"/>
                      <w:sz w:val="21"/>
                      <w:szCs w:val="21"/>
                      <w:lang w:val="en-US" w:eastAsia="zh-CN" w:bidi="ar-SA"/>
                    </w:rPr>
                    <w:t>州河宣汉县张鼓坪控制单元</w:t>
                  </w:r>
                </w:p>
              </w:tc>
              <w:tc>
                <w:tcPr>
                  <w:tcW w:w="1137" w:type="dxa"/>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auto"/>
                      <w:kern w:val="0"/>
                      <w:szCs w:val="21"/>
                      <w:lang w:val="zh-TW" w:eastAsia="zh-TW"/>
                    </w:rPr>
                  </w:pPr>
                  <w:r>
                    <w:rPr>
                      <w:rStyle w:val="7"/>
                      <w:rFonts w:hint="default" w:ascii="Times New Roman" w:hAnsi="Times New Roman" w:eastAsia="宋体" w:cs="Times New Roman"/>
                      <w:kern w:val="2"/>
                      <w:sz w:val="21"/>
                      <w:szCs w:val="21"/>
                      <w:lang w:val="en-US" w:eastAsia="zh-CN" w:bidi="ar-SA"/>
                    </w:rPr>
                    <w:t>达州市</w:t>
                  </w:r>
                </w:p>
              </w:tc>
              <w:tc>
                <w:tcPr>
                  <w:tcW w:w="1042" w:type="dxa"/>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auto"/>
                      <w:kern w:val="0"/>
                      <w:szCs w:val="21"/>
                      <w:lang w:val="zh-TW" w:eastAsia="zh-TW"/>
                    </w:rPr>
                  </w:pPr>
                  <w:r>
                    <w:rPr>
                      <w:rStyle w:val="7"/>
                      <w:rFonts w:hint="default" w:ascii="Times New Roman" w:hAnsi="Times New Roman" w:eastAsia="宋体" w:cs="Times New Roman"/>
                      <w:kern w:val="2"/>
                      <w:sz w:val="21"/>
                      <w:szCs w:val="21"/>
                      <w:lang w:val="en-US" w:eastAsia="zh-CN" w:bidi="ar-SA"/>
                    </w:rPr>
                    <w:t>宣汉县</w:t>
                  </w:r>
                </w:p>
              </w:tc>
              <w:tc>
                <w:tcPr>
                  <w:tcW w:w="1200" w:type="dxa"/>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auto"/>
                      <w:kern w:val="0"/>
                      <w:szCs w:val="21"/>
                      <w:lang w:val="zh-TW" w:eastAsia="zh-TW"/>
                    </w:rPr>
                  </w:pPr>
                  <w:r>
                    <w:rPr>
                      <w:rStyle w:val="7"/>
                      <w:rFonts w:hint="default" w:ascii="Times New Roman" w:hAnsi="Times New Roman" w:eastAsia="宋体" w:cs="Times New Roman"/>
                      <w:kern w:val="2"/>
                      <w:sz w:val="21"/>
                      <w:szCs w:val="21"/>
                      <w:lang w:val="en-US" w:eastAsia="zh-CN" w:bidi="ar-SA"/>
                    </w:rPr>
                    <w:t>水环境管控分区</w:t>
                  </w:r>
                </w:p>
              </w:tc>
              <w:tc>
                <w:tcPr>
                  <w:tcW w:w="1102" w:type="dxa"/>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auto"/>
                      <w:kern w:val="0"/>
                      <w:szCs w:val="21"/>
                      <w:lang w:val="zh-TW" w:eastAsia="zh-TW"/>
                    </w:rPr>
                  </w:pPr>
                  <w:r>
                    <w:rPr>
                      <w:rStyle w:val="7"/>
                      <w:rFonts w:hint="default" w:ascii="Times New Roman" w:hAnsi="Times New Roman" w:eastAsia="宋体" w:cs="Times New Roman"/>
                      <w:kern w:val="2"/>
                      <w:sz w:val="21"/>
                      <w:szCs w:val="21"/>
                      <w:lang w:val="en-US" w:eastAsia="zh-CN" w:bidi="ar-SA"/>
                    </w:rPr>
                    <w:t>水环境优先保护区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53" w:type="dxa"/>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auto"/>
                      <w:kern w:val="0"/>
                      <w:szCs w:val="21"/>
                      <w:lang w:val="zh-TW" w:eastAsia="zh-TW"/>
                    </w:rPr>
                  </w:pPr>
                  <w:r>
                    <w:rPr>
                      <w:rStyle w:val="7"/>
                      <w:rFonts w:hint="default" w:ascii="Times New Roman" w:hAnsi="Times New Roman" w:eastAsia="宋体" w:cs="Times New Roman"/>
                      <w:kern w:val="2"/>
                      <w:sz w:val="21"/>
                      <w:szCs w:val="21"/>
                      <w:lang w:val="en-US" w:eastAsia="zh-CN" w:bidi="ar-SA"/>
                    </w:rPr>
                    <w:t>YS5117222310001</w:t>
                  </w:r>
                </w:p>
              </w:tc>
              <w:tc>
                <w:tcPr>
                  <w:tcW w:w="2666" w:type="dxa"/>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auto"/>
                      <w:kern w:val="0"/>
                      <w:szCs w:val="21"/>
                      <w:lang w:val="zh-TW" w:eastAsia="zh-TW"/>
                    </w:rPr>
                  </w:pPr>
                  <w:r>
                    <w:rPr>
                      <w:rStyle w:val="7"/>
                      <w:rFonts w:hint="default" w:ascii="Times New Roman" w:hAnsi="Times New Roman" w:eastAsia="宋体" w:cs="Times New Roman"/>
                      <w:kern w:val="2"/>
                      <w:sz w:val="21"/>
                      <w:szCs w:val="21"/>
                      <w:lang w:val="en-US" w:eastAsia="zh-CN" w:bidi="ar-SA"/>
                    </w:rPr>
                    <w:t>四川达州普光经济开发区（含锂钾综合开发产业园）</w:t>
                  </w:r>
                </w:p>
              </w:tc>
              <w:tc>
                <w:tcPr>
                  <w:tcW w:w="1137" w:type="dxa"/>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auto"/>
                      <w:kern w:val="0"/>
                      <w:szCs w:val="21"/>
                      <w:lang w:val="zh-TW" w:eastAsia="zh-TW"/>
                    </w:rPr>
                  </w:pPr>
                  <w:r>
                    <w:rPr>
                      <w:rStyle w:val="7"/>
                      <w:rFonts w:hint="default" w:ascii="Times New Roman" w:hAnsi="Times New Roman" w:eastAsia="宋体" w:cs="Times New Roman"/>
                      <w:kern w:val="2"/>
                      <w:sz w:val="21"/>
                      <w:szCs w:val="21"/>
                      <w:lang w:val="en-US" w:eastAsia="zh-CN" w:bidi="ar-SA"/>
                    </w:rPr>
                    <w:t>达州市</w:t>
                  </w:r>
                </w:p>
              </w:tc>
              <w:tc>
                <w:tcPr>
                  <w:tcW w:w="1042" w:type="dxa"/>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auto"/>
                      <w:kern w:val="0"/>
                      <w:szCs w:val="21"/>
                      <w:lang w:val="zh-TW" w:eastAsia="zh-TW"/>
                    </w:rPr>
                  </w:pPr>
                  <w:r>
                    <w:rPr>
                      <w:rStyle w:val="7"/>
                      <w:rFonts w:hint="default" w:ascii="Times New Roman" w:hAnsi="Times New Roman" w:eastAsia="宋体" w:cs="Times New Roman"/>
                      <w:kern w:val="2"/>
                      <w:sz w:val="21"/>
                      <w:szCs w:val="21"/>
                      <w:lang w:val="en-US" w:eastAsia="zh-CN" w:bidi="ar-SA"/>
                    </w:rPr>
                    <w:t>宣汉县</w:t>
                  </w:r>
                </w:p>
              </w:tc>
              <w:tc>
                <w:tcPr>
                  <w:tcW w:w="1200" w:type="dxa"/>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auto"/>
                      <w:kern w:val="0"/>
                      <w:szCs w:val="21"/>
                      <w:lang w:val="zh-TW" w:eastAsia="zh-TW"/>
                    </w:rPr>
                  </w:pPr>
                  <w:r>
                    <w:rPr>
                      <w:rStyle w:val="7"/>
                      <w:rFonts w:hint="default" w:ascii="Times New Roman" w:hAnsi="Times New Roman" w:eastAsia="宋体" w:cs="Times New Roman"/>
                      <w:kern w:val="2"/>
                      <w:sz w:val="21"/>
                      <w:szCs w:val="21"/>
                      <w:lang w:val="en-US" w:eastAsia="zh-CN" w:bidi="ar-SA"/>
                    </w:rPr>
                    <w:t>大气环境管控分区</w:t>
                  </w:r>
                </w:p>
              </w:tc>
              <w:tc>
                <w:tcPr>
                  <w:tcW w:w="1102" w:type="dxa"/>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auto"/>
                      <w:kern w:val="0"/>
                      <w:szCs w:val="21"/>
                      <w:lang w:val="zh-TW" w:eastAsia="zh-TW"/>
                    </w:rPr>
                  </w:pPr>
                  <w:r>
                    <w:rPr>
                      <w:rStyle w:val="7"/>
                      <w:rFonts w:hint="default" w:ascii="Times New Roman" w:hAnsi="Times New Roman" w:eastAsia="宋体" w:cs="Times New Roman"/>
                      <w:kern w:val="2"/>
                      <w:sz w:val="21"/>
                      <w:szCs w:val="21"/>
                      <w:lang w:val="en-US" w:eastAsia="zh-CN" w:bidi="ar-SA"/>
                    </w:rPr>
                    <w:t>大气环境高排放重点管控区</w:t>
                  </w:r>
                </w:p>
              </w:tc>
            </w:tr>
          </w:tbl>
          <w:p>
            <w:pPr>
              <w:autoSpaceDE w:val="0"/>
              <w:autoSpaceDN w:val="0"/>
              <w:adjustRightInd w:val="0"/>
              <w:snapToGrid w:val="0"/>
              <w:ind w:firstLine="480"/>
              <w:rPr>
                <w:color w:val="auto"/>
                <w:kern w:val="0"/>
                <w:szCs w:val="21"/>
                <w:lang w:val="zh-TW" w:eastAsia="zh-TW"/>
              </w:rPr>
            </w:pPr>
            <w:r>
              <w:rPr>
                <w:color w:val="auto"/>
                <w:kern w:val="0"/>
                <w:szCs w:val="21"/>
                <w:lang w:val="zh-TW" w:eastAsia="zh-TW"/>
              </w:rPr>
              <w:t>本项目</w:t>
            </w:r>
            <w:r>
              <w:rPr>
                <w:rFonts w:hint="eastAsia"/>
                <w:color w:val="auto"/>
                <w:kern w:val="0"/>
                <w:szCs w:val="21"/>
                <w:lang w:val="zh-TW" w:eastAsia="zh-TW"/>
              </w:rPr>
              <w:t>主要进行再生塑料产品生产</w:t>
            </w:r>
            <w:r>
              <w:rPr>
                <w:color w:val="auto"/>
                <w:kern w:val="0"/>
                <w:szCs w:val="21"/>
                <w:lang w:val="zh-TW" w:eastAsia="zh-TW"/>
              </w:rPr>
              <w:t>，项目针对废气等污染物的排放、环境风险管理和防控方面采取了有效的措施，因此，符合《四川省人民政府关于落实生态保护红线、环境质量底线、资源利用上线制定生态环境准入清单实施生态环境分区管控的通知》中相关内容的要求。</w:t>
            </w:r>
          </w:p>
          <w:p>
            <w:pPr>
              <w:pStyle w:val="11"/>
              <w:jc w:val="center"/>
              <w:rPr>
                <w:b/>
                <w:bCs/>
                <w:color w:val="auto"/>
                <w:lang w:val="zh-TW" w:eastAsia="zh-TW"/>
              </w:rPr>
            </w:pPr>
            <w:r>
              <w:rPr>
                <w:rFonts w:hint="eastAsia"/>
                <w:b/>
                <w:bCs/>
                <w:color w:val="auto"/>
                <w:lang w:val="en-US" w:eastAsia="zh-CN"/>
              </w:rPr>
              <w:t>表</w:t>
            </w:r>
            <w:r>
              <w:rPr>
                <w:b/>
                <w:bCs/>
                <w:color w:val="auto"/>
                <w:lang w:val="zh-TW" w:eastAsia="zh-TW"/>
              </w:rPr>
              <w:t>1-</w:t>
            </w:r>
            <w:r>
              <w:rPr>
                <w:rFonts w:hint="eastAsia"/>
                <w:b/>
                <w:bCs/>
                <w:color w:val="auto"/>
                <w:lang w:val="en-US" w:eastAsia="zh-CN"/>
              </w:rPr>
              <w:t>5</w:t>
            </w:r>
            <w:r>
              <w:rPr>
                <w:b/>
                <w:bCs/>
                <w:color w:val="auto"/>
                <w:lang w:val="zh-TW" w:eastAsia="zh-TW"/>
              </w:rPr>
              <w:t xml:space="preserve">  </w:t>
            </w:r>
            <w:r>
              <w:rPr>
                <w:rFonts w:hint="eastAsia"/>
                <w:b/>
                <w:bCs/>
                <w:color w:val="auto"/>
                <w:lang w:val="en-US" w:eastAsia="zh-CN"/>
              </w:rPr>
              <w:t xml:space="preserve"> </w:t>
            </w:r>
            <w:r>
              <w:rPr>
                <w:b/>
                <w:bCs/>
                <w:color w:val="auto"/>
                <w:lang w:val="zh-TW" w:eastAsia="zh-TW"/>
              </w:rPr>
              <w:t>与</w:t>
            </w:r>
            <w:r>
              <w:rPr>
                <w:b/>
                <w:bCs/>
                <w:color w:val="auto"/>
              </w:rPr>
              <w:t>“三线一单”等</w:t>
            </w:r>
            <w:r>
              <w:rPr>
                <w:b/>
                <w:bCs/>
                <w:color w:val="auto"/>
                <w:lang w:val="zh-TW" w:eastAsia="zh-TW"/>
              </w:rPr>
              <w:t>相关规划符合性分析</w:t>
            </w:r>
          </w:p>
          <w:tbl>
            <w:tblPr>
              <w:tblStyle w:val="5"/>
              <w:tblW w:w="8331"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422"/>
              <w:gridCol w:w="567"/>
              <w:gridCol w:w="4681"/>
              <w:gridCol w:w="1836"/>
              <w:gridCol w:w="758"/>
              <w:gridCol w:w="6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989" w:type="dxa"/>
                  <w:gridSpan w:val="2"/>
                  <w:tcBorders>
                    <w:tl2br w:val="nil"/>
                    <w:tr2bl w:val="nil"/>
                  </w:tcBorders>
                  <w:shd w:val="clear" w:color="auto" w:fill="FFFFFF"/>
                  <w:vAlign w:val="center"/>
                </w:tcPr>
                <w:p>
                  <w:pPr>
                    <w:pStyle w:val="11"/>
                    <w:jc w:val="center"/>
                    <w:rPr>
                      <w:b/>
                      <w:bCs/>
                      <w:color w:val="auto"/>
                    </w:rPr>
                  </w:pPr>
                  <w:r>
                    <w:rPr>
                      <w:b/>
                      <w:bCs/>
                      <w:color w:val="auto"/>
                      <w:lang w:val="zh-TW" w:eastAsia="zh-TW"/>
                    </w:rPr>
                    <w:t>内容</w:t>
                  </w:r>
                </w:p>
              </w:tc>
              <w:tc>
                <w:tcPr>
                  <w:tcW w:w="4681" w:type="dxa"/>
                  <w:tcBorders>
                    <w:tl2br w:val="nil"/>
                    <w:tr2bl w:val="nil"/>
                  </w:tcBorders>
                  <w:shd w:val="clear" w:color="auto" w:fill="FFFFFF"/>
                  <w:vAlign w:val="center"/>
                </w:tcPr>
                <w:p>
                  <w:pPr>
                    <w:pStyle w:val="11"/>
                    <w:jc w:val="center"/>
                    <w:rPr>
                      <w:b/>
                      <w:bCs/>
                      <w:color w:val="auto"/>
                    </w:rPr>
                  </w:pPr>
                  <w:r>
                    <w:rPr>
                      <w:b/>
                      <w:bCs/>
                      <w:color w:val="auto"/>
                      <w:lang w:val="zh-TW" w:eastAsia="zh-TW"/>
                    </w:rPr>
                    <w:t>相关要求</w:t>
                  </w:r>
                </w:p>
              </w:tc>
              <w:tc>
                <w:tcPr>
                  <w:tcW w:w="1836" w:type="dxa"/>
                  <w:tcBorders>
                    <w:tl2br w:val="nil"/>
                    <w:tr2bl w:val="nil"/>
                  </w:tcBorders>
                  <w:shd w:val="clear" w:color="auto" w:fill="FFFFFF"/>
                  <w:vAlign w:val="center"/>
                </w:tcPr>
                <w:p>
                  <w:pPr>
                    <w:pStyle w:val="11"/>
                    <w:jc w:val="center"/>
                    <w:rPr>
                      <w:b/>
                      <w:bCs/>
                      <w:color w:val="auto"/>
                    </w:rPr>
                  </w:pPr>
                  <w:r>
                    <w:rPr>
                      <w:b/>
                      <w:bCs/>
                      <w:color w:val="auto"/>
                      <w:lang w:val="zh-TW" w:eastAsia="zh-TW"/>
                    </w:rPr>
                    <w:t>本项目情况</w:t>
                  </w:r>
                </w:p>
              </w:tc>
              <w:tc>
                <w:tcPr>
                  <w:tcW w:w="825" w:type="dxa"/>
                  <w:gridSpan w:val="2"/>
                  <w:tcBorders>
                    <w:tl2br w:val="nil"/>
                    <w:tr2bl w:val="nil"/>
                  </w:tcBorders>
                  <w:shd w:val="clear" w:color="auto" w:fill="FFFFFF"/>
                  <w:vAlign w:val="center"/>
                </w:tcPr>
                <w:p>
                  <w:pPr>
                    <w:pStyle w:val="11"/>
                    <w:jc w:val="center"/>
                    <w:rPr>
                      <w:b/>
                      <w:bCs/>
                      <w:color w:val="auto"/>
                    </w:rPr>
                  </w:pPr>
                  <w:r>
                    <w:rPr>
                      <w:b/>
                      <w:bCs/>
                      <w:color w:val="auto"/>
                      <w:lang w:val="zh-TW" w:eastAsia="zh-TW"/>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22" w:type="dxa"/>
                  <w:vMerge w:val="restart"/>
                  <w:tcBorders>
                    <w:tl2br w:val="nil"/>
                    <w:tr2bl w:val="nil"/>
                  </w:tcBorders>
                  <w:shd w:val="clear" w:color="auto" w:fill="FFFFFF"/>
                  <w:vAlign w:val="center"/>
                </w:tcPr>
                <w:p>
                  <w:pPr>
                    <w:pStyle w:val="11"/>
                    <w:jc w:val="center"/>
                    <w:rPr>
                      <w:color w:val="auto"/>
                    </w:rPr>
                  </w:pPr>
                </w:p>
                <w:p>
                  <w:pPr>
                    <w:pStyle w:val="11"/>
                    <w:jc w:val="center"/>
                    <w:rPr>
                      <w:color w:val="auto"/>
                    </w:rPr>
                  </w:pPr>
                </w:p>
                <w:p>
                  <w:pPr>
                    <w:pStyle w:val="11"/>
                    <w:jc w:val="center"/>
                    <w:rPr>
                      <w:color w:val="auto"/>
                    </w:rPr>
                  </w:pPr>
                </w:p>
                <w:p>
                  <w:pPr>
                    <w:pStyle w:val="11"/>
                    <w:jc w:val="center"/>
                    <w:rPr>
                      <w:color w:val="auto"/>
                    </w:rPr>
                  </w:pPr>
                </w:p>
                <w:p>
                  <w:pPr>
                    <w:pStyle w:val="11"/>
                    <w:jc w:val="center"/>
                    <w:rPr>
                      <w:color w:val="auto"/>
                    </w:rPr>
                  </w:pPr>
                </w:p>
                <w:p>
                  <w:pPr>
                    <w:pStyle w:val="11"/>
                    <w:jc w:val="center"/>
                    <w:rPr>
                      <w:color w:val="auto"/>
                    </w:rPr>
                  </w:pPr>
                </w:p>
                <w:p>
                  <w:pPr>
                    <w:pStyle w:val="11"/>
                    <w:jc w:val="center"/>
                    <w:rPr>
                      <w:color w:val="auto"/>
                    </w:rPr>
                  </w:pPr>
                </w:p>
                <w:p>
                  <w:pPr>
                    <w:pStyle w:val="11"/>
                    <w:jc w:val="center"/>
                    <w:rPr>
                      <w:color w:val="auto"/>
                    </w:rPr>
                  </w:pPr>
                  <w:r>
                    <w:rPr>
                      <w:rFonts w:hint="eastAsia"/>
                      <w:color w:val="auto"/>
                    </w:rPr>
                    <w:t>四川省</w:t>
                  </w:r>
                </w:p>
              </w:tc>
              <w:tc>
                <w:tcPr>
                  <w:tcW w:w="567" w:type="dxa"/>
                  <w:tcBorders>
                    <w:tl2br w:val="nil"/>
                    <w:tr2bl w:val="nil"/>
                  </w:tcBorders>
                  <w:shd w:val="clear" w:color="auto" w:fill="FFFFFF"/>
                  <w:vAlign w:val="center"/>
                </w:tcPr>
                <w:p>
                  <w:pPr>
                    <w:pStyle w:val="11"/>
                    <w:jc w:val="center"/>
                    <w:rPr>
                      <w:color w:val="auto"/>
                      <w:lang w:val="zh-TW" w:eastAsia="zh-TW"/>
                    </w:rPr>
                  </w:pPr>
                  <w:r>
                    <w:rPr>
                      <w:color w:val="auto"/>
                      <w:lang w:val="zh-TW" w:eastAsia="zh-TW"/>
                    </w:rPr>
                    <w:t>优先保护单元</w:t>
                  </w:r>
                </w:p>
              </w:tc>
              <w:tc>
                <w:tcPr>
                  <w:tcW w:w="4681" w:type="dxa"/>
                  <w:tcBorders>
                    <w:tl2br w:val="nil"/>
                    <w:tr2bl w:val="nil"/>
                  </w:tcBorders>
                  <w:shd w:val="clear" w:color="auto" w:fill="FFFFFF"/>
                  <w:vAlign w:val="center"/>
                </w:tcPr>
                <w:p>
                  <w:pPr>
                    <w:pStyle w:val="11"/>
                    <w:jc w:val="both"/>
                    <w:rPr>
                      <w:color w:val="auto"/>
                      <w:lang w:val="zh-TW"/>
                    </w:rPr>
                  </w:pPr>
                  <w:r>
                    <w:rPr>
                      <w:color w:val="auto"/>
                      <w:lang w:val="zh-TW" w:eastAsia="zh-TW"/>
                    </w:rPr>
                    <w:t>优先保护单元中，应以生态环境保护优先为原则，严格执行相关法律、法规要求，严守生态环境质量底线，确保生态环境功能不降低</w:t>
                  </w:r>
                  <w:r>
                    <w:rPr>
                      <w:rFonts w:hint="eastAsia"/>
                      <w:color w:val="auto"/>
                      <w:lang w:val="zh-TW"/>
                    </w:rPr>
                    <w:t>。</w:t>
                  </w:r>
                </w:p>
              </w:tc>
              <w:tc>
                <w:tcPr>
                  <w:tcW w:w="1836" w:type="dxa"/>
                  <w:tcBorders>
                    <w:tl2br w:val="nil"/>
                    <w:tr2bl w:val="nil"/>
                  </w:tcBorders>
                  <w:shd w:val="clear" w:color="auto" w:fill="FFFFFF"/>
                  <w:vAlign w:val="center"/>
                </w:tcPr>
                <w:p>
                  <w:pPr>
                    <w:pStyle w:val="11"/>
                    <w:jc w:val="center"/>
                    <w:rPr>
                      <w:rFonts w:hint="eastAsia"/>
                      <w:color w:val="auto"/>
                    </w:rPr>
                  </w:pPr>
                </w:p>
                <w:p>
                  <w:pPr>
                    <w:pStyle w:val="11"/>
                    <w:jc w:val="center"/>
                    <w:rPr>
                      <w:color w:val="auto"/>
                      <w:lang w:val="zh-TW" w:eastAsia="zh-TW"/>
                    </w:rPr>
                  </w:pPr>
                  <w:r>
                    <w:rPr>
                      <w:color w:val="auto"/>
                      <w:lang w:val="zh-TW" w:eastAsia="zh-TW"/>
                    </w:rPr>
                    <w:t>本项目</w:t>
                  </w:r>
                  <w:r>
                    <w:rPr>
                      <w:rFonts w:hint="eastAsia"/>
                      <w:color w:val="auto"/>
                    </w:rPr>
                    <w:t>符合环境准入要求，</w:t>
                  </w:r>
                  <w:r>
                    <w:rPr>
                      <w:color w:val="auto"/>
                    </w:rPr>
                    <w:t>并采取了有效的污染防治措施。</w:t>
                  </w:r>
                </w:p>
              </w:tc>
              <w:tc>
                <w:tcPr>
                  <w:tcW w:w="825" w:type="dxa"/>
                  <w:gridSpan w:val="2"/>
                  <w:tcBorders>
                    <w:tl2br w:val="nil"/>
                    <w:tr2bl w:val="nil"/>
                  </w:tcBorders>
                  <w:shd w:val="clear" w:color="auto" w:fill="FFFFFF"/>
                  <w:vAlign w:val="center"/>
                </w:tcPr>
                <w:p>
                  <w:pPr>
                    <w:pStyle w:val="11"/>
                    <w:jc w:val="center"/>
                    <w:rPr>
                      <w:color w:val="auto"/>
                      <w:lang w:val="zh-TW" w:eastAsia="zh-TW"/>
                    </w:rPr>
                  </w:pPr>
                  <w:r>
                    <w:rPr>
                      <w:color w:val="auto"/>
                      <w:lang w:val="zh-TW" w:eastAsia="zh-TW"/>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22" w:type="dxa"/>
                  <w:vMerge w:val="continue"/>
                  <w:tcBorders>
                    <w:tl2br w:val="nil"/>
                    <w:tr2bl w:val="nil"/>
                  </w:tcBorders>
                  <w:shd w:val="clear" w:color="auto" w:fill="FFFFFF"/>
                  <w:vAlign w:val="center"/>
                </w:tcPr>
                <w:p>
                  <w:pPr>
                    <w:pStyle w:val="11"/>
                    <w:jc w:val="center"/>
                    <w:rPr>
                      <w:color w:val="auto"/>
                    </w:rPr>
                  </w:pPr>
                </w:p>
              </w:tc>
              <w:tc>
                <w:tcPr>
                  <w:tcW w:w="567" w:type="dxa"/>
                  <w:tcBorders>
                    <w:tl2br w:val="nil"/>
                    <w:tr2bl w:val="nil"/>
                  </w:tcBorders>
                  <w:shd w:val="clear" w:color="auto" w:fill="FFFFFF"/>
                  <w:vAlign w:val="center"/>
                </w:tcPr>
                <w:p>
                  <w:pPr>
                    <w:pStyle w:val="11"/>
                    <w:jc w:val="center"/>
                    <w:rPr>
                      <w:color w:val="auto"/>
                      <w:lang w:val="zh-TW" w:eastAsia="zh-TW"/>
                    </w:rPr>
                  </w:pPr>
                  <w:r>
                    <w:rPr>
                      <w:color w:val="auto"/>
                      <w:lang w:val="zh-TW" w:eastAsia="zh-TW"/>
                    </w:rPr>
                    <w:t>重点管控单元</w:t>
                  </w:r>
                </w:p>
              </w:tc>
              <w:tc>
                <w:tcPr>
                  <w:tcW w:w="4681" w:type="dxa"/>
                  <w:tcBorders>
                    <w:tl2br w:val="nil"/>
                    <w:tr2bl w:val="nil"/>
                  </w:tcBorders>
                  <w:shd w:val="clear" w:color="auto" w:fill="FFFFFF"/>
                  <w:vAlign w:val="center"/>
                </w:tcPr>
                <w:p>
                  <w:pPr>
                    <w:pStyle w:val="11"/>
                    <w:jc w:val="both"/>
                    <w:rPr>
                      <w:color w:val="auto"/>
                      <w:lang w:val="zh-TW" w:eastAsia="zh-TW"/>
                    </w:rPr>
                  </w:pPr>
                  <w:r>
                    <w:rPr>
                      <w:color w:val="auto"/>
                      <w:lang w:val="zh-TW" w:eastAsia="zh-TW"/>
                    </w:rPr>
                    <w:t>重点管控单元中，针对环境质量是否达标以及经济社会发展水平等因素，制定差别化的生态环境准入要求，对环境质量不达标区域，提出污染物削减比例要求，对环境质量达标区域，提出允许排放量建议指标。</w:t>
                  </w:r>
                </w:p>
              </w:tc>
              <w:tc>
                <w:tcPr>
                  <w:tcW w:w="1836" w:type="dxa"/>
                  <w:tcBorders>
                    <w:tl2br w:val="nil"/>
                    <w:tr2bl w:val="nil"/>
                  </w:tcBorders>
                  <w:shd w:val="clear" w:color="auto" w:fill="FFFFFF"/>
                  <w:vAlign w:val="center"/>
                </w:tcPr>
                <w:p>
                  <w:pPr>
                    <w:pStyle w:val="11"/>
                    <w:jc w:val="center"/>
                    <w:rPr>
                      <w:color w:val="auto"/>
                      <w:lang w:val="zh-TW" w:eastAsia="zh-TW"/>
                    </w:rPr>
                  </w:pPr>
                  <w:r>
                    <w:rPr>
                      <w:rFonts w:hint="eastAsia"/>
                      <w:color w:val="auto"/>
                    </w:rPr>
                    <w:t>本项目</w:t>
                  </w:r>
                  <w:r>
                    <w:rPr>
                      <w:color w:val="auto"/>
                      <w:lang w:val="zh-TW" w:eastAsia="zh-TW"/>
                    </w:rPr>
                    <w:t>不在</w:t>
                  </w:r>
                  <w:r>
                    <w:rPr>
                      <w:rFonts w:hint="eastAsia"/>
                      <w:color w:val="auto"/>
                      <w:lang w:val="en-US" w:eastAsia="zh-CN"/>
                    </w:rPr>
                    <w:t>重点管控</w:t>
                  </w:r>
                  <w:r>
                    <w:rPr>
                      <w:color w:val="auto"/>
                      <w:lang w:val="zh-TW" w:eastAsia="zh-TW"/>
                    </w:rPr>
                    <w:t>单元内。</w:t>
                  </w:r>
                </w:p>
              </w:tc>
              <w:tc>
                <w:tcPr>
                  <w:tcW w:w="825" w:type="dxa"/>
                  <w:gridSpan w:val="2"/>
                  <w:tcBorders>
                    <w:tl2br w:val="nil"/>
                    <w:tr2bl w:val="nil"/>
                  </w:tcBorders>
                  <w:shd w:val="clear" w:color="auto" w:fill="FFFFFF"/>
                  <w:vAlign w:val="center"/>
                </w:tcPr>
                <w:p>
                  <w:pPr>
                    <w:pStyle w:val="11"/>
                    <w:jc w:val="center"/>
                    <w:rPr>
                      <w:color w:val="auto"/>
                      <w:lang w:val="zh-TW" w:eastAsia="zh-TW"/>
                    </w:rPr>
                  </w:pPr>
                  <w:r>
                    <w:rPr>
                      <w:color w:val="auto"/>
                      <w:lang w:val="zh-TW" w:eastAsia="zh-TW"/>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22" w:type="dxa"/>
                  <w:vMerge w:val="continue"/>
                  <w:tcBorders>
                    <w:tl2br w:val="nil"/>
                    <w:tr2bl w:val="nil"/>
                  </w:tcBorders>
                  <w:shd w:val="clear" w:color="auto" w:fill="FFFFFF"/>
                  <w:vAlign w:val="center"/>
                </w:tcPr>
                <w:p>
                  <w:pPr>
                    <w:pStyle w:val="11"/>
                    <w:jc w:val="center"/>
                    <w:rPr>
                      <w:color w:val="auto"/>
                    </w:rPr>
                  </w:pPr>
                </w:p>
              </w:tc>
              <w:tc>
                <w:tcPr>
                  <w:tcW w:w="567" w:type="dxa"/>
                  <w:tcBorders>
                    <w:tl2br w:val="nil"/>
                    <w:tr2bl w:val="nil"/>
                  </w:tcBorders>
                  <w:shd w:val="clear" w:color="auto" w:fill="FFFFFF"/>
                  <w:vAlign w:val="center"/>
                </w:tcPr>
                <w:p>
                  <w:pPr>
                    <w:pStyle w:val="11"/>
                    <w:jc w:val="center"/>
                    <w:rPr>
                      <w:color w:val="auto"/>
                      <w:lang w:val="zh-TW" w:eastAsia="zh-TW"/>
                    </w:rPr>
                  </w:pPr>
                  <w:r>
                    <w:rPr>
                      <w:color w:val="auto"/>
                      <w:lang w:val="zh-TW" w:eastAsia="zh-TW"/>
                    </w:rPr>
                    <w:t>一般管控单元</w:t>
                  </w:r>
                </w:p>
              </w:tc>
              <w:tc>
                <w:tcPr>
                  <w:tcW w:w="4681" w:type="dxa"/>
                  <w:tcBorders>
                    <w:tl2br w:val="nil"/>
                    <w:tr2bl w:val="nil"/>
                  </w:tcBorders>
                  <w:shd w:val="clear" w:color="auto" w:fill="FFFFFF"/>
                  <w:vAlign w:val="center"/>
                </w:tcPr>
                <w:p>
                  <w:pPr>
                    <w:pStyle w:val="11"/>
                    <w:jc w:val="both"/>
                    <w:rPr>
                      <w:color w:val="auto"/>
                      <w:lang w:val="zh-TW" w:eastAsia="zh-TW"/>
                    </w:rPr>
                  </w:pPr>
                  <w:r>
                    <w:rPr>
                      <w:color w:val="auto"/>
                      <w:lang w:val="zh-TW" w:eastAsia="zh-TW"/>
                    </w:rPr>
                    <w:t>一般管控单元中，执行区域生态环境保护的基本要求，重点加强农业、生活等领域污染治理。</w:t>
                  </w:r>
                </w:p>
              </w:tc>
              <w:tc>
                <w:tcPr>
                  <w:tcW w:w="1836" w:type="dxa"/>
                  <w:tcBorders>
                    <w:tl2br w:val="nil"/>
                    <w:tr2bl w:val="nil"/>
                  </w:tcBorders>
                  <w:shd w:val="clear" w:color="auto" w:fill="FFFFFF"/>
                  <w:vAlign w:val="center"/>
                </w:tcPr>
                <w:p>
                  <w:pPr>
                    <w:pStyle w:val="11"/>
                    <w:jc w:val="center"/>
                    <w:rPr>
                      <w:color w:val="auto"/>
                      <w:lang w:val="zh-TW" w:eastAsia="zh-TW"/>
                    </w:rPr>
                  </w:pPr>
                  <w:r>
                    <w:rPr>
                      <w:rFonts w:hint="eastAsia"/>
                      <w:color w:val="auto"/>
                    </w:rPr>
                    <w:t>本项目</w:t>
                  </w:r>
                  <w:r>
                    <w:rPr>
                      <w:color w:val="auto"/>
                      <w:lang w:val="zh-TW" w:eastAsia="zh-TW"/>
                    </w:rPr>
                    <w:t>不在一般管控单元内。</w:t>
                  </w:r>
                </w:p>
              </w:tc>
              <w:tc>
                <w:tcPr>
                  <w:tcW w:w="825" w:type="dxa"/>
                  <w:gridSpan w:val="2"/>
                  <w:tcBorders>
                    <w:tl2br w:val="nil"/>
                    <w:tr2bl w:val="nil"/>
                  </w:tcBorders>
                  <w:shd w:val="clear" w:color="auto" w:fill="FFFFFF"/>
                  <w:vAlign w:val="center"/>
                </w:tcPr>
                <w:p>
                  <w:pPr>
                    <w:pStyle w:val="11"/>
                    <w:jc w:val="center"/>
                    <w:rPr>
                      <w:color w:val="auto"/>
                      <w:lang w:val="zh-TW" w:eastAsia="zh-TW"/>
                    </w:rPr>
                  </w:pPr>
                  <w:r>
                    <w:rPr>
                      <w:color w:val="auto"/>
                      <w:lang w:val="zh-TW" w:eastAsia="zh-TW"/>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22" w:type="dxa"/>
                  <w:vMerge w:val="continue"/>
                  <w:tcBorders>
                    <w:tl2br w:val="nil"/>
                    <w:tr2bl w:val="nil"/>
                  </w:tcBorders>
                  <w:shd w:val="clear" w:color="auto" w:fill="FFFFFF"/>
                  <w:vAlign w:val="center"/>
                </w:tcPr>
                <w:p>
                  <w:pPr>
                    <w:pStyle w:val="11"/>
                    <w:jc w:val="center"/>
                    <w:rPr>
                      <w:color w:val="auto"/>
                    </w:rPr>
                  </w:pPr>
                </w:p>
              </w:tc>
              <w:tc>
                <w:tcPr>
                  <w:tcW w:w="567" w:type="dxa"/>
                  <w:tcBorders>
                    <w:tl2br w:val="nil"/>
                    <w:tr2bl w:val="nil"/>
                  </w:tcBorders>
                  <w:shd w:val="clear" w:color="auto" w:fill="FFFFFF"/>
                  <w:vAlign w:val="center"/>
                </w:tcPr>
                <w:p>
                  <w:pPr>
                    <w:pStyle w:val="11"/>
                    <w:jc w:val="center"/>
                    <w:rPr>
                      <w:color w:val="auto"/>
                    </w:rPr>
                  </w:pPr>
                  <w:r>
                    <w:rPr>
                      <w:rFonts w:hint="eastAsia"/>
                      <w:color w:val="auto"/>
                    </w:rPr>
                    <w:t>川</w:t>
                  </w:r>
                  <w:r>
                    <w:rPr>
                      <w:rFonts w:hint="eastAsia"/>
                      <w:color w:val="auto"/>
                      <w:lang w:val="en-US" w:eastAsia="zh-CN"/>
                    </w:rPr>
                    <w:t>东</w:t>
                  </w:r>
                  <w:r>
                    <w:rPr>
                      <w:rFonts w:hint="eastAsia"/>
                      <w:color w:val="auto"/>
                    </w:rPr>
                    <w:t>经济区总体管控要求</w:t>
                  </w:r>
                </w:p>
              </w:tc>
              <w:tc>
                <w:tcPr>
                  <w:tcW w:w="4681" w:type="dxa"/>
                  <w:tcBorders>
                    <w:tl2br w:val="nil"/>
                    <w:tr2bl w:val="nil"/>
                  </w:tcBorders>
                  <w:shd w:val="clear" w:color="auto" w:fill="FFFFFF"/>
                  <w:vAlign w:val="center"/>
                </w:tcPr>
                <w:p>
                  <w:pPr>
                    <w:pStyle w:val="11"/>
                    <w:bidi w:val="0"/>
                    <w:rPr>
                      <w:color w:val="auto"/>
                      <w:lang w:val="zh-TW" w:eastAsia="zh-TW"/>
                    </w:rPr>
                  </w:pPr>
                  <w:r>
                    <w:rPr>
                      <w:rFonts w:hint="eastAsia"/>
                    </w:rPr>
                    <w:t>①控制农村面源污染，提高污水收集处理率，加快乡镇污水处理基础设施建设。②建设流域水环境风险联防联控体系。③提高大气污染治理水平。</w:t>
                  </w:r>
                </w:p>
              </w:tc>
              <w:tc>
                <w:tcPr>
                  <w:tcW w:w="1836" w:type="dxa"/>
                  <w:tcBorders>
                    <w:tl2br w:val="nil"/>
                    <w:tr2bl w:val="nil"/>
                  </w:tcBorders>
                  <w:shd w:val="clear" w:color="auto" w:fill="FFFFFF"/>
                  <w:vAlign w:val="center"/>
                </w:tcPr>
                <w:p>
                  <w:pPr>
                    <w:pStyle w:val="11"/>
                    <w:jc w:val="center"/>
                    <w:rPr>
                      <w:color w:val="auto"/>
                      <w:lang w:val="zh-TW" w:eastAsia="zh-TW"/>
                    </w:rPr>
                  </w:pPr>
                  <w:r>
                    <w:rPr>
                      <w:color w:val="auto"/>
                      <w:lang w:val="zh-TW" w:eastAsia="zh-TW"/>
                    </w:rPr>
                    <w:t>本项目</w:t>
                  </w:r>
                  <w:r>
                    <w:rPr>
                      <w:rFonts w:hint="eastAsia"/>
                      <w:color w:val="auto"/>
                    </w:rPr>
                    <w:t>符合环境准入要求，</w:t>
                  </w:r>
                  <w:r>
                    <w:rPr>
                      <w:color w:val="auto"/>
                    </w:rPr>
                    <w:t>并采取了有效的污染防治措施。</w:t>
                  </w:r>
                </w:p>
              </w:tc>
              <w:tc>
                <w:tcPr>
                  <w:tcW w:w="825" w:type="dxa"/>
                  <w:gridSpan w:val="2"/>
                  <w:tcBorders>
                    <w:tl2br w:val="nil"/>
                    <w:tr2bl w:val="nil"/>
                  </w:tcBorders>
                  <w:shd w:val="clear" w:color="auto" w:fill="FFFFFF"/>
                  <w:vAlign w:val="center"/>
                </w:tcPr>
                <w:p>
                  <w:pPr>
                    <w:pStyle w:val="11"/>
                    <w:jc w:val="center"/>
                    <w:rPr>
                      <w:color w:val="0000FF"/>
                      <w:lang w:val="zh-TW" w:eastAsia="zh-TW"/>
                    </w:rPr>
                  </w:pPr>
                  <w:r>
                    <w:rPr>
                      <w:color w:val="auto"/>
                      <w:lang w:val="zh-TW" w:eastAsia="zh-TW"/>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22" w:type="dxa"/>
                  <w:vMerge w:val="restart"/>
                  <w:tcBorders>
                    <w:tl2br w:val="nil"/>
                    <w:tr2bl w:val="nil"/>
                  </w:tcBorders>
                  <w:shd w:val="clear" w:color="auto" w:fill="FFFFFF"/>
                  <w:vAlign w:val="center"/>
                </w:tcPr>
                <w:p>
                  <w:pPr>
                    <w:pStyle w:val="11"/>
                    <w:jc w:val="center"/>
                    <w:rPr>
                      <w:rFonts w:hint="default" w:eastAsia="宋体"/>
                      <w:color w:val="auto"/>
                      <w:lang w:val="en-US" w:eastAsia="zh-CN"/>
                    </w:rPr>
                  </w:pPr>
                  <w:r>
                    <w:rPr>
                      <w:rFonts w:hint="eastAsia"/>
                      <w:color w:val="auto"/>
                      <w:lang w:val="en-US" w:eastAsia="zh-CN"/>
                    </w:rPr>
                    <w:t>达州市</w:t>
                  </w:r>
                </w:p>
              </w:tc>
              <w:tc>
                <w:tcPr>
                  <w:tcW w:w="567" w:type="dxa"/>
                  <w:tcBorders>
                    <w:tl2br w:val="nil"/>
                    <w:tr2bl w:val="nil"/>
                  </w:tcBorders>
                  <w:shd w:val="clear" w:color="auto" w:fill="FFFFFF"/>
                  <w:vAlign w:val="center"/>
                </w:tcPr>
                <w:p>
                  <w:pPr>
                    <w:pStyle w:val="11"/>
                    <w:jc w:val="center"/>
                    <w:rPr>
                      <w:color w:val="auto"/>
                    </w:rPr>
                  </w:pPr>
                  <w:r>
                    <w:rPr>
                      <w:color w:val="auto"/>
                      <w:lang w:val="zh-TW" w:eastAsia="zh-TW"/>
                    </w:rPr>
                    <w:t>优先保护单元</w:t>
                  </w:r>
                </w:p>
              </w:tc>
              <w:tc>
                <w:tcPr>
                  <w:tcW w:w="4681" w:type="dxa"/>
                  <w:tcBorders>
                    <w:tl2br w:val="nil"/>
                    <w:tr2bl w:val="nil"/>
                  </w:tcBorders>
                  <w:shd w:val="clear" w:color="auto" w:fill="FFFFFF"/>
                  <w:vAlign w:val="center"/>
                </w:tcPr>
                <w:p>
                  <w:pPr>
                    <w:pStyle w:val="11"/>
                    <w:jc w:val="both"/>
                    <w:rPr>
                      <w:rFonts w:hint="eastAsia" w:eastAsia="宋体"/>
                      <w:color w:val="auto"/>
                      <w:lang w:eastAsia="zh-CN"/>
                    </w:rPr>
                  </w:pPr>
                  <w:r>
                    <w:rPr>
                      <w:rFonts w:hint="eastAsia"/>
                      <w:color w:val="auto"/>
                      <w:lang w:val="zh-TW" w:eastAsia="zh-CN"/>
                    </w:rPr>
                    <w:t>以生态环境保护为主的区域，全市划分优先保护单元17个，主要包括生态保护红线、自然保护地、饮用水水源保护区等，应以生态环境保护优先为原则，严格执行相关法律、法规要求，严守生态环境质量底线，确保生态环境功能不降低。</w:t>
                  </w:r>
                </w:p>
              </w:tc>
              <w:tc>
                <w:tcPr>
                  <w:tcW w:w="1836" w:type="dxa"/>
                  <w:tcBorders>
                    <w:tl2br w:val="nil"/>
                    <w:tr2bl w:val="nil"/>
                  </w:tcBorders>
                  <w:shd w:val="clear" w:color="auto" w:fill="FFFFFF"/>
                  <w:vAlign w:val="center"/>
                </w:tcPr>
                <w:p>
                  <w:pPr>
                    <w:pStyle w:val="11"/>
                    <w:jc w:val="center"/>
                    <w:rPr>
                      <w:color w:val="auto"/>
                    </w:rPr>
                  </w:pPr>
                  <w:r>
                    <w:rPr>
                      <w:color w:val="auto"/>
                      <w:lang w:val="zh-TW" w:eastAsia="zh-TW"/>
                    </w:rPr>
                    <w:t>本项目</w:t>
                  </w:r>
                  <w:r>
                    <w:rPr>
                      <w:rFonts w:hint="eastAsia"/>
                      <w:color w:val="auto"/>
                    </w:rPr>
                    <w:t>符合环境准入要求，</w:t>
                  </w:r>
                  <w:r>
                    <w:rPr>
                      <w:color w:val="auto"/>
                    </w:rPr>
                    <w:t>并采取了有效的污染防治措施。</w:t>
                  </w:r>
                </w:p>
              </w:tc>
              <w:tc>
                <w:tcPr>
                  <w:tcW w:w="825" w:type="dxa"/>
                  <w:gridSpan w:val="2"/>
                  <w:tcBorders>
                    <w:tl2br w:val="nil"/>
                    <w:tr2bl w:val="nil"/>
                  </w:tcBorders>
                  <w:shd w:val="clear" w:color="auto" w:fill="FFFFFF"/>
                  <w:vAlign w:val="center"/>
                </w:tcPr>
                <w:p>
                  <w:pPr>
                    <w:pStyle w:val="11"/>
                    <w:jc w:val="center"/>
                    <w:rPr>
                      <w:color w:val="auto"/>
                    </w:rPr>
                  </w:pPr>
                  <w:r>
                    <w:rPr>
                      <w:color w:val="auto"/>
                      <w:lang w:val="zh-TW" w:eastAsia="zh-TW"/>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gridAfter w:val="1"/>
                <w:wAfter w:w="67" w:type="dxa"/>
                <w:trHeight w:val="1592" w:hRule="atLeast"/>
                <w:jc w:val="center"/>
              </w:trPr>
              <w:tc>
                <w:tcPr>
                  <w:tcW w:w="422" w:type="dxa"/>
                  <w:vMerge w:val="continue"/>
                  <w:tcBorders>
                    <w:tl2br w:val="nil"/>
                    <w:tr2bl w:val="nil"/>
                  </w:tcBorders>
                  <w:shd w:val="clear" w:color="auto" w:fill="FFFFFF"/>
                  <w:vAlign w:val="center"/>
                </w:tcPr>
                <w:p>
                  <w:pPr>
                    <w:pStyle w:val="11"/>
                    <w:jc w:val="center"/>
                    <w:rPr>
                      <w:color w:val="auto"/>
                    </w:rPr>
                  </w:pPr>
                </w:p>
              </w:tc>
              <w:tc>
                <w:tcPr>
                  <w:tcW w:w="567" w:type="dxa"/>
                  <w:tcBorders>
                    <w:tl2br w:val="nil"/>
                    <w:tr2bl w:val="nil"/>
                  </w:tcBorders>
                  <w:shd w:val="clear" w:color="auto" w:fill="FFFFFF"/>
                  <w:vAlign w:val="center"/>
                </w:tcPr>
                <w:p>
                  <w:pPr>
                    <w:pStyle w:val="11"/>
                    <w:jc w:val="center"/>
                    <w:rPr>
                      <w:color w:val="auto"/>
                    </w:rPr>
                  </w:pPr>
                  <w:r>
                    <w:rPr>
                      <w:color w:val="auto"/>
                    </w:rPr>
                    <w:t>重点</w:t>
                  </w:r>
                </w:p>
                <w:p>
                  <w:pPr>
                    <w:pStyle w:val="11"/>
                    <w:jc w:val="center"/>
                    <w:rPr>
                      <w:color w:val="auto"/>
                    </w:rPr>
                  </w:pPr>
                  <w:r>
                    <w:rPr>
                      <w:color w:val="auto"/>
                    </w:rPr>
                    <w:t>管控</w:t>
                  </w:r>
                </w:p>
                <w:p>
                  <w:pPr>
                    <w:pStyle w:val="11"/>
                    <w:jc w:val="center"/>
                    <w:rPr>
                      <w:color w:val="auto"/>
                    </w:rPr>
                  </w:pPr>
                  <w:r>
                    <w:rPr>
                      <w:color w:val="auto"/>
                    </w:rPr>
                    <w:t>单元</w:t>
                  </w:r>
                </w:p>
              </w:tc>
              <w:tc>
                <w:tcPr>
                  <w:tcW w:w="4681" w:type="dxa"/>
                  <w:tcBorders>
                    <w:tl2br w:val="nil"/>
                    <w:tr2bl w:val="nil"/>
                  </w:tcBorders>
                  <w:shd w:val="clear" w:color="auto" w:fill="FFFFFF"/>
                  <w:vAlign w:val="center"/>
                </w:tcPr>
                <w:p>
                  <w:pPr>
                    <w:pStyle w:val="11"/>
                    <w:bidi w:val="0"/>
                    <w:rPr>
                      <w:color w:val="auto"/>
                    </w:rPr>
                  </w:pPr>
                  <w:r>
                    <w:t>重点管控单元中，应针对性地加强污染物排放控制和环境风险防控，解决生态环境质量不达标、生态环境风险突出等问题，制定差别化的生态环境准入要求；对环境质量不达标区域，提出污染物削减比例要求；对环境质量达标区域，提出允许排放量建议指标。</w:t>
                  </w:r>
                </w:p>
              </w:tc>
              <w:tc>
                <w:tcPr>
                  <w:tcW w:w="1836" w:type="dxa"/>
                  <w:tcBorders>
                    <w:tl2br w:val="nil"/>
                    <w:tr2bl w:val="nil"/>
                  </w:tcBorders>
                  <w:shd w:val="clear" w:color="auto" w:fill="FFFFFF"/>
                  <w:vAlign w:val="center"/>
                </w:tcPr>
                <w:p>
                  <w:pPr>
                    <w:pStyle w:val="11"/>
                    <w:jc w:val="center"/>
                    <w:rPr>
                      <w:color w:val="auto"/>
                    </w:rPr>
                  </w:pPr>
                  <w:r>
                    <w:rPr>
                      <w:rFonts w:hint="eastAsia"/>
                      <w:color w:val="auto"/>
                    </w:rPr>
                    <w:t>本项目</w:t>
                  </w:r>
                  <w:r>
                    <w:rPr>
                      <w:color w:val="auto"/>
                      <w:lang w:val="zh-TW" w:eastAsia="zh-TW"/>
                    </w:rPr>
                    <w:t>不在</w:t>
                  </w:r>
                  <w:r>
                    <w:rPr>
                      <w:rFonts w:hint="eastAsia"/>
                      <w:color w:val="auto"/>
                      <w:lang w:val="en-US" w:eastAsia="zh-CN"/>
                    </w:rPr>
                    <w:t>重点管控</w:t>
                  </w:r>
                  <w:r>
                    <w:rPr>
                      <w:color w:val="auto"/>
                      <w:lang w:val="zh-TW" w:eastAsia="zh-TW"/>
                    </w:rPr>
                    <w:t>单元内。</w:t>
                  </w:r>
                </w:p>
              </w:tc>
              <w:tc>
                <w:tcPr>
                  <w:tcW w:w="758" w:type="dxa"/>
                  <w:tcBorders>
                    <w:tl2br w:val="nil"/>
                    <w:tr2bl w:val="nil"/>
                  </w:tcBorders>
                  <w:shd w:val="clear" w:color="auto" w:fill="FFFFFF"/>
                  <w:vAlign w:val="center"/>
                </w:tcPr>
                <w:p>
                  <w:pPr>
                    <w:pStyle w:val="11"/>
                    <w:jc w:val="center"/>
                    <w:rPr>
                      <w:color w:val="auto"/>
                    </w:rPr>
                  </w:pPr>
                  <w:r>
                    <w:rPr>
                      <w:color w:val="auto"/>
                      <w:lang w:val="zh-TW" w:eastAsia="zh-TW"/>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04" w:hRule="atLeast"/>
                <w:jc w:val="center"/>
              </w:trPr>
              <w:tc>
                <w:tcPr>
                  <w:tcW w:w="422" w:type="dxa"/>
                  <w:vMerge w:val="continue"/>
                  <w:tcBorders>
                    <w:tl2br w:val="nil"/>
                    <w:tr2bl w:val="nil"/>
                  </w:tcBorders>
                  <w:shd w:val="clear" w:color="auto" w:fill="FFFFFF"/>
                  <w:vAlign w:val="center"/>
                </w:tcPr>
                <w:p>
                  <w:pPr>
                    <w:pStyle w:val="11"/>
                    <w:jc w:val="center"/>
                    <w:rPr>
                      <w:color w:val="auto"/>
                      <w:lang w:val="zh-TW" w:eastAsia="zh-TW"/>
                    </w:rPr>
                  </w:pPr>
                </w:p>
              </w:tc>
              <w:tc>
                <w:tcPr>
                  <w:tcW w:w="567" w:type="dxa"/>
                  <w:tcBorders>
                    <w:tl2br w:val="nil"/>
                    <w:tr2bl w:val="nil"/>
                  </w:tcBorders>
                  <w:shd w:val="clear" w:color="auto" w:fill="FFFFFF"/>
                  <w:vAlign w:val="center"/>
                </w:tcPr>
                <w:p>
                  <w:pPr>
                    <w:pStyle w:val="11"/>
                    <w:jc w:val="center"/>
                    <w:rPr>
                      <w:color w:val="auto"/>
                      <w:lang w:val="zh-TW" w:eastAsia="zh-TW"/>
                    </w:rPr>
                  </w:pPr>
                  <w:r>
                    <w:rPr>
                      <w:color w:val="auto"/>
                      <w:lang w:val="zh-TW" w:eastAsia="zh-TW"/>
                    </w:rPr>
                    <w:t>一般</w:t>
                  </w:r>
                </w:p>
                <w:p>
                  <w:pPr>
                    <w:pStyle w:val="11"/>
                    <w:jc w:val="center"/>
                    <w:rPr>
                      <w:color w:val="auto"/>
                      <w:lang w:val="zh-TW"/>
                    </w:rPr>
                  </w:pPr>
                  <w:r>
                    <w:rPr>
                      <w:color w:val="auto"/>
                      <w:lang w:val="zh-TW" w:eastAsia="zh-TW"/>
                    </w:rPr>
                    <w:t>管控</w:t>
                  </w:r>
                </w:p>
                <w:p>
                  <w:pPr>
                    <w:pStyle w:val="11"/>
                    <w:jc w:val="center"/>
                    <w:rPr>
                      <w:color w:val="auto"/>
                      <w:lang w:val="zh-TW" w:eastAsia="zh-TW"/>
                    </w:rPr>
                  </w:pPr>
                  <w:r>
                    <w:rPr>
                      <w:color w:val="auto"/>
                      <w:lang w:val="zh-TW" w:eastAsia="zh-TW"/>
                    </w:rPr>
                    <w:t>单元</w:t>
                  </w:r>
                </w:p>
              </w:tc>
              <w:tc>
                <w:tcPr>
                  <w:tcW w:w="4681" w:type="dxa"/>
                  <w:tcBorders>
                    <w:tl2br w:val="nil"/>
                    <w:tr2bl w:val="nil"/>
                  </w:tcBorders>
                  <w:shd w:val="clear" w:color="auto" w:fill="FFFFFF"/>
                  <w:vAlign w:val="center"/>
                </w:tcPr>
                <w:p>
                  <w:pPr>
                    <w:pStyle w:val="11"/>
                    <w:jc w:val="both"/>
                    <w:rPr>
                      <w:rFonts w:hint="eastAsia" w:eastAsia="宋体"/>
                      <w:color w:val="auto"/>
                      <w:lang w:eastAsia="zh-CN"/>
                    </w:rPr>
                  </w:pPr>
                  <w:r>
                    <w:rPr>
                      <w:rFonts w:hint="eastAsia"/>
                      <w:color w:val="auto"/>
                      <w:lang w:val="zh-TW" w:eastAsia="zh-CN"/>
                    </w:rPr>
                    <w:t>除优先保护单元和重点管控单元之外的其他区域，全市共划分一般管控单元7个。执行区域生态环境保护的基本要求，重点加强农业、生活等领域污染治理。</w:t>
                  </w:r>
                </w:p>
              </w:tc>
              <w:tc>
                <w:tcPr>
                  <w:tcW w:w="1836" w:type="dxa"/>
                  <w:tcBorders>
                    <w:tl2br w:val="nil"/>
                    <w:tr2bl w:val="nil"/>
                  </w:tcBorders>
                  <w:shd w:val="clear" w:color="auto" w:fill="FFFFFF"/>
                  <w:vAlign w:val="center"/>
                </w:tcPr>
                <w:p>
                  <w:pPr>
                    <w:pStyle w:val="11"/>
                    <w:jc w:val="center"/>
                    <w:rPr>
                      <w:color w:val="auto"/>
                    </w:rPr>
                  </w:pPr>
                  <w:r>
                    <w:rPr>
                      <w:rFonts w:hint="eastAsia"/>
                      <w:color w:val="auto"/>
                    </w:rPr>
                    <w:t>本项目</w:t>
                  </w:r>
                  <w:r>
                    <w:rPr>
                      <w:color w:val="auto"/>
                      <w:lang w:val="zh-TW" w:eastAsia="zh-TW"/>
                    </w:rPr>
                    <w:t>不在一般管控单元内。</w:t>
                  </w:r>
                </w:p>
              </w:tc>
              <w:tc>
                <w:tcPr>
                  <w:tcW w:w="825" w:type="dxa"/>
                  <w:gridSpan w:val="2"/>
                  <w:tcBorders>
                    <w:tl2br w:val="nil"/>
                    <w:tr2bl w:val="nil"/>
                  </w:tcBorders>
                  <w:shd w:val="clear" w:color="auto" w:fill="FFFFFF"/>
                  <w:vAlign w:val="center"/>
                </w:tcPr>
                <w:p>
                  <w:pPr>
                    <w:pStyle w:val="11"/>
                    <w:jc w:val="center"/>
                    <w:rPr>
                      <w:color w:val="auto"/>
                    </w:rPr>
                  </w:pPr>
                  <w:r>
                    <w:rPr>
                      <w:color w:val="auto"/>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04" w:hRule="atLeast"/>
                <w:jc w:val="center"/>
              </w:trPr>
              <w:tc>
                <w:tcPr>
                  <w:tcW w:w="422" w:type="dxa"/>
                  <w:vMerge w:val="continue"/>
                  <w:tcBorders>
                    <w:tl2br w:val="nil"/>
                    <w:tr2bl w:val="nil"/>
                  </w:tcBorders>
                  <w:shd w:val="clear" w:color="auto" w:fill="FFFFFF"/>
                  <w:vAlign w:val="center"/>
                </w:tcPr>
                <w:p>
                  <w:pPr>
                    <w:pStyle w:val="11"/>
                    <w:jc w:val="center"/>
                    <w:rPr>
                      <w:color w:val="auto"/>
                    </w:rPr>
                  </w:pPr>
                </w:p>
              </w:tc>
              <w:tc>
                <w:tcPr>
                  <w:tcW w:w="567" w:type="dxa"/>
                  <w:tcBorders>
                    <w:tl2br w:val="nil"/>
                    <w:tr2bl w:val="nil"/>
                  </w:tcBorders>
                  <w:shd w:val="clear" w:color="auto" w:fill="FFFFFF"/>
                  <w:vAlign w:val="center"/>
                </w:tcPr>
                <w:p>
                  <w:pPr>
                    <w:pStyle w:val="11"/>
                    <w:jc w:val="center"/>
                    <w:rPr>
                      <w:color w:val="auto"/>
                      <w:lang w:val="zh-TW" w:eastAsia="zh-TW"/>
                    </w:rPr>
                  </w:pPr>
                  <w:r>
                    <w:rPr>
                      <w:rFonts w:hint="eastAsia"/>
                      <w:color w:val="auto"/>
                    </w:rPr>
                    <w:t>生态环境准入要求</w:t>
                  </w:r>
                </w:p>
              </w:tc>
              <w:tc>
                <w:tcPr>
                  <w:tcW w:w="4681" w:type="dxa"/>
                  <w:tcBorders>
                    <w:tl2br w:val="nil"/>
                    <w:tr2bl w:val="nil"/>
                  </w:tcBorders>
                  <w:shd w:val="clear" w:color="auto" w:fill="FFFFFF"/>
                  <w:vAlign w:val="center"/>
                </w:tcPr>
                <w:p>
                  <w:pPr>
                    <w:pStyle w:val="11"/>
                    <w:bidi w:val="0"/>
                    <w:rPr>
                      <w:color w:val="auto"/>
                    </w:rPr>
                  </w:pPr>
                  <w:r>
                    <w:rPr>
                      <w:color w:val="auto"/>
                    </w:rPr>
                    <w:t>①</w:t>
                  </w:r>
                  <w:r>
                    <w:t>对钢铁行业提出严格资源环境绩效水平要求；</w:t>
                  </w:r>
                  <w:r>
                    <w:rPr>
                      <w:rFonts w:hint="eastAsia"/>
                      <w:lang w:val="en-US" w:eastAsia="zh-CN"/>
                    </w:rPr>
                    <w:t>②</w:t>
                  </w:r>
                  <w:r>
                    <w:t>高污染企业限期退城入园；</w:t>
                  </w:r>
                  <w:r>
                    <w:rPr>
                      <w:rFonts w:hint="eastAsia"/>
                      <w:lang w:val="en-US" w:eastAsia="zh-CN"/>
                    </w:rPr>
                    <w:t>③</w:t>
                  </w:r>
                  <w:r>
                    <w:t>普光气田开发污染防治和环境管理等方面要达到国内先进水平；</w:t>
                  </w:r>
                  <w:r>
                    <w:rPr>
                      <w:rFonts w:hint="eastAsia"/>
                      <w:lang w:val="en-US" w:eastAsia="zh-CN"/>
                    </w:rPr>
                    <w:t>④</w:t>
                  </w:r>
                  <w:r>
                    <w:t>引进项目应符合园区规划环评和区域产业准入清单要求；</w:t>
                  </w:r>
                  <w:r>
                    <w:rPr>
                      <w:rFonts w:hint="eastAsia"/>
                      <w:lang w:val="en-US" w:eastAsia="zh-CN"/>
                    </w:rPr>
                    <w:t>⑤</w:t>
                  </w:r>
                  <w:r>
                    <w:t>长江干支流岸线1km范围内，不得新建、扩建化工园区和化工项目；</w:t>
                  </w:r>
                  <w:r>
                    <w:rPr>
                      <w:rFonts w:hint="eastAsia"/>
                      <w:lang w:val="en-US" w:eastAsia="zh-CN"/>
                    </w:rPr>
                    <w:t>⑥</w:t>
                  </w:r>
                  <w:r>
                    <w:t>严控产业转移环境准入；</w:t>
                  </w:r>
                  <w:r>
                    <w:rPr>
                      <w:rFonts w:hint="eastAsia"/>
                      <w:lang w:val="en-US" w:eastAsia="zh-CN"/>
                    </w:rPr>
                    <w:t>⑦</w:t>
                  </w:r>
                  <w:r>
                    <w:t>造纸等产业污染治理和环境管理应达到国内先进水平。优化制浆造纸产业布局，提升行业清洁生产水平，推动制浆造纸工业向节能、环保、绿色方向发展。</w:t>
                  </w:r>
                </w:p>
              </w:tc>
              <w:tc>
                <w:tcPr>
                  <w:tcW w:w="1836" w:type="dxa"/>
                  <w:tcBorders>
                    <w:tl2br w:val="nil"/>
                    <w:tr2bl w:val="nil"/>
                  </w:tcBorders>
                  <w:shd w:val="clear" w:color="auto" w:fill="FFFFFF"/>
                  <w:vAlign w:val="center"/>
                </w:tcPr>
                <w:p>
                  <w:pPr>
                    <w:pStyle w:val="11"/>
                    <w:jc w:val="center"/>
                    <w:rPr>
                      <w:color w:val="auto"/>
                    </w:rPr>
                  </w:pPr>
                  <w:r>
                    <w:rPr>
                      <w:color w:val="auto"/>
                      <w:lang w:val="zh-TW" w:eastAsia="zh-TW"/>
                    </w:rPr>
                    <w:t>本项目不属于对居住和公共设施等环境有严重干扰和污染的工业（化学工业、造纸工业、制革工业、建材工业等）</w:t>
                  </w:r>
                  <w:r>
                    <w:rPr>
                      <w:color w:val="auto"/>
                      <w:lang w:val="zh-TW"/>
                    </w:rPr>
                    <w:t>。</w:t>
                  </w:r>
                </w:p>
              </w:tc>
              <w:tc>
                <w:tcPr>
                  <w:tcW w:w="825" w:type="dxa"/>
                  <w:gridSpan w:val="2"/>
                  <w:tcBorders>
                    <w:tl2br w:val="nil"/>
                    <w:tr2bl w:val="nil"/>
                  </w:tcBorders>
                  <w:shd w:val="clear" w:color="auto" w:fill="FFFFFF"/>
                  <w:vAlign w:val="center"/>
                </w:tcPr>
                <w:p>
                  <w:pPr>
                    <w:pStyle w:val="11"/>
                    <w:jc w:val="center"/>
                    <w:rPr>
                      <w:color w:val="auto"/>
                    </w:rPr>
                  </w:pPr>
                  <w:r>
                    <w:rPr>
                      <w:color w:val="auto"/>
                      <w:lang w:val="zh-TW" w:eastAsia="zh-TW"/>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04" w:hRule="atLeast"/>
                <w:jc w:val="center"/>
              </w:trPr>
              <w:tc>
                <w:tcPr>
                  <w:tcW w:w="422" w:type="dxa"/>
                  <w:tcBorders>
                    <w:tl2br w:val="nil"/>
                    <w:tr2bl w:val="nil"/>
                  </w:tcBorders>
                  <w:shd w:val="clear" w:color="auto" w:fill="FFFFFF"/>
                  <w:vAlign w:val="center"/>
                </w:tcPr>
                <w:p>
                  <w:pPr>
                    <w:pStyle w:val="11"/>
                    <w:jc w:val="center"/>
                    <w:rPr>
                      <w:rFonts w:hint="eastAsia" w:eastAsia="宋体"/>
                      <w:color w:val="auto"/>
                      <w:lang w:eastAsia="zh-CN"/>
                    </w:rPr>
                  </w:pPr>
                  <w:r>
                    <w:rPr>
                      <w:rFonts w:hint="eastAsia"/>
                      <w:color w:val="auto"/>
                      <w:lang w:val="en-US" w:eastAsia="zh-CN"/>
                    </w:rPr>
                    <w:t>宣汉县</w:t>
                  </w:r>
                </w:p>
              </w:tc>
              <w:tc>
                <w:tcPr>
                  <w:tcW w:w="567" w:type="dxa"/>
                  <w:tcBorders>
                    <w:tl2br w:val="nil"/>
                    <w:tr2bl w:val="nil"/>
                  </w:tcBorders>
                  <w:shd w:val="clear" w:color="auto" w:fill="FFFFFF"/>
                  <w:vAlign w:val="center"/>
                </w:tcPr>
                <w:p>
                  <w:pPr>
                    <w:pStyle w:val="11"/>
                    <w:jc w:val="center"/>
                    <w:rPr>
                      <w:color w:val="auto"/>
                      <w:u w:val="single"/>
                      <w:lang w:val="zh-TW" w:eastAsia="zh-TW"/>
                    </w:rPr>
                  </w:pPr>
                  <w:r>
                    <w:rPr>
                      <w:rFonts w:hint="eastAsia"/>
                      <w:color w:val="auto"/>
                    </w:rPr>
                    <w:t>生态环境</w:t>
                  </w:r>
                  <w:r>
                    <w:rPr>
                      <w:color w:val="auto"/>
                      <w:lang w:val="zh-TW" w:eastAsia="zh-TW"/>
                    </w:rPr>
                    <w:t>准入要求</w:t>
                  </w:r>
                </w:p>
              </w:tc>
              <w:tc>
                <w:tcPr>
                  <w:tcW w:w="4681" w:type="dxa"/>
                  <w:tcBorders>
                    <w:tl2br w:val="nil"/>
                    <w:tr2bl w:val="nil"/>
                  </w:tcBorders>
                  <w:shd w:val="clear" w:color="auto" w:fill="FFFFFF"/>
                  <w:vAlign w:val="center"/>
                </w:tcPr>
                <w:p>
                  <w:pPr>
                    <w:pStyle w:val="11"/>
                    <w:bidi w:val="0"/>
                    <w:rPr>
                      <w:color w:val="auto"/>
                      <w:lang w:val="zh-TW" w:eastAsia="zh-TW"/>
                    </w:rPr>
                  </w:pPr>
                  <w:r>
                    <w:rPr>
                      <w:rFonts w:hint="eastAsia"/>
                      <w:lang w:val="en-US" w:eastAsia="zh-CN"/>
                    </w:rPr>
                    <w:t>①</w:t>
                  </w:r>
                  <w:r>
                    <w:t>加强小流域水环境保护，推动农村环保基础设施建设，全面推进农村环境综合整治、生活污水处理项目。大力开展沿河畜禽养殖污染整治，大力推广生态种植，减少农药化肥使用量；</w:t>
                  </w:r>
                  <w:r>
                    <w:rPr>
                      <w:rFonts w:hint="eastAsia"/>
                      <w:lang w:val="en-US" w:eastAsia="zh-CN"/>
                    </w:rPr>
                    <w:t>②</w:t>
                  </w:r>
                  <w:r>
                    <w:t>打好升级版污染防治攻坚战。持续优化调整产业布局，以PM</w:t>
                  </w:r>
                  <w:r>
                    <w:rPr>
                      <w:vertAlign w:val="subscript"/>
                    </w:rPr>
                    <w:t>2.5</w:t>
                  </w:r>
                  <w:r>
                    <w:t>和臭氧污染协同控制为重点，全面开展VOCs治理，实施移动源整治，持续推进空气质量精细化管理；</w:t>
                  </w:r>
                  <w:r>
                    <w:rPr>
                      <w:rFonts w:hint="eastAsia"/>
                      <w:lang w:val="en-US" w:eastAsia="zh-CN"/>
                    </w:rPr>
                    <w:t>③</w:t>
                  </w:r>
                  <w:r>
                    <w:t>优化天然气化工、硫化工、锂钾综合开发、冶金建材、新材料等产业布局，切实做好危险化学品生产、使用、贮运、废弃全过程的安全防范措施，妥善处理好锂钾综合开发产业副产物及“三废”的综合利用途径或处置去向。</w:t>
                  </w:r>
                </w:p>
              </w:tc>
              <w:tc>
                <w:tcPr>
                  <w:tcW w:w="1836" w:type="dxa"/>
                  <w:tcBorders>
                    <w:tl2br w:val="nil"/>
                    <w:tr2bl w:val="nil"/>
                  </w:tcBorders>
                  <w:shd w:val="clear" w:color="auto" w:fill="FFFFFF"/>
                  <w:vAlign w:val="center"/>
                </w:tcPr>
                <w:p>
                  <w:pPr>
                    <w:pStyle w:val="11"/>
                    <w:jc w:val="center"/>
                    <w:rPr>
                      <w:color w:val="auto"/>
                    </w:rPr>
                  </w:pPr>
                  <w:r>
                    <w:rPr>
                      <w:color w:val="auto"/>
                    </w:rPr>
                    <w:t>本项目使用电能，针对各位污染物并采取了有效的污染防治措施。</w:t>
                  </w:r>
                </w:p>
              </w:tc>
              <w:tc>
                <w:tcPr>
                  <w:tcW w:w="825" w:type="dxa"/>
                  <w:gridSpan w:val="2"/>
                  <w:tcBorders>
                    <w:tl2br w:val="nil"/>
                    <w:tr2bl w:val="nil"/>
                  </w:tcBorders>
                  <w:shd w:val="clear" w:color="auto" w:fill="FFFFFF"/>
                  <w:vAlign w:val="center"/>
                </w:tcPr>
                <w:p>
                  <w:pPr>
                    <w:pStyle w:val="11"/>
                    <w:jc w:val="center"/>
                    <w:rPr>
                      <w:color w:val="auto"/>
                      <w:lang w:val="zh-TW" w:eastAsia="zh-TW"/>
                    </w:rPr>
                  </w:pPr>
                  <w:r>
                    <w:rPr>
                      <w:color w:val="auto"/>
                      <w:lang w:val="zh-TW" w:eastAsia="zh-TW"/>
                    </w:rPr>
                    <w:t>符合</w:t>
                  </w:r>
                </w:p>
              </w:tc>
            </w:tr>
          </w:tbl>
          <w:p>
            <w:pPr>
              <w:adjustRightInd w:val="0"/>
              <w:snapToGrid w:val="0"/>
              <w:ind w:firstLine="482"/>
              <w:rPr>
                <w:b/>
                <w:bCs/>
                <w:color w:val="auto"/>
                <w:kern w:val="0"/>
                <w:szCs w:val="21"/>
              </w:rPr>
            </w:pPr>
            <w:r>
              <w:rPr>
                <w:rFonts w:hint="eastAsia"/>
                <w:b/>
                <w:bCs/>
                <w:color w:val="auto"/>
                <w:kern w:val="0"/>
                <w:szCs w:val="21"/>
                <w:lang w:val="en-US" w:eastAsia="zh-CN"/>
              </w:rPr>
              <w:t>6</w:t>
            </w:r>
            <w:r>
              <w:rPr>
                <w:b/>
                <w:bCs/>
                <w:color w:val="auto"/>
                <w:kern w:val="0"/>
                <w:szCs w:val="21"/>
              </w:rPr>
              <w:t>、项目与《</w:t>
            </w:r>
            <w:r>
              <w:rPr>
                <w:rFonts w:hint="eastAsia"/>
                <w:b/>
                <w:bCs/>
                <w:color w:val="auto"/>
                <w:kern w:val="0"/>
                <w:szCs w:val="21"/>
                <w:lang w:eastAsia="zh-CN"/>
              </w:rPr>
              <w:t>达州市</w:t>
            </w:r>
            <w:r>
              <w:rPr>
                <w:b/>
                <w:bCs/>
                <w:color w:val="auto"/>
                <w:kern w:val="0"/>
                <w:szCs w:val="21"/>
              </w:rPr>
              <w:t>人民政府关于落实生态保护红线、环境质量底线、资源利用上线和生态环境准入清单实施生态环境分区管控的通知》符合性分析</w:t>
            </w:r>
          </w:p>
          <w:p>
            <w:pPr>
              <w:adjustRightInd w:val="0"/>
              <w:snapToGrid w:val="0"/>
              <w:ind w:firstLine="480"/>
              <w:rPr>
                <w:color w:val="auto"/>
                <w:kern w:val="0"/>
                <w:szCs w:val="21"/>
              </w:rPr>
            </w:pPr>
            <w:r>
              <w:rPr>
                <w:color w:val="auto"/>
                <w:kern w:val="0"/>
                <w:szCs w:val="21"/>
                <w:lang w:val="zh-TW" w:eastAsia="zh-TW"/>
              </w:rPr>
              <w:t>本项目位于</w:t>
            </w:r>
            <w:r>
              <w:rPr>
                <w:rFonts w:hint="eastAsia"/>
                <w:color w:val="auto"/>
                <w:kern w:val="0"/>
                <w:szCs w:val="21"/>
                <w:lang w:val="zh-TW" w:eastAsia="zh-CN"/>
              </w:rPr>
              <w:t>四川省达州市宣汉县一号大道和四号大道交叉口东北180米</w:t>
            </w:r>
            <w:r>
              <w:rPr>
                <w:color w:val="auto"/>
                <w:kern w:val="0"/>
                <w:szCs w:val="21"/>
                <w:lang w:val="zh-TW" w:eastAsia="zh-TW"/>
              </w:rPr>
              <w:t>，</w:t>
            </w:r>
            <w:r>
              <w:rPr>
                <w:color w:val="auto"/>
                <w:kern w:val="0"/>
                <w:szCs w:val="21"/>
              </w:rPr>
              <w:t>根据《</w:t>
            </w:r>
            <w:r>
              <w:rPr>
                <w:rFonts w:hint="eastAsia"/>
                <w:color w:val="auto"/>
                <w:kern w:val="0"/>
                <w:szCs w:val="21"/>
                <w:lang w:eastAsia="zh-CN"/>
              </w:rPr>
              <w:t>达州市</w:t>
            </w:r>
            <w:r>
              <w:rPr>
                <w:color w:val="auto"/>
                <w:kern w:val="0"/>
                <w:szCs w:val="21"/>
              </w:rPr>
              <w:t>人民政府关于落实生态保护红线、环境质量底线、资源利用上线和生态环境准入清单实施生态环境分区管控的通知》（</w:t>
            </w:r>
            <w:r>
              <w:rPr>
                <w:rFonts w:hint="eastAsia" w:ascii="Times New Roman" w:hAnsi="Times New Roman" w:cs="Times New Roman"/>
                <w:color w:val="auto"/>
                <w:kern w:val="0"/>
                <w:szCs w:val="21"/>
                <w:lang w:val="zh-TW" w:eastAsia="zh-CN"/>
              </w:rPr>
              <w:t>达市府发</w:t>
            </w:r>
            <w:r>
              <w:rPr>
                <w:color w:val="auto"/>
                <w:kern w:val="0"/>
                <w:szCs w:val="21"/>
              </w:rPr>
              <w:t>[2021]1</w:t>
            </w:r>
            <w:r>
              <w:rPr>
                <w:rFonts w:hint="eastAsia"/>
                <w:color w:val="auto"/>
                <w:kern w:val="0"/>
                <w:szCs w:val="21"/>
                <w:lang w:val="en-US" w:eastAsia="zh-CN"/>
              </w:rPr>
              <w:t>7</w:t>
            </w:r>
            <w:r>
              <w:rPr>
                <w:color w:val="auto"/>
                <w:kern w:val="0"/>
                <w:szCs w:val="21"/>
              </w:rPr>
              <w:t>号）中的相关内容：项目应归为环境管控单元类型中的“</w:t>
            </w:r>
            <w:r>
              <w:rPr>
                <w:color w:val="auto"/>
                <w:lang w:val="zh-TW" w:eastAsia="zh-TW"/>
              </w:rPr>
              <w:t>优先保护单元</w:t>
            </w:r>
            <w:r>
              <w:rPr>
                <w:color w:val="auto"/>
                <w:kern w:val="0"/>
                <w:szCs w:val="21"/>
              </w:rPr>
              <w:t>”，</w:t>
            </w:r>
            <w:r>
              <w:rPr>
                <w:color w:val="auto"/>
                <w:kern w:val="0"/>
                <w:szCs w:val="21"/>
                <w:lang w:val="zh-TW" w:eastAsia="zh-TW"/>
              </w:rPr>
              <w:t>其中，</w:t>
            </w:r>
            <w:r>
              <w:rPr>
                <w:color w:val="auto"/>
                <w:lang w:val="zh-TW" w:eastAsia="zh-TW"/>
              </w:rPr>
              <w:t>优先保护单元中，应以生态环境保护优先为原则，严格执行相关法律、法规要求，严守生态环境质量底线，确保生态环境功能不降低</w:t>
            </w:r>
            <w:r>
              <w:rPr>
                <w:rFonts w:hint="eastAsia"/>
                <w:color w:val="auto"/>
                <w:lang w:val="zh-TW"/>
              </w:rPr>
              <w:t>。</w:t>
            </w:r>
          </w:p>
          <w:p>
            <w:pPr>
              <w:adjustRightInd w:val="0"/>
              <w:snapToGrid w:val="0"/>
              <w:ind w:firstLine="480"/>
              <w:rPr>
                <w:color w:val="auto"/>
                <w:kern w:val="0"/>
                <w:szCs w:val="21"/>
              </w:rPr>
            </w:pPr>
            <w:r>
              <w:rPr>
                <w:color w:val="auto"/>
                <w:kern w:val="0"/>
                <w:szCs w:val="21"/>
                <w:lang w:val="zh-TW" w:eastAsia="zh-TW"/>
              </w:rPr>
              <w:t>本项目主要进行</w:t>
            </w:r>
            <w:r>
              <w:rPr>
                <w:rFonts w:hint="eastAsia"/>
                <w:color w:val="auto"/>
                <w:kern w:val="0"/>
                <w:szCs w:val="21"/>
                <w:lang w:val="en-US" w:eastAsia="zh-CN"/>
              </w:rPr>
              <w:t>再生</w:t>
            </w:r>
            <w:r>
              <w:rPr>
                <w:color w:val="auto"/>
                <w:kern w:val="0"/>
                <w:szCs w:val="21"/>
              </w:rPr>
              <w:t>塑料</w:t>
            </w:r>
            <w:r>
              <w:rPr>
                <w:rFonts w:hint="eastAsia"/>
                <w:color w:val="auto"/>
                <w:kern w:val="0"/>
                <w:szCs w:val="21"/>
                <w:lang w:val="en-US" w:eastAsia="zh-CN"/>
              </w:rPr>
              <w:t>产品</w:t>
            </w:r>
            <w:r>
              <w:rPr>
                <w:color w:val="auto"/>
                <w:kern w:val="0"/>
                <w:szCs w:val="21"/>
              </w:rPr>
              <w:t>生产，项目针对废气等污染物的排放、环境风险管理和防控方面采取了有效的措施，因此，符合《</w:t>
            </w:r>
            <w:r>
              <w:rPr>
                <w:rFonts w:hint="eastAsia"/>
                <w:color w:val="auto"/>
                <w:kern w:val="0"/>
                <w:szCs w:val="21"/>
                <w:lang w:eastAsia="zh-CN"/>
              </w:rPr>
              <w:t>达州市</w:t>
            </w:r>
            <w:r>
              <w:rPr>
                <w:color w:val="auto"/>
                <w:kern w:val="0"/>
                <w:szCs w:val="21"/>
              </w:rPr>
              <w:t>人民政府关于落实生态保护红线、环境质量底线、资源利用上线和生态环境准入清单实施生态环境分区管控的通知》中相关内容的要求</w:t>
            </w:r>
            <w:r>
              <w:rPr>
                <w:rFonts w:hint="eastAsia"/>
                <w:color w:val="auto"/>
                <w:kern w:val="0"/>
                <w:szCs w:val="21"/>
              </w:rPr>
              <w:t>，具体见表1-</w:t>
            </w:r>
            <w:r>
              <w:rPr>
                <w:rFonts w:hint="eastAsia"/>
                <w:color w:val="auto"/>
                <w:kern w:val="0"/>
                <w:szCs w:val="21"/>
                <w:lang w:val="en-US" w:eastAsia="zh-CN"/>
              </w:rPr>
              <w:t>5</w:t>
            </w:r>
            <w:r>
              <w:rPr>
                <w:rFonts w:hint="eastAsia"/>
                <w:color w:val="auto"/>
                <w:kern w:val="0"/>
                <w:szCs w:val="21"/>
              </w:rPr>
              <w:t>，表1-</w:t>
            </w:r>
            <w:r>
              <w:rPr>
                <w:rFonts w:hint="eastAsia"/>
                <w:color w:val="auto"/>
                <w:kern w:val="0"/>
                <w:szCs w:val="21"/>
                <w:lang w:val="en-US" w:eastAsia="zh-CN"/>
              </w:rPr>
              <w:t>6</w:t>
            </w:r>
            <w:r>
              <w:rPr>
                <w:color w:val="auto"/>
                <w:kern w:val="0"/>
                <w:szCs w:val="21"/>
              </w:rPr>
              <w:t>。</w:t>
            </w:r>
          </w:p>
          <w:p>
            <w:pPr>
              <w:pStyle w:val="11"/>
              <w:jc w:val="center"/>
              <w:rPr>
                <w:b/>
                <w:bCs/>
                <w:color w:val="auto"/>
                <w:lang w:val="zh-TW" w:eastAsia="zh-TW"/>
              </w:rPr>
            </w:pPr>
            <w:r>
              <w:rPr>
                <w:rFonts w:hint="eastAsia"/>
                <w:b/>
                <w:bCs/>
                <w:color w:val="auto"/>
                <w:lang w:val="en-US" w:eastAsia="zh-CN"/>
              </w:rPr>
              <w:t>表</w:t>
            </w:r>
            <w:r>
              <w:rPr>
                <w:b/>
                <w:bCs/>
                <w:color w:val="auto"/>
                <w:lang w:val="zh-TW" w:eastAsia="zh-TW"/>
              </w:rPr>
              <w:t>1-</w:t>
            </w:r>
            <w:r>
              <w:rPr>
                <w:rFonts w:hint="eastAsia"/>
                <w:b/>
                <w:bCs/>
                <w:color w:val="auto"/>
                <w:lang w:val="en-US" w:eastAsia="zh-CN"/>
              </w:rPr>
              <w:t>6</w:t>
            </w:r>
            <w:r>
              <w:rPr>
                <w:b/>
                <w:bCs/>
                <w:color w:val="auto"/>
                <w:lang w:val="zh-TW" w:eastAsia="zh-TW"/>
              </w:rPr>
              <w:t xml:space="preserve">  </w:t>
            </w:r>
            <w:r>
              <w:rPr>
                <w:rFonts w:hint="eastAsia"/>
                <w:b/>
                <w:bCs/>
                <w:color w:val="auto"/>
              </w:rPr>
              <w:t>建设项目</w:t>
            </w:r>
            <w:r>
              <w:rPr>
                <w:b/>
                <w:bCs/>
                <w:color w:val="auto"/>
                <w:lang w:val="zh-TW" w:eastAsia="zh-TW"/>
              </w:rPr>
              <w:t>与</w:t>
            </w:r>
            <w:r>
              <w:rPr>
                <w:b/>
                <w:bCs/>
                <w:color w:val="auto"/>
              </w:rPr>
              <w:t>“</w:t>
            </w:r>
            <w:r>
              <w:rPr>
                <w:rFonts w:hint="eastAsia"/>
                <w:b/>
                <w:bCs/>
                <w:color w:val="auto"/>
              </w:rPr>
              <w:t>三线一单</w:t>
            </w:r>
            <w:r>
              <w:rPr>
                <w:b/>
                <w:bCs/>
                <w:color w:val="auto"/>
              </w:rPr>
              <w:t>”等</w:t>
            </w:r>
            <w:r>
              <w:rPr>
                <w:rFonts w:hint="eastAsia"/>
                <w:b/>
                <w:bCs/>
                <w:color w:val="auto"/>
              </w:rPr>
              <w:t>具体要求</w:t>
            </w:r>
            <w:r>
              <w:rPr>
                <w:b/>
                <w:bCs/>
                <w:color w:val="auto"/>
                <w:lang w:val="zh-TW" w:eastAsia="zh-TW"/>
              </w:rPr>
              <w:t>符合性分析</w:t>
            </w:r>
          </w:p>
          <w:tbl>
            <w:tblPr>
              <w:tblStyle w:val="5"/>
              <w:tblW w:w="8233"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521"/>
              <w:gridCol w:w="563"/>
              <w:gridCol w:w="512"/>
              <w:gridCol w:w="5100"/>
              <w:gridCol w:w="1004"/>
              <w:gridCol w:w="53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6696" w:type="dxa"/>
                  <w:gridSpan w:val="4"/>
                  <w:tcBorders>
                    <w:tl2br w:val="nil"/>
                    <w:tr2bl w:val="nil"/>
                  </w:tcBorders>
                  <w:shd w:val="clear" w:color="auto" w:fill="FFFFFF"/>
                  <w:vAlign w:val="center"/>
                </w:tcPr>
                <w:p>
                  <w:pPr>
                    <w:pStyle w:val="11"/>
                    <w:jc w:val="center"/>
                    <w:rPr>
                      <w:b/>
                      <w:bCs/>
                      <w:color w:val="auto"/>
                    </w:rPr>
                  </w:pPr>
                  <w:r>
                    <w:rPr>
                      <w:rFonts w:hint="eastAsia"/>
                      <w:b/>
                      <w:bCs/>
                      <w:color w:val="auto"/>
                      <w:lang w:val="zh-TW"/>
                    </w:rPr>
                    <w:t>“</w:t>
                  </w:r>
                  <w:r>
                    <w:rPr>
                      <w:rFonts w:hint="eastAsia"/>
                      <w:b/>
                      <w:bCs/>
                      <w:color w:val="auto"/>
                    </w:rPr>
                    <w:t>三线一单</w:t>
                  </w:r>
                  <w:r>
                    <w:rPr>
                      <w:rFonts w:hint="eastAsia"/>
                      <w:b/>
                      <w:bCs/>
                      <w:color w:val="auto"/>
                      <w:lang w:val="zh-TW"/>
                    </w:rPr>
                    <w:t>”</w:t>
                  </w:r>
                  <w:r>
                    <w:rPr>
                      <w:rFonts w:hint="eastAsia"/>
                      <w:b/>
                      <w:bCs/>
                      <w:color w:val="auto"/>
                    </w:rPr>
                    <w:t>的具体</w:t>
                  </w:r>
                  <w:r>
                    <w:rPr>
                      <w:b/>
                      <w:bCs/>
                      <w:color w:val="auto"/>
                      <w:lang w:val="zh-TW" w:eastAsia="zh-TW"/>
                    </w:rPr>
                    <w:t>要求</w:t>
                  </w:r>
                </w:p>
              </w:tc>
              <w:tc>
                <w:tcPr>
                  <w:tcW w:w="1004" w:type="dxa"/>
                  <w:vMerge w:val="restart"/>
                  <w:tcBorders>
                    <w:tl2br w:val="nil"/>
                    <w:tr2bl w:val="nil"/>
                  </w:tcBorders>
                  <w:shd w:val="clear" w:color="auto" w:fill="FFFFFF"/>
                  <w:vAlign w:val="center"/>
                </w:tcPr>
                <w:p>
                  <w:pPr>
                    <w:pStyle w:val="11"/>
                    <w:jc w:val="center"/>
                    <w:rPr>
                      <w:b/>
                      <w:bCs/>
                      <w:color w:val="auto"/>
                      <w:lang w:val="zh-TW" w:eastAsia="zh-TW"/>
                    </w:rPr>
                  </w:pPr>
                  <w:r>
                    <w:rPr>
                      <w:b/>
                      <w:bCs/>
                      <w:color w:val="auto"/>
                      <w:lang w:val="zh-TW" w:eastAsia="zh-TW"/>
                    </w:rPr>
                    <w:t>本项目</w:t>
                  </w:r>
                </w:p>
                <w:p>
                  <w:pPr>
                    <w:pStyle w:val="11"/>
                    <w:jc w:val="center"/>
                    <w:rPr>
                      <w:b/>
                      <w:bCs/>
                      <w:color w:val="auto"/>
                    </w:rPr>
                  </w:pPr>
                  <w:r>
                    <w:rPr>
                      <w:b/>
                      <w:bCs/>
                      <w:color w:val="auto"/>
                      <w:lang w:val="zh-TW" w:eastAsia="zh-TW"/>
                    </w:rPr>
                    <w:t>情况</w:t>
                  </w:r>
                </w:p>
              </w:tc>
              <w:tc>
                <w:tcPr>
                  <w:tcW w:w="533" w:type="dxa"/>
                  <w:vMerge w:val="restart"/>
                  <w:tcBorders>
                    <w:tl2br w:val="nil"/>
                    <w:tr2bl w:val="nil"/>
                  </w:tcBorders>
                  <w:shd w:val="clear" w:color="auto" w:fill="FFFFFF"/>
                  <w:vAlign w:val="center"/>
                </w:tcPr>
                <w:p>
                  <w:pPr>
                    <w:pStyle w:val="11"/>
                    <w:jc w:val="center"/>
                    <w:rPr>
                      <w:b/>
                      <w:bCs/>
                      <w:color w:val="auto"/>
                    </w:rPr>
                  </w:pPr>
                  <w:r>
                    <w:rPr>
                      <w:b/>
                      <w:bCs/>
                      <w:color w:val="auto"/>
                      <w:lang w:val="zh-TW" w:eastAsia="zh-TW"/>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596" w:type="dxa"/>
                  <w:gridSpan w:val="3"/>
                  <w:tcBorders>
                    <w:tl2br w:val="nil"/>
                    <w:tr2bl w:val="nil"/>
                  </w:tcBorders>
                  <w:shd w:val="clear" w:color="auto" w:fill="FFFFFF"/>
                  <w:vAlign w:val="center"/>
                </w:tcPr>
                <w:p>
                  <w:pPr>
                    <w:pStyle w:val="11"/>
                    <w:jc w:val="center"/>
                    <w:rPr>
                      <w:b/>
                      <w:bCs/>
                      <w:color w:val="auto"/>
                    </w:rPr>
                  </w:pPr>
                  <w:r>
                    <w:rPr>
                      <w:rFonts w:hint="eastAsia"/>
                      <w:b/>
                      <w:bCs/>
                      <w:color w:val="auto"/>
                    </w:rPr>
                    <w:t>类别</w:t>
                  </w:r>
                </w:p>
              </w:tc>
              <w:tc>
                <w:tcPr>
                  <w:tcW w:w="5100" w:type="dxa"/>
                  <w:tcBorders>
                    <w:tl2br w:val="nil"/>
                    <w:tr2bl w:val="nil"/>
                  </w:tcBorders>
                  <w:shd w:val="clear" w:color="auto" w:fill="FFFFFF"/>
                  <w:vAlign w:val="center"/>
                </w:tcPr>
                <w:p>
                  <w:pPr>
                    <w:pStyle w:val="11"/>
                    <w:jc w:val="center"/>
                    <w:rPr>
                      <w:b/>
                      <w:bCs/>
                      <w:color w:val="auto"/>
                    </w:rPr>
                  </w:pPr>
                  <w:r>
                    <w:rPr>
                      <w:rFonts w:hint="eastAsia"/>
                      <w:b/>
                      <w:bCs/>
                      <w:color w:val="auto"/>
                    </w:rPr>
                    <w:t>对应管控要求</w:t>
                  </w:r>
                </w:p>
              </w:tc>
              <w:tc>
                <w:tcPr>
                  <w:tcW w:w="1004" w:type="dxa"/>
                  <w:vMerge w:val="continue"/>
                  <w:tcBorders>
                    <w:tl2br w:val="nil"/>
                    <w:tr2bl w:val="nil"/>
                  </w:tcBorders>
                  <w:shd w:val="clear" w:color="auto" w:fill="FFFFFF"/>
                  <w:vAlign w:val="center"/>
                </w:tcPr>
                <w:p>
                  <w:pPr>
                    <w:pStyle w:val="11"/>
                    <w:jc w:val="center"/>
                    <w:rPr>
                      <w:b/>
                      <w:bCs/>
                      <w:color w:val="auto"/>
                      <w:lang w:val="zh-TW" w:eastAsia="zh-TW"/>
                    </w:rPr>
                  </w:pPr>
                </w:p>
              </w:tc>
              <w:tc>
                <w:tcPr>
                  <w:tcW w:w="533" w:type="dxa"/>
                  <w:vMerge w:val="continue"/>
                  <w:tcBorders>
                    <w:tl2br w:val="nil"/>
                    <w:tr2bl w:val="nil"/>
                  </w:tcBorders>
                  <w:shd w:val="clear" w:color="auto" w:fill="FFFFFF"/>
                  <w:vAlign w:val="center"/>
                </w:tcPr>
                <w:p>
                  <w:pPr>
                    <w:pStyle w:val="11"/>
                    <w:jc w:val="center"/>
                    <w:rPr>
                      <w:b/>
                      <w:bCs/>
                      <w:color w:val="auto"/>
                      <w:lang w:val="zh-TW" w:eastAsia="zh-TW"/>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21" w:type="dxa"/>
                  <w:vMerge w:val="restart"/>
                  <w:tcBorders>
                    <w:tl2br w:val="nil"/>
                    <w:tr2bl w:val="nil"/>
                  </w:tcBorders>
                  <w:shd w:val="clear" w:color="auto" w:fill="FFFFFF"/>
                  <w:vAlign w:val="center"/>
                </w:tcPr>
                <w:p>
                  <w:pPr>
                    <w:pStyle w:val="11"/>
                    <w:bidi w:val="0"/>
                    <w:rPr>
                      <w:rFonts w:hint="eastAsia"/>
                      <w:lang w:eastAsia="zh-CN"/>
                    </w:rPr>
                  </w:pPr>
                  <w:r>
                    <w:rPr>
                      <w:rFonts w:hint="eastAsia"/>
                      <w:lang w:val="en-US" w:eastAsia="zh-CN"/>
                    </w:rPr>
                    <w:t>ZH51172210002</w:t>
                  </w:r>
                  <w:r>
                    <w:rPr>
                      <w:rFonts w:hint="eastAsia"/>
                    </w:rPr>
                    <w:t>、</w:t>
                  </w:r>
                  <w:r>
                    <w:rPr>
                      <w:rFonts w:hint="eastAsia"/>
                      <w:lang w:eastAsia="zh-CN"/>
                    </w:rPr>
                    <w:t>后河特有鱼类国家级水产种质资源保护区、后河徐家坡水源地、达州市罗江库区集中式饮用水水源保护区</w:t>
                  </w:r>
                </w:p>
              </w:tc>
              <w:tc>
                <w:tcPr>
                  <w:tcW w:w="563" w:type="dxa"/>
                  <w:vMerge w:val="restart"/>
                  <w:tcBorders>
                    <w:tl2br w:val="nil"/>
                    <w:tr2bl w:val="nil"/>
                  </w:tcBorders>
                  <w:shd w:val="clear" w:color="auto" w:fill="FFFFFF"/>
                  <w:vAlign w:val="center"/>
                </w:tcPr>
                <w:p>
                  <w:pPr>
                    <w:pStyle w:val="11"/>
                    <w:bidi w:val="0"/>
                  </w:pPr>
                  <w:r>
                    <w:rPr>
                      <w:rFonts w:hint="eastAsia"/>
                    </w:rPr>
                    <w:t>普适性清单管控要求</w:t>
                  </w:r>
                </w:p>
              </w:tc>
              <w:tc>
                <w:tcPr>
                  <w:tcW w:w="512" w:type="dxa"/>
                  <w:tcBorders>
                    <w:tl2br w:val="nil"/>
                    <w:tr2bl w:val="nil"/>
                  </w:tcBorders>
                  <w:shd w:val="clear" w:color="auto" w:fill="FFFFFF"/>
                  <w:vAlign w:val="center"/>
                </w:tcPr>
                <w:p>
                  <w:pPr>
                    <w:pStyle w:val="11"/>
                    <w:bidi w:val="0"/>
                    <w:rPr>
                      <w:lang w:val="zh-TW" w:eastAsia="zh-TW"/>
                    </w:rPr>
                  </w:pPr>
                  <w:r>
                    <w:rPr>
                      <w:rFonts w:hint="eastAsia"/>
                    </w:rPr>
                    <w:t>空间布局约束</w:t>
                  </w:r>
                </w:p>
              </w:tc>
              <w:tc>
                <w:tcPr>
                  <w:tcW w:w="5100" w:type="dxa"/>
                  <w:tcBorders>
                    <w:tl2br w:val="nil"/>
                    <w:tr2bl w:val="nil"/>
                  </w:tcBorders>
                  <w:shd w:val="clear" w:color="auto" w:fill="FFFFFF"/>
                  <w:vAlign w:val="center"/>
                </w:tcPr>
                <w:p>
                  <w:pPr>
                    <w:pStyle w:val="11"/>
                    <w:bidi w:val="0"/>
                    <w:rPr>
                      <w:lang w:val="zh-TW" w:eastAsia="zh-TW"/>
                    </w:rPr>
                  </w:pPr>
                  <w:r>
                    <w:rPr>
                      <w:rFonts w:hint="eastAsia"/>
                      <w:lang w:val="zh-TW" w:eastAsia="zh-TW"/>
                    </w:rPr>
                    <w:t>空间布局约束：</w:t>
                  </w:r>
                </w:p>
                <w:p>
                  <w:pPr>
                    <w:pStyle w:val="11"/>
                    <w:bidi w:val="0"/>
                    <w:rPr>
                      <w:rFonts w:hint="eastAsia"/>
                      <w:lang w:val="en-US" w:eastAsia="zh-CN"/>
                    </w:rPr>
                  </w:pPr>
                  <w:r>
                    <w:rPr>
                      <w:rFonts w:hint="eastAsia"/>
                      <w:lang w:val="en-US" w:eastAsia="zh-CN"/>
                    </w:rPr>
                    <w:t>禁止开发建设活动的要求</w:t>
                  </w:r>
                </w:p>
                <w:p>
                  <w:pPr>
                    <w:pStyle w:val="11"/>
                    <w:bidi w:val="0"/>
                    <w:rPr>
                      <w:rFonts w:hint="eastAsia"/>
                      <w:lang w:val="en-US" w:eastAsia="zh-CN"/>
                    </w:rPr>
                  </w:pPr>
                  <w:r>
                    <w:rPr>
                      <w:rFonts w:hint="eastAsia"/>
                      <w:lang w:val="en-US" w:eastAsia="zh-CN"/>
                    </w:rPr>
                    <w:t>生态保护红线：生态保护红线内严格禁止其他开发性、生产性建设活动，原则上自然保护地核心保护区内禁止人为活动，其他区域在符合现行法律法规前提下，除国家重大战略项目外，仅允许对生态功能不造成破坏的有限人为活动。涉及相关法定保护地的，按照相应法律法规进行管控。自然保护区：禁止任何人进入自然保护区的核心区。因科学研究的需要，必须进入核心区从事科学研究观测、调查活动的，应当事先向自然保护区管理机构提交申请和活动计划，并经省级以上人民政府有关自然保护区行政主管部门批准；其中，进入国家级自然保护区核心区的，必须经国务院有关自然保护区行政主管部门批准。自然保护区核心区内原有居民确有必要迁出的，由自然保护区所在地的县级以上地方人民政府制定方案，予以妥善安置。</w:t>
                  </w:r>
                </w:p>
                <w:p>
                  <w:pPr>
                    <w:pStyle w:val="11"/>
                    <w:bidi w:val="0"/>
                    <w:rPr>
                      <w:rFonts w:hint="eastAsia"/>
                      <w:lang w:val="en-US" w:eastAsia="zh-CN"/>
                    </w:rPr>
                  </w:pPr>
                  <w:r>
                    <w:rPr>
                      <w:rFonts w:hint="eastAsia"/>
                      <w:lang w:val="en-US" w:eastAsia="zh-CN"/>
                    </w:rPr>
                    <w:t>禁止在自然保护区的缓冲区开展旅游和生产经营活动。因教学科学研的目的，需要进入自然保护区的缓冲区从事非破坏性的科学研究、教学实习和标本采集活动的，应当事先向自然保护区管理机构提交申请和活动计划，经自然保护区管理机构批准。</w:t>
                  </w:r>
                </w:p>
                <w:p>
                  <w:pPr>
                    <w:pStyle w:val="11"/>
                    <w:bidi w:val="0"/>
                    <w:rPr>
                      <w:rFonts w:hint="eastAsia"/>
                      <w:lang w:val="en-US" w:eastAsia="zh-CN"/>
                    </w:rPr>
                  </w:pPr>
                  <w:r>
                    <w:rPr>
                      <w:rFonts w:hint="eastAsia"/>
                      <w:lang w:val="en-US" w:eastAsia="zh-CN"/>
                    </w:rPr>
                    <w:t>在自然保护区的实验区内开展参观、旅游活动的，由自然保护区管理机构编制方案，方案应当符合自然保护区管理目标。严禁开设与自然保护区保护方向不一致的参观、旅游项目。</w:t>
                  </w:r>
                </w:p>
                <w:p>
                  <w:pPr>
                    <w:pStyle w:val="11"/>
                    <w:bidi w:val="0"/>
                    <w:rPr>
                      <w:rFonts w:hint="eastAsia"/>
                      <w:lang w:val="en-US" w:eastAsia="zh-CN"/>
                    </w:rPr>
                  </w:pPr>
                  <w:r>
                    <w:rPr>
                      <w:rFonts w:hint="eastAsia"/>
                      <w:lang w:val="en-US" w:eastAsia="zh-CN"/>
                    </w:rPr>
                    <w:t>禁止在自然保护区内进行砍伐、放牧、狩猎、捕捞、采药、开垦、烧荒、开矿、采石、挖沙等活动（法律、行政法规另有规定除外）。在自然保护区的核心区和缓冲区内，禁止建设任何生产设施。在自然保护区的实验区内，不得建设污染环境、破坏资源或者景观的生产设施；建设其他项目，其污染物排放不得超过国家和地方规定的污染物排放标准。</w:t>
                  </w:r>
                </w:p>
                <w:p>
                  <w:pPr>
                    <w:pStyle w:val="11"/>
                    <w:bidi w:val="0"/>
                    <w:rPr>
                      <w:rFonts w:hint="eastAsia"/>
                      <w:lang w:val="en-US" w:eastAsia="zh-CN"/>
                    </w:rPr>
                  </w:pPr>
                  <w:r>
                    <w:rPr>
                      <w:rFonts w:hint="eastAsia"/>
                      <w:lang w:val="en-US" w:eastAsia="zh-CN"/>
                    </w:rPr>
                    <w:t>自然保护区的内部未分区的，依照本条例有关核心区和缓冲区的规定管理。</w:t>
                  </w:r>
                </w:p>
                <w:p>
                  <w:pPr>
                    <w:pStyle w:val="11"/>
                    <w:bidi w:val="0"/>
                    <w:rPr>
                      <w:rFonts w:hint="eastAsia"/>
                      <w:lang w:val="en-US" w:eastAsia="zh-CN"/>
                    </w:rPr>
                  </w:pPr>
                  <w:r>
                    <w:rPr>
                      <w:rFonts w:hint="eastAsia"/>
                      <w:lang w:val="en-US" w:eastAsia="zh-CN"/>
                    </w:rPr>
                    <w:t>风景名胜区：禁止开山、采石、开矿、开荒、修坟立碑等破坏景观、植被和地形地貌的活动；禁止违反风景名胜区规划，在风景名胜区内设立各类开发区和在核心景区内建设宾馆、招待所、培训中心、疗养院以及与风景名胜资源保护无关的其他建筑物；已经建设的，应当按照风景名胜区规划，逐步迁出；禁止风景名胜区内修建储存或者输送爆炸性、易燃性、放射性、毒害性、腐蚀性物品等危险品的设施，或者其他破坏景观、污染环境、妨碍游览和危害风景名胜区生态、公共安全的建筑物和构筑物。在风景名胜区及其外围保护地带内，不得设立开发区、度假区，不得建设破坏景观、污染环境的工矿企业和其他项目、设施。在游人集中的游览区和自然环境保留地内，不得建设旅馆、招待所、休疗养机构、生活区以及其他影响观瞻或污染环境的工程设施。在重要景点上，除必需的保护设施外，不得兴建其他工程设施。禁止超过风景名胜区总体规划确定的容量接待游客。世界自然遗产地：禁止在世界遗产保护范围内实施以下行为：建设污染环境、破坏生态和造成水土流失的设施；在世界遗产核心保护区、保护区范围内进行开山、采石、垦荒、开矿、取土等破坏地表、地貌的活动；在世界遗产核心保护区、保护区范围内修建储存爆炸性、易燃性、放射性、毒害性、腐蚀性等物品设施；在世界遗产核心保护区、保护区设立各类开发区、度假区；在世界遗产核心保护区建设宾馆、招待所、疗养院及各类培训中心等建筑物、构筑物和其他设施；在世界遗产保护区、缓冲区未经省人民政府世界遗产行政主管部门审核进行建设；其他损害或者破坏世界遗产真实性和完整性的行为。饮用水水源保护区：禁止在饮用水水源保护区内，禁止设置排污口。</w:t>
                  </w:r>
                </w:p>
                <w:p>
                  <w:pPr>
                    <w:pStyle w:val="11"/>
                    <w:bidi w:val="0"/>
                    <w:rPr>
                      <w:rFonts w:hint="eastAsia"/>
                      <w:lang w:val="en-US" w:eastAsia="zh-CN"/>
                    </w:rPr>
                  </w:pPr>
                  <w:r>
                    <w:rPr>
                      <w:rFonts w:hint="eastAsia"/>
                      <w:lang w:val="en-US" w:eastAsia="zh-CN"/>
                    </w:rPr>
                    <w:t>禁止在饮用水水源一级保护区内新建、改建、扩建与供水设施和保护水源无关的建设项目；已建成的与供水设施和保护水源无关的建设项目，由县级以上人民政府责令拆除或者关闭。</w:t>
                  </w:r>
                </w:p>
                <w:p>
                  <w:pPr>
                    <w:pStyle w:val="11"/>
                    <w:bidi w:val="0"/>
                    <w:rPr>
                      <w:rFonts w:hint="eastAsia"/>
                      <w:lang w:val="en-US" w:eastAsia="zh-CN"/>
                    </w:rPr>
                  </w:pPr>
                  <w:r>
                    <w:rPr>
                      <w:rFonts w:hint="eastAsia"/>
                      <w:lang w:val="en-US" w:eastAsia="zh-CN"/>
                    </w:rPr>
                    <w:t>禁止在饮用水水源一级保护区内从事网箱养殖、旅游、游泳、垂钓或者其他可能污染饮用水水体的活动。</w:t>
                  </w:r>
                </w:p>
                <w:p>
                  <w:pPr>
                    <w:pStyle w:val="11"/>
                    <w:bidi w:val="0"/>
                    <w:rPr>
                      <w:rFonts w:hint="eastAsia"/>
                      <w:lang w:val="en-US" w:eastAsia="zh-CN"/>
                    </w:rPr>
                  </w:pPr>
                  <w:r>
                    <w:rPr>
                      <w:rFonts w:hint="eastAsia"/>
                      <w:lang w:val="en-US" w:eastAsia="zh-CN"/>
                    </w:rPr>
                    <w:t>禁止在饮用水水源二级保护区内新建、改建、扩建排放污染物的建设项目；已建成的排放污染物的建设项目，由县级以上人民政府责令拆除或者关闭。禁止在饮用水水源准保护区内新建、扩建对水体污染严重的建设项目；改建建设项目，不得增加排污量。</w:t>
                  </w:r>
                </w:p>
                <w:p>
                  <w:pPr>
                    <w:pStyle w:val="11"/>
                    <w:bidi w:val="0"/>
                    <w:rPr>
                      <w:rFonts w:hint="eastAsia"/>
                      <w:lang w:val="en-US" w:eastAsia="zh-CN"/>
                    </w:rPr>
                  </w:pPr>
                  <w:r>
                    <w:rPr>
                      <w:rFonts w:hint="eastAsia"/>
                      <w:lang w:val="en-US" w:eastAsia="zh-CN"/>
                    </w:rPr>
                    <w:t>地表水饮用水水源一级保护区内禁止新建、改建、扩建与供水设施和保护水源无关的建设项目；已建成的与供水设施和保护水源无关的建设项目，由县级以上地方人民政府责令拆除或者关闭；二级保护区内，禁止新建、改建、扩建排放污染物的建设项目；已建成的排放污染物的建设项目，由县级以上地方人民政府责令拆除或者关闭；准保护区内，禁止新建、扩建对水体污染严重的建设项目；改建建设项目，不得增加排污量。森林公园：-禁止擅自填堵森林公园的自然水系；禁止在森林公园内超标准排放污水，乱倒乱扔生活垃圾和其他污染物。</w:t>
                  </w:r>
                </w:p>
                <w:p>
                  <w:pPr>
                    <w:pStyle w:val="11"/>
                    <w:bidi w:val="0"/>
                    <w:rPr>
                      <w:rFonts w:hint="eastAsia"/>
                      <w:lang w:val="en-US" w:eastAsia="zh-CN"/>
                    </w:rPr>
                  </w:pPr>
                  <w:r>
                    <w:rPr>
                      <w:rFonts w:hint="eastAsia"/>
                      <w:lang w:val="en-US" w:eastAsia="zh-CN"/>
                    </w:rPr>
                    <w:t>-禁止擅自占用森林公园内的林地。确需征用、占用的，用地单位应当提出申请，经县级以上林业行政主管部门审核同意后，按照土地管理法律、法规的规定办理审批手续。</w:t>
                  </w:r>
                </w:p>
                <w:p>
                  <w:pPr>
                    <w:pStyle w:val="11"/>
                    <w:bidi w:val="0"/>
                    <w:rPr>
                      <w:rFonts w:hint="eastAsia"/>
                      <w:lang w:val="en-US" w:eastAsia="zh-CN"/>
                    </w:rPr>
                  </w:pPr>
                  <w:r>
                    <w:rPr>
                      <w:rFonts w:hint="eastAsia"/>
                      <w:lang w:val="en-US" w:eastAsia="zh-CN"/>
                    </w:rPr>
                    <w:t>-禁止在森林公园毁林开垦和毁林采石、采砂、采土以及其他毁林行为。采伐森林公园的林木，必须遵守有关林业法规、经营方案和技术规程的规定。在珍贵景物、重要景点和核心景区，除必要的保护和附属设施外，禁止建设宾馆、招待所、疗养院和其他工程设施。</w:t>
                  </w:r>
                </w:p>
                <w:p>
                  <w:pPr>
                    <w:pStyle w:val="11"/>
                    <w:bidi w:val="0"/>
                    <w:rPr>
                      <w:rFonts w:hint="eastAsia"/>
                      <w:lang w:val="en-US" w:eastAsia="zh-CN"/>
                    </w:rPr>
                  </w:pPr>
                  <w:r>
                    <w:rPr>
                      <w:rFonts w:hint="eastAsia"/>
                      <w:lang w:val="en-US" w:eastAsia="zh-CN"/>
                    </w:rPr>
                    <w:t>新增：</w:t>
                  </w:r>
                </w:p>
                <w:p>
                  <w:pPr>
                    <w:pStyle w:val="11"/>
                    <w:bidi w:val="0"/>
                    <w:rPr>
                      <w:rFonts w:hint="eastAsia"/>
                      <w:lang w:val="en-US" w:eastAsia="zh-CN"/>
                    </w:rPr>
                  </w:pPr>
                  <w:r>
                    <w:rPr>
                      <w:rFonts w:hint="eastAsia"/>
                      <w:lang w:val="en-US" w:eastAsia="zh-CN"/>
                    </w:rPr>
                    <w:t>-严格控制建设项目使用国家级森林公园林地，但是因保护森林及其他风景资源、建设森林防火设施和林业生态文化示范基地、保障游客安全等直接为林业生产服务的工程设施除外。</w:t>
                  </w:r>
                </w:p>
                <w:p>
                  <w:pPr>
                    <w:pStyle w:val="11"/>
                    <w:bidi w:val="0"/>
                    <w:rPr>
                      <w:rFonts w:hint="eastAsia"/>
                      <w:lang w:val="en-US" w:eastAsia="zh-CN"/>
                    </w:rPr>
                  </w:pPr>
                  <w:r>
                    <w:rPr>
                      <w:rFonts w:hint="eastAsia"/>
                      <w:lang w:val="en-US" w:eastAsia="zh-CN"/>
                    </w:rPr>
                    <w:t>-在森林公园内从事经营活动，应经森林公园管理机构同意，并依法取得经营证照，在指定地点经营。</w:t>
                  </w:r>
                </w:p>
                <w:p>
                  <w:pPr>
                    <w:pStyle w:val="11"/>
                    <w:bidi w:val="0"/>
                    <w:rPr>
                      <w:rFonts w:hint="eastAsia"/>
                      <w:lang w:val="en-US" w:eastAsia="zh-CN"/>
                    </w:rPr>
                  </w:pPr>
                  <w:r>
                    <w:rPr>
                      <w:rFonts w:hint="eastAsia"/>
                      <w:lang w:val="en-US" w:eastAsia="zh-CN"/>
                    </w:rPr>
                    <w:t>湿地公园：禁止开（围）垦、填埋或者排干湿地。禁止截断湿地水源。禁止挖沙、采矿、挖塘、采集泥炭、揭取草皮。禁止计件制倾倒有毒有害（（根据GB 8978中第一类污染物以及《优先控制化学品名录》、《有毒有害大气污染物名录》、《有毒有害水污染物名录》确定））物质、废弃物、垃圾。禁止擅自排放污水。禁止破坏野生动物栖息地和迁徙通道、鱼类洄游通道，滥采滥捕野生动植物。禁止擅自放牧、捕捞、取土、取水、放生。禁止其他破坏湿地及其生态功能的活动。</w:t>
                  </w:r>
                </w:p>
                <w:p>
                  <w:pPr>
                    <w:pStyle w:val="11"/>
                    <w:bidi w:val="0"/>
                    <w:rPr>
                      <w:rFonts w:hint="eastAsia"/>
                      <w:lang w:val="en-US" w:eastAsia="zh-CN"/>
                    </w:rPr>
                  </w:pPr>
                  <w:r>
                    <w:rPr>
                      <w:rFonts w:hint="eastAsia"/>
                      <w:lang w:val="en-US" w:eastAsia="zh-CN"/>
                    </w:rPr>
                    <w:t>-禁止从事房地产、度假村、高尔夫球场、风力发电、光伏发电等任何不符合主体功能定位的建设项目和开发活动。</w:t>
                  </w:r>
                </w:p>
                <w:p>
                  <w:pPr>
                    <w:pStyle w:val="11"/>
                    <w:bidi w:val="0"/>
                    <w:rPr>
                      <w:rFonts w:hint="eastAsia"/>
                      <w:lang w:val="en-US" w:eastAsia="zh-CN"/>
                    </w:rPr>
                  </w:pPr>
                  <w:r>
                    <w:rPr>
                      <w:rFonts w:hint="eastAsia"/>
                      <w:lang w:val="en-US" w:eastAsia="zh-CN"/>
                    </w:rPr>
                    <w:t>-禁止擅自砍伐林木、采集野生植物、猎捕野生动物、捡拾鸟卵；禁止采用灭绝性方式捕捞鱼类及其他水生生物。</w:t>
                  </w:r>
                </w:p>
                <w:p>
                  <w:pPr>
                    <w:pStyle w:val="11"/>
                    <w:bidi w:val="0"/>
                    <w:rPr>
                      <w:rFonts w:hint="eastAsia"/>
                      <w:lang w:val="en-US" w:eastAsia="zh-CN"/>
                    </w:rPr>
                  </w:pPr>
                  <w:r>
                    <w:rPr>
                      <w:rFonts w:hint="eastAsia"/>
                      <w:lang w:val="en-US" w:eastAsia="zh-CN"/>
                    </w:rPr>
                    <w:t>地质公园：禁止在保护区内及可能对地质遗迹造成影响的一定范围内进行采石、取土、开矿、放牧、砍伐以及其它对保护对象有损害的活动。未经管理机构批准，禁止在保护区范围内采集标本和化石。禁止在保护区内修建与地质遗迹保护无关的厂房或其他建筑设施。基本农田：-永久基本农田，实行严格保护，除法律规定的重点建设项目选址确实无法避让外，其他任何建设不得占用。</w:t>
                  </w:r>
                </w:p>
                <w:p>
                  <w:pPr>
                    <w:pStyle w:val="11"/>
                    <w:bidi w:val="0"/>
                    <w:rPr>
                      <w:rFonts w:hint="eastAsia"/>
                      <w:lang w:val="en-US" w:eastAsia="zh-CN"/>
                    </w:rPr>
                  </w:pPr>
                  <w:r>
                    <w:rPr>
                      <w:rFonts w:hint="eastAsia"/>
                      <w:lang w:val="en-US" w:eastAsia="zh-CN"/>
                    </w:rPr>
                    <w:t>-在永久基本农田集中区域，不得新建可能造成土壤污染的建设项目；已经建成的，应当限期关闭拆除。</w:t>
                  </w:r>
                </w:p>
                <w:p>
                  <w:pPr>
                    <w:pStyle w:val="11"/>
                    <w:bidi w:val="0"/>
                    <w:rPr>
                      <w:rFonts w:hint="eastAsia"/>
                      <w:lang w:val="en-US" w:eastAsia="zh-CN"/>
                    </w:rPr>
                  </w:pPr>
                  <w:r>
                    <w:rPr>
                      <w:rFonts w:hint="eastAsia"/>
                      <w:lang w:val="en-US" w:eastAsia="zh-CN"/>
                    </w:rPr>
                    <w:t>-基本农田保护区经依法划定后，任何单位和个人不得改变或者占用。禁止任何单位和个人在基本农田保护区内建窑、建房、建坟、挖砂、采石、采矿、取土、堆放固体废弃物或者进行其他破坏基本农田的活动。禁止占用基本农田发展林果业和挖塘养鱼。水产种质资源保护区：禁止在水产种质资源保护区内从事围湖造田、围海造地或围填海工程。禁止在水产种质资源保护区内新建排污口。在水产种质资源保护区附近新建、改建、扩建排污口，应当保证保护区水体不受污染。生物多样性维护-生态功能区：严格执行《全国主体功能区规划》、《全国生态功能区划（修编）》、《关于贯彻实施国家主体功能区环境政策的若干意见》等中相关要求，主要要求如下：</w:t>
                  </w:r>
                </w:p>
                <w:p>
                  <w:pPr>
                    <w:pStyle w:val="11"/>
                    <w:bidi w:val="0"/>
                    <w:rPr>
                      <w:rFonts w:hint="eastAsia"/>
                      <w:lang w:val="en-US" w:eastAsia="zh-CN"/>
                    </w:rPr>
                  </w:pPr>
                  <w:r>
                    <w:rPr>
                      <w:rFonts w:hint="eastAsia"/>
                      <w:lang w:val="en-US" w:eastAsia="zh-CN"/>
                    </w:rPr>
                    <w:t xml:space="preserve"> -禁止对野生动植物进行滥捕滥采，保持并恢复野生动植物物种和种群的平衡，实现野生动植物资源的良性循环和永续利用。</w:t>
                  </w:r>
                </w:p>
                <w:p>
                  <w:pPr>
                    <w:pStyle w:val="11"/>
                    <w:bidi w:val="0"/>
                    <w:rPr>
                      <w:rFonts w:hint="eastAsia"/>
                      <w:lang w:val="en-US" w:eastAsia="zh-CN"/>
                    </w:rPr>
                  </w:pPr>
                  <w:r>
                    <w:rPr>
                      <w:rFonts w:hint="eastAsia"/>
                      <w:lang w:val="en-US" w:eastAsia="zh-CN"/>
                    </w:rPr>
                    <w:t>-禁止对野生动植物进行滥捕、乱采、乱猎；</w:t>
                  </w:r>
                </w:p>
                <w:p>
                  <w:pPr>
                    <w:pStyle w:val="11"/>
                    <w:bidi w:val="0"/>
                    <w:rPr>
                      <w:rFonts w:hint="eastAsia"/>
                      <w:lang w:val="en-US" w:eastAsia="zh-CN"/>
                    </w:rPr>
                  </w:pPr>
                  <w:r>
                    <w:rPr>
                      <w:rFonts w:hint="eastAsia"/>
                      <w:lang w:val="en-US" w:eastAsia="zh-CN"/>
                    </w:rPr>
                    <w:t>-保护自然生态系统与重要物种栖息地，限制或禁止各种损害栖息地的经济社会活动和生产方式，如无序采矿、毁林开荒、湿地和草地开垦、道路建设等，防止生态建设导致栖息环境的改变；</w:t>
                  </w:r>
                </w:p>
                <w:p>
                  <w:pPr>
                    <w:pStyle w:val="11"/>
                    <w:bidi w:val="0"/>
                    <w:rPr>
                      <w:rFonts w:hint="eastAsia"/>
                      <w:lang w:val="en-US" w:eastAsia="zh-CN"/>
                    </w:rPr>
                  </w:pPr>
                  <w:r>
                    <w:rPr>
                      <w:rFonts w:hint="eastAsia"/>
                      <w:lang w:val="en-US" w:eastAsia="zh-CN"/>
                    </w:rPr>
                    <w:t>-加强对外来物种入侵的控制，禁止在生物多样性维护功能区引进外来物种禁止毁林开荒、烧山开荒和陡坡地开垦，合理开发自然资源，保护和恢复自然生态系统，增强区域水土保持能力 禁止生物多样性维护生态功能区的大规模水电开发和林纸一体化产业发展。水源涵养-生态功能区：严格保护具有水源涵养功能的自然植被，禁止过度放牧、无序采矿、毁林开荒、开垦草原等行为。</w:t>
                  </w:r>
                </w:p>
                <w:p>
                  <w:pPr>
                    <w:pStyle w:val="11"/>
                    <w:bidi w:val="0"/>
                    <w:rPr>
                      <w:rFonts w:hint="eastAsia"/>
                      <w:lang w:val="en-US" w:eastAsia="zh-CN"/>
                    </w:rPr>
                  </w:pPr>
                  <w:r>
                    <w:rPr>
                      <w:rFonts w:hint="eastAsia"/>
                      <w:lang w:val="en-US" w:eastAsia="zh-CN"/>
                    </w:rPr>
                    <w:t>-严格保护具有重要水源涵养功能的自然植被，限制或禁止各种损害生态系统水源涵养功能的经济社会活动和生产方式，如无序采矿、毁林开荒、湿地和草地开垦、过度放牧、道路建设等；</w:t>
                  </w:r>
                </w:p>
                <w:p>
                  <w:pPr>
                    <w:pStyle w:val="11"/>
                    <w:bidi w:val="0"/>
                    <w:rPr>
                      <w:rFonts w:hint="eastAsia"/>
                      <w:lang w:val="en-US" w:eastAsia="zh-CN"/>
                    </w:rPr>
                  </w:pPr>
                  <w:r>
                    <w:rPr>
                      <w:rFonts w:hint="eastAsia"/>
                      <w:lang w:val="en-US" w:eastAsia="zh-CN"/>
                    </w:rPr>
                    <w:t>控制水污染，减轻水污染负荷，禁止导致水体污染的产业发展，开展生态清洁小流域的建设。禁止高水资源消耗产业布局。水土保持-生态功能区：严禁陡坡垦殖和过度放牧。</w:t>
                  </w:r>
                </w:p>
                <w:p>
                  <w:pPr>
                    <w:pStyle w:val="11"/>
                    <w:bidi w:val="0"/>
                    <w:rPr>
                      <w:rFonts w:hint="eastAsia"/>
                      <w:lang w:val="en-US" w:eastAsia="zh-CN"/>
                    </w:rPr>
                  </w:pPr>
                  <w:r>
                    <w:rPr>
                      <w:rFonts w:hint="eastAsia"/>
                      <w:lang w:val="en-US" w:eastAsia="zh-CN"/>
                    </w:rPr>
                    <w:t>-禁止毁林开荒、烧山开荒和陡坡地开垦。</w:t>
                  </w:r>
                </w:p>
                <w:p>
                  <w:pPr>
                    <w:pStyle w:val="11"/>
                    <w:bidi w:val="0"/>
                    <w:rPr>
                      <w:rFonts w:hint="eastAsia"/>
                      <w:lang w:val="en-US" w:eastAsia="zh-CN"/>
                    </w:rPr>
                  </w:pPr>
                  <w:r>
                    <w:rPr>
                      <w:rFonts w:hint="eastAsia"/>
                      <w:lang w:val="en-US" w:eastAsia="zh-CN"/>
                    </w:rPr>
                    <w:t>-禁止在二十五度以上陡坡地开垦种植农作物。</w:t>
                  </w:r>
                </w:p>
                <w:p>
                  <w:pPr>
                    <w:pStyle w:val="11"/>
                    <w:bidi w:val="0"/>
                    <w:rPr>
                      <w:rFonts w:hint="eastAsia"/>
                      <w:lang w:val="en-US" w:eastAsia="zh-CN"/>
                    </w:rPr>
                  </w:pPr>
                  <w:r>
                    <w:rPr>
                      <w:rFonts w:hint="eastAsia"/>
                      <w:lang w:val="en-US" w:eastAsia="zh-CN"/>
                    </w:rPr>
                    <w:t>禁止在崩塌、滑坡危险区和泥石流易发区从事取土、挖砂、采石等可能造成水土流失的活动。禁止毁林、毁草开垦和采集发菜。禁止在水土流失重点预防区和重点治理区铲草皮、挖树兜或者滥挖虫草、甘草、麻黄等。</w:t>
                  </w:r>
                </w:p>
                <w:p>
                  <w:pPr>
                    <w:pStyle w:val="11"/>
                    <w:bidi w:val="0"/>
                    <w:rPr>
                      <w:lang w:val="zh-TW" w:eastAsia="zh-TW"/>
                    </w:rPr>
                  </w:pPr>
                  <w:r>
                    <w:rPr>
                      <w:rFonts w:hint="eastAsia"/>
                      <w:lang w:val="zh-TW" w:eastAsia="zh-TW"/>
                    </w:rPr>
                    <w:t>限制开发建设活动的要求</w:t>
                  </w:r>
                </w:p>
                <w:p>
                  <w:pPr>
                    <w:pStyle w:val="11"/>
                    <w:bidi w:val="0"/>
                    <w:rPr>
                      <w:rFonts w:hint="eastAsia"/>
                      <w:lang w:val="en-US" w:eastAsia="zh-CN"/>
                    </w:rPr>
                  </w:pPr>
                  <w:r>
                    <w:rPr>
                      <w:rFonts w:hint="eastAsia"/>
                      <w:lang w:val="en-US" w:eastAsia="zh-CN"/>
                    </w:rPr>
                    <w:t>生态保护红线：涉及无法避让的重大基础设施应采取无害化穿越方式。</w:t>
                  </w:r>
                </w:p>
                <w:p>
                  <w:pPr>
                    <w:pStyle w:val="11"/>
                    <w:bidi w:val="0"/>
                    <w:rPr>
                      <w:rFonts w:hint="eastAsia"/>
                      <w:lang w:val="en-US" w:eastAsia="zh-CN"/>
                    </w:rPr>
                  </w:pPr>
                  <w:r>
                    <w:rPr>
                      <w:rFonts w:hint="eastAsia"/>
                      <w:lang w:val="en-US" w:eastAsia="zh-CN"/>
                    </w:rPr>
                    <w:t>自然保护区：严格限制在长江流域自然保护地水域实施航道整治工程；确需整治的，应当经科学论证，并依法办理相关手续。</w:t>
                  </w:r>
                </w:p>
                <w:p>
                  <w:pPr>
                    <w:pStyle w:val="11"/>
                    <w:bidi w:val="0"/>
                    <w:rPr>
                      <w:rFonts w:hint="eastAsia"/>
                      <w:lang w:val="en-US" w:eastAsia="zh-CN"/>
                    </w:rPr>
                  </w:pPr>
                  <w:r>
                    <w:rPr>
                      <w:rFonts w:hint="eastAsia"/>
                      <w:lang w:val="en-US" w:eastAsia="zh-CN"/>
                    </w:rPr>
                    <w:t>在自然保护区的实验区内开展参观、旅游活动的，由自然保护区管理机构编制方案，方案应当符合自然保护区管理目标。严禁开设与自然保护区保护方向不一致的参观、旅游项目。饮用水水源保护区：禁止在饮用水水源准保护区内新建、扩建对水体污染严重的建设项目；改建建设项目，不得增加排污量。基本农田：国家重大战略资源勘查、生态保护修复和环境治理、重大基础设施、军事国防以及农牧民基本生产生活等必要的民生项目（包括深度贫困地区、集中连片特困地区、国家扶贫开发工作重点县省级以下基础设施、易地扶贫搬迁、民生发展等建设项目），选址确实难以避让永久基本农田的，按程序严格论证后依法依规报批。水产种质资源保护区：严格限制在长江流域生态保护红线、自然保护地、水生生物重要栖息地水域实施航道整治工程；确需整治的，应当经科学论证，并依法办理相关手续。生物多样性维护-生态功能区：减少林木采伐，恢复山地植被，保护野生物种。水源涵养-生态功能区：严格限制在水源涵养区大规模人工造林。严格控制载畜量，实行以草定畜，在农牧交错区提倡农牧结合，发展生态产业，培育替代产业，减轻区内畜牧-提高水源涵养能力。在水源涵养生态功能保护区内，结合已有的生态保护和建设重大工程，加强森林、草地和湿地的管护和恢复，严格监管矿产、水资源开发，严肃查处毁林、毁草、破坏湿地等行为，合理开发水电，提高区域水源涵养生态功能。业对水源和生态系统的压力。</w:t>
                  </w:r>
                </w:p>
                <w:p>
                  <w:pPr>
                    <w:pStyle w:val="11"/>
                    <w:bidi w:val="0"/>
                    <w:rPr>
                      <w:rFonts w:hint="eastAsia"/>
                      <w:lang w:val="en-US" w:eastAsia="zh-CN"/>
                    </w:rPr>
                  </w:pPr>
                  <w:r>
                    <w:rPr>
                      <w:rFonts w:hint="eastAsia"/>
                      <w:lang w:val="en-US" w:eastAsia="zh-CN"/>
                    </w:rPr>
                    <w:t>水土保持-生态功能区：限制陡坡垦殖和超载过牧；加强小流域综合治理，实行封山禁牧，恢复退化植被。加强对能源和矿产资源开发及建设项目的监管，加大矿山环境整治修复力度，最大限度地减少人为因素造成新的水土流失。拓宽农民增收渠道，解决农民长远生计，巩固水土流失治理、退耕还林、退牧还草成果。</w:t>
                  </w:r>
                </w:p>
                <w:p>
                  <w:pPr>
                    <w:pStyle w:val="11"/>
                    <w:bidi w:val="0"/>
                    <w:rPr>
                      <w:rFonts w:hint="eastAsia"/>
                      <w:lang w:val="en-US" w:eastAsia="zh-CN"/>
                    </w:rPr>
                  </w:pPr>
                  <w:r>
                    <w:rPr>
                      <w:rFonts w:hint="eastAsia"/>
                      <w:lang w:val="en-US" w:eastAsia="zh-CN"/>
                    </w:rPr>
                    <w:t>-调整产业结构，加速城镇化和新农村建设的进程，加快农业人口的转移，降低人口对生态系统的压力。</w:t>
                  </w:r>
                </w:p>
                <w:p>
                  <w:pPr>
                    <w:pStyle w:val="11"/>
                    <w:bidi w:val="0"/>
                    <w:rPr>
                      <w:rFonts w:hint="eastAsia"/>
                      <w:lang w:val="en-US" w:eastAsia="zh-CN"/>
                    </w:rPr>
                  </w:pPr>
                  <w:r>
                    <w:rPr>
                      <w:rFonts w:hint="eastAsia"/>
                      <w:lang w:val="en-US" w:eastAsia="zh-CN"/>
                    </w:rPr>
                    <w:t>-严格资源开发和建设项目的生态监管，控制新的人为水土流失。</w:t>
                  </w:r>
                </w:p>
                <w:p>
                  <w:pPr>
                    <w:pStyle w:val="11"/>
                    <w:bidi w:val="0"/>
                    <w:rPr>
                      <w:rFonts w:hint="eastAsia"/>
                      <w:lang w:val="en-US" w:eastAsia="zh-CN"/>
                    </w:rPr>
                  </w:pPr>
                  <w:r>
                    <w:rPr>
                      <w:rFonts w:hint="eastAsia"/>
                      <w:lang w:val="en-US" w:eastAsia="zh-CN"/>
                    </w:rPr>
                    <w:t>-水土流失严重、生态脆弱的地区，应当限制或者禁止可能造成水土流失的生产建设活动，严格保护植物、沙壳、结皮、地衣等。</w:t>
                  </w:r>
                </w:p>
                <w:p>
                  <w:pPr>
                    <w:pStyle w:val="11"/>
                    <w:bidi w:val="0"/>
                    <w:rPr>
                      <w:rFonts w:hint="eastAsia"/>
                      <w:lang w:val="en-US" w:eastAsia="zh-CN"/>
                    </w:rPr>
                  </w:pPr>
                  <w:r>
                    <w:rPr>
                      <w:rFonts w:hint="eastAsia"/>
                      <w:lang w:val="en-US" w:eastAsia="zh-CN"/>
                    </w:rPr>
                    <w:t>-生产建设项目选址、选线应当避让水土流失重点预防区和重点治理区；无法避让的，应当提高防治标准，优化施工工艺，减少地表扰动和植被损坏范围，有效控制可能造成的水土流失。</w:t>
                  </w:r>
                </w:p>
                <w:p>
                  <w:pPr>
                    <w:pStyle w:val="11"/>
                    <w:bidi w:val="0"/>
                    <w:rPr>
                      <w:lang w:val="zh-TW" w:eastAsia="zh-TW"/>
                    </w:rPr>
                  </w:pPr>
                  <w:r>
                    <w:rPr>
                      <w:rFonts w:hint="eastAsia"/>
                      <w:lang w:val="zh-TW" w:eastAsia="zh-TW"/>
                    </w:rPr>
                    <w:t>不符合空间布局要求活动的退出要求</w:t>
                  </w:r>
                </w:p>
                <w:p>
                  <w:pPr>
                    <w:pStyle w:val="11"/>
                    <w:bidi w:val="0"/>
                    <w:rPr>
                      <w:lang w:val="zh-TW" w:eastAsia="zh-TW"/>
                    </w:rPr>
                  </w:pPr>
                  <w:r>
                    <w:rPr>
                      <w:rFonts w:hint="eastAsia"/>
                      <w:lang w:val="en-US" w:eastAsia="zh-CN"/>
                    </w:rPr>
                    <w:t>对不符合相关保护区法律法规和规划的项目，应限期整改或关闭。对已造成的污染或损害，应限期治理。</w:t>
                  </w:r>
                </w:p>
                <w:p>
                  <w:pPr>
                    <w:pStyle w:val="11"/>
                    <w:bidi w:val="0"/>
                    <w:rPr>
                      <w:lang w:val="zh-TW" w:eastAsia="zh-TW"/>
                    </w:rPr>
                  </w:pPr>
                  <w:r>
                    <w:rPr>
                      <w:rFonts w:hint="eastAsia"/>
                      <w:lang w:val="zh-TW" w:eastAsia="zh-TW"/>
                    </w:rPr>
                    <w:t>其他空间布局约束要求</w:t>
                  </w:r>
                </w:p>
                <w:p>
                  <w:pPr>
                    <w:pStyle w:val="11"/>
                    <w:bidi w:val="0"/>
                    <w:rPr>
                      <w:lang w:val="zh-TW" w:eastAsia="zh-TW"/>
                    </w:rPr>
                  </w:pPr>
                  <w:r>
                    <w:rPr>
                      <w:rFonts w:hint="eastAsia"/>
                      <w:lang w:val="en-US" w:eastAsia="zh-CN"/>
                    </w:rPr>
                    <w:t>允许开发建设活动要求：1、生态保护红线：①零星的原住民在不扩大现有建设用地和耕地规模前提下，修缮生产生活设施，保留生活必须的少量种植、放牧、捕捞、养殖；②因国家重大能源资源安全需要开展的战略性能源资源勘查、公益性自然资源调查和地质勘查；③自然资源、生态环境监测和执法，灾害防治和应急抢险活动；④经依法批准进行的非破坏性科学研究观测、标本采集；⑤经依法批准进行的考古调查发掘和文物保护活动；⑥不破坏生态功能的适度参观旅游和自然公园内必要的公共设施建设；⑦必须且无法避让、符合县级以上国土空间规划的线性基础设施建设、堤防防洪和供水设施建设；⑧重要生态修复工程。2、水产种质资源保护区：①在水产种质资源保护区内从事修建水利工程、疏浚航道、建闸筑坝、勘探和开采矿产资源、港口建设等工程建设的，或者在水产种质资源保护区内从事可能损害保护区功能的工程建设活动的，应当按照国家有关规定编制建设项目对水产种质资源保护区的影响专题论证报告，并将其纳入环境影响评价报告书。②开展珍稀特有鱼类人工繁育研究及增殖放流，分别在达州境内的土溪口水库、固军水库、鲜家湾水库建设鱼类增殖放流站一座，并依托已建的四川诺水河珍稀水生动物国家级自然保护区救护中心开展增殖放流。</w:t>
                  </w:r>
                </w:p>
              </w:tc>
              <w:tc>
                <w:tcPr>
                  <w:tcW w:w="1004" w:type="dxa"/>
                  <w:tcBorders>
                    <w:tl2br w:val="nil"/>
                    <w:tr2bl w:val="nil"/>
                  </w:tcBorders>
                  <w:shd w:val="clear" w:color="auto" w:fill="FFFFFF"/>
                  <w:vAlign w:val="center"/>
                </w:tcPr>
                <w:p>
                  <w:pPr>
                    <w:pStyle w:val="11"/>
                    <w:bidi w:val="0"/>
                  </w:pPr>
                  <w:r>
                    <w:rPr>
                      <w:rFonts w:hint="eastAsia"/>
                    </w:rPr>
                    <w:t>本项目主要进行再生塑料产品生产，项目针对废气等污染物的排放、环境风险管理和防控方面采取了有效的措施，不属于高污染、高耗能的产业，符合生态环境准入要求。</w:t>
                  </w:r>
                </w:p>
              </w:tc>
              <w:tc>
                <w:tcPr>
                  <w:tcW w:w="533" w:type="dxa"/>
                  <w:tcBorders>
                    <w:tl2br w:val="nil"/>
                    <w:tr2bl w:val="nil"/>
                  </w:tcBorders>
                  <w:shd w:val="clear" w:color="auto" w:fill="FFFFFF"/>
                  <w:vAlign w:val="center"/>
                </w:tcPr>
                <w:p>
                  <w:pPr>
                    <w:pStyle w:val="11"/>
                    <w:bidi w:val="0"/>
                  </w:pPr>
                  <w:r>
                    <w:rPr>
                      <w:rFonts w:hint="eastAsia"/>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21" w:type="dxa"/>
                  <w:vMerge w:val="continue"/>
                  <w:tcBorders>
                    <w:tl2br w:val="nil"/>
                    <w:tr2bl w:val="nil"/>
                  </w:tcBorders>
                  <w:shd w:val="clear" w:color="auto" w:fill="FFFFFF"/>
                  <w:vAlign w:val="center"/>
                </w:tcPr>
                <w:p>
                  <w:pPr>
                    <w:pStyle w:val="11"/>
                    <w:bidi w:val="0"/>
                  </w:pPr>
                </w:p>
              </w:tc>
              <w:tc>
                <w:tcPr>
                  <w:tcW w:w="563" w:type="dxa"/>
                  <w:vMerge w:val="continue"/>
                  <w:tcBorders>
                    <w:tl2br w:val="nil"/>
                    <w:tr2bl w:val="nil"/>
                  </w:tcBorders>
                  <w:shd w:val="clear" w:color="auto" w:fill="FFFFFF"/>
                  <w:vAlign w:val="center"/>
                </w:tcPr>
                <w:p>
                  <w:pPr>
                    <w:pStyle w:val="11"/>
                    <w:bidi w:val="0"/>
                  </w:pPr>
                </w:p>
              </w:tc>
              <w:tc>
                <w:tcPr>
                  <w:tcW w:w="512" w:type="dxa"/>
                  <w:tcBorders>
                    <w:tl2br w:val="nil"/>
                    <w:tr2bl w:val="nil"/>
                  </w:tcBorders>
                  <w:shd w:val="clear" w:color="auto" w:fill="FFFFFF"/>
                  <w:vAlign w:val="center"/>
                </w:tcPr>
                <w:p>
                  <w:pPr>
                    <w:pStyle w:val="11"/>
                    <w:bidi w:val="0"/>
                    <w:rPr>
                      <w:lang w:val="zh-TW" w:eastAsia="zh-TW"/>
                    </w:rPr>
                  </w:pPr>
                  <w:r>
                    <w:rPr>
                      <w:rFonts w:hint="eastAsia"/>
                    </w:rPr>
                    <w:t>污染物排放管控</w:t>
                  </w:r>
                </w:p>
              </w:tc>
              <w:tc>
                <w:tcPr>
                  <w:tcW w:w="5100" w:type="dxa"/>
                  <w:tcBorders>
                    <w:tl2br w:val="nil"/>
                    <w:tr2bl w:val="nil"/>
                  </w:tcBorders>
                  <w:shd w:val="clear" w:color="auto" w:fill="FFFFFF"/>
                  <w:vAlign w:val="center"/>
                </w:tcPr>
                <w:p>
                  <w:pPr>
                    <w:pStyle w:val="11"/>
                    <w:bidi w:val="0"/>
                    <w:rPr>
                      <w:lang w:val="zh-TW" w:eastAsia="zh-TW"/>
                    </w:rPr>
                  </w:pPr>
                  <w:r>
                    <w:rPr>
                      <w:rFonts w:hint="eastAsia"/>
                      <w:lang w:val="zh-TW" w:eastAsia="zh-TW"/>
                    </w:rPr>
                    <w:t>污染物排放管控：</w:t>
                  </w:r>
                </w:p>
                <w:p>
                  <w:pPr>
                    <w:pStyle w:val="11"/>
                    <w:bidi w:val="0"/>
                    <w:rPr>
                      <w:rFonts w:hint="eastAsia"/>
                      <w:lang w:val="en-US" w:eastAsia="zh-CN"/>
                    </w:rPr>
                  </w:pPr>
                  <w:r>
                    <w:rPr>
                      <w:rFonts w:hint="eastAsia"/>
                      <w:lang w:val="en-US" w:eastAsia="zh-CN"/>
                    </w:rPr>
                    <w:t>允许排放量要求</w:t>
                  </w:r>
                </w:p>
                <w:p>
                  <w:pPr>
                    <w:pStyle w:val="11"/>
                    <w:bidi w:val="0"/>
                    <w:rPr>
                      <w:rFonts w:hint="eastAsia"/>
                      <w:lang w:val="en-US" w:eastAsia="zh-CN"/>
                    </w:rPr>
                  </w:pPr>
                  <w:r>
                    <w:rPr>
                      <w:rFonts w:hint="eastAsia"/>
                      <w:lang w:val="en-US" w:eastAsia="zh-CN"/>
                    </w:rPr>
                    <w:t>暂无</w:t>
                  </w:r>
                </w:p>
                <w:p>
                  <w:pPr>
                    <w:pStyle w:val="11"/>
                    <w:bidi w:val="0"/>
                    <w:rPr>
                      <w:rFonts w:hint="eastAsia"/>
                      <w:lang w:val="en-US" w:eastAsia="zh-CN"/>
                    </w:rPr>
                  </w:pPr>
                  <w:r>
                    <w:rPr>
                      <w:rFonts w:hint="eastAsia"/>
                      <w:lang w:val="en-US" w:eastAsia="zh-CN"/>
                    </w:rPr>
                    <w:t>现有源提标升级改造</w:t>
                  </w:r>
                </w:p>
                <w:p>
                  <w:pPr>
                    <w:pStyle w:val="11"/>
                    <w:bidi w:val="0"/>
                    <w:rPr>
                      <w:rFonts w:hint="eastAsia"/>
                      <w:lang w:val="en-US" w:eastAsia="zh-CN"/>
                    </w:rPr>
                  </w:pPr>
                  <w:r>
                    <w:rPr>
                      <w:rFonts w:hint="eastAsia"/>
                      <w:lang w:val="en-US" w:eastAsia="zh-CN"/>
                    </w:rPr>
                    <w:t>暂无</w:t>
                  </w:r>
                </w:p>
                <w:p>
                  <w:pPr>
                    <w:pStyle w:val="11"/>
                    <w:bidi w:val="0"/>
                    <w:rPr>
                      <w:rFonts w:hint="eastAsia"/>
                      <w:lang w:val="en-US" w:eastAsia="zh-CN"/>
                    </w:rPr>
                  </w:pPr>
                  <w:r>
                    <w:rPr>
                      <w:rFonts w:hint="eastAsia"/>
                      <w:lang w:val="en-US" w:eastAsia="zh-CN"/>
                    </w:rPr>
                    <w:t>其他污染物排放管控要求</w:t>
                  </w:r>
                </w:p>
                <w:p>
                  <w:pPr>
                    <w:pStyle w:val="11"/>
                    <w:bidi w:val="0"/>
                    <w:rPr>
                      <w:rFonts w:hint="eastAsia"/>
                      <w:lang w:val="en-US" w:eastAsia="zh-CN"/>
                    </w:rPr>
                  </w:pPr>
                  <w:r>
                    <w:rPr>
                      <w:rFonts w:hint="eastAsia"/>
                      <w:lang w:val="en-US" w:eastAsia="zh-CN"/>
                    </w:rPr>
                    <w:t>暂无</w:t>
                  </w:r>
                </w:p>
                <w:p>
                  <w:pPr>
                    <w:pStyle w:val="11"/>
                    <w:bidi w:val="0"/>
                    <w:rPr>
                      <w:lang w:val="zh-TW" w:eastAsia="zh-TW"/>
                    </w:rPr>
                  </w:pPr>
                </w:p>
              </w:tc>
              <w:tc>
                <w:tcPr>
                  <w:tcW w:w="1004" w:type="dxa"/>
                  <w:tcBorders>
                    <w:tl2br w:val="nil"/>
                    <w:tr2bl w:val="nil"/>
                  </w:tcBorders>
                  <w:shd w:val="clear" w:color="auto" w:fill="FFFFFF"/>
                  <w:vAlign w:val="center"/>
                </w:tcPr>
                <w:p>
                  <w:pPr>
                    <w:pStyle w:val="11"/>
                    <w:bidi w:val="0"/>
                    <w:rPr>
                      <w:lang w:val="zh-TW" w:eastAsia="zh-TW"/>
                    </w:rPr>
                  </w:pPr>
                  <w:r>
                    <w:rPr>
                      <w:rFonts w:hint="eastAsia"/>
                    </w:rPr>
                    <w:t>本项目主要进行再生塑料产品生产，项目针对废气等污染物的排放、环境风险管理和防控方面采取了有效的措施，不属于高污染、高耗能的产业，符合生态环境准入要求。</w:t>
                  </w:r>
                </w:p>
              </w:tc>
              <w:tc>
                <w:tcPr>
                  <w:tcW w:w="533" w:type="dxa"/>
                  <w:tcBorders>
                    <w:tl2br w:val="nil"/>
                    <w:tr2bl w:val="nil"/>
                  </w:tcBorders>
                  <w:shd w:val="clear" w:color="auto" w:fill="FFFFFF"/>
                  <w:vAlign w:val="center"/>
                </w:tcPr>
                <w:p>
                  <w:pPr>
                    <w:pStyle w:val="11"/>
                    <w:bidi w:val="0"/>
                    <w:rPr>
                      <w:lang w:val="zh-TW" w:eastAsia="zh-TW"/>
                    </w:rPr>
                  </w:pPr>
                  <w:r>
                    <w:rPr>
                      <w:rFonts w:hint="eastAsia"/>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21" w:type="dxa"/>
                  <w:vMerge w:val="continue"/>
                  <w:tcBorders>
                    <w:tl2br w:val="nil"/>
                    <w:tr2bl w:val="nil"/>
                  </w:tcBorders>
                  <w:shd w:val="clear" w:color="auto" w:fill="FFFFFF"/>
                  <w:vAlign w:val="center"/>
                </w:tcPr>
                <w:p>
                  <w:pPr>
                    <w:pStyle w:val="11"/>
                    <w:bidi w:val="0"/>
                    <w:rPr>
                      <w:lang w:val="zh-TW" w:eastAsia="zh-TW"/>
                    </w:rPr>
                  </w:pPr>
                </w:p>
              </w:tc>
              <w:tc>
                <w:tcPr>
                  <w:tcW w:w="563" w:type="dxa"/>
                  <w:vMerge w:val="continue"/>
                  <w:tcBorders>
                    <w:tl2br w:val="nil"/>
                    <w:tr2bl w:val="nil"/>
                  </w:tcBorders>
                  <w:shd w:val="clear" w:color="auto" w:fill="FFFFFF"/>
                  <w:vAlign w:val="center"/>
                </w:tcPr>
                <w:p>
                  <w:pPr>
                    <w:pStyle w:val="11"/>
                    <w:bidi w:val="0"/>
                    <w:rPr>
                      <w:lang w:val="zh-TW" w:eastAsia="zh-TW"/>
                    </w:rPr>
                  </w:pPr>
                </w:p>
              </w:tc>
              <w:tc>
                <w:tcPr>
                  <w:tcW w:w="512" w:type="dxa"/>
                  <w:tcBorders>
                    <w:tl2br w:val="nil"/>
                    <w:tr2bl w:val="nil"/>
                  </w:tcBorders>
                  <w:shd w:val="clear" w:color="auto" w:fill="FFFFFF"/>
                  <w:vAlign w:val="center"/>
                </w:tcPr>
                <w:p>
                  <w:pPr>
                    <w:pStyle w:val="11"/>
                    <w:bidi w:val="0"/>
                    <w:rPr>
                      <w:lang w:val="zh-TW" w:eastAsia="zh-TW"/>
                    </w:rPr>
                  </w:pPr>
                  <w:r>
                    <w:rPr>
                      <w:rFonts w:hint="eastAsia"/>
                    </w:rPr>
                    <w:t>环境风险防控</w:t>
                  </w:r>
                </w:p>
              </w:tc>
              <w:tc>
                <w:tcPr>
                  <w:tcW w:w="5100" w:type="dxa"/>
                  <w:tcBorders>
                    <w:tl2br w:val="nil"/>
                    <w:tr2bl w:val="nil"/>
                  </w:tcBorders>
                  <w:shd w:val="clear" w:color="auto" w:fill="FFFFFF"/>
                  <w:vAlign w:val="center"/>
                </w:tcPr>
                <w:p>
                  <w:pPr>
                    <w:pStyle w:val="11"/>
                    <w:bidi w:val="0"/>
                    <w:rPr>
                      <w:lang w:val="zh-TW" w:eastAsia="zh-TW"/>
                    </w:rPr>
                  </w:pPr>
                  <w:r>
                    <w:rPr>
                      <w:rFonts w:hint="eastAsia"/>
                      <w:lang w:val="zh-TW" w:eastAsia="zh-TW"/>
                    </w:rPr>
                    <w:t>环境风险防控：</w:t>
                  </w:r>
                </w:p>
                <w:p>
                  <w:pPr>
                    <w:pStyle w:val="11"/>
                    <w:bidi w:val="0"/>
                    <w:rPr>
                      <w:lang w:val="zh-TW" w:eastAsia="zh-TW"/>
                    </w:rPr>
                  </w:pPr>
                  <w:r>
                    <w:rPr>
                      <w:rFonts w:hint="eastAsia"/>
                      <w:lang w:val="zh-TW" w:eastAsia="zh-TW"/>
                    </w:rPr>
                    <w:t>联防联控要求</w:t>
                  </w:r>
                </w:p>
                <w:p>
                  <w:pPr>
                    <w:pStyle w:val="11"/>
                    <w:bidi w:val="0"/>
                    <w:rPr>
                      <w:rFonts w:hint="eastAsia"/>
                      <w:lang w:val="en-US" w:eastAsia="zh-CN"/>
                    </w:rPr>
                  </w:pPr>
                  <w:r>
                    <w:rPr>
                      <w:rFonts w:hint="eastAsia"/>
                      <w:lang w:val="en-US" w:eastAsia="zh-CN"/>
                    </w:rPr>
                    <w:t>强化区域联防联控，严格落实《关于建立跨省流域上下游突发水污染事件联防联控机制的指导意见》；定期召开区域大气环境形式分析会，强化信息共享和联动合作，实行环境规划，标准，环评，执法，信息公开“六统一”，协力推进大气污染源头防控，加强川东北区域大气污染防止合作</w:t>
                  </w:r>
                </w:p>
                <w:p>
                  <w:pPr>
                    <w:pStyle w:val="11"/>
                    <w:bidi w:val="0"/>
                    <w:rPr>
                      <w:rFonts w:hint="eastAsia"/>
                      <w:lang w:val="en-US" w:eastAsia="zh-CN"/>
                    </w:rPr>
                  </w:pPr>
                  <w:r>
                    <w:rPr>
                      <w:rFonts w:hint="eastAsia"/>
                      <w:lang w:val="en-US" w:eastAsia="zh-CN"/>
                    </w:rPr>
                    <w:t>其他环境风险防控要求</w:t>
                  </w:r>
                </w:p>
                <w:p>
                  <w:pPr>
                    <w:pStyle w:val="11"/>
                    <w:bidi w:val="0"/>
                    <w:rPr>
                      <w:rFonts w:hint="eastAsia"/>
                      <w:lang w:val="en-US" w:eastAsia="zh-CN"/>
                    </w:rPr>
                  </w:pPr>
                  <w:r>
                    <w:rPr>
                      <w:rFonts w:hint="eastAsia"/>
                      <w:lang w:val="en-US" w:eastAsia="zh-CN"/>
                    </w:rPr>
                    <w:t>暂无</w:t>
                  </w:r>
                </w:p>
                <w:p>
                  <w:pPr>
                    <w:pStyle w:val="11"/>
                    <w:bidi w:val="0"/>
                    <w:rPr>
                      <w:lang w:val="zh-TW" w:eastAsia="zh-TW"/>
                    </w:rPr>
                  </w:pPr>
                </w:p>
              </w:tc>
              <w:tc>
                <w:tcPr>
                  <w:tcW w:w="1004" w:type="dxa"/>
                  <w:tcBorders>
                    <w:tl2br w:val="nil"/>
                    <w:tr2bl w:val="nil"/>
                  </w:tcBorders>
                  <w:shd w:val="clear" w:color="auto" w:fill="FFFFFF"/>
                  <w:vAlign w:val="center"/>
                </w:tcPr>
                <w:p>
                  <w:pPr>
                    <w:pStyle w:val="11"/>
                    <w:bidi w:val="0"/>
                    <w:rPr>
                      <w:lang w:eastAsia="zh-TW"/>
                    </w:rPr>
                  </w:pPr>
                  <w:r>
                    <w:rPr>
                      <w:rFonts w:hint="eastAsia"/>
                    </w:rPr>
                    <w:t>本项目主要进行再生塑料产品生产，不涉及重金属、易燃易爆品的生产加工。</w:t>
                  </w:r>
                </w:p>
              </w:tc>
              <w:tc>
                <w:tcPr>
                  <w:tcW w:w="533" w:type="dxa"/>
                  <w:tcBorders>
                    <w:tl2br w:val="nil"/>
                    <w:tr2bl w:val="nil"/>
                  </w:tcBorders>
                  <w:shd w:val="clear" w:color="auto" w:fill="FFFFFF"/>
                  <w:vAlign w:val="center"/>
                </w:tcPr>
                <w:p>
                  <w:pPr>
                    <w:pStyle w:val="11"/>
                    <w:bidi w:val="0"/>
                    <w:rPr>
                      <w:lang w:val="zh-TW" w:eastAsia="zh-TW"/>
                    </w:rPr>
                  </w:pPr>
                  <w:r>
                    <w:rPr>
                      <w:rFonts w:hint="eastAsia"/>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21" w:type="dxa"/>
                  <w:vMerge w:val="continue"/>
                  <w:tcBorders>
                    <w:tl2br w:val="nil"/>
                    <w:tr2bl w:val="nil"/>
                  </w:tcBorders>
                  <w:shd w:val="clear" w:color="auto" w:fill="FFFFFF"/>
                  <w:vAlign w:val="center"/>
                </w:tcPr>
                <w:p>
                  <w:pPr>
                    <w:pStyle w:val="11"/>
                    <w:bidi w:val="0"/>
                    <w:rPr>
                      <w:lang w:val="zh-TW" w:eastAsia="zh-TW"/>
                    </w:rPr>
                  </w:pPr>
                </w:p>
              </w:tc>
              <w:tc>
                <w:tcPr>
                  <w:tcW w:w="563" w:type="dxa"/>
                  <w:vMerge w:val="continue"/>
                  <w:tcBorders>
                    <w:tl2br w:val="nil"/>
                    <w:tr2bl w:val="nil"/>
                  </w:tcBorders>
                  <w:shd w:val="clear" w:color="auto" w:fill="FFFFFF"/>
                  <w:vAlign w:val="center"/>
                </w:tcPr>
                <w:p>
                  <w:pPr>
                    <w:pStyle w:val="11"/>
                    <w:bidi w:val="0"/>
                    <w:rPr>
                      <w:lang w:val="zh-TW" w:eastAsia="zh-TW"/>
                    </w:rPr>
                  </w:pPr>
                </w:p>
              </w:tc>
              <w:tc>
                <w:tcPr>
                  <w:tcW w:w="512" w:type="dxa"/>
                  <w:tcBorders>
                    <w:tl2br w:val="nil"/>
                    <w:tr2bl w:val="nil"/>
                  </w:tcBorders>
                  <w:shd w:val="clear" w:color="auto" w:fill="FFFFFF"/>
                  <w:vAlign w:val="center"/>
                </w:tcPr>
                <w:p>
                  <w:pPr>
                    <w:pStyle w:val="11"/>
                    <w:bidi w:val="0"/>
                    <w:rPr>
                      <w:lang w:val="zh-TW" w:eastAsia="zh-TW"/>
                    </w:rPr>
                  </w:pPr>
                  <w:r>
                    <w:rPr>
                      <w:rFonts w:hint="eastAsia"/>
                    </w:rPr>
                    <w:t>资源开发效率要求</w:t>
                  </w:r>
                </w:p>
              </w:tc>
              <w:tc>
                <w:tcPr>
                  <w:tcW w:w="5100" w:type="dxa"/>
                  <w:tcBorders>
                    <w:tl2br w:val="nil"/>
                    <w:tr2bl w:val="nil"/>
                  </w:tcBorders>
                  <w:shd w:val="clear" w:color="auto" w:fill="FFFFFF"/>
                  <w:vAlign w:val="center"/>
                </w:tcPr>
                <w:p>
                  <w:pPr>
                    <w:pStyle w:val="11"/>
                    <w:bidi w:val="0"/>
                    <w:rPr>
                      <w:rFonts w:hint="eastAsia"/>
                      <w:lang w:val="en-US" w:eastAsia="zh-CN"/>
                    </w:rPr>
                  </w:pPr>
                  <w:r>
                    <w:rPr>
                      <w:rFonts w:hint="eastAsia"/>
                      <w:lang w:val="en-US" w:eastAsia="zh-CN"/>
                    </w:rPr>
                    <w:t>资源开发利用效率要求：</w:t>
                  </w:r>
                </w:p>
                <w:p>
                  <w:pPr>
                    <w:pStyle w:val="11"/>
                    <w:bidi w:val="0"/>
                    <w:rPr>
                      <w:rFonts w:hint="eastAsia"/>
                      <w:lang w:val="en-US" w:eastAsia="zh-CN"/>
                    </w:rPr>
                  </w:pPr>
                  <w:r>
                    <w:rPr>
                      <w:rFonts w:hint="eastAsia"/>
                      <w:lang w:val="en-US" w:eastAsia="zh-CN"/>
                    </w:rPr>
                    <w:t>水资源利用总量要求</w:t>
                  </w:r>
                </w:p>
                <w:p>
                  <w:pPr>
                    <w:pStyle w:val="11"/>
                    <w:bidi w:val="0"/>
                    <w:rPr>
                      <w:rFonts w:hint="eastAsia"/>
                      <w:lang w:val="en-US" w:eastAsia="zh-CN"/>
                    </w:rPr>
                  </w:pPr>
                  <w:r>
                    <w:rPr>
                      <w:rFonts w:hint="eastAsia"/>
                      <w:lang w:val="en-US" w:eastAsia="zh-CN"/>
                    </w:rPr>
                    <w:t>暂无</w:t>
                  </w:r>
                </w:p>
                <w:p>
                  <w:pPr>
                    <w:pStyle w:val="11"/>
                    <w:bidi w:val="0"/>
                    <w:rPr>
                      <w:rFonts w:hint="eastAsia"/>
                      <w:lang w:val="en-US" w:eastAsia="zh-CN"/>
                    </w:rPr>
                  </w:pPr>
                  <w:r>
                    <w:rPr>
                      <w:rFonts w:hint="eastAsia"/>
                      <w:lang w:val="en-US" w:eastAsia="zh-CN"/>
                    </w:rPr>
                    <w:t>地下水开采要求</w:t>
                  </w:r>
                </w:p>
                <w:p>
                  <w:pPr>
                    <w:pStyle w:val="11"/>
                    <w:bidi w:val="0"/>
                    <w:rPr>
                      <w:rFonts w:hint="eastAsia"/>
                      <w:lang w:val="en-US" w:eastAsia="zh-CN"/>
                    </w:rPr>
                  </w:pPr>
                  <w:r>
                    <w:rPr>
                      <w:rFonts w:hint="eastAsia"/>
                      <w:lang w:val="en-US" w:eastAsia="zh-CN"/>
                    </w:rPr>
                    <w:t>以省市下发指标为准</w:t>
                  </w:r>
                </w:p>
                <w:p>
                  <w:pPr>
                    <w:pStyle w:val="11"/>
                    <w:bidi w:val="0"/>
                    <w:rPr>
                      <w:rFonts w:hint="eastAsia"/>
                      <w:lang w:val="en-US" w:eastAsia="zh-CN"/>
                    </w:rPr>
                  </w:pPr>
                  <w:r>
                    <w:rPr>
                      <w:rFonts w:hint="eastAsia"/>
                      <w:lang w:val="en-US" w:eastAsia="zh-CN"/>
                    </w:rPr>
                    <w:t>能源利用总量及效率要求</w:t>
                  </w:r>
                </w:p>
                <w:p>
                  <w:pPr>
                    <w:pStyle w:val="11"/>
                    <w:bidi w:val="0"/>
                    <w:rPr>
                      <w:rFonts w:hint="eastAsia"/>
                      <w:lang w:val="en-US" w:eastAsia="zh-CN"/>
                    </w:rPr>
                  </w:pPr>
                  <w:r>
                    <w:rPr>
                      <w:rFonts w:hint="eastAsia"/>
                      <w:lang w:val="en-US" w:eastAsia="zh-CN"/>
                    </w:rPr>
                    <w:t>暂无</w:t>
                  </w:r>
                </w:p>
                <w:p>
                  <w:pPr>
                    <w:pStyle w:val="11"/>
                    <w:bidi w:val="0"/>
                    <w:rPr>
                      <w:rFonts w:hint="eastAsia"/>
                      <w:lang w:val="en-US" w:eastAsia="zh-CN"/>
                    </w:rPr>
                  </w:pPr>
                  <w:r>
                    <w:rPr>
                      <w:rFonts w:hint="eastAsia"/>
                      <w:lang w:val="en-US" w:eastAsia="zh-CN"/>
                    </w:rPr>
                    <w:t>禁燃区要求</w:t>
                  </w:r>
                </w:p>
                <w:p>
                  <w:pPr>
                    <w:pStyle w:val="11"/>
                    <w:bidi w:val="0"/>
                    <w:rPr>
                      <w:rFonts w:hint="eastAsia"/>
                      <w:lang w:val="en-US" w:eastAsia="zh-CN"/>
                    </w:rPr>
                  </w:pPr>
                  <w:r>
                    <w:rPr>
                      <w:rFonts w:hint="eastAsia"/>
                      <w:lang w:val="en-US" w:eastAsia="zh-CN"/>
                    </w:rPr>
                    <w:t>其他资源利用效率要求</w:t>
                  </w:r>
                </w:p>
                <w:p>
                  <w:pPr>
                    <w:pStyle w:val="11"/>
                    <w:bidi w:val="0"/>
                    <w:rPr>
                      <w:lang w:val="zh-TW" w:eastAsia="zh-TW"/>
                    </w:rPr>
                  </w:pPr>
                  <w:r>
                    <w:rPr>
                      <w:rFonts w:hint="eastAsia"/>
                      <w:lang w:val="en-US" w:eastAsia="zh-CN"/>
                    </w:rPr>
                    <w:t>暂无</w:t>
                  </w:r>
                </w:p>
              </w:tc>
              <w:tc>
                <w:tcPr>
                  <w:tcW w:w="1004" w:type="dxa"/>
                  <w:tcBorders>
                    <w:tl2br w:val="nil"/>
                    <w:tr2bl w:val="nil"/>
                  </w:tcBorders>
                  <w:shd w:val="clear" w:color="auto" w:fill="FFFFFF"/>
                  <w:vAlign w:val="center"/>
                </w:tcPr>
                <w:p>
                  <w:pPr>
                    <w:pStyle w:val="11"/>
                    <w:bidi w:val="0"/>
                    <w:rPr>
                      <w:lang w:val="zh-TW" w:eastAsia="zh-TW"/>
                    </w:rPr>
                  </w:pPr>
                  <w:r>
                    <w:rPr>
                      <w:rFonts w:hint="eastAsia"/>
                    </w:rPr>
                    <w:t>本项目主要进行再生塑料产品生产，不涉及地下水的开采使用，采用清洁能源进行生产加工，对生产用水进行回用处理。</w:t>
                  </w:r>
                </w:p>
              </w:tc>
              <w:tc>
                <w:tcPr>
                  <w:tcW w:w="533" w:type="dxa"/>
                  <w:tcBorders>
                    <w:tl2br w:val="nil"/>
                    <w:tr2bl w:val="nil"/>
                  </w:tcBorders>
                  <w:shd w:val="clear" w:color="auto" w:fill="FFFFFF"/>
                  <w:vAlign w:val="center"/>
                </w:tcPr>
                <w:p>
                  <w:pPr>
                    <w:pStyle w:val="11"/>
                    <w:bidi w:val="0"/>
                    <w:rPr>
                      <w:lang w:val="zh-TW" w:eastAsia="zh-TW"/>
                    </w:rPr>
                  </w:pPr>
                  <w:r>
                    <w:rPr>
                      <w:rFonts w:hint="eastAsia"/>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21" w:type="dxa"/>
                  <w:vMerge w:val="continue"/>
                  <w:tcBorders>
                    <w:tl2br w:val="nil"/>
                    <w:tr2bl w:val="nil"/>
                  </w:tcBorders>
                  <w:shd w:val="clear" w:color="auto" w:fill="FFFFFF"/>
                  <w:vAlign w:val="center"/>
                </w:tcPr>
                <w:p>
                  <w:pPr>
                    <w:pStyle w:val="11"/>
                    <w:bidi w:val="0"/>
                  </w:pPr>
                </w:p>
              </w:tc>
              <w:tc>
                <w:tcPr>
                  <w:tcW w:w="563" w:type="dxa"/>
                  <w:vMerge w:val="restart"/>
                  <w:tcBorders>
                    <w:tl2br w:val="nil"/>
                    <w:tr2bl w:val="nil"/>
                  </w:tcBorders>
                  <w:shd w:val="clear" w:color="auto" w:fill="FFFFFF"/>
                  <w:vAlign w:val="center"/>
                </w:tcPr>
                <w:p>
                  <w:pPr>
                    <w:pStyle w:val="11"/>
                    <w:bidi w:val="0"/>
                  </w:pPr>
                  <w:r>
                    <w:rPr>
                      <w:rFonts w:hint="eastAsia"/>
                    </w:rPr>
                    <w:t>单元级</w:t>
                  </w:r>
                  <w:r>
                    <w:rPr>
                      <w:rFonts w:hint="eastAsia"/>
                      <w:lang w:val="zh-TW" w:eastAsia="zh-TW"/>
                    </w:rPr>
                    <w:t>清单管控要求</w:t>
                  </w:r>
                </w:p>
              </w:tc>
              <w:tc>
                <w:tcPr>
                  <w:tcW w:w="512" w:type="dxa"/>
                  <w:tcBorders>
                    <w:tl2br w:val="nil"/>
                    <w:tr2bl w:val="nil"/>
                  </w:tcBorders>
                  <w:shd w:val="clear" w:color="auto" w:fill="FFFFFF"/>
                  <w:vAlign w:val="center"/>
                </w:tcPr>
                <w:p>
                  <w:pPr>
                    <w:pStyle w:val="11"/>
                    <w:bidi w:val="0"/>
                    <w:rPr>
                      <w:lang w:val="zh-TW" w:eastAsia="zh-TW"/>
                    </w:rPr>
                  </w:pPr>
                  <w:r>
                    <w:rPr>
                      <w:rFonts w:hint="eastAsia"/>
                    </w:rPr>
                    <w:t>空间布局约束</w:t>
                  </w:r>
                </w:p>
              </w:tc>
              <w:tc>
                <w:tcPr>
                  <w:tcW w:w="5100" w:type="dxa"/>
                  <w:tcBorders>
                    <w:tl2br w:val="nil"/>
                    <w:tr2bl w:val="nil"/>
                  </w:tcBorders>
                  <w:shd w:val="clear" w:color="auto" w:fill="FFFFFF"/>
                  <w:vAlign w:val="center"/>
                </w:tcPr>
                <w:p>
                  <w:pPr>
                    <w:pStyle w:val="11"/>
                    <w:bidi w:val="0"/>
                    <w:rPr>
                      <w:rFonts w:hint="eastAsia"/>
                      <w:lang w:val="en-US" w:eastAsia="zh-CN"/>
                    </w:rPr>
                  </w:pPr>
                  <w:r>
                    <w:rPr>
                      <w:rFonts w:hint="eastAsia"/>
                      <w:lang w:val="en-US" w:eastAsia="zh-CN"/>
                    </w:rPr>
                    <w:t>同优先保护的单元总体准入要求</w:t>
                  </w:r>
                </w:p>
                <w:p>
                  <w:pPr>
                    <w:pStyle w:val="11"/>
                    <w:bidi w:val="0"/>
                    <w:rPr>
                      <w:rFonts w:hint="eastAsia"/>
                      <w:lang w:val="en-US" w:eastAsia="zh-CN"/>
                    </w:rPr>
                  </w:pPr>
                  <w:r>
                    <w:rPr>
                      <w:rFonts w:hint="eastAsia"/>
                      <w:lang w:val="en-US" w:eastAsia="zh-CN"/>
                    </w:rPr>
                    <w:t>限制开发建设活动的要求</w:t>
                  </w:r>
                </w:p>
                <w:p>
                  <w:pPr>
                    <w:pStyle w:val="11"/>
                    <w:bidi w:val="0"/>
                    <w:rPr>
                      <w:rFonts w:hint="eastAsia"/>
                      <w:lang w:val="en-US" w:eastAsia="zh-CN"/>
                    </w:rPr>
                  </w:pPr>
                  <w:r>
                    <w:rPr>
                      <w:rFonts w:hint="eastAsia"/>
                      <w:lang w:val="en-US" w:eastAsia="zh-CN"/>
                    </w:rPr>
                    <w:t>同优先保护的单元总体准入要求</w:t>
                  </w:r>
                </w:p>
                <w:p>
                  <w:pPr>
                    <w:pStyle w:val="11"/>
                    <w:bidi w:val="0"/>
                    <w:rPr>
                      <w:rFonts w:hint="eastAsia"/>
                      <w:lang w:val="en-US" w:eastAsia="zh-CN"/>
                    </w:rPr>
                  </w:pPr>
                  <w:r>
                    <w:rPr>
                      <w:rFonts w:hint="eastAsia"/>
                      <w:lang w:val="en-US" w:eastAsia="zh-CN"/>
                    </w:rPr>
                    <w:t>允许开发建设活动的要求</w:t>
                  </w:r>
                </w:p>
                <w:p>
                  <w:pPr>
                    <w:pStyle w:val="11"/>
                    <w:bidi w:val="0"/>
                    <w:rPr>
                      <w:rFonts w:hint="eastAsia"/>
                      <w:lang w:val="en-US" w:eastAsia="zh-CN"/>
                    </w:rPr>
                  </w:pPr>
                  <w:r>
                    <w:rPr>
                      <w:rFonts w:hint="eastAsia"/>
                      <w:lang w:val="en-US" w:eastAsia="zh-CN"/>
                    </w:rPr>
                    <w:t>同优先保护的单元总体准入要求</w:t>
                  </w:r>
                </w:p>
                <w:p>
                  <w:pPr>
                    <w:pStyle w:val="11"/>
                    <w:bidi w:val="0"/>
                    <w:rPr>
                      <w:rFonts w:hint="eastAsia"/>
                      <w:lang w:val="en-US" w:eastAsia="zh-CN"/>
                    </w:rPr>
                  </w:pPr>
                  <w:r>
                    <w:rPr>
                      <w:rFonts w:hint="eastAsia"/>
                      <w:lang w:val="en-US" w:eastAsia="zh-CN"/>
                    </w:rPr>
                    <w:t>不符合空间布局要求活动的退出要求</w:t>
                  </w:r>
                </w:p>
                <w:p>
                  <w:pPr>
                    <w:pStyle w:val="11"/>
                    <w:bidi w:val="0"/>
                    <w:rPr>
                      <w:rFonts w:hint="eastAsia"/>
                      <w:lang w:val="en-US" w:eastAsia="zh-CN"/>
                    </w:rPr>
                  </w:pPr>
                  <w:r>
                    <w:rPr>
                      <w:rFonts w:hint="eastAsia"/>
                      <w:lang w:val="en-US" w:eastAsia="zh-CN"/>
                    </w:rPr>
                    <w:t>区外企业：位于一般生态空间内的工业园区外工业企业：符合所在法定保护地管理规定、具有合法手续、且污染物排放及环境风险满足管理要求的企业，可继续保留，污染物排放只降不增，并进一步加强日常环保监管；允许以提升安全、生态环境保护水平为目的的改建，引导企业结合产业结构调整、技改升级等，适时搬迁；不具备合法手续，或污染物排放超标、环境风险不可控的企业，属地政府应按相关要求责令关停并退出其他同优先保护的单元总体准入要求</w:t>
                  </w:r>
                </w:p>
                <w:p>
                  <w:pPr>
                    <w:pStyle w:val="11"/>
                    <w:bidi w:val="0"/>
                    <w:rPr>
                      <w:rFonts w:hint="eastAsia"/>
                      <w:lang w:val="en-US" w:eastAsia="zh-CN"/>
                    </w:rPr>
                  </w:pPr>
                  <w:r>
                    <w:rPr>
                      <w:rFonts w:hint="eastAsia"/>
                      <w:lang w:val="en-US" w:eastAsia="zh-CN"/>
                    </w:rPr>
                    <w:t>其他空间布局约束要求</w:t>
                  </w:r>
                </w:p>
                <w:p>
                  <w:pPr>
                    <w:pStyle w:val="11"/>
                    <w:bidi w:val="0"/>
                    <w:rPr>
                      <w:rFonts w:hint="default"/>
                      <w:lang w:val="en-US" w:eastAsia="zh-CN"/>
                    </w:rPr>
                  </w:pPr>
                  <w:r>
                    <w:rPr>
                      <w:rFonts w:hint="eastAsia"/>
                      <w:lang w:val="en-US" w:eastAsia="zh-CN"/>
                    </w:rPr>
                    <w:t>暂无</w:t>
                  </w:r>
                </w:p>
              </w:tc>
              <w:tc>
                <w:tcPr>
                  <w:tcW w:w="1004" w:type="dxa"/>
                  <w:tcBorders>
                    <w:tl2br w:val="nil"/>
                    <w:tr2bl w:val="nil"/>
                  </w:tcBorders>
                  <w:shd w:val="clear" w:color="auto" w:fill="FFFFFF"/>
                  <w:vAlign w:val="center"/>
                </w:tcPr>
                <w:p>
                  <w:pPr>
                    <w:pStyle w:val="11"/>
                    <w:bidi w:val="0"/>
                  </w:pPr>
                  <w:r>
                    <w:rPr>
                      <w:rFonts w:hint="eastAsia"/>
                    </w:rPr>
                    <w:t>本项目主要进行再生塑料产品生产，项目针对废气等污染物的排放、环境风险管理和防控方面采取了有效的措施，不属于高污染、高耗能的产业，符合生态环境准入要求。</w:t>
                  </w:r>
                </w:p>
              </w:tc>
              <w:tc>
                <w:tcPr>
                  <w:tcW w:w="533" w:type="dxa"/>
                  <w:tcBorders>
                    <w:tl2br w:val="nil"/>
                    <w:tr2bl w:val="nil"/>
                  </w:tcBorders>
                  <w:shd w:val="clear" w:color="auto" w:fill="FFFFFF"/>
                  <w:vAlign w:val="center"/>
                </w:tcPr>
                <w:p>
                  <w:pPr>
                    <w:pStyle w:val="11"/>
                    <w:bidi w:val="0"/>
                  </w:pPr>
                  <w:r>
                    <w:rPr>
                      <w:rFonts w:hint="eastAsia"/>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21" w:type="dxa"/>
                  <w:vMerge w:val="continue"/>
                  <w:tcBorders>
                    <w:tl2br w:val="nil"/>
                    <w:tr2bl w:val="nil"/>
                  </w:tcBorders>
                  <w:shd w:val="clear" w:color="auto" w:fill="FFFFFF"/>
                  <w:vAlign w:val="center"/>
                </w:tcPr>
                <w:p>
                  <w:pPr>
                    <w:pStyle w:val="11"/>
                    <w:bidi w:val="0"/>
                  </w:pPr>
                </w:p>
              </w:tc>
              <w:tc>
                <w:tcPr>
                  <w:tcW w:w="563" w:type="dxa"/>
                  <w:vMerge w:val="continue"/>
                  <w:tcBorders>
                    <w:tl2br w:val="nil"/>
                    <w:tr2bl w:val="nil"/>
                  </w:tcBorders>
                  <w:shd w:val="clear" w:color="auto" w:fill="FFFFFF"/>
                  <w:vAlign w:val="center"/>
                </w:tcPr>
                <w:p>
                  <w:pPr>
                    <w:pStyle w:val="11"/>
                    <w:bidi w:val="0"/>
                  </w:pPr>
                </w:p>
              </w:tc>
              <w:tc>
                <w:tcPr>
                  <w:tcW w:w="512" w:type="dxa"/>
                  <w:tcBorders>
                    <w:tl2br w:val="nil"/>
                    <w:tr2bl w:val="nil"/>
                  </w:tcBorders>
                  <w:shd w:val="clear" w:color="auto" w:fill="FFFFFF"/>
                  <w:vAlign w:val="center"/>
                </w:tcPr>
                <w:p>
                  <w:pPr>
                    <w:pStyle w:val="11"/>
                    <w:bidi w:val="0"/>
                    <w:rPr>
                      <w:lang w:val="zh-TW" w:eastAsia="zh-TW"/>
                    </w:rPr>
                  </w:pPr>
                  <w:r>
                    <w:rPr>
                      <w:rFonts w:hint="eastAsia"/>
                    </w:rPr>
                    <w:t>污染物排放管控</w:t>
                  </w:r>
                </w:p>
              </w:tc>
              <w:tc>
                <w:tcPr>
                  <w:tcW w:w="5100" w:type="dxa"/>
                  <w:tcBorders>
                    <w:tl2br w:val="nil"/>
                    <w:tr2bl w:val="nil"/>
                  </w:tcBorders>
                  <w:shd w:val="clear" w:color="auto" w:fill="FFFFFF"/>
                  <w:vAlign w:val="center"/>
                </w:tcPr>
                <w:p>
                  <w:pPr>
                    <w:pStyle w:val="11"/>
                    <w:bidi w:val="0"/>
                    <w:rPr>
                      <w:rFonts w:hint="eastAsia"/>
                      <w:lang w:val="en-US" w:eastAsia="zh-CN"/>
                    </w:rPr>
                  </w:pPr>
                  <w:r>
                    <w:rPr>
                      <w:rFonts w:hint="eastAsia"/>
                      <w:lang w:val="en-US" w:eastAsia="zh-CN"/>
                    </w:rPr>
                    <w:t>现有源提标升级改造</w:t>
                  </w:r>
                </w:p>
                <w:p>
                  <w:pPr>
                    <w:pStyle w:val="11"/>
                    <w:bidi w:val="0"/>
                    <w:rPr>
                      <w:rFonts w:hint="default"/>
                      <w:lang w:val="en-US" w:eastAsia="zh-CN"/>
                    </w:rPr>
                  </w:pPr>
                  <w:r>
                    <w:rPr>
                      <w:rFonts w:hint="eastAsia"/>
                      <w:lang w:val="en-US" w:eastAsia="zh-CN"/>
                    </w:rPr>
                    <w:t>暂无</w:t>
                  </w:r>
                </w:p>
                <w:p>
                  <w:pPr>
                    <w:pStyle w:val="11"/>
                    <w:bidi w:val="0"/>
                    <w:rPr>
                      <w:rFonts w:hint="eastAsia"/>
                      <w:lang w:val="en-US" w:eastAsia="zh-CN"/>
                    </w:rPr>
                  </w:pPr>
                  <w:r>
                    <w:rPr>
                      <w:rFonts w:hint="eastAsia"/>
                      <w:lang w:val="en-US" w:eastAsia="zh-CN"/>
                    </w:rPr>
                    <w:t>新增源等量或倍量替代</w:t>
                  </w:r>
                </w:p>
                <w:p>
                  <w:pPr>
                    <w:pStyle w:val="11"/>
                    <w:bidi w:val="0"/>
                    <w:rPr>
                      <w:rFonts w:hint="default"/>
                      <w:lang w:val="en-US" w:eastAsia="zh-CN"/>
                    </w:rPr>
                  </w:pPr>
                  <w:r>
                    <w:rPr>
                      <w:rFonts w:hint="eastAsia"/>
                      <w:lang w:val="en-US" w:eastAsia="zh-CN"/>
                    </w:rPr>
                    <w:t>暂无</w:t>
                  </w:r>
                </w:p>
                <w:p>
                  <w:pPr>
                    <w:pStyle w:val="11"/>
                    <w:bidi w:val="0"/>
                    <w:rPr>
                      <w:rFonts w:hint="eastAsia"/>
                      <w:lang w:val="en-US" w:eastAsia="zh-CN"/>
                    </w:rPr>
                  </w:pPr>
                  <w:r>
                    <w:rPr>
                      <w:rFonts w:hint="eastAsia"/>
                      <w:lang w:val="en-US" w:eastAsia="zh-CN"/>
                    </w:rPr>
                    <w:t>新增源排放标准限值</w:t>
                  </w:r>
                </w:p>
                <w:p>
                  <w:pPr>
                    <w:pStyle w:val="11"/>
                    <w:bidi w:val="0"/>
                    <w:rPr>
                      <w:rFonts w:hint="default"/>
                      <w:lang w:val="en-US" w:eastAsia="zh-CN"/>
                    </w:rPr>
                  </w:pPr>
                  <w:r>
                    <w:rPr>
                      <w:rFonts w:hint="eastAsia"/>
                      <w:lang w:val="en-US" w:eastAsia="zh-CN"/>
                    </w:rPr>
                    <w:t>暂无</w:t>
                  </w:r>
                </w:p>
                <w:p>
                  <w:pPr>
                    <w:pStyle w:val="11"/>
                    <w:bidi w:val="0"/>
                    <w:rPr>
                      <w:rFonts w:hint="eastAsia"/>
                      <w:lang w:val="en-US" w:eastAsia="zh-CN"/>
                    </w:rPr>
                  </w:pPr>
                  <w:r>
                    <w:rPr>
                      <w:rFonts w:hint="eastAsia"/>
                      <w:lang w:val="en-US" w:eastAsia="zh-CN"/>
                    </w:rPr>
                    <w:t>污染物排放绩效水平准入要求</w:t>
                  </w:r>
                </w:p>
                <w:p>
                  <w:pPr>
                    <w:pStyle w:val="11"/>
                    <w:bidi w:val="0"/>
                    <w:rPr>
                      <w:rFonts w:hint="default"/>
                      <w:lang w:val="en-US" w:eastAsia="zh-CN"/>
                    </w:rPr>
                  </w:pPr>
                  <w:r>
                    <w:rPr>
                      <w:rFonts w:hint="eastAsia"/>
                      <w:lang w:val="en-US" w:eastAsia="zh-CN"/>
                    </w:rPr>
                    <w:t>暂无</w:t>
                  </w:r>
                </w:p>
                <w:p>
                  <w:pPr>
                    <w:pStyle w:val="11"/>
                    <w:bidi w:val="0"/>
                    <w:rPr>
                      <w:rFonts w:hint="eastAsia"/>
                      <w:lang w:val="en-US" w:eastAsia="zh-CN"/>
                    </w:rPr>
                  </w:pPr>
                  <w:r>
                    <w:rPr>
                      <w:rFonts w:hint="eastAsia"/>
                      <w:lang w:val="en-US" w:eastAsia="zh-CN"/>
                    </w:rPr>
                    <w:t>其他污染物排放管控要求</w:t>
                  </w:r>
                </w:p>
                <w:p>
                  <w:pPr>
                    <w:pStyle w:val="11"/>
                    <w:bidi w:val="0"/>
                    <w:rPr>
                      <w:rFonts w:hint="default"/>
                      <w:lang w:val="en-US" w:eastAsia="zh-TW"/>
                    </w:rPr>
                  </w:pPr>
                  <w:r>
                    <w:rPr>
                      <w:rFonts w:hint="eastAsia"/>
                      <w:lang w:val="en-US" w:eastAsia="zh-CN"/>
                    </w:rPr>
                    <w:t>暂无</w:t>
                  </w:r>
                </w:p>
              </w:tc>
              <w:tc>
                <w:tcPr>
                  <w:tcW w:w="1004" w:type="dxa"/>
                  <w:tcBorders>
                    <w:tl2br w:val="nil"/>
                    <w:tr2bl w:val="nil"/>
                  </w:tcBorders>
                  <w:shd w:val="clear" w:color="auto" w:fill="FFFFFF"/>
                  <w:vAlign w:val="center"/>
                </w:tcPr>
                <w:p>
                  <w:pPr>
                    <w:pStyle w:val="11"/>
                    <w:bidi w:val="0"/>
                    <w:rPr>
                      <w:lang w:eastAsia="zh-TW"/>
                    </w:rPr>
                  </w:pPr>
                  <w:r>
                    <w:rPr>
                      <w:rFonts w:hint="eastAsia"/>
                    </w:rPr>
                    <w:t>本项目主要进行再生塑料颗粒生产，不涉及天然气锅炉的使用、针对废气的产生采取了有效的处理措施后达标排放。</w:t>
                  </w:r>
                </w:p>
              </w:tc>
              <w:tc>
                <w:tcPr>
                  <w:tcW w:w="533" w:type="dxa"/>
                  <w:tcBorders>
                    <w:tl2br w:val="nil"/>
                    <w:tr2bl w:val="nil"/>
                  </w:tcBorders>
                  <w:shd w:val="clear" w:color="auto" w:fill="FFFFFF"/>
                  <w:vAlign w:val="center"/>
                </w:tcPr>
                <w:p>
                  <w:pPr>
                    <w:pStyle w:val="11"/>
                    <w:bidi w:val="0"/>
                    <w:rPr>
                      <w:lang w:val="zh-TW" w:eastAsia="zh-TW"/>
                    </w:rPr>
                  </w:pPr>
                  <w:r>
                    <w:rPr>
                      <w:rFonts w:hint="eastAsia"/>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21" w:type="dxa"/>
                  <w:vMerge w:val="continue"/>
                  <w:tcBorders>
                    <w:tl2br w:val="nil"/>
                    <w:tr2bl w:val="nil"/>
                  </w:tcBorders>
                  <w:shd w:val="clear" w:color="auto" w:fill="FFFFFF"/>
                  <w:vAlign w:val="center"/>
                </w:tcPr>
                <w:p>
                  <w:pPr>
                    <w:pStyle w:val="11"/>
                    <w:bidi w:val="0"/>
                    <w:rPr>
                      <w:lang w:val="zh-TW" w:eastAsia="zh-TW"/>
                    </w:rPr>
                  </w:pPr>
                </w:p>
              </w:tc>
              <w:tc>
                <w:tcPr>
                  <w:tcW w:w="563" w:type="dxa"/>
                  <w:vMerge w:val="continue"/>
                  <w:tcBorders>
                    <w:tl2br w:val="nil"/>
                    <w:tr2bl w:val="nil"/>
                  </w:tcBorders>
                  <w:shd w:val="clear" w:color="auto" w:fill="FFFFFF"/>
                  <w:vAlign w:val="center"/>
                </w:tcPr>
                <w:p>
                  <w:pPr>
                    <w:pStyle w:val="11"/>
                    <w:bidi w:val="0"/>
                    <w:rPr>
                      <w:lang w:val="zh-TW" w:eastAsia="zh-TW"/>
                    </w:rPr>
                  </w:pPr>
                </w:p>
              </w:tc>
              <w:tc>
                <w:tcPr>
                  <w:tcW w:w="512" w:type="dxa"/>
                  <w:tcBorders>
                    <w:tl2br w:val="nil"/>
                    <w:tr2bl w:val="nil"/>
                  </w:tcBorders>
                  <w:shd w:val="clear" w:color="auto" w:fill="FFFFFF"/>
                  <w:vAlign w:val="center"/>
                </w:tcPr>
                <w:p>
                  <w:pPr>
                    <w:pStyle w:val="11"/>
                    <w:bidi w:val="0"/>
                    <w:rPr>
                      <w:lang w:val="zh-TW" w:eastAsia="zh-TW"/>
                    </w:rPr>
                  </w:pPr>
                  <w:r>
                    <w:rPr>
                      <w:rFonts w:hint="eastAsia"/>
                    </w:rPr>
                    <w:t>环境风险防控</w:t>
                  </w:r>
                </w:p>
              </w:tc>
              <w:tc>
                <w:tcPr>
                  <w:tcW w:w="5100" w:type="dxa"/>
                  <w:tcBorders>
                    <w:tl2br w:val="nil"/>
                    <w:tr2bl w:val="nil"/>
                  </w:tcBorders>
                  <w:shd w:val="clear" w:color="auto" w:fill="FFFFFF"/>
                  <w:vAlign w:val="center"/>
                </w:tcPr>
                <w:p>
                  <w:pPr>
                    <w:pStyle w:val="11"/>
                    <w:bidi w:val="0"/>
                    <w:rPr>
                      <w:rFonts w:hint="eastAsia"/>
                      <w:lang w:val="en-US" w:eastAsia="zh-CN"/>
                    </w:rPr>
                  </w:pPr>
                  <w:r>
                    <w:rPr>
                      <w:rFonts w:hint="eastAsia"/>
                      <w:lang w:val="en-US" w:eastAsia="zh-CN"/>
                    </w:rPr>
                    <w:t>严格管控类农用地管控要求</w:t>
                  </w:r>
                </w:p>
                <w:p>
                  <w:pPr>
                    <w:pStyle w:val="11"/>
                    <w:bidi w:val="0"/>
                    <w:rPr>
                      <w:rFonts w:hint="default"/>
                      <w:lang w:val="en-US" w:eastAsia="zh-CN"/>
                    </w:rPr>
                  </w:pPr>
                  <w:r>
                    <w:rPr>
                      <w:rFonts w:hint="eastAsia"/>
                      <w:lang w:val="en-US" w:eastAsia="zh-CN"/>
                    </w:rPr>
                    <w:t>暂无</w:t>
                  </w:r>
                </w:p>
                <w:p>
                  <w:pPr>
                    <w:pStyle w:val="11"/>
                    <w:bidi w:val="0"/>
                    <w:rPr>
                      <w:rFonts w:hint="eastAsia"/>
                      <w:lang w:val="en-US" w:eastAsia="zh-CN"/>
                    </w:rPr>
                  </w:pPr>
                  <w:r>
                    <w:rPr>
                      <w:rFonts w:hint="eastAsia"/>
                      <w:lang w:val="en-US" w:eastAsia="zh-CN"/>
                    </w:rPr>
                    <w:t>安全利用类农用地管控要求</w:t>
                  </w:r>
                </w:p>
                <w:p>
                  <w:pPr>
                    <w:pStyle w:val="11"/>
                    <w:bidi w:val="0"/>
                    <w:rPr>
                      <w:rFonts w:hint="default"/>
                      <w:lang w:val="en-US" w:eastAsia="zh-CN"/>
                    </w:rPr>
                  </w:pPr>
                  <w:r>
                    <w:rPr>
                      <w:rFonts w:hint="eastAsia"/>
                      <w:lang w:val="en-US" w:eastAsia="zh-CN"/>
                    </w:rPr>
                    <w:t>暂无</w:t>
                  </w:r>
                </w:p>
                <w:p>
                  <w:pPr>
                    <w:pStyle w:val="11"/>
                    <w:bidi w:val="0"/>
                    <w:rPr>
                      <w:rFonts w:hint="eastAsia"/>
                      <w:lang w:val="en-US" w:eastAsia="zh-CN"/>
                    </w:rPr>
                  </w:pPr>
                  <w:r>
                    <w:rPr>
                      <w:rFonts w:hint="eastAsia"/>
                      <w:lang w:val="en-US" w:eastAsia="zh-CN"/>
                    </w:rPr>
                    <w:t>污染地块管控要求</w:t>
                  </w:r>
                </w:p>
                <w:p>
                  <w:pPr>
                    <w:pStyle w:val="11"/>
                    <w:bidi w:val="0"/>
                    <w:rPr>
                      <w:rFonts w:hint="default"/>
                      <w:lang w:val="en-US" w:eastAsia="zh-CN"/>
                    </w:rPr>
                  </w:pPr>
                  <w:r>
                    <w:rPr>
                      <w:rFonts w:hint="eastAsia"/>
                      <w:lang w:val="en-US" w:eastAsia="zh-CN"/>
                    </w:rPr>
                    <w:t>暂无</w:t>
                  </w:r>
                </w:p>
                <w:p>
                  <w:pPr>
                    <w:pStyle w:val="11"/>
                    <w:bidi w:val="0"/>
                    <w:rPr>
                      <w:rFonts w:hint="eastAsia"/>
                      <w:lang w:val="en-US" w:eastAsia="zh-CN"/>
                    </w:rPr>
                  </w:pPr>
                  <w:r>
                    <w:rPr>
                      <w:rFonts w:hint="eastAsia"/>
                      <w:lang w:val="en-US" w:eastAsia="zh-CN"/>
                    </w:rPr>
                    <w:t>园区环境风险防控要求</w:t>
                  </w:r>
                </w:p>
                <w:p>
                  <w:pPr>
                    <w:pStyle w:val="11"/>
                    <w:bidi w:val="0"/>
                    <w:rPr>
                      <w:rFonts w:hint="default"/>
                      <w:lang w:val="en-US" w:eastAsia="zh-CN"/>
                    </w:rPr>
                  </w:pPr>
                  <w:r>
                    <w:rPr>
                      <w:rFonts w:hint="eastAsia"/>
                      <w:lang w:val="en-US" w:eastAsia="zh-CN"/>
                    </w:rPr>
                    <w:t>暂无</w:t>
                  </w:r>
                </w:p>
                <w:p>
                  <w:pPr>
                    <w:pStyle w:val="11"/>
                    <w:bidi w:val="0"/>
                    <w:rPr>
                      <w:rFonts w:hint="eastAsia"/>
                      <w:lang w:val="en-US" w:eastAsia="zh-CN"/>
                    </w:rPr>
                  </w:pPr>
                  <w:r>
                    <w:rPr>
                      <w:rFonts w:hint="eastAsia"/>
                      <w:lang w:val="en-US" w:eastAsia="zh-CN"/>
                    </w:rPr>
                    <w:t>企业环境风险防控要求</w:t>
                  </w:r>
                </w:p>
                <w:p>
                  <w:pPr>
                    <w:pStyle w:val="11"/>
                    <w:bidi w:val="0"/>
                    <w:rPr>
                      <w:rFonts w:hint="default"/>
                      <w:lang w:val="en-US" w:eastAsia="zh-CN"/>
                    </w:rPr>
                  </w:pPr>
                  <w:r>
                    <w:rPr>
                      <w:rFonts w:hint="eastAsia"/>
                      <w:lang w:val="en-US" w:eastAsia="zh-CN"/>
                    </w:rPr>
                    <w:t>暂无</w:t>
                  </w:r>
                </w:p>
                <w:p>
                  <w:pPr>
                    <w:pStyle w:val="11"/>
                    <w:bidi w:val="0"/>
                    <w:rPr>
                      <w:rFonts w:hint="eastAsia"/>
                      <w:lang w:val="en-US" w:eastAsia="zh-CN"/>
                    </w:rPr>
                  </w:pPr>
                  <w:r>
                    <w:rPr>
                      <w:rFonts w:hint="eastAsia"/>
                      <w:lang w:val="en-US" w:eastAsia="zh-CN"/>
                    </w:rPr>
                    <w:t>其他环境风险防控要求</w:t>
                  </w:r>
                </w:p>
                <w:p>
                  <w:pPr>
                    <w:pStyle w:val="11"/>
                    <w:bidi w:val="0"/>
                    <w:rPr>
                      <w:rFonts w:hint="default"/>
                      <w:lang w:val="en-US" w:eastAsia="zh-TW"/>
                    </w:rPr>
                  </w:pPr>
                  <w:r>
                    <w:rPr>
                      <w:rFonts w:hint="eastAsia"/>
                      <w:lang w:val="en-US" w:eastAsia="zh-CN"/>
                    </w:rPr>
                    <w:t>暂无</w:t>
                  </w:r>
                </w:p>
              </w:tc>
              <w:tc>
                <w:tcPr>
                  <w:tcW w:w="1004" w:type="dxa"/>
                  <w:tcBorders>
                    <w:tl2br w:val="nil"/>
                    <w:tr2bl w:val="nil"/>
                  </w:tcBorders>
                  <w:shd w:val="clear" w:color="auto" w:fill="FFFFFF"/>
                  <w:vAlign w:val="center"/>
                </w:tcPr>
                <w:p>
                  <w:pPr>
                    <w:pStyle w:val="11"/>
                    <w:bidi w:val="0"/>
                    <w:rPr>
                      <w:lang w:val="zh-TW" w:eastAsia="zh-TW"/>
                    </w:rPr>
                  </w:pPr>
                  <w:r>
                    <w:rPr>
                      <w:rFonts w:hint="eastAsia"/>
                    </w:rPr>
                    <w:t>本项目不涉及重金属、易燃易爆品的生产加工。</w:t>
                  </w:r>
                </w:p>
              </w:tc>
              <w:tc>
                <w:tcPr>
                  <w:tcW w:w="533" w:type="dxa"/>
                  <w:tcBorders>
                    <w:tl2br w:val="nil"/>
                    <w:tr2bl w:val="nil"/>
                  </w:tcBorders>
                  <w:shd w:val="clear" w:color="auto" w:fill="FFFFFF"/>
                  <w:vAlign w:val="center"/>
                </w:tcPr>
                <w:p>
                  <w:pPr>
                    <w:pStyle w:val="11"/>
                    <w:bidi w:val="0"/>
                    <w:rPr>
                      <w:lang w:val="zh-TW" w:eastAsia="zh-TW"/>
                    </w:rPr>
                  </w:pPr>
                  <w:r>
                    <w:rPr>
                      <w:rFonts w:hint="eastAsia"/>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21" w:type="dxa"/>
                  <w:vMerge w:val="continue"/>
                  <w:tcBorders>
                    <w:tl2br w:val="nil"/>
                    <w:tr2bl w:val="nil"/>
                  </w:tcBorders>
                  <w:shd w:val="clear" w:color="auto" w:fill="FFFFFF"/>
                  <w:vAlign w:val="center"/>
                </w:tcPr>
                <w:p>
                  <w:pPr>
                    <w:pStyle w:val="11"/>
                    <w:bidi w:val="0"/>
                    <w:rPr>
                      <w:lang w:val="zh-TW" w:eastAsia="zh-TW"/>
                    </w:rPr>
                  </w:pPr>
                </w:p>
              </w:tc>
              <w:tc>
                <w:tcPr>
                  <w:tcW w:w="563" w:type="dxa"/>
                  <w:vMerge w:val="continue"/>
                  <w:tcBorders>
                    <w:tl2br w:val="nil"/>
                    <w:tr2bl w:val="nil"/>
                  </w:tcBorders>
                  <w:shd w:val="clear" w:color="auto" w:fill="FFFFFF"/>
                  <w:vAlign w:val="center"/>
                </w:tcPr>
                <w:p>
                  <w:pPr>
                    <w:pStyle w:val="11"/>
                    <w:bidi w:val="0"/>
                    <w:rPr>
                      <w:lang w:val="zh-TW" w:eastAsia="zh-TW"/>
                    </w:rPr>
                  </w:pPr>
                </w:p>
              </w:tc>
              <w:tc>
                <w:tcPr>
                  <w:tcW w:w="512" w:type="dxa"/>
                  <w:tcBorders>
                    <w:tl2br w:val="nil"/>
                    <w:tr2bl w:val="nil"/>
                  </w:tcBorders>
                  <w:shd w:val="clear" w:color="auto" w:fill="FFFFFF"/>
                  <w:vAlign w:val="center"/>
                </w:tcPr>
                <w:p>
                  <w:pPr>
                    <w:pStyle w:val="11"/>
                    <w:bidi w:val="0"/>
                    <w:rPr>
                      <w:lang w:val="zh-TW" w:eastAsia="zh-TW"/>
                    </w:rPr>
                  </w:pPr>
                  <w:r>
                    <w:rPr>
                      <w:rFonts w:hint="eastAsia"/>
                    </w:rPr>
                    <w:t>资源开发效率要求</w:t>
                  </w:r>
                </w:p>
              </w:tc>
              <w:tc>
                <w:tcPr>
                  <w:tcW w:w="5100" w:type="dxa"/>
                  <w:tcBorders>
                    <w:tl2br w:val="nil"/>
                    <w:tr2bl w:val="nil"/>
                  </w:tcBorders>
                  <w:shd w:val="clear" w:color="auto" w:fill="FFFFFF"/>
                  <w:vAlign w:val="center"/>
                </w:tcPr>
                <w:p>
                  <w:pPr>
                    <w:pStyle w:val="11"/>
                    <w:bidi w:val="0"/>
                    <w:rPr>
                      <w:rFonts w:hint="eastAsia"/>
                      <w:lang w:val="en-US" w:eastAsia="zh-CN"/>
                    </w:rPr>
                  </w:pPr>
                  <w:r>
                    <w:rPr>
                      <w:rFonts w:hint="eastAsia"/>
                      <w:lang w:val="en-US" w:eastAsia="zh-CN"/>
                    </w:rPr>
                    <w:t>水资源利用效率要求</w:t>
                  </w:r>
                </w:p>
                <w:p>
                  <w:pPr>
                    <w:pStyle w:val="11"/>
                    <w:bidi w:val="0"/>
                    <w:rPr>
                      <w:rFonts w:hint="default"/>
                      <w:lang w:val="en-US" w:eastAsia="zh-CN"/>
                    </w:rPr>
                  </w:pPr>
                  <w:r>
                    <w:rPr>
                      <w:rFonts w:hint="eastAsia"/>
                      <w:lang w:val="en-US" w:eastAsia="zh-CN"/>
                    </w:rPr>
                    <w:t>暂无</w:t>
                  </w:r>
                </w:p>
                <w:p>
                  <w:pPr>
                    <w:pStyle w:val="11"/>
                    <w:bidi w:val="0"/>
                    <w:rPr>
                      <w:rFonts w:hint="eastAsia"/>
                      <w:lang w:val="en-US" w:eastAsia="zh-CN"/>
                    </w:rPr>
                  </w:pPr>
                  <w:r>
                    <w:rPr>
                      <w:rFonts w:hint="eastAsia"/>
                      <w:lang w:val="en-US" w:eastAsia="zh-CN"/>
                    </w:rPr>
                    <w:t>地下水开采要求</w:t>
                  </w:r>
                </w:p>
                <w:p>
                  <w:pPr>
                    <w:pStyle w:val="11"/>
                    <w:bidi w:val="0"/>
                    <w:rPr>
                      <w:rFonts w:hint="default"/>
                      <w:lang w:val="en-US" w:eastAsia="zh-CN"/>
                    </w:rPr>
                  </w:pPr>
                  <w:r>
                    <w:rPr>
                      <w:rFonts w:hint="eastAsia"/>
                      <w:lang w:val="en-US" w:eastAsia="zh-CN"/>
                    </w:rPr>
                    <w:t>暂无</w:t>
                  </w:r>
                </w:p>
                <w:p>
                  <w:pPr>
                    <w:pStyle w:val="11"/>
                    <w:bidi w:val="0"/>
                    <w:rPr>
                      <w:rFonts w:hint="eastAsia"/>
                      <w:lang w:val="en-US" w:eastAsia="zh-CN"/>
                    </w:rPr>
                  </w:pPr>
                  <w:r>
                    <w:rPr>
                      <w:rFonts w:hint="eastAsia"/>
                      <w:lang w:val="en-US" w:eastAsia="zh-CN"/>
                    </w:rPr>
                    <w:t>能源利用效率要求</w:t>
                  </w:r>
                </w:p>
                <w:p>
                  <w:pPr>
                    <w:pStyle w:val="11"/>
                    <w:bidi w:val="0"/>
                    <w:rPr>
                      <w:rFonts w:hint="default"/>
                      <w:lang w:val="en-US" w:eastAsia="zh-CN"/>
                    </w:rPr>
                  </w:pPr>
                  <w:r>
                    <w:rPr>
                      <w:rFonts w:hint="eastAsia"/>
                      <w:lang w:val="en-US" w:eastAsia="zh-CN"/>
                    </w:rPr>
                    <w:t>暂无</w:t>
                  </w:r>
                </w:p>
                <w:p>
                  <w:pPr>
                    <w:pStyle w:val="11"/>
                    <w:bidi w:val="0"/>
                    <w:rPr>
                      <w:rFonts w:hint="eastAsia"/>
                      <w:lang w:val="en-US" w:eastAsia="zh-CN"/>
                    </w:rPr>
                  </w:pPr>
                  <w:r>
                    <w:rPr>
                      <w:rFonts w:hint="eastAsia"/>
                      <w:lang w:val="en-US" w:eastAsia="zh-CN"/>
                    </w:rPr>
                    <w:t>其他资源利用效率要求</w:t>
                  </w:r>
                </w:p>
                <w:p>
                  <w:pPr>
                    <w:pStyle w:val="11"/>
                    <w:bidi w:val="0"/>
                    <w:rPr>
                      <w:rFonts w:hint="default"/>
                      <w:lang w:val="en-US" w:eastAsia="zh-TW"/>
                    </w:rPr>
                  </w:pPr>
                  <w:r>
                    <w:rPr>
                      <w:rFonts w:hint="eastAsia"/>
                      <w:lang w:val="en-US" w:eastAsia="zh-CN"/>
                    </w:rPr>
                    <w:t>暂无</w:t>
                  </w:r>
                </w:p>
              </w:tc>
              <w:tc>
                <w:tcPr>
                  <w:tcW w:w="1004" w:type="dxa"/>
                  <w:tcBorders>
                    <w:tl2br w:val="nil"/>
                    <w:tr2bl w:val="nil"/>
                  </w:tcBorders>
                  <w:shd w:val="clear" w:color="auto" w:fill="FFFFFF"/>
                  <w:vAlign w:val="center"/>
                </w:tcPr>
                <w:p>
                  <w:pPr>
                    <w:pStyle w:val="11"/>
                    <w:bidi w:val="0"/>
                    <w:rPr>
                      <w:lang w:val="zh-TW" w:eastAsia="zh-TW"/>
                    </w:rPr>
                  </w:pPr>
                  <w:r>
                    <w:rPr>
                      <w:rFonts w:hint="eastAsia"/>
                    </w:rPr>
                    <w:t>本项目不涉及地下水的开采使用，采用清洁能源进行生产加工，对生产用水进行回用处理。</w:t>
                  </w:r>
                </w:p>
              </w:tc>
              <w:tc>
                <w:tcPr>
                  <w:tcW w:w="533" w:type="dxa"/>
                  <w:tcBorders>
                    <w:tl2br w:val="nil"/>
                    <w:tr2bl w:val="nil"/>
                  </w:tcBorders>
                  <w:shd w:val="clear" w:color="auto" w:fill="FFFFFF"/>
                  <w:vAlign w:val="center"/>
                </w:tcPr>
                <w:p>
                  <w:pPr>
                    <w:pStyle w:val="11"/>
                    <w:bidi w:val="0"/>
                    <w:rPr>
                      <w:lang w:val="zh-TW" w:eastAsia="zh-TW"/>
                    </w:rPr>
                  </w:pPr>
                  <w:r>
                    <w:rPr>
                      <w:rFonts w:hint="eastAsia"/>
                    </w:rPr>
                    <w:t>符合</w:t>
                  </w:r>
                </w:p>
              </w:tc>
            </w:tr>
          </w:tbl>
          <w:p>
            <w:pPr>
              <w:spacing w:line="360" w:lineRule="auto"/>
              <w:ind w:firstLine="482" w:firstLineChars="200"/>
              <w:jc w:val="both"/>
              <w:rPr>
                <w:rFonts w:hint="default" w:ascii="Times New Roman" w:hAnsi="Times New Roman" w:eastAsia="宋体" w:cs="Times New Roman"/>
                <w:b/>
                <w:bCs w:val="0"/>
                <w:color w:val="auto"/>
                <w:kern w:val="0"/>
                <w:sz w:val="24"/>
                <w:szCs w:val="24"/>
                <w:lang w:val="en-US" w:eastAsia="zh-CN"/>
              </w:rPr>
            </w:pPr>
            <w:r>
              <w:rPr>
                <w:rFonts w:hint="eastAsia" w:ascii="Times New Roman" w:hAnsi="Times New Roman" w:eastAsia="宋体" w:cs="Times New Roman"/>
                <w:b/>
                <w:bCs w:val="0"/>
                <w:color w:val="auto"/>
                <w:kern w:val="0"/>
                <w:sz w:val="24"/>
                <w:szCs w:val="24"/>
                <w:lang w:val="en-US" w:eastAsia="zh-CN"/>
              </w:rPr>
              <w:t>7、</w:t>
            </w:r>
            <w:r>
              <w:rPr>
                <w:rFonts w:hint="default" w:ascii="Times New Roman" w:hAnsi="Times New Roman" w:eastAsia="宋体" w:cs="Times New Roman"/>
                <w:b/>
                <w:bCs w:val="0"/>
                <w:color w:val="auto"/>
                <w:kern w:val="0"/>
                <w:sz w:val="24"/>
                <w:szCs w:val="24"/>
                <w:lang w:val="en-US" w:eastAsia="zh-CN"/>
              </w:rPr>
              <w:t>与</w:t>
            </w:r>
            <w:r>
              <w:rPr>
                <w:rFonts w:hint="default" w:ascii="Times New Roman" w:hAnsi="Times New Roman" w:eastAsia="宋体" w:cs="Times New Roman"/>
                <w:b/>
                <w:bCs w:val="0"/>
                <w:color w:val="auto"/>
                <w:kern w:val="0"/>
                <w:sz w:val="24"/>
                <w:szCs w:val="24"/>
              </w:rPr>
              <w:t>《中华人民共和国长江保护法》</w:t>
            </w:r>
            <w:r>
              <w:rPr>
                <w:rFonts w:hint="default" w:ascii="Times New Roman" w:hAnsi="Times New Roman" w:eastAsia="宋体" w:cs="Times New Roman"/>
                <w:b/>
                <w:bCs w:val="0"/>
                <w:color w:val="auto"/>
                <w:kern w:val="0"/>
                <w:sz w:val="24"/>
                <w:szCs w:val="24"/>
                <w:lang w:val="en-US" w:eastAsia="zh-CN"/>
              </w:rPr>
              <w:t>符合性分析</w:t>
            </w:r>
          </w:p>
          <w:p>
            <w:pPr>
              <w:bidi w:val="0"/>
              <w:rPr>
                <w:rFonts w:hint="default"/>
                <w:lang w:eastAsia="zh-CN"/>
              </w:rPr>
            </w:pPr>
            <w:r>
              <w:rPr>
                <w:rFonts w:hint="eastAsia"/>
                <w:lang w:val="en-US" w:eastAsia="zh-CN"/>
              </w:rPr>
              <w:t>本</w:t>
            </w:r>
            <w:r>
              <w:rPr>
                <w:rFonts w:hint="default"/>
              </w:rPr>
              <w:t>项目与《中华人民共和国长江保护法》的符合性分析见下表</w:t>
            </w:r>
            <w:r>
              <w:rPr>
                <w:rFonts w:hint="eastAsia"/>
                <w:lang w:val="en-US" w:eastAsia="zh-CN"/>
              </w:rPr>
              <w:t>1-7</w:t>
            </w:r>
            <w:r>
              <w:rPr>
                <w:rFonts w:hint="default"/>
                <w:lang w:eastAsia="zh-CN"/>
              </w:rPr>
              <w:t>。</w:t>
            </w:r>
          </w:p>
          <w:p>
            <w:pPr>
              <w:pStyle w:val="11"/>
              <w:bidi w:val="0"/>
              <w:jc w:val="center"/>
              <w:rPr>
                <w:rFonts w:hint="default"/>
                <w:b/>
                <w:bCs/>
                <w:lang w:val="zh-CN" w:eastAsia="zh-CN"/>
              </w:rPr>
            </w:pPr>
            <w:r>
              <w:rPr>
                <w:rFonts w:hint="eastAsia"/>
                <w:b/>
                <w:bCs/>
                <w:lang w:val="zh-CN" w:eastAsia="zh-CN"/>
              </w:rPr>
              <w:t>表</w:t>
            </w:r>
            <w:r>
              <w:rPr>
                <w:rFonts w:hint="eastAsia"/>
                <w:b/>
                <w:bCs/>
                <w:lang w:val="en-US" w:eastAsia="zh-CN"/>
              </w:rPr>
              <w:t xml:space="preserve">1-7  </w:t>
            </w:r>
            <w:r>
              <w:rPr>
                <w:rFonts w:hint="default"/>
                <w:b/>
                <w:bCs/>
                <w:lang w:val="zh-CN" w:eastAsia="zh-CN"/>
              </w:rPr>
              <w:t>项目与《中华人民共和国长江保护法》的符合性分析</w:t>
            </w:r>
          </w:p>
          <w:tbl>
            <w:tblPr>
              <w:tblStyle w:val="5"/>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541"/>
              <w:gridCol w:w="4707"/>
              <w:gridCol w:w="2132"/>
              <w:gridCol w:w="860"/>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43" w:hRule="atLeast"/>
                <w:tblHeader/>
                <w:jc w:val="center"/>
              </w:trPr>
              <w:tc>
                <w:tcPr>
                  <w:tcW w:w="328" w:type="pct"/>
                  <w:tcBorders>
                    <w:tl2br w:val="nil"/>
                    <w:tr2bl w:val="nil"/>
                  </w:tcBorders>
                  <w:noWrap w:val="0"/>
                  <w:tcMar>
                    <w:top w:w="0" w:type="dxa"/>
                    <w:left w:w="57" w:type="dxa"/>
                    <w:bottom w:w="0" w:type="dxa"/>
                    <w:right w:w="57" w:type="dxa"/>
                  </w:tcMar>
                  <w:vAlign w:val="center"/>
                </w:tcPr>
                <w:p>
                  <w:pPr>
                    <w:pStyle w:val="11"/>
                    <w:bidi w:val="0"/>
                    <w:jc w:val="center"/>
                    <w:rPr>
                      <w:rFonts w:hint="default"/>
                      <w:b/>
                      <w:bCs/>
                      <w:lang w:val="en-US" w:eastAsia="zh-CN"/>
                    </w:rPr>
                  </w:pPr>
                  <w:r>
                    <w:rPr>
                      <w:rFonts w:hint="default"/>
                      <w:b/>
                      <w:bCs/>
                      <w:lang w:val="en-US" w:eastAsia="zh-CN"/>
                    </w:rPr>
                    <w:t>序号</w:t>
                  </w:r>
                </w:p>
              </w:tc>
              <w:tc>
                <w:tcPr>
                  <w:tcW w:w="2856" w:type="pct"/>
                  <w:tcBorders>
                    <w:tl2br w:val="nil"/>
                    <w:tr2bl w:val="nil"/>
                  </w:tcBorders>
                  <w:noWrap w:val="0"/>
                  <w:tcMar>
                    <w:top w:w="0" w:type="dxa"/>
                    <w:left w:w="57" w:type="dxa"/>
                    <w:bottom w:w="0" w:type="dxa"/>
                    <w:right w:w="57" w:type="dxa"/>
                  </w:tcMar>
                  <w:vAlign w:val="center"/>
                </w:tcPr>
                <w:p>
                  <w:pPr>
                    <w:pStyle w:val="11"/>
                    <w:bidi w:val="0"/>
                    <w:jc w:val="center"/>
                    <w:rPr>
                      <w:rFonts w:hint="default"/>
                      <w:b/>
                      <w:bCs/>
                      <w:lang w:val="en-US" w:eastAsia="zh-CN"/>
                    </w:rPr>
                  </w:pPr>
                  <w:r>
                    <w:rPr>
                      <w:rFonts w:hint="eastAsia"/>
                      <w:b/>
                      <w:bCs/>
                      <w:lang w:val="en-US" w:eastAsia="zh-CN"/>
                    </w:rPr>
                    <w:t>相关</w:t>
                  </w:r>
                  <w:r>
                    <w:rPr>
                      <w:rFonts w:hint="default"/>
                      <w:b/>
                      <w:bCs/>
                      <w:lang w:val="en-US" w:eastAsia="zh-CN"/>
                    </w:rPr>
                    <w:t>内容</w:t>
                  </w:r>
                </w:p>
              </w:tc>
              <w:tc>
                <w:tcPr>
                  <w:tcW w:w="1293" w:type="pct"/>
                  <w:tcBorders>
                    <w:tl2br w:val="nil"/>
                    <w:tr2bl w:val="nil"/>
                  </w:tcBorders>
                  <w:noWrap w:val="0"/>
                  <w:tcMar>
                    <w:top w:w="0" w:type="dxa"/>
                    <w:left w:w="57" w:type="dxa"/>
                    <w:bottom w:w="0" w:type="dxa"/>
                    <w:right w:w="57" w:type="dxa"/>
                  </w:tcMar>
                  <w:vAlign w:val="center"/>
                </w:tcPr>
                <w:p>
                  <w:pPr>
                    <w:pStyle w:val="11"/>
                    <w:bidi w:val="0"/>
                    <w:jc w:val="center"/>
                    <w:rPr>
                      <w:rFonts w:hint="default"/>
                      <w:b/>
                      <w:bCs/>
                      <w:lang w:val="en-US" w:eastAsia="zh-CN"/>
                    </w:rPr>
                  </w:pPr>
                  <w:r>
                    <w:rPr>
                      <w:rFonts w:hint="default"/>
                      <w:b/>
                      <w:bCs/>
                      <w:lang w:val="en-US" w:eastAsia="zh-CN"/>
                    </w:rPr>
                    <w:t>本项目情况</w:t>
                  </w:r>
                </w:p>
              </w:tc>
              <w:tc>
                <w:tcPr>
                  <w:tcW w:w="521" w:type="pct"/>
                  <w:tcBorders>
                    <w:tl2br w:val="nil"/>
                    <w:tr2bl w:val="nil"/>
                  </w:tcBorders>
                  <w:noWrap w:val="0"/>
                  <w:tcMar>
                    <w:top w:w="0" w:type="dxa"/>
                    <w:left w:w="57" w:type="dxa"/>
                    <w:bottom w:w="0" w:type="dxa"/>
                    <w:right w:w="57" w:type="dxa"/>
                  </w:tcMar>
                  <w:vAlign w:val="center"/>
                </w:tcPr>
                <w:p>
                  <w:pPr>
                    <w:pStyle w:val="11"/>
                    <w:bidi w:val="0"/>
                    <w:jc w:val="center"/>
                    <w:rPr>
                      <w:rFonts w:hint="default"/>
                      <w:b/>
                      <w:bCs/>
                      <w:lang w:val="en-US" w:eastAsia="zh-CN"/>
                    </w:rPr>
                  </w:pPr>
                  <w:r>
                    <w:rPr>
                      <w:rFonts w:hint="default"/>
                      <w:b/>
                      <w:bCs/>
                      <w:lang w:val="en-US" w:eastAsia="zh-CN"/>
                    </w:rPr>
                    <w:t>符合性</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41" w:hRule="atLeast"/>
                <w:tblHeader/>
                <w:jc w:val="center"/>
              </w:trPr>
              <w:tc>
                <w:tcPr>
                  <w:tcW w:w="328" w:type="pct"/>
                  <w:tcBorders>
                    <w:tl2br w:val="nil"/>
                    <w:tr2bl w:val="nil"/>
                  </w:tcBorders>
                  <w:noWrap w:val="0"/>
                  <w:tcMar>
                    <w:top w:w="0" w:type="dxa"/>
                    <w:left w:w="57" w:type="dxa"/>
                    <w:bottom w:w="0" w:type="dxa"/>
                    <w:right w:w="57" w:type="dxa"/>
                  </w:tcMar>
                  <w:vAlign w:val="center"/>
                </w:tcPr>
                <w:p>
                  <w:pPr>
                    <w:pStyle w:val="11"/>
                    <w:bidi w:val="0"/>
                    <w:jc w:val="center"/>
                    <w:rPr>
                      <w:rFonts w:hint="default"/>
                    </w:rPr>
                  </w:pPr>
                  <w:r>
                    <w:rPr>
                      <w:rFonts w:hint="default"/>
                    </w:rPr>
                    <w:t>1</w:t>
                  </w:r>
                </w:p>
              </w:tc>
              <w:tc>
                <w:tcPr>
                  <w:tcW w:w="2856" w:type="pct"/>
                  <w:tcBorders>
                    <w:tl2br w:val="nil"/>
                    <w:tr2bl w:val="nil"/>
                  </w:tcBorders>
                  <w:noWrap w:val="0"/>
                  <w:tcMar>
                    <w:top w:w="0" w:type="dxa"/>
                    <w:left w:w="57" w:type="dxa"/>
                    <w:bottom w:w="0" w:type="dxa"/>
                    <w:right w:w="57" w:type="dxa"/>
                  </w:tcMar>
                  <w:vAlign w:val="center"/>
                </w:tcPr>
                <w:p>
                  <w:pPr>
                    <w:pStyle w:val="11"/>
                    <w:bidi w:val="0"/>
                    <w:rPr>
                      <w:rFonts w:hint="default"/>
                    </w:rPr>
                  </w:pPr>
                  <w:r>
                    <w:rPr>
                      <w:rFonts w:hint="default"/>
                    </w:rPr>
                    <w:t>第二十一条 长江流域水质超标的水功能区，应当实施更严格的污染物排放总量削减要求。企业事业单位应当按照要求，采取污染物排放总量控制措施。</w:t>
                  </w:r>
                </w:p>
              </w:tc>
              <w:tc>
                <w:tcPr>
                  <w:tcW w:w="1293" w:type="pct"/>
                  <w:tcBorders>
                    <w:tl2br w:val="nil"/>
                    <w:tr2bl w:val="nil"/>
                  </w:tcBorders>
                  <w:noWrap w:val="0"/>
                  <w:tcMar>
                    <w:top w:w="0" w:type="dxa"/>
                    <w:left w:w="57" w:type="dxa"/>
                    <w:bottom w:w="0" w:type="dxa"/>
                    <w:right w:w="57" w:type="dxa"/>
                  </w:tcMar>
                  <w:vAlign w:val="center"/>
                </w:tcPr>
                <w:p>
                  <w:pPr>
                    <w:pStyle w:val="11"/>
                    <w:bidi w:val="0"/>
                    <w:rPr>
                      <w:rFonts w:hint="default"/>
                    </w:rPr>
                  </w:pPr>
                  <w:r>
                    <w:rPr>
                      <w:rFonts w:hint="default"/>
                    </w:rPr>
                    <w:t>项目所在区域水环境质量满足相应功能区要求，且本项目</w:t>
                  </w:r>
                  <w:r>
                    <w:rPr>
                      <w:rFonts w:hint="eastAsia"/>
                      <w:lang w:eastAsia="zh-CN"/>
                    </w:rPr>
                    <w:t>无生产废水，生活污水</w:t>
                  </w:r>
                  <w:r>
                    <w:rPr>
                      <w:rFonts w:hint="eastAsia"/>
                      <w:lang w:val="en-US" w:eastAsia="zh-CN"/>
                    </w:rPr>
                    <w:t>经化粪池收集后排入园区污水处理厂</w:t>
                  </w:r>
                  <w:r>
                    <w:rPr>
                      <w:rFonts w:hint="default"/>
                    </w:rPr>
                    <w:t>。</w:t>
                  </w:r>
                </w:p>
              </w:tc>
              <w:tc>
                <w:tcPr>
                  <w:tcW w:w="521" w:type="pct"/>
                  <w:tcBorders>
                    <w:tl2br w:val="nil"/>
                    <w:tr2bl w:val="nil"/>
                  </w:tcBorders>
                  <w:noWrap w:val="0"/>
                  <w:tcMar>
                    <w:top w:w="0" w:type="dxa"/>
                    <w:left w:w="57" w:type="dxa"/>
                    <w:bottom w:w="0" w:type="dxa"/>
                    <w:right w:w="57" w:type="dxa"/>
                  </w:tcMar>
                  <w:vAlign w:val="center"/>
                </w:tcPr>
                <w:p>
                  <w:pPr>
                    <w:pStyle w:val="11"/>
                    <w:bidi w:val="0"/>
                    <w:jc w:val="center"/>
                    <w:rPr>
                      <w:rFonts w:hint="default"/>
                    </w:rPr>
                  </w:pPr>
                  <w:r>
                    <w:rPr>
                      <w:rFonts w:hint="default"/>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174" w:hRule="atLeast"/>
                <w:tblHeader/>
                <w:jc w:val="center"/>
              </w:trPr>
              <w:tc>
                <w:tcPr>
                  <w:tcW w:w="328" w:type="pct"/>
                  <w:tcBorders>
                    <w:tl2br w:val="nil"/>
                    <w:tr2bl w:val="nil"/>
                  </w:tcBorders>
                  <w:noWrap w:val="0"/>
                  <w:tcMar>
                    <w:top w:w="0" w:type="dxa"/>
                    <w:left w:w="57" w:type="dxa"/>
                    <w:bottom w:w="0" w:type="dxa"/>
                    <w:right w:w="57" w:type="dxa"/>
                  </w:tcMar>
                  <w:vAlign w:val="center"/>
                </w:tcPr>
                <w:p>
                  <w:pPr>
                    <w:pStyle w:val="11"/>
                    <w:bidi w:val="0"/>
                    <w:jc w:val="center"/>
                    <w:rPr>
                      <w:rFonts w:hint="default"/>
                    </w:rPr>
                  </w:pPr>
                  <w:r>
                    <w:rPr>
                      <w:rFonts w:hint="default"/>
                    </w:rPr>
                    <w:t>2</w:t>
                  </w:r>
                </w:p>
              </w:tc>
              <w:tc>
                <w:tcPr>
                  <w:tcW w:w="2856" w:type="pct"/>
                  <w:tcBorders>
                    <w:tl2br w:val="nil"/>
                    <w:tr2bl w:val="nil"/>
                  </w:tcBorders>
                  <w:noWrap w:val="0"/>
                  <w:tcMar>
                    <w:top w:w="0" w:type="dxa"/>
                    <w:left w:w="57" w:type="dxa"/>
                    <w:bottom w:w="0" w:type="dxa"/>
                    <w:right w:w="57" w:type="dxa"/>
                  </w:tcMar>
                  <w:vAlign w:val="center"/>
                </w:tcPr>
                <w:p>
                  <w:pPr>
                    <w:pStyle w:val="11"/>
                    <w:bidi w:val="0"/>
                    <w:rPr>
                      <w:rFonts w:hint="default"/>
                    </w:rPr>
                  </w:pPr>
                  <w:r>
                    <w:rPr>
                      <w:rFonts w:hint="default"/>
                    </w:rPr>
                    <w:t>第二十二条 长江流域产业结构和布局应当与长江流域生态系统和资源环境承载能力相适应。禁止在长江流域重点生态功能区布局对生态系统有严重影响的产业。禁止重污染企业和项目向长江中上游转移。</w:t>
                  </w:r>
                </w:p>
              </w:tc>
              <w:tc>
                <w:tcPr>
                  <w:tcW w:w="1293" w:type="pct"/>
                  <w:tcBorders>
                    <w:tl2br w:val="nil"/>
                    <w:tr2bl w:val="nil"/>
                  </w:tcBorders>
                  <w:noWrap w:val="0"/>
                  <w:tcMar>
                    <w:top w:w="0" w:type="dxa"/>
                    <w:left w:w="57" w:type="dxa"/>
                    <w:bottom w:w="0" w:type="dxa"/>
                    <w:right w:w="57" w:type="dxa"/>
                  </w:tcMar>
                  <w:vAlign w:val="center"/>
                </w:tcPr>
                <w:p>
                  <w:pPr>
                    <w:pStyle w:val="11"/>
                    <w:bidi w:val="0"/>
                    <w:rPr>
                      <w:rFonts w:hint="default"/>
                    </w:rPr>
                  </w:pPr>
                  <w:r>
                    <w:rPr>
                      <w:rFonts w:hint="default"/>
                    </w:rPr>
                    <w:t>项目所在地不属于长江流域重点生态功能区，对生态系统不会造成严重影响，也不属于重污染项目。</w:t>
                  </w:r>
                </w:p>
              </w:tc>
              <w:tc>
                <w:tcPr>
                  <w:tcW w:w="521" w:type="pct"/>
                  <w:tcBorders>
                    <w:tl2br w:val="nil"/>
                    <w:tr2bl w:val="nil"/>
                  </w:tcBorders>
                  <w:noWrap w:val="0"/>
                  <w:tcMar>
                    <w:top w:w="0" w:type="dxa"/>
                    <w:left w:w="57" w:type="dxa"/>
                    <w:bottom w:w="0" w:type="dxa"/>
                    <w:right w:w="57" w:type="dxa"/>
                  </w:tcMar>
                  <w:vAlign w:val="center"/>
                </w:tcPr>
                <w:p>
                  <w:pPr>
                    <w:pStyle w:val="11"/>
                    <w:bidi w:val="0"/>
                    <w:jc w:val="center"/>
                    <w:rPr>
                      <w:rFonts w:hint="default"/>
                    </w:rPr>
                  </w:pPr>
                  <w:r>
                    <w:rPr>
                      <w:rFonts w:hint="default"/>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407" w:hRule="atLeast"/>
                <w:tblHeader/>
                <w:jc w:val="center"/>
              </w:trPr>
              <w:tc>
                <w:tcPr>
                  <w:tcW w:w="328" w:type="pct"/>
                  <w:tcBorders>
                    <w:tl2br w:val="nil"/>
                    <w:tr2bl w:val="nil"/>
                  </w:tcBorders>
                  <w:noWrap w:val="0"/>
                  <w:tcMar>
                    <w:top w:w="0" w:type="dxa"/>
                    <w:left w:w="57" w:type="dxa"/>
                    <w:bottom w:w="0" w:type="dxa"/>
                    <w:right w:w="57" w:type="dxa"/>
                  </w:tcMar>
                  <w:vAlign w:val="center"/>
                </w:tcPr>
                <w:p>
                  <w:pPr>
                    <w:pStyle w:val="11"/>
                    <w:bidi w:val="0"/>
                    <w:jc w:val="center"/>
                    <w:rPr>
                      <w:rFonts w:hint="default"/>
                    </w:rPr>
                  </w:pPr>
                  <w:r>
                    <w:rPr>
                      <w:rFonts w:hint="default"/>
                    </w:rPr>
                    <w:t>3</w:t>
                  </w:r>
                </w:p>
              </w:tc>
              <w:tc>
                <w:tcPr>
                  <w:tcW w:w="2856" w:type="pct"/>
                  <w:tcBorders>
                    <w:tl2br w:val="nil"/>
                    <w:tr2bl w:val="nil"/>
                  </w:tcBorders>
                  <w:noWrap w:val="0"/>
                  <w:tcMar>
                    <w:top w:w="0" w:type="dxa"/>
                    <w:left w:w="57" w:type="dxa"/>
                    <w:bottom w:w="0" w:type="dxa"/>
                    <w:right w:w="57" w:type="dxa"/>
                  </w:tcMar>
                  <w:vAlign w:val="center"/>
                </w:tcPr>
                <w:p>
                  <w:pPr>
                    <w:pStyle w:val="11"/>
                    <w:bidi w:val="0"/>
                    <w:rPr>
                      <w:rFonts w:hint="default"/>
                    </w:rPr>
                  </w:pPr>
                  <w:r>
                    <w:rPr>
                      <w:rFonts w:hint="default"/>
                    </w:rPr>
                    <w:t>第二十六条 禁止在长江干支流岸线一公里范围内新建、扩建化工园区和化工项目。禁止在长江干流岸线三公里范围内和重要支流岸线一公里范围内新建、改建、扩建尾矿库；但是以提升安全、生态环境保护水平为目的的改建除外。</w:t>
                  </w:r>
                </w:p>
              </w:tc>
              <w:tc>
                <w:tcPr>
                  <w:tcW w:w="1293" w:type="pct"/>
                  <w:tcBorders>
                    <w:tl2br w:val="nil"/>
                    <w:tr2bl w:val="nil"/>
                  </w:tcBorders>
                  <w:noWrap w:val="0"/>
                  <w:tcMar>
                    <w:top w:w="0" w:type="dxa"/>
                    <w:left w:w="57" w:type="dxa"/>
                    <w:bottom w:w="0" w:type="dxa"/>
                    <w:right w:w="57" w:type="dxa"/>
                  </w:tcMar>
                  <w:vAlign w:val="center"/>
                </w:tcPr>
                <w:p>
                  <w:pPr>
                    <w:pStyle w:val="11"/>
                    <w:bidi w:val="0"/>
                    <w:rPr>
                      <w:rFonts w:hint="default"/>
                    </w:rPr>
                  </w:pPr>
                  <w:r>
                    <w:rPr>
                      <w:rFonts w:hint="default"/>
                    </w:rPr>
                    <w:t>本项目不属于化工项目或尾矿库项目。</w:t>
                  </w:r>
                </w:p>
              </w:tc>
              <w:tc>
                <w:tcPr>
                  <w:tcW w:w="521" w:type="pct"/>
                  <w:tcBorders>
                    <w:tl2br w:val="nil"/>
                    <w:tr2bl w:val="nil"/>
                  </w:tcBorders>
                  <w:noWrap w:val="0"/>
                  <w:tcMar>
                    <w:top w:w="0" w:type="dxa"/>
                    <w:left w:w="57" w:type="dxa"/>
                    <w:bottom w:w="0" w:type="dxa"/>
                    <w:right w:w="57" w:type="dxa"/>
                  </w:tcMar>
                  <w:vAlign w:val="center"/>
                </w:tcPr>
                <w:p>
                  <w:pPr>
                    <w:pStyle w:val="11"/>
                    <w:bidi w:val="0"/>
                    <w:jc w:val="center"/>
                    <w:rPr>
                      <w:rFonts w:hint="default"/>
                    </w:rPr>
                  </w:pPr>
                  <w:r>
                    <w:rPr>
                      <w:rFonts w:hint="default"/>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85" w:hRule="atLeast"/>
                <w:tblHeader/>
                <w:jc w:val="center"/>
              </w:trPr>
              <w:tc>
                <w:tcPr>
                  <w:tcW w:w="328" w:type="pct"/>
                  <w:tcBorders>
                    <w:tl2br w:val="nil"/>
                    <w:tr2bl w:val="nil"/>
                  </w:tcBorders>
                  <w:noWrap w:val="0"/>
                  <w:tcMar>
                    <w:top w:w="0" w:type="dxa"/>
                    <w:left w:w="57" w:type="dxa"/>
                    <w:bottom w:w="0" w:type="dxa"/>
                    <w:right w:w="57" w:type="dxa"/>
                  </w:tcMar>
                  <w:vAlign w:val="center"/>
                </w:tcPr>
                <w:p>
                  <w:pPr>
                    <w:pStyle w:val="11"/>
                    <w:bidi w:val="0"/>
                    <w:jc w:val="center"/>
                    <w:rPr>
                      <w:rFonts w:hint="default"/>
                      <w:lang w:val="en-US" w:eastAsia="zh-CN"/>
                    </w:rPr>
                  </w:pPr>
                  <w:r>
                    <w:rPr>
                      <w:rFonts w:hint="default"/>
                    </w:rPr>
                    <w:t>4</w:t>
                  </w:r>
                </w:p>
              </w:tc>
              <w:tc>
                <w:tcPr>
                  <w:tcW w:w="2856" w:type="pct"/>
                  <w:tcBorders>
                    <w:tl2br w:val="nil"/>
                    <w:tr2bl w:val="nil"/>
                  </w:tcBorders>
                  <w:noWrap w:val="0"/>
                  <w:tcMar>
                    <w:top w:w="0" w:type="dxa"/>
                    <w:left w:w="57" w:type="dxa"/>
                    <w:bottom w:w="0" w:type="dxa"/>
                    <w:right w:w="57" w:type="dxa"/>
                  </w:tcMar>
                  <w:vAlign w:val="center"/>
                </w:tcPr>
                <w:p>
                  <w:pPr>
                    <w:pStyle w:val="11"/>
                    <w:bidi w:val="0"/>
                    <w:rPr>
                      <w:rFonts w:hint="default"/>
                      <w:lang w:val="en-US" w:eastAsia="zh-CN"/>
                    </w:rPr>
                  </w:pPr>
                  <w:r>
                    <w:rPr>
                      <w:rFonts w:hint="default"/>
                    </w:rPr>
                    <w:t>第三十八条 加强对高耗水行业、重点用水单位的用水定额管理，严格控制高耗水项目建设。</w:t>
                  </w:r>
                </w:p>
              </w:tc>
              <w:tc>
                <w:tcPr>
                  <w:tcW w:w="1293" w:type="pct"/>
                  <w:tcBorders>
                    <w:tl2br w:val="nil"/>
                    <w:tr2bl w:val="nil"/>
                  </w:tcBorders>
                  <w:noWrap w:val="0"/>
                  <w:tcMar>
                    <w:top w:w="0" w:type="dxa"/>
                    <w:left w:w="57" w:type="dxa"/>
                    <w:bottom w:w="0" w:type="dxa"/>
                    <w:right w:w="57" w:type="dxa"/>
                  </w:tcMar>
                  <w:vAlign w:val="center"/>
                </w:tcPr>
                <w:p>
                  <w:pPr>
                    <w:pStyle w:val="11"/>
                    <w:bidi w:val="0"/>
                    <w:rPr>
                      <w:rFonts w:hint="default"/>
                      <w:lang w:val="en-US" w:eastAsia="zh-CN"/>
                    </w:rPr>
                  </w:pPr>
                  <w:r>
                    <w:rPr>
                      <w:rFonts w:hint="default"/>
                    </w:rPr>
                    <w:t>本项目不属于高耗水项目。</w:t>
                  </w:r>
                </w:p>
              </w:tc>
              <w:tc>
                <w:tcPr>
                  <w:tcW w:w="521" w:type="pct"/>
                  <w:tcBorders>
                    <w:tl2br w:val="nil"/>
                    <w:tr2bl w:val="nil"/>
                  </w:tcBorders>
                  <w:noWrap w:val="0"/>
                  <w:tcMar>
                    <w:top w:w="0" w:type="dxa"/>
                    <w:left w:w="57" w:type="dxa"/>
                    <w:bottom w:w="0" w:type="dxa"/>
                    <w:right w:w="57" w:type="dxa"/>
                  </w:tcMar>
                  <w:vAlign w:val="center"/>
                </w:tcPr>
                <w:p>
                  <w:pPr>
                    <w:pStyle w:val="11"/>
                    <w:bidi w:val="0"/>
                    <w:jc w:val="center"/>
                    <w:rPr>
                      <w:rFonts w:hint="default"/>
                      <w:lang w:val="en-US" w:eastAsia="zh-CN"/>
                    </w:rPr>
                  </w:pPr>
                  <w:r>
                    <w:rPr>
                      <w:rFonts w:hint="default"/>
                    </w:rPr>
                    <w:t>符合</w:t>
                  </w:r>
                </w:p>
              </w:tc>
            </w:tr>
          </w:tbl>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right="60" w:rightChars="25" w:firstLine="482" w:firstLineChars="200"/>
              <w:jc w:val="left"/>
              <w:textAlignment w:val="auto"/>
              <w:rPr>
                <w:rFonts w:hint="default" w:ascii="Times New Roman" w:hAnsi="Times New Roman" w:eastAsia="宋体" w:cs="Times New Roman"/>
                <w:b/>
                <w:bCs/>
                <w:color w:val="auto"/>
                <w:kern w:val="0"/>
                <w:sz w:val="24"/>
                <w:szCs w:val="24"/>
                <w:lang w:val="en-US" w:eastAsia="zh-CN"/>
              </w:rPr>
            </w:pPr>
            <w:r>
              <w:rPr>
                <w:rFonts w:hint="eastAsia"/>
                <w:b/>
                <w:bCs/>
                <w:color w:val="auto"/>
                <w:kern w:val="0"/>
                <w:szCs w:val="21"/>
                <w:lang w:val="en-US" w:eastAsia="zh-CN"/>
              </w:rPr>
              <w:t>8、</w:t>
            </w:r>
            <w:r>
              <w:rPr>
                <w:rFonts w:hint="default" w:ascii="Times New Roman" w:hAnsi="Times New Roman" w:eastAsia="宋体" w:cs="Times New Roman"/>
                <w:b/>
                <w:bCs/>
                <w:color w:val="auto"/>
                <w:kern w:val="0"/>
                <w:sz w:val="24"/>
                <w:szCs w:val="24"/>
                <w:lang w:val="en-US" w:eastAsia="zh-CN"/>
              </w:rPr>
              <w:t>与</w:t>
            </w:r>
            <w:r>
              <w:rPr>
                <w:rFonts w:hint="default" w:ascii="Times New Roman" w:hAnsi="Times New Roman" w:eastAsia="宋体" w:cs="Times New Roman"/>
                <w:b/>
                <w:bCs/>
                <w:color w:val="auto"/>
                <w:kern w:val="0"/>
                <w:sz w:val="24"/>
                <w:szCs w:val="24"/>
              </w:rPr>
              <w:t>《四川省嘉陵江流域生态环境保护条例》</w:t>
            </w:r>
            <w:r>
              <w:rPr>
                <w:rFonts w:hint="default" w:ascii="Times New Roman" w:hAnsi="Times New Roman" w:eastAsia="宋体" w:cs="Times New Roman"/>
                <w:b/>
                <w:bCs/>
                <w:color w:val="auto"/>
                <w:kern w:val="0"/>
                <w:sz w:val="24"/>
                <w:szCs w:val="24"/>
                <w:lang w:val="en-US" w:eastAsia="zh-CN"/>
              </w:rPr>
              <w:t>符合性分析</w:t>
            </w:r>
          </w:p>
          <w:p>
            <w:pPr>
              <w:keepNext w:val="0"/>
              <w:keepLines w:val="0"/>
              <w:pageBreakBefore w:val="0"/>
              <w:widowControl w:val="0"/>
              <w:kinsoku/>
              <w:wordWrap/>
              <w:overflowPunct/>
              <w:topLinePunct w:val="0"/>
              <w:autoSpaceDE w:val="0"/>
              <w:autoSpaceDN w:val="0"/>
              <w:bidi w:val="0"/>
              <w:adjustRightInd w:val="0"/>
              <w:snapToGrid w:val="0"/>
              <w:spacing w:line="360" w:lineRule="auto"/>
              <w:ind w:left="60" w:leftChars="25" w:right="60" w:rightChars="25" w:firstLine="480" w:firstLineChars="200"/>
              <w:jc w:val="left"/>
              <w:textAlignment w:val="auto"/>
              <w:rPr>
                <w:rFonts w:hint="default" w:ascii="Times New Roman" w:hAnsi="Times New Roman" w:eastAsia="宋体" w:cs="Times New Roman"/>
                <w:color w:val="auto"/>
                <w:sz w:val="24"/>
                <w:szCs w:val="24"/>
                <w:lang w:eastAsia="zh-CN"/>
              </w:rPr>
            </w:pPr>
            <w:r>
              <w:rPr>
                <w:rFonts w:hint="eastAsia" w:ascii="Times New Roman" w:hAnsi="Times New Roman" w:eastAsia="宋体" w:cs="Times New Roman"/>
                <w:color w:val="auto"/>
                <w:kern w:val="0"/>
                <w:sz w:val="24"/>
                <w:szCs w:val="24"/>
                <w:lang w:val="en-US" w:eastAsia="zh-CN"/>
              </w:rPr>
              <w:t>本</w:t>
            </w:r>
            <w:r>
              <w:rPr>
                <w:rFonts w:hint="default" w:ascii="Times New Roman" w:hAnsi="Times New Roman" w:eastAsia="宋体" w:cs="Times New Roman"/>
                <w:color w:val="auto"/>
                <w:kern w:val="0"/>
                <w:sz w:val="24"/>
                <w:szCs w:val="24"/>
              </w:rPr>
              <w:t>项目与《四川省嘉陵江流域生态环境保护条例》的符合性分析见下表</w:t>
            </w:r>
            <w:r>
              <w:rPr>
                <w:rFonts w:hint="eastAsia" w:ascii="Times New Roman" w:hAnsi="Times New Roman" w:eastAsia="宋体" w:cs="Times New Roman"/>
                <w:color w:val="auto"/>
                <w:kern w:val="0"/>
                <w:sz w:val="24"/>
                <w:szCs w:val="24"/>
                <w:lang w:val="en-US" w:eastAsia="zh-CN"/>
              </w:rPr>
              <w:t>1-8</w:t>
            </w:r>
            <w:r>
              <w:rPr>
                <w:rFonts w:hint="default" w:ascii="Times New Roman" w:hAnsi="Times New Roman" w:eastAsia="宋体" w:cs="Times New Roman"/>
                <w:color w:val="auto"/>
                <w:kern w:val="0"/>
                <w:sz w:val="24"/>
                <w:szCs w:val="24"/>
                <w:lang w:eastAsia="zh-CN"/>
              </w:rPr>
              <w:t>。</w:t>
            </w:r>
          </w:p>
          <w:p>
            <w:pPr>
              <w:pStyle w:val="11"/>
              <w:bidi w:val="0"/>
              <w:jc w:val="center"/>
              <w:rPr>
                <w:rFonts w:hint="default"/>
                <w:b/>
                <w:bCs/>
                <w:lang w:val="zh-CN" w:eastAsia="zh-CN"/>
              </w:rPr>
            </w:pPr>
            <w:r>
              <w:rPr>
                <w:rFonts w:hint="eastAsia"/>
                <w:b/>
                <w:bCs/>
                <w:lang w:val="zh-CN" w:eastAsia="zh-CN"/>
              </w:rPr>
              <w:t>表</w:t>
            </w:r>
            <w:r>
              <w:rPr>
                <w:rFonts w:hint="eastAsia"/>
                <w:b/>
                <w:bCs/>
                <w:lang w:val="en-US" w:eastAsia="zh-CN"/>
              </w:rPr>
              <w:t>1-6</w:t>
            </w:r>
            <w:r>
              <w:rPr>
                <w:rFonts w:hint="default"/>
                <w:b/>
                <w:bCs/>
                <w:lang w:val="zh-CN" w:eastAsia="zh-CN"/>
              </w:rPr>
              <w:t>项目与《四川省嘉陵江流域生态环境保护条例》的符合性分析</w:t>
            </w:r>
          </w:p>
          <w:tbl>
            <w:tblPr>
              <w:tblStyle w:val="5"/>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542"/>
              <w:gridCol w:w="4892"/>
              <w:gridCol w:w="2153"/>
              <w:gridCol w:w="653"/>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39" w:hRule="atLeast"/>
                <w:tblHeader/>
                <w:jc w:val="center"/>
              </w:trPr>
              <w:tc>
                <w:tcPr>
                  <w:tcW w:w="328" w:type="pct"/>
                  <w:tcBorders>
                    <w:tl2br w:val="nil"/>
                    <w:tr2bl w:val="nil"/>
                  </w:tcBorders>
                  <w:noWrap w:val="0"/>
                  <w:vAlign w:val="center"/>
                </w:tcPr>
                <w:p>
                  <w:pPr>
                    <w:pStyle w:val="11"/>
                    <w:bidi w:val="0"/>
                    <w:jc w:val="center"/>
                    <w:rPr>
                      <w:rFonts w:hint="default"/>
                      <w:b/>
                      <w:bCs/>
                      <w:lang w:val="en-US" w:eastAsia="zh-CN"/>
                    </w:rPr>
                  </w:pPr>
                  <w:r>
                    <w:rPr>
                      <w:rFonts w:hint="default"/>
                      <w:b/>
                      <w:bCs/>
                    </w:rPr>
                    <w:t>序号</w:t>
                  </w:r>
                </w:p>
              </w:tc>
              <w:tc>
                <w:tcPr>
                  <w:tcW w:w="2968" w:type="pct"/>
                  <w:tcBorders>
                    <w:tl2br w:val="nil"/>
                    <w:tr2bl w:val="nil"/>
                  </w:tcBorders>
                  <w:noWrap w:val="0"/>
                  <w:vAlign w:val="center"/>
                </w:tcPr>
                <w:p>
                  <w:pPr>
                    <w:pStyle w:val="11"/>
                    <w:bidi w:val="0"/>
                    <w:jc w:val="center"/>
                    <w:rPr>
                      <w:rFonts w:hint="default"/>
                      <w:b/>
                      <w:bCs/>
                      <w:lang w:val="en-US" w:eastAsia="zh-CN"/>
                    </w:rPr>
                  </w:pPr>
                  <w:r>
                    <w:rPr>
                      <w:rFonts w:hint="eastAsia"/>
                      <w:b/>
                      <w:bCs/>
                      <w:lang w:eastAsia="zh-CN"/>
                    </w:rPr>
                    <w:t>相关</w:t>
                  </w:r>
                  <w:r>
                    <w:rPr>
                      <w:rFonts w:hint="default"/>
                      <w:b/>
                      <w:bCs/>
                    </w:rPr>
                    <w:t>内容</w:t>
                  </w:r>
                </w:p>
              </w:tc>
              <w:tc>
                <w:tcPr>
                  <w:tcW w:w="1306" w:type="pct"/>
                  <w:tcBorders>
                    <w:tl2br w:val="nil"/>
                    <w:tr2bl w:val="nil"/>
                  </w:tcBorders>
                  <w:noWrap w:val="0"/>
                  <w:vAlign w:val="center"/>
                </w:tcPr>
                <w:p>
                  <w:pPr>
                    <w:pStyle w:val="11"/>
                    <w:bidi w:val="0"/>
                    <w:jc w:val="center"/>
                    <w:rPr>
                      <w:rFonts w:hint="default"/>
                      <w:b/>
                      <w:bCs/>
                      <w:lang w:val="en-US" w:eastAsia="zh-CN"/>
                    </w:rPr>
                  </w:pPr>
                  <w:r>
                    <w:rPr>
                      <w:rFonts w:hint="default"/>
                      <w:b/>
                      <w:bCs/>
                    </w:rPr>
                    <w:t>本项目情况</w:t>
                  </w:r>
                </w:p>
              </w:tc>
              <w:tc>
                <w:tcPr>
                  <w:tcW w:w="396" w:type="pct"/>
                  <w:tcBorders>
                    <w:tl2br w:val="nil"/>
                    <w:tr2bl w:val="nil"/>
                  </w:tcBorders>
                  <w:noWrap w:val="0"/>
                  <w:vAlign w:val="center"/>
                </w:tcPr>
                <w:p>
                  <w:pPr>
                    <w:pStyle w:val="11"/>
                    <w:bidi w:val="0"/>
                    <w:jc w:val="center"/>
                    <w:rPr>
                      <w:rFonts w:hint="default"/>
                      <w:b/>
                      <w:bCs/>
                      <w:lang w:val="en-US" w:eastAsia="zh-CN"/>
                    </w:rPr>
                  </w:pPr>
                  <w:r>
                    <w:rPr>
                      <w:rFonts w:hint="default"/>
                      <w:b/>
                      <w:bCs/>
                    </w:rPr>
                    <w:t>符合性</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02" w:hRule="atLeast"/>
                <w:tblHeader/>
                <w:jc w:val="center"/>
              </w:trPr>
              <w:tc>
                <w:tcPr>
                  <w:tcW w:w="328" w:type="pct"/>
                  <w:tcBorders>
                    <w:tl2br w:val="nil"/>
                    <w:tr2bl w:val="nil"/>
                  </w:tcBorders>
                  <w:noWrap w:val="0"/>
                  <w:vAlign w:val="center"/>
                </w:tcPr>
                <w:p>
                  <w:pPr>
                    <w:pStyle w:val="11"/>
                    <w:bidi w:val="0"/>
                    <w:jc w:val="center"/>
                    <w:rPr>
                      <w:rFonts w:hint="default"/>
                      <w:lang w:eastAsia="zh-CN"/>
                    </w:rPr>
                  </w:pPr>
                  <w:r>
                    <w:rPr>
                      <w:rFonts w:hint="default"/>
                      <w:lang w:val="en-US" w:eastAsia="zh-CN"/>
                    </w:rPr>
                    <w:t>1</w:t>
                  </w:r>
                </w:p>
              </w:tc>
              <w:tc>
                <w:tcPr>
                  <w:tcW w:w="2968" w:type="pct"/>
                  <w:tcBorders>
                    <w:tl2br w:val="nil"/>
                    <w:tr2bl w:val="nil"/>
                  </w:tcBorders>
                  <w:noWrap w:val="0"/>
                  <w:vAlign w:val="center"/>
                </w:tcPr>
                <w:p>
                  <w:pPr>
                    <w:pStyle w:val="11"/>
                    <w:bidi w:val="0"/>
                    <w:jc w:val="both"/>
                    <w:rPr>
                      <w:rFonts w:hint="default"/>
                      <w:lang w:val="en-US" w:eastAsia="zh-CN"/>
                    </w:rPr>
                  </w:pPr>
                  <w:r>
                    <w:rPr>
                      <w:rFonts w:hint="eastAsia"/>
                      <w:lang w:val="en-US" w:eastAsia="zh-CN"/>
                    </w:rPr>
                    <w:t xml:space="preserve">第十七条 </w:t>
                  </w:r>
                  <w:r>
                    <w:rPr>
                      <w:rFonts w:hint="default"/>
                      <w:lang w:val="en-US" w:eastAsia="zh-CN"/>
                    </w:rPr>
                    <w:t>禁止在嘉陵江干支流岸线一公里范围内新建、扩建化工园区和化工项目。</w:t>
                  </w:r>
                </w:p>
              </w:tc>
              <w:tc>
                <w:tcPr>
                  <w:tcW w:w="1306" w:type="pct"/>
                  <w:tcBorders>
                    <w:tl2br w:val="nil"/>
                    <w:tr2bl w:val="nil"/>
                  </w:tcBorders>
                  <w:noWrap w:val="0"/>
                  <w:vAlign w:val="center"/>
                </w:tcPr>
                <w:p>
                  <w:pPr>
                    <w:pStyle w:val="11"/>
                    <w:bidi w:val="0"/>
                    <w:jc w:val="both"/>
                    <w:rPr>
                      <w:rFonts w:hint="eastAsia"/>
                      <w:lang w:val="en-US" w:eastAsia="zh-CN"/>
                    </w:rPr>
                  </w:pPr>
                  <w:r>
                    <w:rPr>
                      <w:rFonts w:hint="default"/>
                    </w:rPr>
                    <w:t>本项目不属于化工项目</w:t>
                  </w:r>
                  <w:r>
                    <w:rPr>
                      <w:rFonts w:hint="eastAsia"/>
                      <w:lang w:eastAsia="zh-CN"/>
                    </w:rPr>
                    <w:t>。</w:t>
                  </w:r>
                </w:p>
              </w:tc>
              <w:tc>
                <w:tcPr>
                  <w:tcW w:w="396" w:type="pct"/>
                  <w:tcBorders>
                    <w:tl2br w:val="nil"/>
                    <w:tr2bl w:val="nil"/>
                  </w:tcBorders>
                  <w:noWrap w:val="0"/>
                  <w:vAlign w:val="center"/>
                </w:tcPr>
                <w:p>
                  <w:pPr>
                    <w:pStyle w:val="11"/>
                    <w:bidi w:val="0"/>
                    <w:jc w:val="center"/>
                    <w:rPr>
                      <w:rFonts w:hint="default"/>
                    </w:rPr>
                  </w:pPr>
                  <w:r>
                    <w:rPr>
                      <w:rFonts w:hint="default"/>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92" w:hRule="atLeast"/>
                <w:tblHeader/>
                <w:jc w:val="center"/>
              </w:trPr>
              <w:tc>
                <w:tcPr>
                  <w:tcW w:w="328" w:type="pct"/>
                  <w:tcBorders>
                    <w:tl2br w:val="nil"/>
                    <w:tr2bl w:val="nil"/>
                  </w:tcBorders>
                  <w:noWrap w:val="0"/>
                  <w:vAlign w:val="center"/>
                </w:tcPr>
                <w:p>
                  <w:pPr>
                    <w:pStyle w:val="11"/>
                    <w:bidi w:val="0"/>
                    <w:jc w:val="center"/>
                    <w:rPr>
                      <w:rFonts w:hint="default"/>
                      <w:lang w:val="en-US" w:eastAsia="zh-CN"/>
                    </w:rPr>
                  </w:pPr>
                  <w:r>
                    <w:rPr>
                      <w:rFonts w:hint="default"/>
                      <w:lang w:val="en-US" w:eastAsia="zh-CN"/>
                    </w:rPr>
                    <w:t>2</w:t>
                  </w:r>
                </w:p>
              </w:tc>
              <w:tc>
                <w:tcPr>
                  <w:tcW w:w="2968" w:type="pct"/>
                  <w:tcBorders>
                    <w:tl2br w:val="nil"/>
                    <w:tr2bl w:val="nil"/>
                  </w:tcBorders>
                  <w:noWrap w:val="0"/>
                  <w:vAlign w:val="center"/>
                </w:tcPr>
                <w:p>
                  <w:pPr>
                    <w:pStyle w:val="11"/>
                    <w:bidi w:val="0"/>
                    <w:jc w:val="both"/>
                    <w:rPr>
                      <w:rFonts w:hint="default"/>
                      <w:lang w:val="en-US" w:eastAsia="zh-CN"/>
                    </w:rPr>
                  </w:pPr>
                  <w:r>
                    <w:rPr>
                      <w:rFonts w:hint="default"/>
                      <w:lang w:eastAsia="zh-CN"/>
                    </w:rPr>
                    <w:t>第二十一条</w:t>
                  </w:r>
                  <w:r>
                    <w:rPr>
                      <w:rFonts w:hint="default"/>
                      <w:lang w:val="en-US" w:eastAsia="zh-CN"/>
                    </w:rPr>
                    <w:t xml:space="preserve"> </w:t>
                  </w:r>
                  <w:r>
                    <w:rPr>
                      <w:rFonts w:hint="default"/>
                      <w:lang w:eastAsia="zh-CN"/>
                    </w:rPr>
                    <w:t>按照排污许可证的规定排放污染物；禁止未取得排污许可证或者违反排污许可证的规定排放污染物。</w:t>
                  </w:r>
                </w:p>
              </w:tc>
              <w:tc>
                <w:tcPr>
                  <w:tcW w:w="1306" w:type="pct"/>
                  <w:tcBorders>
                    <w:tl2br w:val="nil"/>
                    <w:tr2bl w:val="nil"/>
                  </w:tcBorders>
                  <w:noWrap w:val="0"/>
                  <w:vAlign w:val="center"/>
                </w:tcPr>
                <w:p>
                  <w:pPr>
                    <w:pStyle w:val="11"/>
                    <w:bidi w:val="0"/>
                    <w:jc w:val="center"/>
                    <w:rPr>
                      <w:rFonts w:hint="default"/>
                      <w:lang w:val="en-US" w:eastAsia="zh-CN"/>
                    </w:rPr>
                  </w:pPr>
                  <w:r>
                    <w:rPr>
                      <w:rFonts w:hint="default"/>
                      <w:lang w:eastAsia="zh-CN"/>
                    </w:rPr>
                    <w:t>项目</w:t>
                  </w:r>
                  <w:r>
                    <w:rPr>
                      <w:rFonts w:hint="default"/>
                      <w:lang w:val="en-US" w:eastAsia="zh-CN"/>
                    </w:rPr>
                    <w:t>建成后将按要求完善排污许可证的手续</w:t>
                  </w:r>
                  <w:r>
                    <w:rPr>
                      <w:rFonts w:hint="default"/>
                      <w:lang w:eastAsia="zh-CN"/>
                    </w:rPr>
                    <w:t>。</w:t>
                  </w:r>
                </w:p>
              </w:tc>
              <w:tc>
                <w:tcPr>
                  <w:tcW w:w="396" w:type="pct"/>
                  <w:tcBorders>
                    <w:tl2br w:val="nil"/>
                    <w:tr2bl w:val="nil"/>
                  </w:tcBorders>
                  <w:noWrap w:val="0"/>
                  <w:vAlign w:val="center"/>
                </w:tcPr>
                <w:p>
                  <w:pPr>
                    <w:pStyle w:val="11"/>
                    <w:bidi w:val="0"/>
                    <w:jc w:val="center"/>
                    <w:rPr>
                      <w:rFonts w:hint="default"/>
                    </w:rPr>
                  </w:pPr>
                  <w:r>
                    <w:rPr>
                      <w:rFonts w:hint="default"/>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02" w:hRule="atLeast"/>
                <w:tblHeader/>
                <w:jc w:val="center"/>
              </w:trPr>
              <w:tc>
                <w:tcPr>
                  <w:tcW w:w="328" w:type="pct"/>
                  <w:tcBorders>
                    <w:tl2br w:val="nil"/>
                    <w:tr2bl w:val="nil"/>
                  </w:tcBorders>
                  <w:noWrap w:val="0"/>
                  <w:vAlign w:val="center"/>
                </w:tcPr>
                <w:p>
                  <w:pPr>
                    <w:pStyle w:val="11"/>
                    <w:bidi w:val="0"/>
                    <w:jc w:val="center"/>
                    <w:rPr>
                      <w:rFonts w:hint="default"/>
                      <w:lang w:val="en-US" w:eastAsia="zh-CN"/>
                    </w:rPr>
                  </w:pPr>
                  <w:r>
                    <w:rPr>
                      <w:rFonts w:hint="default"/>
                      <w:lang w:val="en-US" w:eastAsia="zh-CN"/>
                    </w:rPr>
                    <w:t>3</w:t>
                  </w:r>
                </w:p>
              </w:tc>
              <w:tc>
                <w:tcPr>
                  <w:tcW w:w="2968" w:type="pct"/>
                  <w:tcBorders>
                    <w:tl2br w:val="nil"/>
                    <w:tr2bl w:val="nil"/>
                  </w:tcBorders>
                  <w:noWrap w:val="0"/>
                  <w:vAlign w:val="center"/>
                </w:tcPr>
                <w:p>
                  <w:pPr>
                    <w:pStyle w:val="11"/>
                    <w:bidi w:val="0"/>
                    <w:jc w:val="both"/>
                    <w:rPr>
                      <w:rFonts w:hint="default"/>
                      <w:lang w:val="en-US" w:eastAsia="zh-CN"/>
                    </w:rPr>
                  </w:pPr>
                  <w:r>
                    <w:rPr>
                      <w:rFonts w:hint="default"/>
                      <w:lang w:eastAsia="zh-CN"/>
                    </w:rPr>
                    <w:t>第七十三条</w:t>
                  </w:r>
                  <w:r>
                    <w:rPr>
                      <w:rFonts w:hint="default"/>
                      <w:lang w:val="en-US" w:eastAsia="zh-CN"/>
                    </w:rPr>
                    <w:t xml:space="preserve"> </w:t>
                  </w:r>
                  <w:r>
                    <w:rPr>
                      <w:rFonts w:hint="default"/>
                      <w:lang w:eastAsia="zh-CN"/>
                    </w:rPr>
                    <w:t>禁止在嘉陵江流域河湖管理范围内倾倒、填埋、堆放、弃置、处理固体废物。</w:t>
                  </w:r>
                </w:p>
              </w:tc>
              <w:tc>
                <w:tcPr>
                  <w:tcW w:w="1306" w:type="pct"/>
                  <w:tcBorders>
                    <w:tl2br w:val="nil"/>
                    <w:tr2bl w:val="nil"/>
                  </w:tcBorders>
                  <w:noWrap w:val="0"/>
                  <w:vAlign w:val="center"/>
                </w:tcPr>
                <w:p>
                  <w:pPr>
                    <w:pStyle w:val="11"/>
                    <w:bidi w:val="0"/>
                    <w:jc w:val="both"/>
                    <w:rPr>
                      <w:rFonts w:hint="default"/>
                      <w:lang w:val="en-US" w:eastAsia="zh-CN"/>
                    </w:rPr>
                  </w:pPr>
                  <w:r>
                    <w:rPr>
                      <w:rFonts w:hint="default"/>
                      <w:lang w:eastAsia="zh-CN"/>
                    </w:rPr>
                    <w:t>本项目</w:t>
                  </w:r>
                  <w:r>
                    <w:rPr>
                      <w:rFonts w:hint="default"/>
                      <w:lang w:val="en-US" w:eastAsia="zh-CN"/>
                    </w:rPr>
                    <w:t>固体废物严格按照相关要求进行收集和处置</w:t>
                  </w:r>
                  <w:r>
                    <w:rPr>
                      <w:rFonts w:hint="default"/>
                      <w:lang w:eastAsia="zh-CN"/>
                    </w:rPr>
                    <w:t>。</w:t>
                  </w:r>
                </w:p>
              </w:tc>
              <w:tc>
                <w:tcPr>
                  <w:tcW w:w="396" w:type="pct"/>
                  <w:tcBorders>
                    <w:tl2br w:val="nil"/>
                    <w:tr2bl w:val="nil"/>
                  </w:tcBorders>
                  <w:noWrap w:val="0"/>
                  <w:vAlign w:val="center"/>
                </w:tcPr>
                <w:p>
                  <w:pPr>
                    <w:pStyle w:val="11"/>
                    <w:bidi w:val="0"/>
                    <w:jc w:val="center"/>
                    <w:rPr>
                      <w:rFonts w:hint="default"/>
                    </w:rPr>
                  </w:pPr>
                  <w:r>
                    <w:rPr>
                      <w:rFonts w:hint="default"/>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665" w:hRule="atLeast"/>
                <w:tblHeader/>
                <w:jc w:val="center"/>
              </w:trPr>
              <w:tc>
                <w:tcPr>
                  <w:tcW w:w="328" w:type="pct"/>
                  <w:tcBorders>
                    <w:tl2br w:val="nil"/>
                    <w:tr2bl w:val="nil"/>
                  </w:tcBorders>
                  <w:noWrap w:val="0"/>
                  <w:vAlign w:val="center"/>
                </w:tcPr>
                <w:p>
                  <w:pPr>
                    <w:pStyle w:val="11"/>
                    <w:bidi w:val="0"/>
                    <w:jc w:val="center"/>
                    <w:rPr>
                      <w:rFonts w:hint="default"/>
                      <w:lang w:eastAsia="zh-CN"/>
                    </w:rPr>
                  </w:pPr>
                  <w:r>
                    <w:rPr>
                      <w:rFonts w:hint="default"/>
                      <w:lang w:val="en-US" w:eastAsia="zh-CN"/>
                    </w:rPr>
                    <w:t>4</w:t>
                  </w:r>
                </w:p>
              </w:tc>
              <w:tc>
                <w:tcPr>
                  <w:tcW w:w="2968" w:type="pct"/>
                  <w:tcBorders>
                    <w:tl2br w:val="nil"/>
                    <w:tr2bl w:val="nil"/>
                  </w:tcBorders>
                  <w:noWrap w:val="0"/>
                  <w:vAlign w:val="center"/>
                </w:tcPr>
                <w:p>
                  <w:pPr>
                    <w:pStyle w:val="11"/>
                    <w:bidi w:val="0"/>
                    <w:jc w:val="both"/>
                    <w:rPr>
                      <w:rFonts w:hint="default"/>
                    </w:rPr>
                  </w:pPr>
                  <w:r>
                    <w:rPr>
                      <w:rFonts w:hint="default"/>
                    </w:rPr>
                    <w:t>第七十七条 嘉陵江流域产业结构和布局应当与流域生态系统和资源环境承载能力相适应。禁止在嘉陵江流域重点生态功能区布局对生态系统有严重影响的产业。禁止重污染企业和项目向嘉陵江流域转移。</w:t>
                  </w:r>
                </w:p>
              </w:tc>
              <w:tc>
                <w:tcPr>
                  <w:tcW w:w="1306" w:type="pct"/>
                  <w:tcBorders>
                    <w:tl2br w:val="nil"/>
                    <w:tr2bl w:val="nil"/>
                  </w:tcBorders>
                  <w:noWrap w:val="0"/>
                  <w:vAlign w:val="center"/>
                </w:tcPr>
                <w:p>
                  <w:pPr>
                    <w:pStyle w:val="11"/>
                    <w:bidi w:val="0"/>
                    <w:jc w:val="both"/>
                    <w:rPr>
                      <w:rFonts w:hint="default"/>
                    </w:rPr>
                  </w:pPr>
                  <w:r>
                    <w:rPr>
                      <w:rFonts w:hint="default"/>
                    </w:rPr>
                    <w:t>本项目</w:t>
                  </w:r>
                  <w:r>
                    <w:rPr>
                      <w:rFonts w:hint="eastAsia"/>
                      <w:lang w:eastAsia="zh-CN"/>
                    </w:rPr>
                    <w:t>生活污水</w:t>
                  </w:r>
                  <w:r>
                    <w:rPr>
                      <w:rFonts w:hint="eastAsia"/>
                      <w:lang w:val="en-US" w:eastAsia="zh-CN"/>
                    </w:rPr>
                    <w:t>经化粪池收集后排入园区污水处理厂</w:t>
                  </w:r>
                  <w:r>
                    <w:rPr>
                      <w:rFonts w:hint="default"/>
                    </w:rPr>
                    <w:t>，不属于重污染企业和项目。</w:t>
                  </w:r>
                </w:p>
              </w:tc>
              <w:tc>
                <w:tcPr>
                  <w:tcW w:w="396" w:type="pct"/>
                  <w:tcBorders>
                    <w:tl2br w:val="nil"/>
                    <w:tr2bl w:val="nil"/>
                  </w:tcBorders>
                  <w:noWrap w:val="0"/>
                  <w:vAlign w:val="center"/>
                </w:tcPr>
                <w:p>
                  <w:pPr>
                    <w:pStyle w:val="11"/>
                    <w:bidi w:val="0"/>
                    <w:jc w:val="center"/>
                    <w:rPr>
                      <w:rFonts w:hint="default"/>
                    </w:rPr>
                  </w:pPr>
                  <w:r>
                    <w:rPr>
                      <w:rFonts w:hint="default"/>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14" w:hRule="atLeast"/>
                <w:tblHeader/>
                <w:jc w:val="center"/>
              </w:trPr>
              <w:tc>
                <w:tcPr>
                  <w:tcW w:w="328" w:type="pct"/>
                  <w:tcBorders>
                    <w:tl2br w:val="nil"/>
                    <w:tr2bl w:val="nil"/>
                  </w:tcBorders>
                  <w:noWrap w:val="0"/>
                  <w:vAlign w:val="center"/>
                </w:tcPr>
                <w:p>
                  <w:pPr>
                    <w:pStyle w:val="11"/>
                    <w:bidi w:val="0"/>
                    <w:jc w:val="center"/>
                    <w:rPr>
                      <w:rFonts w:hint="default"/>
                    </w:rPr>
                  </w:pPr>
                  <w:r>
                    <w:rPr>
                      <w:rFonts w:hint="default"/>
                    </w:rPr>
                    <w:t>5</w:t>
                  </w:r>
                </w:p>
              </w:tc>
              <w:tc>
                <w:tcPr>
                  <w:tcW w:w="2968" w:type="pct"/>
                  <w:tcBorders>
                    <w:tl2br w:val="nil"/>
                    <w:tr2bl w:val="nil"/>
                  </w:tcBorders>
                  <w:noWrap w:val="0"/>
                  <w:vAlign w:val="center"/>
                </w:tcPr>
                <w:p>
                  <w:pPr>
                    <w:pStyle w:val="11"/>
                    <w:bidi w:val="0"/>
                    <w:jc w:val="both"/>
                    <w:rPr>
                      <w:rFonts w:hint="default"/>
                      <w:lang w:val="en-US" w:eastAsia="zh-CN"/>
                    </w:rPr>
                  </w:pPr>
                  <w:r>
                    <w:rPr>
                      <w:rFonts w:hint="default"/>
                      <w:lang w:eastAsia="zh-CN"/>
                    </w:rPr>
                    <w:t>第八十条</w:t>
                  </w:r>
                  <w:r>
                    <w:rPr>
                      <w:rFonts w:hint="default"/>
                      <w:lang w:val="en-US" w:eastAsia="zh-CN"/>
                    </w:rPr>
                    <w:t xml:space="preserve"> </w:t>
                  </w:r>
                  <w:r>
                    <w:rPr>
                      <w:rFonts w:hint="default"/>
                      <w:lang w:eastAsia="zh-CN"/>
                    </w:rPr>
                    <w:t>限期禁止生产、销售、进口、使用、转让严重污染水环境的工艺和设备。</w:t>
                  </w:r>
                </w:p>
              </w:tc>
              <w:tc>
                <w:tcPr>
                  <w:tcW w:w="1306" w:type="pct"/>
                  <w:tcBorders>
                    <w:tl2br w:val="nil"/>
                    <w:tr2bl w:val="nil"/>
                  </w:tcBorders>
                  <w:noWrap w:val="0"/>
                  <w:vAlign w:val="center"/>
                </w:tcPr>
                <w:p>
                  <w:pPr>
                    <w:pStyle w:val="11"/>
                    <w:bidi w:val="0"/>
                    <w:jc w:val="both"/>
                    <w:rPr>
                      <w:rFonts w:hint="default"/>
                      <w:lang w:val="en-US" w:eastAsia="zh-CN"/>
                    </w:rPr>
                  </w:pPr>
                  <w:r>
                    <w:rPr>
                      <w:rFonts w:hint="default"/>
                      <w:lang w:val="en-US" w:eastAsia="zh-CN"/>
                    </w:rPr>
                    <w:t>项目所用的设备、工艺不属于严重污染水环境的工艺和设备。</w:t>
                  </w:r>
                </w:p>
              </w:tc>
              <w:tc>
                <w:tcPr>
                  <w:tcW w:w="396" w:type="pct"/>
                  <w:tcBorders>
                    <w:tl2br w:val="nil"/>
                    <w:tr2bl w:val="nil"/>
                  </w:tcBorders>
                  <w:noWrap w:val="0"/>
                  <w:vAlign w:val="center"/>
                </w:tcPr>
                <w:p>
                  <w:pPr>
                    <w:pStyle w:val="11"/>
                    <w:bidi w:val="0"/>
                    <w:jc w:val="center"/>
                    <w:rPr>
                      <w:rFonts w:hint="default"/>
                    </w:rPr>
                  </w:pPr>
                  <w:r>
                    <w:rPr>
                      <w:rFonts w:hint="default"/>
                    </w:rPr>
                    <w:t>符合</w:t>
                  </w:r>
                </w:p>
              </w:tc>
            </w:tr>
          </w:tbl>
          <w:p>
            <w:pPr>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jc w:val="both"/>
              <w:textAlignment w:val="auto"/>
              <w:rPr>
                <w:rFonts w:hint="eastAsia" w:ascii="Times New Roman" w:hAnsi="Times New Roman" w:eastAsia="宋体" w:cs="Times New Roman"/>
                <w:b/>
                <w:color w:val="auto"/>
                <w:kern w:val="2"/>
                <w:sz w:val="24"/>
                <w:szCs w:val="24"/>
                <w:lang w:val="en-US" w:eastAsia="zh-CN" w:bidi="zh-CN"/>
              </w:rPr>
            </w:pPr>
            <w:r>
              <w:rPr>
                <w:rFonts w:hint="eastAsia"/>
                <w:b/>
                <w:bCs/>
                <w:color w:val="auto"/>
                <w:kern w:val="0"/>
                <w:szCs w:val="21"/>
                <w:lang w:val="en-US" w:eastAsia="zh-CN"/>
              </w:rPr>
              <w:t>9、</w:t>
            </w:r>
            <w:r>
              <w:rPr>
                <w:rFonts w:hint="eastAsia" w:ascii="Times New Roman" w:hAnsi="Times New Roman" w:eastAsia="宋体" w:cs="Times New Roman"/>
                <w:b/>
                <w:color w:val="auto"/>
                <w:kern w:val="2"/>
                <w:sz w:val="24"/>
                <w:szCs w:val="24"/>
                <w:lang w:val="en-US" w:eastAsia="zh-CN" w:bidi="zh-CN"/>
              </w:rPr>
              <w:t>与饮用水源位置关系</w:t>
            </w:r>
          </w:p>
          <w:p>
            <w:pPr>
              <w:bidi w:val="0"/>
              <w:rPr>
                <w:rFonts w:hint="eastAsia"/>
                <w:lang w:val="en-US" w:eastAsia="zh-CN"/>
              </w:rPr>
            </w:pPr>
            <w:r>
              <w:rPr>
                <w:rFonts w:hint="eastAsia"/>
                <w:lang w:val="en-US" w:eastAsia="zh-CN"/>
              </w:rPr>
              <w:t>本项目位于达州市宣汉县普光经济开发区柳池功能区内。根据《关于同意划定、调整、撤销部分城市集中式饮用水水源保护区的批复》（川府函〔2018〕144号）及达州市人民政府《关于划定万源市、宣汉县和大竹县乡镇及以下集中式饮用水水源保护地保护区的批复》（达市府函</w:t>
            </w:r>
            <w:r>
              <w:rPr>
                <w:rFonts w:hint="default"/>
                <w:lang w:val="en-US" w:eastAsia="zh-CN"/>
              </w:rPr>
              <w:t>[2020]124</w:t>
            </w:r>
            <w:r>
              <w:rPr>
                <w:rFonts w:hint="eastAsia"/>
                <w:lang w:val="en-US" w:eastAsia="zh-CN"/>
              </w:rPr>
              <w:t>号），项目所在地涉及后河徐家坡水源地饮用水水源保护地准保护区，距离后河徐家坡水源地（河流型）取水点约7.0km，取水水源为后河，取水口位于宣汉县东乡镇后河右岸徐家坡（经度：</w:t>
            </w:r>
            <w:r>
              <w:rPr>
                <w:rFonts w:hint="default"/>
                <w:lang w:val="en-US" w:eastAsia="zh-CN"/>
              </w:rPr>
              <w:t>107°4</w:t>
            </w:r>
            <w:r>
              <w:rPr>
                <w:rFonts w:hint="eastAsia"/>
                <w:lang w:val="en-US" w:eastAsia="zh-CN"/>
              </w:rPr>
              <w:t>3</w:t>
            </w:r>
            <w:r>
              <w:rPr>
                <w:rFonts w:hint="default"/>
                <w:lang w:val="en-US" w:eastAsia="zh-CN"/>
              </w:rPr>
              <w:t>′</w:t>
            </w:r>
            <w:r>
              <w:rPr>
                <w:rFonts w:hint="eastAsia"/>
                <w:lang w:val="en-US" w:eastAsia="zh-CN"/>
              </w:rPr>
              <w:t>35.67</w:t>
            </w:r>
            <w:r>
              <w:rPr>
                <w:rFonts w:hint="default"/>
                <w:lang w:val="en-US" w:eastAsia="zh-CN"/>
              </w:rPr>
              <w:t>″E</w:t>
            </w:r>
            <w:r>
              <w:rPr>
                <w:rFonts w:hint="eastAsia"/>
                <w:lang w:val="en-US" w:eastAsia="zh-CN"/>
              </w:rPr>
              <w:t>，纬度：</w:t>
            </w:r>
            <w:r>
              <w:rPr>
                <w:rFonts w:hint="default"/>
                <w:lang w:val="en-US" w:eastAsia="zh-CN"/>
              </w:rPr>
              <w:t>31°2</w:t>
            </w:r>
            <w:r>
              <w:rPr>
                <w:rFonts w:hint="eastAsia"/>
                <w:lang w:val="en-US" w:eastAsia="zh-CN"/>
              </w:rPr>
              <w:t>2</w:t>
            </w:r>
            <w:r>
              <w:rPr>
                <w:rFonts w:hint="default"/>
                <w:lang w:val="en-US" w:eastAsia="zh-CN"/>
              </w:rPr>
              <w:t>′28.86</w:t>
            </w:r>
            <w:r>
              <w:rPr>
                <w:rFonts w:hint="eastAsia"/>
                <w:lang w:val="en-US" w:eastAsia="zh-CN"/>
              </w:rPr>
              <w:t>36.22</w:t>
            </w:r>
            <w:r>
              <w:rPr>
                <w:rFonts w:hint="default"/>
                <w:lang w:val="en-US" w:eastAsia="zh-CN"/>
              </w:rPr>
              <w:t>″N</w:t>
            </w:r>
            <w:r>
              <w:rPr>
                <w:rFonts w:hint="eastAsia"/>
                <w:lang w:val="en-US" w:eastAsia="zh-CN"/>
              </w:rPr>
              <w:t>）。项目所在区域东南面约4</w:t>
            </w:r>
            <w:r>
              <w:rPr>
                <w:rFonts w:hint="default"/>
                <w:lang w:val="en-US" w:eastAsia="zh-CN"/>
              </w:rPr>
              <w:t>50m</w:t>
            </w:r>
            <w:r>
              <w:rPr>
                <w:rFonts w:hint="eastAsia"/>
                <w:lang w:val="en-US" w:eastAsia="zh-CN"/>
              </w:rPr>
              <w:t>的凉水井水库为宣汉县蒲江街道凉水井水库（村级）集中式饮用水水源地（湖库型）。供水水厂为宣汉县星源水利建设管理站凉水井供水站，供水规模为</w:t>
            </w:r>
            <w:r>
              <w:rPr>
                <w:rFonts w:hint="default"/>
                <w:lang w:val="en-US" w:eastAsia="zh-CN"/>
              </w:rPr>
              <w:t>500</w:t>
            </w:r>
            <w:r>
              <w:rPr>
                <w:rFonts w:hint="eastAsia"/>
                <w:lang w:val="en-US" w:eastAsia="zh-CN"/>
              </w:rPr>
              <w:t>吨</w:t>
            </w:r>
            <w:r>
              <w:rPr>
                <w:rFonts w:hint="default"/>
                <w:lang w:val="en-US" w:eastAsia="zh-CN"/>
              </w:rPr>
              <w:t>/</w:t>
            </w:r>
            <w:r>
              <w:rPr>
                <w:rFonts w:hint="eastAsia"/>
                <w:lang w:val="en-US" w:eastAsia="zh-CN"/>
              </w:rPr>
              <w:t>天，供水范围为蒲江街道永安村、茅岭村、双河村，官渡村，兴隆村等</w:t>
            </w:r>
            <w:r>
              <w:rPr>
                <w:rFonts w:hint="default"/>
                <w:lang w:val="en-US" w:eastAsia="zh-CN"/>
              </w:rPr>
              <w:t>5</w:t>
            </w:r>
            <w:r>
              <w:rPr>
                <w:rFonts w:hint="eastAsia"/>
                <w:lang w:val="en-US" w:eastAsia="zh-CN"/>
              </w:rPr>
              <w:t>个村；水厂取水水源为凉水井水库，取水口位于普光镇柳坪村</w:t>
            </w:r>
            <w:r>
              <w:rPr>
                <w:rFonts w:hint="default"/>
                <w:lang w:val="en-US" w:eastAsia="zh-CN"/>
              </w:rPr>
              <w:t>11</w:t>
            </w:r>
            <w:r>
              <w:rPr>
                <w:rFonts w:hint="eastAsia"/>
                <w:lang w:val="en-US" w:eastAsia="zh-CN"/>
              </w:rPr>
              <w:t>组（</w:t>
            </w:r>
            <w:r>
              <w:rPr>
                <w:rFonts w:hint="default"/>
                <w:lang w:val="en-US" w:eastAsia="zh-CN"/>
              </w:rPr>
              <w:t>107°41′13.137″E</w:t>
            </w:r>
            <w:r>
              <w:rPr>
                <w:rFonts w:hint="eastAsia"/>
                <w:lang w:val="en-US" w:eastAsia="zh-CN"/>
              </w:rPr>
              <w:t>，</w:t>
            </w:r>
            <w:r>
              <w:rPr>
                <w:rFonts w:hint="default"/>
                <w:lang w:val="en-US" w:eastAsia="zh-CN"/>
              </w:rPr>
              <w:t>31°25′28.86″N</w:t>
            </w:r>
            <w:r>
              <w:rPr>
                <w:rFonts w:hint="eastAsia"/>
                <w:lang w:val="en-US" w:eastAsia="zh-CN"/>
              </w:rPr>
              <w:t>）。</w:t>
            </w:r>
          </w:p>
          <w:p>
            <w:pPr>
              <w:keepNext w:val="0"/>
              <w:keepLines w:val="0"/>
              <w:pageBreakBefore w:val="0"/>
              <w:kinsoku/>
              <w:wordWrap/>
              <w:overflowPunct/>
              <w:topLinePunct w:val="0"/>
              <w:autoSpaceDE w:val="0"/>
              <w:autoSpaceDN w:val="0"/>
              <w:bidi w:val="0"/>
              <w:adjustRightInd w:val="0"/>
              <w:snapToGrid w:val="0"/>
              <w:spacing w:line="348" w:lineRule="auto"/>
              <w:ind w:firstLine="480" w:firstLineChars="200"/>
              <w:jc w:val="left"/>
              <w:textAlignment w:val="auto"/>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项目与所在区域饮用水取水点关系见下表。</w:t>
            </w:r>
          </w:p>
          <w:p>
            <w:pPr>
              <w:pStyle w:val="11"/>
              <w:bidi w:val="0"/>
              <w:jc w:val="center"/>
              <w:rPr>
                <w:b/>
                <w:bCs/>
              </w:rPr>
            </w:pPr>
            <w:r>
              <w:rPr>
                <w:b/>
                <w:bCs/>
              </w:rPr>
              <w:t>表1-</w:t>
            </w:r>
            <w:r>
              <w:rPr>
                <w:rFonts w:hint="eastAsia"/>
                <w:b/>
                <w:bCs/>
                <w:lang w:val="en-US" w:eastAsia="zh-CN"/>
              </w:rPr>
              <w:t xml:space="preserve">8  </w:t>
            </w:r>
            <w:r>
              <w:rPr>
                <w:b/>
                <w:bCs/>
              </w:rPr>
              <w:t>项目与集中式生活饮用水保护区关系表</w:t>
            </w:r>
          </w:p>
          <w:tbl>
            <w:tblPr>
              <w:tblStyle w:val="5"/>
              <w:tblW w:w="791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71"/>
              <w:gridCol w:w="1720"/>
              <w:gridCol w:w="1746"/>
              <w:gridCol w:w="1579"/>
              <w:gridCol w:w="1251"/>
              <w:gridCol w:w="75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550" w:type="pct"/>
                  <w:vMerge w:val="restart"/>
                  <w:noWrap w:val="0"/>
                  <w:vAlign w:val="center"/>
                </w:tcPr>
                <w:p>
                  <w:pPr>
                    <w:pStyle w:val="11"/>
                    <w:bidi w:val="0"/>
                    <w:jc w:val="center"/>
                    <w:rPr>
                      <w:b/>
                      <w:bCs/>
                    </w:rPr>
                  </w:pPr>
                  <w:r>
                    <w:rPr>
                      <w:b/>
                      <w:bCs/>
                    </w:rPr>
                    <w:t>取水点位置</w:t>
                  </w:r>
                </w:p>
              </w:tc>
              <w:tc>
                <w:tcPr>
                  <w:tcW w:w="1086" w:type="pct"/>
                  <w:noWrap w:val="0"/>
                  <w:vAlign w:val="center"/>
                </w:tcPr>
                <w:p>
                  <w:pPr>
                    <w:pStyle w:val="11"/>
                    <w:bidi w:val="0"/>
                    <w:jc w:val="center"/>
                    <w:rPr>
                      <w:b/>
                      <w:bCs/>
                    </w:rPr>
                  </w:pPr>
                  <w:r>
                    <w:rPr>
                      <w:b/>
                      <w:bCs/>
                    </w:rPr>
                    <w:t>一级保护区</w:t>
                  </w:r>
                </w:p>
              </w:tc>
              <w:tc>
                <w:tcPr>
                  <w:tcW w:w="1102" w:type="pct"/>
                  <w:noWrap w:val="0"/>
                  <w:vAlign w:val="center"/>
                </w:tcPr>
                <w:p>
                  <w:pPr>
                    <w:pStyle w:val="11"/>
                    <w:bidi w:val="0"/>
                    <w:jc w:val="center"/>
                    <w:rPr>
                      <w:b/>
                      <w:bCs/>
                    </w:rPr>
                  </w:pPr>
                  <w:r>
                    <w:rPr>
                      <w:b/>
                      <w:bCs/>
                    </w:rPr>
                    <w:t>二级保护区</w:t>
                  </w:r>
                </w:p>
              </w:tc>
              <w:tc>
                <w:tcPr>
                  <w:tcW w:w="997" w:type="pct"/>
                  <w:noWrap w:val="0"/>
                  <w:vAlign w:val="center"/>
                </w:tcPr>
                <w:p>
                  <w:pPr>
                    <w:pStyle w:val="11"/>
                    <w:bidi w:val="0"/>
                    <w:jc w:val="center"/>
                    <w:rPr>
                      <w:rFonts w:hint="default"/>
                      <w:b/>
                      <w:bCs/>
                      <w:lang w:val="en-US" w:eastAsia="zh-CN"/>
                    </w:rPr>
                  </w:pPr>
                  <w:r>
                    <w:rPr>
                      <w:rFonts w:hint="eastAsia"/>
                      <w:b/>
                      <w:bCs/>
                      <w:lang w:val="en-US" w:eastAsia="zh-CN"/>
                    </w:rPr>
                    <w:t>准保护区</w:t>
                  </w:r>
                </w:p>
              </w:tc>
              <w:tc>
                <w:tcPr>
                  <w:tcW w:w="790" w:type="pct"/>
                  <w:vMerge w:val="restart"/>
                  <w:noWrap w:val="0"/>
                  <w:vAlign w:val="center"/>
                </w:tcPr>
                <w:p>
                  <w:pPr>
                    <w:pStyle w:val="11"/>
                    <w:bidi w:val="0"/>
                    <w:jc w:val="center"/>
                    <w:rPr>
                      <w:b/>
                      <w:bCs/>
                    </w:rPr>
                  </w:pPr>
                  <w:r>
                    <w:rPr>
                      <w:b/>
                      <w:bCs/>
                    </w:rPr>
                    <w:t>本项目与取水点位置关系</w:t>
                  </w:r>
                </w:p>
              </w:tc>
              <w:tc>
                <w:tcPr>
                  <w:tcW w:w="473" w:type="pct"/>
                  <w:vMerge w:val="restart"/>
                  <w:noWrap w:val="0"/>
                  <w:vAlign w:val="center"/>
                </w:tcPr>
                <w:p>
                  <w:pPr>
                    <w:pStyle w:val="11"/>
                    <w:bidi w:val="0"/>
                    <w:jc w:val="center"/>
                    <w:rPr>
                      <w:rFonts w:hint="eastAsia"/>
                      <w:b/>
                      <w:bCs/>
                      <w:lang w:val="en-US" w:eastAsia="zh-CN"/>
                    </w:rPr>
                  </w:pPr>
                  <w:r>
                    <w:rPr>
                      <w:b/>
                      <w:bCs/>
                    </w:rPr>
                    <w:t>是否涉及保护区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8" w:hRule="atLeast"/>
                <w:jc w:val="center"/>
              </w:trPr>
              <w:tc>
                <w:tcPr>
                  <w:tcW w:w="550" w:type="pct"/>
                  <w:vMerge w:val="continue"/>
                  <w:noWrap w:val="0"/>
                  <w:vAlign w:val="center"/>
                </w:tcPr>
                <w:p>
                  <w:pPr>
                    <w:pStyle w:val="11"/>
                    <w:bidi w:val="0"/>
                  </w:pPr>
                </w:p>
              </w:tc>
              <w:tc>
                <w:tcPr>
                  <w:tcW w:w="1086" w:type="pct"/>
                  <w:noWrap w:val="0"/>
                  <w:vAlign w:val="center"/>
                </w:tcPr>
                <w:p>
                  <w:pPr>
                    <w:pStyle w:val="11"/>
                    <w:bidi w:val="0"/>
                    <w:rPr>
                      <w:b/>
                      <w:bCs/>
                    </w:rPr>
                  </w:pPr>
                  <w:r>
                    <w:rPr>
                      <w:rFonts w:hint="eastAsia"/>
                      <w:b/>
                      <w:bCs/>
                    </w:rPr>
                    <w:t>水域范围</w:t>
                  </w:r>
                  <w:r>
                    <w:rPr>
                      <w:rFonts w:hint="eastAsia"/>
                      <w:b/>
                      <w:bCs/>
                      <w:lang w:eastAsia="zh-CN"/>
                    </w:rPr>
                    <w:t>、</w:t>
                  </w:r>
                  <w:r>
                    <w:rPr>
                      <w:rFonts w:hint="eastAsia"/>
                      <w:b/>
                      <w:bCs/>
                    </w:rPr>
                    <w:t>陆域范围</w:t>
                  </w:r>
                </w:p>
              </w:tc>
              <w:tc>
                <w:tcPr>
                  <w:tcW w:w="1102" w:type="pct"/>
                  <w:noWrap w:val="0"/>
                  <w:vAlign w:val="center"/>
                </w:tcPr>
                <w:p>
                  <w:pPr>
                    <w:pStyle w:val="11"/>
                    <w:bidi w:val="0"/>
                    <w:rPr>
                      <w:b/>
                      <w:bCs/>
                    </w:rPr>
                  </w:pPr>
                  <w:r>
                    <w:rPr>
                      <w:rFonts w:hint="eastAsia"/>
                      <w:b/>
                      <w:bCs/>
                    </w:rPr>
                    <w:t>水域范围</w:t>
                  </w:r>
                  <w:r>
                    <w:rPr>
                      <w:rFonts w:hint="eastAsia"/>
                      <w:b/>
                      <w:bCs/>
                      <w:lang w:eastAsia="zh-CN"/>
                    </w:rPr>
                    <w:t>、</w:t>
                  </w:r>
                  <w:r>
                    <w:rPr>
                      <w:rFonts w:hint="eastAsia"/>
                      <w:b/>
                      <w:bCs/>
                    </w:rPr>
                    <w:t>陆域范围</w:t>
                  </w:r>
                </w:p>
              </w:tc>
              <w:tc>
                <w:tcPr>
                  <w:tcW w:w="997" w:type="pct"/>
                  <w:noWrap w:val="0"/>
                  <w:vAlign w:val="center"/>
                </w:tcPr>
                <w:p>
                  <w:pPr>
                    <w:pStyle w:val="11"/>
                    <w:bidi w:val="0"/>
                    <w:rPr>
                      <w:b/>
                      <w:bCs/>
                    </w:rPr>
                  </w:pPr>
                  <w:r>
                    <w:rPr>
                      <w:rFonts w:hint="eastAsia"/>
                      <w:b/>
                      <w:bCs/>
                    </w:rPr>
                    <w:t>水域范围</w:t>
                  </w:r>
                  <w:r>
                    <w:rPr>
                      <w:rFonts w:hint="eastAsia"/>
                      <w:b/>
                      <w:bCs/>
                      <w:lang w:eastAsia="zh-CN"/>
                    </w:rPr>
                    <w:t>、</w:t>
                  </w:r>
                  <w:r>
                    <w:rPr>
                      <w:rFonts w:hint="eastAsia"/>
                      <w:b/>
                      <w:bCs/>
                    </w:rPr>
                    <w:t>陆域范围</w:t>
                  </w:r>
                </w:p>
              </w:tc>
              <w:tc>
                <w:tcPr>
                  <w:tcW w:w="790" w:type="pct"/>
                  <w:vMerge w:val="continue"/>
                  <w:noWrap w:val="0"/>
                  <w:vAlign w:val="center"/>
                </w:tcPr>
                <w:p>
                  <w:pPr>
                    <w:pStyle w:val="11"/>
                    <w:bidi w:val="0"/>
                  </w:pPr>
                </w:p>
              </w:tc>
              <w:tc>
                <w:tcPr>
                  <w:tcW w:w="473" w:type="pct"/>
                  <w:vMerge w:val="continue"/>
                  <w:noWrap w:val="0"/>
                  <w:vAlign w:val="center"/>
                </w:tcPr>
                <w:p>
                  <w:pPr>
                    <w:pStyle w:val="11"/>
                    <w:bidi w:val="0"/>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85" w:hRule="atLeast"/>
                <w:jc w:val="center"/>
              </w:trPr>
              <w:tc>
                <w:tcPr>
                  <w:tcW w:w="550" w:type="pct"/>
                  <w:noWrap w:val="0"/>
                  <w:vAlign w:val="center"/>
                </w:tcPr>
                <w:p>
                  <w:pPr>
                    <w:pStyle w:val="11"/>
                    <w:bidi w:val="0"/>
                  </w:pPr>
                  <w:r>
                    <w:rPr>
                      <w:rFonts w:hint="eastAsia"/>
                      <w:lang w:val="en-US" w:eastAsia="zh-CN"/>
                    </w:rPr>
                    <w:t>后河徐家坡水源地</w:t>
                  </w:r>
                  <w:r>
                    <w:rPr>
                      <w:rFonts w:hint="eastAsia"/>
                    </w:rPr>
                    <w:t>E107°41′13.137″，N31°25′28.86″</w:t>
                  </w:r>
                </w:p>
              </w:tc>
              <w:tc>
                <w:tcPr>
                  <w:tcW w:w="1086" w:type="pct"/>
                  <w:noWrap w:val="0"/>
                  <w:vAlign w:val="center"/>
                </w:tcPr>
                <w:p>
                  <w:pPr>
                    <w:pStyle w:val="11"/>
                    <w:bidi w:val="0"/>
                    <w:rPr>
                      <w:rFonts w:hint="eastAsia"/>
                    </w:rPr>
                  </w:pPr>
                  <w:r>
                    <w:rPr>
                      <w:rFonts w:hint="eastAsia"/>
                      <w:lang w:eastAsia="zh-CN"/>
                    </w:rPr>
                    <w:t>航道除外，取水口下游500米处至取水口上游1000米，多年平均水位对应的高程线下的水域范围。正常水位线以上一级保护区水域边界右岸纵深200米，左岸纵深至宣清路临河侧防撞墙的陆域范围。</w:t>
                  </w:r>
                </w:p>
              </w:tc>
              <w:tc>
                <w:tcPr>
                  <w:tcW w:w="1102" w:type="pct"/>
                  <w:noWrap w:val="0"/>
                  <w:vAlign w:val="center"/>
                </w:tcPr>
                <w:p>
                  <w:pPr>
                    <w:pStyle w:val="11"/>
                    <w:bidi w:val="0"/>
                    <w:rPr>
                      <w:rFonts w:hint="eastAsia"/>
                    </w:rPr>
                  </w:pPr>
                  <w:r>
                    <w:rPr>
                      <w:rFonts w:hint="eastAsia"/>
                      <w:lang w:val="en-US" w:eastAsia="zh-CN"/>
                    </w:rPr>
                    <w:t>航道除外，取水口下游</w:t>
                  </w:r>
                  <w:r>
                    <w:rPr>
                      <w:rFonts w:hint="default"/>
                      <w:lang w:val="en-US" w:eastAsia="zh-CN"/>
                    </w:rPr>
                    <w:t>800</w:t>
                  </w:r>
                  <w:r>
                    <w:rPr>
                      <w:rFonts w:hint="eastAsia"/>
                      <w:lang w:val="en-US" w:eastAsia="zh-CN"/>
                    </w:rPr>
                    <w:t>米的梨湾溪入后河口下游侧至取水口上游</w:t>
                  </w:r>
                  <w:r>
                    <w:rPr>
                      <w:rFonts w:hint="default"/>
                      <w:lang w:val="en-US" w:eastAsia="zh-CN"/>
                    </w:rPr>
                    <w:t>3000</w:t>
                  </w:r>
                  <w:r>
                    <w:rPr>
                      <w:rFonts w:hint="eastAsia"/>
                      <w:lang w:val="en-US" w:eastAsia="zh-CN"/>
                    </w:rPr>
                    <w:t>米，多年平均水位对应的高程线下的水域范围。一、二级保护区水域边界沿两岸纵深至第一重山脊线的除一级保护区外的陆域范围。</w:t>
                  </w:r>
                </w:p>
              </w:tc>
              <w:tc>
                <w:tcPr>
                  <w:tcW w:w="997" w:type="pct"/>
                  <w:noWrap w:val="0"/>
                  <w:vAlign w:val="center"/>
                </w:tcPr>
                <w:p>
                  <w:pPr>
                    <w:pStyle w:val="11"/>
                    <w:bidi w:val="0"/>
                  </w:pPr>
                  <w:r>
                    <w:rPr>
                      <w:rFonts w:hint="eastAsia"/>
                      <w:lang w:val="en-US" w:eastAsia="zh-CN"/>
                    </w:rPr>
                    <w:t>后河二级保护区上边界上溯</w:t>
                  </w:r>
                  <w:r>
                    <w:rPr>
                      <w:rFonts w:hint="default"/>
                      <w:lang w:val="en-US" w:eastAsia="zh-CN"/>
                    </w:rPr>
                    <w:t>2000</w:t>
                  </w:r>
                  <w:r>
                    <w:rPr>
                      <w:rFonts w:hint="eastAsia"/>
                      <w:lang w:val="en-US" w:eastAsia="zh-CN"/>
                    </w:rPr>
                    <w:t>米，多年平均水位对应的高程线下的水域范围，以及梨湾溪集水范围内的全部水域范围。准保护区水域边界沿两岸纵深至流域分水岭的陆域，以及梨湾溪集水范围内的全部陆域范围。</w:t>
                  </w:r>
                </w:p>
              </w:tc>
              <w:tc>
                <w:tcPr>
                  <w:tcW w:w="790" w:type="pct"/>
                  <w:noWrap w:val="0"/>
                  <w:vAlign w:val="center"/>
                </w:tcPr>
                <w:p>
                  <w:pPr>
                    <w:pStyle w:val="11"/>
                    <w:bidi w:val="0"/>
                  </w:pPr>
                  <w:r>
                    <w:rPr>
                      <w:rFonts w:hint="eastAsia"/>
                    </w:rPr>
                    <w:t>本项目</w:t>
                  </w:r>
                  <w:r>
                    <w:rPr>
                      <w:rFonts w:hint="eastAsia"/>
                      <w:lang w:val="en-US" w:eastAsia="zh-CN"/>
                    </w:rPr>
                    <w:t>位于准保护区陆域范围内，距</w:t>
                  </w:r>
                  <w:r>
                    <w:rPr>
                      <w:rFonts w:hint="eastAsia"/>
                    </w:rPr>
                    <w:t>取水口</w:t>
                  </w:r>
                  <w:r>
                    <w:rPr>
                      <w:rFonts w:hint="eastAsia"/>
                      <w:lang w:eastAsia="zh-CN"/>
                    </w:rPr>
                    <w:t>约</w:t>
                  </w:r>
                  <w:r>
                    <w:rPr>
                      <w:rFonts w:hint="eastAsia"/>
                      <w:lang w:val="en-US" w:eastAsia="zh-CN"/>
                    </w:rPr>
                    <w:t>7.0km。</w:t>
                  </w:r>
                </w:p>
              </w:tc>
              <w:tc>
                <w:tcPr>
                  <w:tcW w:w="473" w:type="pct"/>
                  <w:noWrap w:val="0"/>
                  <w:vAlign w:val="center"/>
                </w:tcPr>
                <w:p>
                  <w:pPr>
                    <w:pStyle w:val="11"/>
                    <w:bidi w:val="0"/>
                    <w:rPr>
                      <w:rFonts w:hint="default"/>
                      <w:lang w:val="en-US" w:eastAsia="zh-CN"/>
                    </w:rPr>
                  </w:pPr>
                  <w:r>
                    <w:rPr>
                      <w:rFonts w:hint="eastAsia"/>
                      <w:lang w:val="en-US" w:eastAsia="zh-CN"/>
                    </w:rPr>
                    <w:t>涉及准保护区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55" w:hRule="atLeast"/>
                <w:jc w:val="center"/>
              </w:trPr>
              <w:tc>
                <w:tcPr>
                  <w:tcW w:w="550" w:type="pct"/>
                  <w:noWrap w:val="0"/>
                  <w:vAlign w:val="center"/>
                </w:tcPr>
                <w:p>
                  <w:pPr>
                    <w:pStyle w:val="11"/>
                    <w:bidi w:val="0"/>
                    <w:rPr>
                      <w:rFonts w:hint="eastAsia"/>
                      <w:lang w:eastAsia="zh-CN"/>
                    </w:rPr>
                  </w:pPr>
                  <w:r>
                    <w:rPr>
                      <w:rFonts w:hint="eastAsia"/>
                      <w:lang w:eastAsia="zh-CN"/>
                    </w:rPr>
                    <w:t>凉水井水库</w:t>
                  </w:r>
                  <w:r>
                    <w:rPr>
                      <w:rFonts w:hint="eastAsia"/>
                    </w:rPr>
                    <w:t>E107°41′13.137″，N31°25′28.86″</w:t>
                  </w:r>
                </w:p>
              </w:tc>
              <w:tc>
                <w:tcPr>
                  <w:tcW w:w="1086" w:type="pct"/>
                  <w:noWrap w:val="0"/>
                  <w:vAlign w:val="center"/>
                </w:tcPr>
                <w:p>
                  <w:pPr>
                    <w:pStyle w:val="11"/>
                    <w:bidi w:val="0"/>
                    <w:rPr>
                      <w:rFonts w:hint="eastAsia"/>
                      <w:lang w:eastAsia="zh-CN"/>
                    </w:rPr>
                  </w:pPr>
                  <w:r>
                    <w:rPr>
                      <w:rFonts w:hint="eastAsia"/>
                      <w:lang w:eastAsia="zh-CN"/>
                    </w:rPr>
                    <w:t>凉水井水库多年平均水位对应的高程线(641.9米)以下的全部水域范围。凉水井水库一级保护区水域外200米范围内，但不超过分水岭的全部陆域范围。</w:t>
                  </w:r>
                </w:p>
              </w:tc>
              <w:tc>
                <w:tcPr>
                  <w:tcW w:w="1102" w:type="pct"/>
                  <w:noWrap w:val="0"/>
                  <w:vAlign w:val="center"/>
                </w:tcPr>
                <w:p>
                  <w:pPr>
                    <w:pStyle w:val="11"/>
                    <w:bidi w:val="0"/>
                    <w:rPr>
                      <w:rFonts w:hint="eastAsia"/>
                      <w:lang w:eastAsia="zh-CN"/>
                    </w:rPr>
                  </w:pPr>
                  <w:r>
                    <w:rPr>
                      <w:rFonts w:hint="eastAsia"/>
                      <w:lang w:eastAsia="zh-CN"/>
                    </w:rPr>
                    <w:t>除一级保护区外，凉水井水库坝顶以上汇水范围内的全部水域陆域范围。</w:t>
                  </w:r>
                </w:p>
              </w:tc>
              <w:tc>
                <w:tcPr>
                  <w:tcW w:w="997" w:type="pct"/>
                  <w:noWrap w:val="0"/>
                  <w:vAlign w:val="center"/>
                </w:tcPr>
                <w:p>
                  <w:pPr>
                    <w:pStyle w:val="11"/>
                    <w:bidi w:val="0"/>
                    <w:rPr>
                      <w:rFonts w:hint="eastAsia"/>
                      <w:lang w:val="en-US" w:eastAsia="zh-CN"/>
                    </w:rPr>
                  </w:pPr>
                  <w:r>
                    <w:rPr>
                      <w:rFonts w:hint="eastAsia"/>
                      <w:lang w:val="en-US" w:eastAsia="zh-CN"/>
                    </w:rPr>
                    <w:t>/</w:t>
                  </w:r>
                </w:p>
              </w:tc>
              <w:tc>
                <w:tcPr>
                  <w:tcW w:w="790" w:type="pct"/>
                  <w:noWrap w:val="0"/>
                  <w:vAlign w:val="center"/>
                </w:tcPr>
                <w:p>
                  <w:pPr>
                    <w:pStyle w:val="11"/>
                    <w:bidi w:val="0"/>
                    <w:rPr>
                      <w:rFonts w:hint="default"/>
                      <w:lang w:val="en-US"/>
                    </w:rPr>
                  </w:pPr>
                  <w:r>
                    <w:rPr>
                      <w:rFonts w:hint="eastAsia"/>
                    </w:rPr>
                    <w:t>本项目距</w:t>
                  </w:r>
                  <w:r>
                    <w:rPr>
                      <w:rFonts w:hint="eastAsia"/>
                      <w:lang w:eastAsia="zh-CN"/>
                    </w:rPr>
                    <w:t>保护区约</w:t>
                  </w:r>
                  <w:r>
                    <w:rPr>
                      <w:rFonts w:hint="eastAsia"/>
                      <w:lang w:val="en-US" w:eastAsia="zh-CN"/>
                    </w:rPr>
                    <w:t>310m，距</w:t>
                  </w:r>
                  <w:r>
                    <w:rPr>
                      <w:rFonts w:hint="eastAsia"/>
                    </w:rPr>
                    <w:t>取水口</w:t>
                  </w:r>
                  <w:r>
                    <w:rPr>
                      <w:rFonts w:hint="eastAsia"/>
                      <w:lang w:eastAsia="zh-CN"/>
                    </w:rPr>
                    <w:t>约</w:t>
                  </w:r>
                  <w:r>
                    <w:rPr>
                      <w:rFonts w:hint="eastAsia"/>
                      <w:lang w:val="en-US" w:eastAsia="zh-CN"/>
                    </w:rPr>
                    <w:t>560m。</w:t>
                  </w:r>
                </w:p>
              </w:tc>
              <w:tc>
                <w:tcPr>
                  <w:tcW w:w="473" w:type="pct"/>
                  <w:noWrap w:val="0"/>
                  <w:vAlign w:val="center"/>
                </w:tcPr>
                <w:p>
                  <w:pPr>
                    <w:pStyle w:val="11"/>
                    <w:bidi w:val="0"/>
                    <w:rPr>
                      <w:rFonts w:hint="default"/>
                      <w:lang w:val="en-US" w:eastAsia="zh-CN"/>
                    </w:rPr>
                  </w:pPr>
                  <w:r>
                    <w:rPr>
                      <w:rFonts w:hint="eastAsia"/>
                      <w:lang w:val="en-US" w:eastAsia="zh-CN"/>
                    </w:rPr>
                    <w:t>否</w:t>
                  </w:r>
                </w:p>
              </w:tc>
            </w:tr>
          </w:tbl>
          <w:p>
            <w:pPr>
              <w:bidi w:val="0"/>
              <w:rPr>
                <w:rFonts w:hint="eastAsia"/>
              </w:rPr>
            </w:pPr>
            <w:r>
              <w:rPr>
                <w:rFonts w:hint="eastAsia"/>
              </w:rPr>
              <w:t>由上表可知，本项目位于后河徐家坡水源地准保护区陆域范围内，距取水口约7.0km</w:t>
            </w:r>
            <w:r>
              <w:rPr>
                <w:rFonts w:hint="eastAsia"/>
                <w:lang w:eastAsia="zh-CN"/>
              </w:rPr>
              <w:t>，</w:t>
            </w:r>
            <w:r>
              <w:rPr>
                <w:rFonts w:hint="eastAsia"/>
                <w:lang w:val="en-US" w:eastAsia="zh-CN"/>
              </w:rPr>
              <w:t>本项目无生产废水产生，生活污水经化粪池收集后排入园区污水处理厂处理达标后排放，不属于对水体污染严重的建设项目，满足准保护区防护要求。</w:t>
            </w:r>
            <w:r>
              <w:rPr>
                <w:rFonts w:hint="eastAsia"/>
              </w:rPr>
              <w:t>本项目距离</w:t>
            </w:r>
            <w:r>
              <w:rPr>
                <w:rFonts w:hint="eastAsia"/>
                <w:lang w:eastAsia="zh-CN"/>
              </w:rPr>
              <w:t>凉水井水库</w:t>
            </w:r>
            <w:r>
              <w:rPr>
                <w:rFonts w:hint="eastAsia"/>
              </w:rPr>
              <w:t>集中式饮用水源</w:t>
            </w:r>
            <w:r>
              <w:rPr>
                <w:rFonts w:hint="eastAsia"/>
                <w:lang w:eastAsia="zh-CN"/>
              </w:rPr>
              <w:t>保护区</w:t>
            </w:r>
            <w:r>
              <w:rPr>
                <w:rFonts w:hint="eastAsia"/>
                <w:lang w:val="en-US" w:eastAsia="zh-CN"/>
              </w:rPr>
              <w:t>310</w:t>
            </w:r>
            <w:r>
              <w:rPr>
                <w:rFonts w:hint="eastAsia"/>
                <w:lang w:eastAsia="zh-CN"/>
              </w:rPr>
              <w:t>m</w:t>
            </w:r>
            <w:r>
              <w:rPr>
                <w:rFonts w:hint="eastAsia"/>
              </w:rPr>
              <w:t>，距取水口560m</w:t>
            </w:r>
            <w:r>
              <w:rPr>
                <w:rFonts w:hint="eastAsia"/>
                <w:lang w:eastAsia="zh-CN"/>
              </w:rPr>
              <w:t>，</w:t>
            </w:r>
            <w:r>
              <w:rPr>
                <w:rFonts w:hint="eastAsia"/>
              </w:rPr>
              <w:t>不涉及集中式饮用水源保护区</w:t>
            </w:r>
            <w:r>
              <w:rPr>
                <w:rFonts w:hint="eastAsia"/>
                <w:lang w:eastAsia="zh-CN"/>
              </w:rPr>
              <w:t>，</w:t>
            </w:r>
            <w:r>
              <w:rPr>
                <w:rFonts w:hint="eastAsia"/>
              </w:rPr>
              <w:t>项目与饮用水源位置关系见附图。同时，</w:t>
            </w:r>
            <w:r>
              <w:rPr>
                <w:rFonts w:hint="eastAsia"/>
                <w:lang w:eastAsia="zh-CN"/>
              </w:rPr>
              <w:t>项目（高程</w:t>
            </w:r>
            <w:r>
              <w:rPr>
                <w:rFonts w:hint="eastAsia"/>
                <w:lang w:val="en-US" w:eastAsia="zh-CN"/>
              </w:rPr>
              <w:t>664m</w:t>
            </w:r>
            <w:r>
              <w:rPr>
                <w:rFonts w:hint="eastAsia"/>
                <w:lang w:eastAsia="zh-CN"/>
              </w:rPr>
              <w:t>）与水库</w:t>
            </w:r>
            <w:r>
              <w:rPr>
                <w:rFonts w:hint="eastAsia"/>
              </w:rPr>
              <w:t>中间有山脊分隔（最低</w:t>
            </w:r>
            <w:r>
              <w:rPr>
                <w:rFonts w:hint="eastAsia"/>
                <w:lang w:eastAsia="zh-CN"/>
              </w:rPr>
              <w:t>高程</w:t>
            </w:r>
            <w:r>
              <w:rPr>
                <w:rFonts w:hint="eastAsia"/>
              </w:rPr>
              <w:t>67</w:t>
            </w:r>
            <w:r>
              <w:rPr>
                <w:rFonts w:hint="eastAsia"/>
                <w:lang w:val="en-US" w:eastAsia="zh-CN"/>
              </w:rPr>
              <w:t>2</w:t>
            </w:r>
            <w:r>
              <w:rPr>
                <w:rFonts w:hint="eastAsia"/>
              </w:rPr>
              <w:t>m）</w:t>
            </w:r>
            <w:r>
              <w:rPr>
                <w:rFonts w:hint="eastAsia"/>
                <w:lang w:eastAsia="zh-CN"/>
              </w:rPr>
              <w:t>，</w:t>
            </w:r>
            <w:r>
              <w:rPr>
                <w:rFonts w:hint="eastAsia"/>
              </w:rPr>
              <w:t>项目不在凉水井水库</w:t>
            </w:r>
            <w:r>
              <w:rPr>
                <w:rFonts w:hint="eastAsia"/>
                <w:lang w:eastAsia="zh-CN"/>
              </w:rPr>
              <w:t>集雨</w:t>
            </w:r>
            <w:r>
              <w:rPr>
                <w:rFonts w:hint="eastAsia"/>
              </w:rPr>
              <w:t>范围</w:t>
            </w:r>
            <w:r>
              <w:rPr>
                <w:rFonts w:hint="eastAsia"/>
                <w:lang w:eastAsia="zh-CN"/>
              </w:rPr>
              <w:t>内</w:t>
            </w:r>
            <w:r>
              <w:rPr>
                <w:rFonts w:hint="eastAsia"/>
              </w:rPr>
              <w:t>，项目对凉水井水库(村级)集中式饮用水水源地无影响。</w:t>
            </w:r>
          </w:p>
          <w:p>
            <w:pPr>
              <w:keepNext w:val="0"/>
              <w:keepLines w:val="0"/>
              <w:pageBreakBefore w:val="0"/>
              <w:widowControl w:val="0"/>
              <w:kinsoku/>
              <w:wordWrap w:val="0"/>
              <w:overflowPunct/>
              <w:topLinePunct w:val="0"/>
              <w:autoSpaceDE w:val="0"/>
              <w:autoSpaceDN w:val="0"/>
              <w:bidi w:val="0"/>
              <w:adjustRightInd w:val="0"/>
              <w:snapToGrid w:val="0"/>
              <w:spacing w:line="348" w:lineRule="auto"/>
              <w:ind w:firstLine="482" w:firstLineChars="200"/>
              <w:jc w:val="left"/>
              <w:textAlignment w:val="auto"/>
              <w:rPr>
                <w:rFonts w:hint="eastAsia" w:ascii="Times New Roman" w:hAnsi="Times New Roman" w:eastAsia="宋体" w:cs="Times New Roman"/>
                <w:b/>
                <w:color w:val="auto"/>
                <w:kern w:val="2"/>
                <w:sz w:val="24"/>
                <w:szCs w:val="24"/>
                <w:lang w:val="en-US" w:eastAsia="zh-CN" w:bidi="zh-CN"/>
              </w:rPr>
            </w:pPr>
            <w:r>
              <w:rPr>
                <w:rFonts w:hint="eastAsia"/>
                <w:b/>
                <w:bCs/>
                <w:color w:val="auto"/>
                <w:kern w:val="0"/>
                <w:szCs w:val="21"/>
                <w:lang w:val="en-US" w:eastAsia="zh-CN"/>
              </w:rPr>
              <w:t>10、</w:t>
            </w:r>
            <w:r>
              <w:rPr>
                <w:rFonts w:hint="eastAsia" w:ascii="Times New Roman" w:hAnsi="Times New Roman" w:eastAsia="宋体" w:cs="Times New Roman"/>
                <w:b/>
                <w:color w:val="auto"/>
                <w:kern w:val="2"/>
                <w:sz w:val="24"/>
                <w:szCs w:val="24"/>
                <w:lang w:val="en-US" w:eastAsia="zh-CN" w:bidi="zh-CN"/>
              </w:rPr>
              <w:t>与后河特有鱼类国家级水产种质资源保护区位置关系</w:t>
            </w:r>
          </w:p>
          <w:p>
            <w:pPr>
              <w:bidi w:val="0"/>
              <w:rPr>
                <w:rFonts w:hint="default"/>
                <w:lang w:val="en-US" w:eastAsia="zh-CN"/>
              </w:rPr>
            </w:pPr>
            <w:r>
              <w:rPr>
                <w:rFonts w:hint="eastAsia"/>
                <w:lang w:val="en-US" w:eastAsia="zh-CN"/>
              </w:rPr>
              <w:t>后河特有鱼类国家级水产种质资源保护区于2010年11月25日由农业部以第1491号公告批准建立。保护区总面积840公顷，其中核心区面积320公顷，实验区面积520公顷。保护区特别保护期为全年。保护区位于四川省宣汉县境内，属渠江水系的后河，范围在东经</w:t>
            </w:r>
            <w:r>
              <w:rPr>
                <w:rFonts w:hint="default"/>
                <w:lang w:val="en-US" w:eastAsia="zh-CN"/>
              </w:rPr>
              <w:t>107°4</w:t>
            </w:r>
            <w:r>
              <w:rPr>
                <w:rFonts w:hint="eastAsia"/>
                <w:lang w:val="en-US" w:eastAsia="zh-CN"/>
              </w:rPr>
              <w:t>2</w:t>
            </w:r>
            <w:r>
              <w:rPr>
                <w:rFonts w:hint="default"/>
                <w:lang w:val="en-US" w:eastAsia="zh-CN"/>
              </w:rPr>
              <w:t>′</w:t>
            </w:r>
            <w:r>
              <w:rPr>
                <w:rFonts w:hint="eastAsia"/>
                <w:lang w:val="en-US" w:eastAsia="zh-CN"/>
              </w:rPr>
              <w:t>56</w:t>
            </w:r>
            <w:r>
              <w:rPr>
                <w:rFonts w:hint="default"/>
                <w:lang w:val="en-US" w:eastAsia="zh-CN"/>
              </w:rPr>
              <w:t>″</w:t>
            </w:r>
            <w:r>
              <w:rPr>
                <w:rFonts w:hint="eastAsia"/>
                <w:lang w:val="en-US" w:eastAsia="zh-CN"/>
              </w:rPr>
              <w:t>~</w:t>
            </w:r>
            <w:r>
              <w:rPr>
                <w:rFonts w:hint="default"/>
                <w:lang w:val="en-US" w:eastAsia="zh-CN"/>
              </w:rPr>
              <w:t>107°4</w:t>
            </w:r>
            <w:r>
              <w:rPr>
                <w:rFonts w:hint="eastAsia"/>
                <w:lang w:val="en-US" w:eastAsia="zh-CN"/>
              </w:rPr>
              <w:t>2</w:t>
            </w:r>
            <w:r>
              <w:rPr>
                <w:rFonts w:hint="default"/>
                <w:lang w:val="en-US" w:eastAsia="zh-CN"/>
              </w:rPr>
              <w:t>′</w:t>
            </w:r>
            <w:r>
              <w:rPr>
                <w:rFonts w:hint="eastAsia"/>
                <w:lang w:val="en-US" w:eastAsia="zh-CN"/>
              </w:rPr>
              <w:t>58</w:t>
            </w:r>
            <w:r>
              <w:rPr>
                <w:rFonts w:hint="default"/>
                <w:lang w:val="en-US" w:eastAsia="zh-CN"/>
              </w:rPr>
              <w:t>″</w:t>
            </w:r>
            <w:r>
              <w:rPr>
                <w:rFonts w:hint="eastAsia"/>
                <w:lang w:val="en-US" w:eastAsia="zh-CN"/>
              </w:rPr>
              <w:t>，北纬31</w:t>
            </w:r>
            <w:r>
              <w:rPr>
                <w:rFonts w:hint="default"/>
                <w:lang w:val="en-US" w:eastAsia="zh-CN"/>
              </w:rPr>
              <w:t>°</w:t>
            </w:r>
            <w:r>
              <w:rPr>
                <w:rFonts w:hint="eastAsia"/>
                <w:lang w:val="en-US" w:eastAsia="zh-CN"/>
              </w:rPr>
              <w:t>39</w:t>
            </w:r>
            <w:r>
              <w:rPr>
                <w:rFonts w:hint="default"/>
                <w:lang w:val="en-US" w:eastAsia="zh-CN"/>
              </w:rPr>
              <w:t>′</w:t>
            </w:r>
            <w:r>
              <w:rPr>
                <w:rFonts w:hint="eastAsia"/>
                <w:lang w:val="en-US" w:eastAsia="zh-CN"/>
              </w:rPr>
              <w:t>59</w:t>
            </w:r>
            <w:r>
              <w:rPr>
                <w:rFonts w:hint="default"/>
                <w:lang w:val="en-US" w:eastAsia="zh-CN"/>
              </w:rPr>
              <w:t>″</w:t>
            </w:r>
            <w:r>
              <w:rPr>
                <w:rFonts w:hint="eastAsia"/>
                <w:lang w:val="en-US" w:eastAsia="zh-CN"/>
              </w:rPr>
              <w:t>~31</w:t>
            </w:r>
            <w:r>
              <w:rPr>
                <w:rFonts w:hint="default"/>
                <w:lang w:val="en-US" w:eastAsia="zh-CN"/>
              </w:rPr>
              <w:t>°</w:t>
            </w:r>
            <w:r>
              <w:rPr>
                <w:rFonts w:hint="eastAsia"/>
                <w:lang w:val="en-US" w:eastAsia="zh-CN"/>
              </w:rPr>
              <w:t>39</w:t>
            </w:r>
            <w:r>
              <w:rPr>
                <w:rFonts w:hint="default"/>
                <w:lang w:val="en-US" w:eastAsia="zh-CN"/>
              </w:rPr>
              <w:t>′</w:t>
            </w:r>
            <w:r>
              <w:rPr>
                <w:rFonts w:hint="eastAsia"/>
                <w:lang w:val="en-US" w:eastAsia="zh-CN"/>
              </w:rPr>
              <w:t>16</w:t>
            </w:r>
            <w:r>
              <w:rPr>
                <w:rFonts w:hint="default"/>
                <w:lang w:val="en-US" w:eastAsia="zh-CN"/>
              </w:rPr>
              <w:t>″</w:t>
            </w:r>
            <w:r>
              <w:rPr>
                <w:rFonts w:hint="eastAsia"/>
                <w:lang w:val="en-US" w:eastAsia="zh-CN"/>
              </w:rPr>
              <w:t>之间。保护区是自上游至下游依次经由毛坝大水荡村高落关（107</w:t>
            </w:r>
            <w:r>
              <w:rPr>
                <w:rFonts w:hint="default"/>
                <w:lang w:val="en-US" w:eastAsia="zh-CN"/>
              </w:rPr>
              <w:t>°</w:t>
            </w:r>
            <w:r>
              <w:rPr>
                <w:rFonts w:hint="eastAsia"/>
                <w:lang w:val="en-US" w:eastAsia="zh-CN"/>
              </w:rPr>
              <w:t>46</w:t>
            </w:r>
            <w:r>
              <w:rPr>
                <w:rFonts w:hint="default"/>
                <w:lang w:val="en-US" w:eastAsia="zh-CN"/>
              </w:rPr>
              <w:t>′</w:t>
            </w:r>
            <w:r>
              <w:rPr>
                <w:rFonts w:hint="eastAsia"/>
                <w:lang w:val="en-US" w:eastAsia="zh-CN"/>
              </w:rPr>
              <w:t>54</w:t>
            </w:r>
            <w:r>
              <w:rPr>
                <w:rFonts w:hint="default"/>
                <w:lang w:val="en-US" w:eastAsia="zh-CN"/>
              </w:rPr>
              <w:t>″</w:t>
            </w:r>
            <w:r>
              <w:rPr>
                <w:rFonts w:hint="eastAsia"/>
                <w:lang w:val="en-US" w:eastAsia="zh-CN"/>
              </w:rPr>
              <w:t>E，31</w:t>
            </w:r>
            <w:r>
              <w:rPr>
                <w:rFonts w:hint="default"/>
                <w:lang w:val="en-US" w:eastAsia="zh-CN"/>
              </w:rPr>
              <w:t>°</w:t>
            </w:r>
            <w:r>
              <w:rPr>
                <w:rFonts w:hint="eastAsia"/>
                <w:lang w:val="en-US" w:eastAsia="zh-CN"/>
              </w:rPr>
              <w:t>39</w:t>
            </w:r>
            <w:r>
              <w:rPr>
                <w:rFonts w:hint="default"/>
                <w:lang w:val="en-US" w:eastAsia="zh-CN"/>
              </w:rPr>
              <w:t>′</w:t>
            </w:r>
            <w:r>
              <w:rPr>
                <w:rFonts w:hint="eastAsia"/>
                <w:lang w:val="en-US" w:eastAsia="zh-CN"/>
              </w:rPr>
              <w:t>6</w:t>
            </w:r>
            <w:r>
              <w:rPr>
                <w:rFonts w:hint="default"/>
                <w:lang w:val="en-US" w:eastAsia="zh-CN"/>
              </w:rPr>
              <w:t>″</w:t>
            </w:r>
            <w:r>
              <w:rPr>
                <w:rFonts w:hint="eastAsia"/>
                <w:lang w:val="en-US" w:eastAsia="zh-CN"/>
              </w:rPr>
              <w:t>N）、毛坝大水荡村灯笼扁（107</w:t>
            </w:r>
            <w:r>
              <w:rPr>
                <w:rFonts w:hint="default"/>
                <w:lang w:val="en-US" w:eastAsia="zh-CN"/>
              </w:rPr>
              <w:t>°</w:t>
            </w:r>
            <w:r>
              <w:rPr>
                <w:rFonts w:hint="eastAsia"/>
                <w:lang w:val="en-US" w:eastAsia="zh-CN"/>
              </w:rPr>
              <w:t>46</w:t>
            </w:r>
            <w:r>
              <w:rPr>
                <w:rFonts w:hint="default"/>
                <w:lang w:val="en-US" w:eastAsia="zh-CN"/>
              </w:rPr>
              <w:t>′</w:t>
            </w:r>
            <w:r>
              <w:rPr>
                <w:rFonts w:hint="eastAsia"/>
                <w:lang w:val="en-US" w:eastAsia="zh-CN"/>
              </w:rPr>
              <w:t>58</w:t>
            </w:r>
            <w:r>
              <w:rPr>
                <w:rFonts w:hint="default"/>
                <w:lang w:val="en-US" w:eastAsia="zh-CN"/>
              </w:rPr>
              <w:t>″</w:t>
            </w:r>
            <w:r>
              <w:rPr>
                <w:rFonts w:hint="eastAsia"/>
                <w:lang w:val="en-US" w:eastAsia="zh-CN"/>
              </w:rPr>
              <w:t>E，31</w:t>
            </w:r>
            <w:r>
              <w:rPr>
                <w:rFonts w:hint="default"/>
                <w:lang w:val="en-US" w:eastAsia="zh-CN"/>
              </w:rPr>
              <w:t>°</w:t>
            </w:r>
            <w:r>
              <w:rPr>
                <w:rFonts w:hint="eastAsia"/>
                <w:lang w:val="en-US" w:eastAsia="zh-CN"/>
              </w:rPr>
              <w:t>39</w:t>
            </w:r>
            <w:r>
              <w:rPr>
                <w:rFonts w:hint="default"/>
                <w:lang w:val="en-US" w:eastAsia="zh-CN"/>
              </w:rPr>
              <w:t>′</w:t>
            </w:r>
            <w:r>
              <w:rPr>
                <w:rFonts w:hint="eastAsia"/>
                <w:lang w:val="en-US" w:eastAsia="zh-CN"/>
              </w:rPr>
              <w:t>16</w:t>
            </w:r>
            <w:r>
              <w:rPr>
                <w:rFonts w:hint="default"/>
                <w:lang w:val="en-US" w:eastAsia="zh-CN"/>
              </w:rPr>
              <w:t>″</w:t>
            </w:r>
            <w:r>
              <w:rPr>
                <w:rFonts w:hint="eastAsia"/>
                <w:lang w:val="en-US" w:eastAsia="zh-CN"/>
              </w:rPr>
              <w:t>N）、毛坝老街溪口（107</w:t>
            </w:r>
            <w:r>
              <w:rPr>
                <w:rFonts w:hint="default"/>
                <w:lang w:val="en-US" w:eastAsia="zh-CN"/>
              </w:rPr>
              <w:t>°</w:t>
            </w:r>
            <w:r>
              <w:rPr>
                <w:rFonts w:hint="eastAsia"/>
                <w:lang w:val="en-US" w:eastAsia="zh-CN"/>
              </w:rPr>
              <w:t>44</w:t>
            </w:r>
            <w:r>
              <w:rPr>
                <w:rFonts w:hint="default"/>
                <w:lang w:val="en-US" w:eastAsia="zh-CN"/>
              </w:rPr>
              <w:t>′</w:t>
            </w:r>
            <w:r>
              <w:rPr>
                <w:rFonts w:hint="eastAsia"/>
                <w:lang w:val="en-US" w:eastAsia="zh-CN"/>
              </w:rPr>
              <w:t>25</w:t>
            </w:r>
            <w:r>
              <w:rPr>
                <w:rFonts w:hint="default"/>
                <w:lang w:val="en-US" w:eastAsia="zh-CN"/>
              </w:rPr>
              <w:t>″</w:t>
            </w:r>
            <w:r>
              <w:rPr>
                <w:rFonts w:hint="eastAsia"/>
                <w:lang w:val="en-US" w:eastAsia="zh-CN"/>
              </w:rPr>
              <w:t>E，31</w:t>
            </w:r>
            <w:r>
              <w:rPr>
                <w:rFonts w:hint="default"/>
                <w:lang w:val="en-US" w:eastAsia="zh-CN"/>
              </w:rPr>
              <w:t>°</w:t>
            </w:r>
            <w:r>
              <w:rPr>
                <w:rFonts w:hint="eastAsia"/>
                <w:lang w:val="en-US" w:eastAsia="zh-CN"/>
              </w:rPr>
              <w:t>36</w:t>
            </w:r>
            <w:r>
              <w:rPr>
                <w:rFonts w:hint="default"/>
                <w:lang w:val="en-US" w:eastAsia="zh-CN"/>
              </w:rPr>
              <w:t>′</w:t>
            </w:r>
            <w:r>
              <w:rPr>
                <w:rFonts w:hint="eastAsia"/>
                <w:lang w:val="en-US" w:eastAsia="zh-CN"/>
              </w:rPr>
              <w:t>36</w:t>
            </w:r>
            <w:r>
              <w:rPr>
                <w:rFonts w:hint="default"/>
                <w:lang w:val="en-US" w:eastAsia="zh-CN"/>
              </w:rPr>
              <w:t>″</w:t>
            </w:r>
            <w:r>
              <w:rPr>
                <w:rFonts w:hint="eastAsia"/>
                <w:lang w:val="en-US" w:eastAsia="zh-CN"/>
              </w:rPr>
              <w:t>）、毛坝弹子村小胡岸</w:t>
            </w:r>
            <w:r>
              <w:rPr>
                <w:rFonts w:hint="default"/>
                <w:lang w:val="en-US" w:eastAsia="zh-CN"/>
              </w:rPr>
              <w:t>（107°44′9″E，31°34′51″N）、胡家镇跳河村陈家嘴（107°42′56″E，31°35′5″N）、胡家镇堰沟村黄家湾（107°54′34″E，31°32′2″N）、普光镇巴人村樊家湾（107°43′19″E，31°34′53″N）、普光镇铜坎村铜坎洞（107°44′40″E，31°31′59″N）、普光镇巴人村鸭嘴（107°45′33″E，31°31′56″N）九个拐点的后河组成，流经毛坝镇、胡家镇、普光镇，全长56公里。其中核心区为毛坝镇大水荡（107°45′52″E，31°38′30″N）至胡家镇跳河（107°45′43″E，31°34′29″N）的河段，长25km。实验区分为2段，第一河段从毛坝大水荡村灯笼扁（107°46′58″E，31°39′16″N）至毛坝镇大水荡（107°45′52″E，31°38′30″N），长7km；第二河段从胡家镇跳河（107°45′43″E，31°34′29″N）至普光镇巴人村鸭嘴（107°45′33″E，31°31′56″N），长24km。主要保护对象为岩原鲤、南方大口鲶、黄颡鱼、华鲮、中华鳖、中华倒刺鲃，其它保护对象包括鳜鱼、中华裂腹鱼、重口裂腹鱼、大鳍鱯、白缘央、黑尾央等。</w:t>
            </w:r>
          </w:p>
          <w:p>
            <w:pPr>
              <w:bidi w:val="0"/>
              <w:rPr>
                <w:rFonts w:hint="default"/>
                <w:lang w:val="en-US" w:eastAsia="zh-CN"/>
              </w:rPr>
            </w:pPr>
            <w:r>
              <w:rPr>
                <w:rFonts w:hint="eastAsia"/>
              </w:rPr>
              <w:t>本项目位于</w:t>
            </w:r>
            <w:r>
              <w:rPr>
                <w:rFonts w:hint="eastAsia"/>
                <w:lang w:eastAsia="zh-CN"/>
              </w:rPr>
              <w:t>宣汉县普光经开区柳池功能区内，距离</w:t>
            </w:r>
            <w:r>
              <w:rPr>
                <w:rFonts w:hint="eastAsia"/>
                <w:lang w:val="en-US" w:eastAsia="zh-CN"/>
              </w:rPr>
              <w:t>后河特有鱼类国家级水产种质资源保护区约13km，本项目不涉及后河特有鱼类国家级水产种质资源保护区。</w:t>
            </w:r>
          </w:p>
          <w:p>
            <w:pPr>
              <w:adjustRightInd w:val="0"/>
              <w:snapToGrid w:val="0"/>
              <w:ind w:firstLine="482"/>
              <w:rPr>
                <w:b/>
                <w:bCs/>
                <w:color w:val="auto"/>
                <w:kern w:val="0"/>
                <w:szCs w:val="21"/>
              </w:rPr>
            </w:pPr>
            <w:r>
              <w:rPr>
                <w:rFonts w:hint="eastAsia"/>
                <w:b/>
                <w:bCs/>
                <w:color w:val="auto"/>
                <w:kern w:val="0"/>
                <w:szCs w:val="21"/>
                <w:lang w:val="en-US" w:eastAsia="zh-CN"/>
              </w:rPr>
              <w:t>11</w:t>
            </w:r>
            <w:r>
              <w:rPr>
                <w:b/>
                <w:bCs/>
                <w:color w:val="auto"/>
                <w:kern w:val="0"/>
                <w:szCs w:val="21"/>
              </w:rPr>
              <w:t>、本项目</w:t>
            </w:r>
            <w:r>
              <w:rPr>
                <w:rFonts w:hint="eastAsia"/>
                <w:b/>
                <w:bCs/>
                <w:color w:val="auto"/>
                <w:kern w:val="0"/>
                <w:szCs w:val="21"/>
              </w:rPr>
              <w:t>《废</w:t>
            </w:r>
            <w:r>
              <w:rPr>
                <w:rFonts w:hint="eastAsia"/>
                <w:b/>
                <w:bCs/>
                <w:color w:val="auto"/>
                <w:kern w:val="0"/>
                <w:szCs w:val="21"/>
              </w:rPr>
              <mc:AlternateContent>
                <mc:Choice Requires="wps">
                  <w:drawing>
                    <wp:inline distT="0" distB="0" distL="114300" distR="114300">
                      <wp:extent cx="635" cy="635"/>
                      <wp:effectExtent l="0" t="0" r="0" b="0"/>
                      <wp:docPr id="1" name="矩形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35" cy="635"/>
                              </a:xfrm>
                              <a:prstGeom prst="rect">
                                <a:avLst/>
                              </a:prstGeom>
                              <a:noFill/>
                              <a:ln>
                                <a:noFill/>
                              </a:ln>
                            </wps:spPr>
                            <wps:bodyPr upright="1"/>
                          </wps:wsp>
                        </a:graphicData>
                      </a:graphic>
                    </wp:inline>
                  </w:drawing>
                </mc:Choice>
                <mc:Fallback>
                  <w:pict>
                    <v:rect id="_x0000_s1026" o:spid="_x0000_s1026" o:spt="1" style="height:0.05pt;width:0.05pt;" filled="f" stroked="f" coordsize="21600,21600" o:gfxdata="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ZpzHKs8AAAD/AAAADwAAAAAA&#10;AAABACAAAAAiAAAAZHJzL2Rvd25yZXYueG1sUEsBAhQAFAAAAAgAh07iQKBck6iqAQAAWwMAAA4A&#10;AAAAAAAAAQAgAAAAHgEAAGRycy9lMm9Eb2MueG1sUEsFBgAAAAAGAAYAWQEAADoFAAAAAA==&#10;">
                      <v:fill on="f" focussize="0,0"/>
                      <v:stroke on="f"/>
                      <v:imagedata o:title=""/>
                      <o:lock v:ext="edit" aspectratio="t"/>
                      <w10:wrap type="none"/>
                      <w10:anchorlock/>
                    </v:rect>
                  </w:pict>
                </mc:Fallback>
              </mc:AlternateContent>
            </w:r>
            <w:r>
              <w:rPr>
                <w:rFonts w:hint="eastAsia"/>
                <w:b/>
                <w:bCs/>
                <w:color w:val="auto"/>
                <w:kern w:val="0"/>
                <w:szCs w:val="21"/>
              </w:rPr>
              <w:t>塑料综合利用行业规范条件》</w:t>
            </w:r>
            <w:r>
              <w:rPr>
                <w:b/>
                <w:bCs/>
                <w:color w:val="auto"/>
                <w:kern w:val="0"/>
                <w:szCs w:val="21"/>
              </w:rPr>
              <w:t>相容性分析</w:t>
            </w:r>
          </w:p>
          <w:p>
            <w:pPr>
              <w:ind w:firstLine="480"/>
              <w:rPr>
                <w:rFonts w:hint="eastAsia" w:eastAsia="宋体"/>
                <w:color w:val="auto"/>
                <w:lang w:eastAsia="zh-CN"/>
              </w:rPr>
            </w:pPr>
            <w:r>
              <w:rPr>
                <w:rFonts w:hint="eastAsia"/>
                <w:color w:val="auto"/>
              </w:rPr>
              <w:t>本项目年产约</w:t>
            </w:r>
            <w:r>
              <w:rPr>
                <w:rFonts w:hint="eastAsia"/>
                <w:color w:val="auto"/>
                <w:lang w:val="en-US" w:eastAsia="zh-CN"/>
              </w:rPr>
              <w:t>75</w:t>
            </w:r>
            <w:r>
              <w:rPr>
                <w:rFonts w:hint="eastAsia"/>
                <w:color w:val="auto"/>
              </w:rPr>
              <w:t>00t/a的再生塑料颗粒产品</w:t>
            </w:r>
            <w:r>
              <w:rPr>
                <w:rFonts w:hint="eastAsia"/>
                <w:color w:val="auto"/>
                <w:lang w:eastAsia="zh-CN"/>
              </w:rPr>
              <w:t>，根据中华人民共和国国家发展和改革委员会令第29号《产业结构调整指导目录（2019年本）》相关内容</w:t>
            </w:r>
            <w:r>
              <w:rPr>
                <w:rFonts w:hint="eastAsia"/>
                <w:color w:val="auto"/>
                <w:lang w:val="en-US" w:eastAsia="zh-CN"/>
              </w:rPr>
              <w:t>，属于“鼓励类”第四十三项“环境环保与资源节约综合利用”、第27条“废旧物资等资源循环再利用技术、设备开发应用”</w:t>
            </w:r>
            <w:r>
              <w:rPr>
                <w:rFonts w:hint="eastAsia"/>
                <w:color w:val="auto"/>
              </w:rPr>
              <w:t>，主要是采用物理机械法对热塑性废塑料进行再生加工。企业所涉及的热塑性废塑料原料，不包括受到危险化学品、农药等污染的废弃塑料包装物、废弃一次性医疗用塑料制品等塑料类危险废物，以及氟塑料等特种工程塑料。项目针对生产过程中产生的废水、废气、固体废物等污染物</w:t>
            </w:r>
            <w:r>
              <w:rPr>
                <w:color w:val="auto"/>
              </w:rPr>
              <w:t>采取了有效的防治措施</w:t>
            </w:r>
            <w:r>
              <w:rPr>
                <w:rFonts w:hint="eastAsia"/>
                <w:color w:val="auto"/>
                <w:lang w:eastAsia="zh-CN"/>
              </w:rPr>
              <w:t>。</w:t>
            </w:r>
          </w:p>
          <w:p>
            <w:pPr>
              <w:pStyle w:val="11"/>
              <w:jc w:val="center"/>
              <w:rPr>
                <w:b/>
                <w:bCs/>
                <w:color w:val="auto"/>
              </w:rPr>
            </w:pPr>
            <w:r>
              <w:rPr>
                <w:b/>
                <w:bCs/>
                <w:color w:val="auto"/>
              </w:rPr>
              <w:t>表1-</w:t>
            </w:r>
            <w:r>
              <w:rPr>
                <w:rFonts w:hint="eastAsia"/>
                <w:b/>
                <w:bCs/>
                <w:color w:val="auto"/>
                <w:lang w:val="en-US" w:eastAsia="zh-CN"/>
              </w:rPr>
              <w:t>9</w:t>
            </w:r>
            <w:r>
              <w:rPr>
                <w:rFonts w:hint="eastAsia"/>
                <w:b/>
                <w:bCs/>
                <w:color w:val="auto"/>
              </w:rPr>
              <w:t xml:space="preserve">   </w:t>
            </w:r>
            <w:r>
              <w:rPr>
                <w:b/>
                <w:bCs/>
                <w:color w:val="auto"/>
              </w:rPr>
              <w:t>与《</w:t>
            </w:r>
            <w:r>
              <w:rPr>
                <w:rFonts w:hint="eastAsia"/>
                <w:b/>
                <w:bCs/>
                <w:color w:val="auto"/>
              </w:rPr>
              <w:t>废</w:t>
            </w:r>
            <w:r>
              <w:rPr>
                <w:rFonts w:hint="eastAsia"/>
                <w:b/>
                <w:bCs/>
                <w:color w:val="auto"/>
              </w:rPr>
              <mc:AlternateContent>
                <mc:Choice Requires="wps">
                  <w:drawing>
                    <wp:inline distT="0" distB="0" distL="114300" distR="114300">
                      <wp:extent cx="635" cy="635"/>
                      <wp:effectExtent l="0" t="0" r="0" b="0"/>
                      <wp:docPr id="2" name="矩形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35" cy="635"/>
                              </a:xfrm>
                              <a:prstGeom prst="rect">
                                <a:avLst/>
                              </a:prstGeom>
                              <a:noFill/>
                              <a:ln>
                                <a:noFill/>
                              </a:ln>
                            </wps:spPr>
                            <wps:bodyPr upright="1"/>
                          </wps:wsp>
                        </a:graphicData>
                      </a:graphic>
                    </wp:inline>
                  </w:drawing>
                </mc:Choice>
                <mc:Fallback>
                  <w:pict>
                    <v:rect id="_x0000_s1026" o:spid="_x0000_s1026" o:spt="1" style="height:0.05pt;width:0.05pt;" filled="f" stroked="f" coordsize="21600,21600" o:gfxdata="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ZpzHKs8AAAD/AAAADwAAAAAA&#10;AAABACAAAAAiAAAAZHJzL2Rvd25yZXYueG1sUEsBAhQAFAAAAAgAh07iQH0xidWqAQAAWwMAAA4A&#10;AAAAAAAAAQAgAAAAHgEAAGRycy9lMm9Eb2MueG1sUEsFBgAAAAAGAAYAWQEAADoFAAAAAA==&#10;">
                      <v:fill on="f" focussize="0,0"/>
                      <v:stroke on="f"/>
                      <v:imagedata o:title=""/>
                      <o:lock v:ext="edit" aspectratio="t"/>
                      <w10:wrap type="none"/>
                      <w10:anchorlock/>
                    </v:rect>
                  </w:pict>
                </mc:Fallback>
              </mc:AlternateContent>
            </w:r>
            <w:r>
              <w:rPr>
                <w:rFonts w:hint="eastAsia"/>
                <w:b/>
                <w:bCs/>
                <w:color w:val="auto"/>
              </w:rPr>
              <w:t>塑料综合利用行业规范条件</w:t>
            </w:r>
            <w:r>
              <w:rPr>
                <w:b/>
                <w:bCs/>
                <w:color w:val="auto"/>
              </w:rPr>
              <w:t>》符合性分析</w:t>
            </w:r>
          </w:p>
          <w:tbl>
            <w:tblPr>
              <w:tblStyle w:val="5"/>
              <w:tblW w:w="8131"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48"/>
              <w:gridCol w:w="3734"/>
              <w:gridCol w:w="2717"/>
              <w:gridCol w:w="93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482" w:type="dxa"/>
                  <w:gridSpan w:val="2"/>
                  <w:vAlign w:val="center"/>
                </w:tcPr>
                <w:p>
                  <w:pPr>
                    <w:pStyle w:val="11"/>
                    <w:jc w:val="center"/>
                    <w:rPr>
                      <w:b/>
                      <w:bCs/>
                      <w:color w:val="auto"/>
                      <w:sz w:val="21"/>
                      <w:szCs w:val="21"/>
                    </w:rPr>
                  </w:pPr>
                  <w:r>
                    <w:rPr>
                      <w:rFonts w:hint="eastAsia"/>
                      <w:b/>
                      <w:bCs/>
                      <w:color w:val="auto"/>
                      <w:sz w:val="21"/>
                      <w:szCs w:val="21"/>
                    </w:rPr>
                    <w:t>条件要求</w:t>
                  </w:r>
                </w:p>
              </w:tc>
              <w:tc>
                <w:tcPr>
                  <w:tcW w:w="2717" w:type="dxa"/>
                  <w:vAlign w:val="center"/>
                </w:tcPr>
                <w:p>
                  <w:pPr>
                    <w:pStyle w:val="11"/>
                    <w:jc w:val="center"/>
                    <w:rPr>
                      <w:b/>
                      <w:bCs/>
                      <w:color w:val="auto"/>
                      <w:sz w:val="21"/>
                      <w:szCs w:val="21"/>
                    </w:rPr>
                  </w:pPr>
                  <w:r>
                    <w:rPr>
                      <w:rFonts w:hint="eastAsia"/>
                      <w:b/>
                      <w:bCs/>
                      <w:color w:val="auto"/>
                      <w:sz w:val="21"/>
                      <w:szCs w:val="21"/>
                    </w:rPr>
                    <w:t>本项目情况</w:t>
                  </w:r>
                </w:p>
              </w:tc>
              <w:tc>
                <w:tcPr>
                  <w:tcW w:w="932" w:type="dxa"/>
                  <w:vAlign w:val="center"/>
                </w:tcPr>
                <w:p>
                  <w:pPr>
                    <w:pStyle w:val="11"/>
                    <w:jc w:val="center"/>
                    <w:rPr>
                      <w:b/>
                      <w:bCs/>
                      <w:color w:val="auto"/>
                      <w:sz w:val="21"/>
                      <w:szCs w:val="21"/>
                    </w:rPr>
                  </w:pPr>
                  <w:r>
                    <w:rPr>
                      <w:rFonts w:hint="eastAsia"/>
                      <w:b/>
                      <w:bCs/>
                      <w:color w:val="auto"/>
                      <w:sz w:val="21"/>
                      <w:szCs w:val="21"/>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48" w:type="dxa"/>
                  <w:vAlign w:val="center"/>
                </w:tcPr>
                <w:p>
                  <w:pPr>
                    <w:pStyle w:val="11"/>
                    <w:rPr>
                      <w:color w:val="auto"/>
                      <w:sz w:val="21"/>
                      <w:szCs w:val="21"/>
                    </w:rPr>
                  </w:pPr>
                  <w:r>
                    <w:rPr>
                      <w:rFonts w:hint="eastAsia"/>
                      <w:color w:val="auto"/>
                      <w:sz w:val="21"/>
                      <w:szCs w:val="21"/>
                    </w:rPr>
                    <w:t>生产经营规模</w:t>
                  </w:r>
                </w:p>
              </w:tc>
              <w:tc>
                <w:tcPr>
                  <w:tcW w:w="3734" w:type="dxa"/>
                  <w:vAlign w:val="center"/>
                </w:tcPr>
                <w:p>
                  <w:pPr>
                    <w:pStyle w:val="11"/>
                    <w:rPr>
                      <w:color w:val="auto"/>
                      <w:sz w:val="21"/>
                      <w:szCs w:val="21"/>
                    </w:rPr>
                  </w:pPr>
                  <w:r>
                    <w:rPr>
                      <w:rFonts w:hint="eastAsia"/>
                      <w:color w:val="auto"/>
                      <w:sz w:val="21"/>
                      <w:szCs w:val="21"/>
                    </w:rPr>
                    <w:t>新建企业年废塑料处理能力不低于5000吨；已建企业年废塑料处理能力不低于3000吨。</w:t>
                  </w:r>
                </w:p>
              </w:tc>
              <w:tc>
                <w:tcPr>
                  <w:tcW w:w="2717" w:type="dxa"/>
                  <w:vAlign w:val="center"/>
                </w:tcPr>
                <w:p>
                  <w:pPr>
                    <w:pStyle w:val="11"/>
                    <w:jc w:val="both"/>
                    <w:rPr>
                      <w:color w:val="auto"/>
                      <w:sz w:val="21"/>
                      <w:szCs w:val="21"/>
                    </w:rPr>
                  </w:pPr>
                  <w:r>
                    <w:rPr>
                      <w:rFonts w:hint="eastAsia"/>
                      <w:color w:val="auto"/>
                      <w:sz w:val="21"/>
                      <w:szCs w:val="21"/>
                    </w:rPr>
                    <w:t>本项目属于新建项目，进行年产约</w:t>
                  </w:r>
                  <w:r>
                    <w:rPr>
                      <w:rFonts w:hint="eastAsia"/>
                      <w:color w:val="auto"/>
                      <w:sz w:val="21"/>
                      <w:szCs w:val="21"/>
                      <w:lang w:val="en-US" w:eastAsia="zh-CN"/>
                    </w:rPr>
                    <w:t>75</w:t>
                  </w:r>
                  <w:r>
                    <w:rPr>
                      <w:rFonts w:hint="eastAsia"/>
                      <w:color w:val="auto"/>
                      <w:sz w:val="21"/>
                      <w:szCs w:val="21"/>
                    </w:rPr>
                    <w:t>00t/a的再生塑料颗粒产品生产；</w:t>
                  </w:r>
                </w:p>
              </w:tc>
              <w:tc>
                <w:tcPr>
                  <w:tcW w:w="932" w:type="dxa"/>
                  <w:vAlign w:val="center"/>
                </w:tcPr>
                <w:p>
                  <w:pPr>
                    <w:pStyle w:val="11"/>
                    <w:jc w:val="center"/>
                    <w:rPr>
                      <w:color w:val="auto"/>
                      <w:sz w:val="21"/>
                      <w:szCs w:val="21"/>
                    </w:rPr>
                  </w:pPr>
                  <w:r>
                    <w:rPr>
                      <w:rFonts w:hint="eastAsia"/>
                      <w:color w:val="auto"/>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48" w:type="dxa"/>
                  <w:vAlign w:val="center"/>
                </w:tcPr>
                <w:p>
                  <w:pPr>
                    <w:pStyle w:val="11"/>
                    <w:rPr>
                      <w:color w:val="auto"/>
                      <w:sz w:val="21"/>
                      <w:szCs w:val="21"/>
                    </w:rPr>
                  </w:pPr>
                  <w:r>
                    <w:rPr>
                      <w:rFonts w:hint="eastAsia"/>
                      <w:color w:val="auto"/>
                      <w:sz w:val="21"/>
                      <w:szCs w:val="21"/>
                    </w:rPr>
                    <w:t>工艺与设备</w:t>
                  </w:r>
                </w:p>
              </w:tc>
              <w:tc>
                <w:tcPr>
                  <w:tcW w:w="3734" w:type="dxa"/>
                  <w:vAlign w:val="center"/>
                </w:tcPr>
                <w:p>
                  <w:pPr>
                    <w:pStyle w:val="11"/>
                    <w:rPr>
                      <w:color w:val="auto"/>
                      <w:sz w:val="21"/>
                      <w:szCs w:val="21"/>
                    </w:rPr>
                  </w:pPr>
                  <w:r>
                    <w:rPr>
                      <w:rFonts w:hint="eastAsia"/>
                      <w:color w:val="auto"/>
                      <w:sz w:val="21"/>
                      <w:szCs w:val="21"/>
                    </w:rPr>
                    <w:t>应具有与加工利用能力相适应的预处理设备和造粒设备。其中，造粒设备应具有强制排气系统，通过集气装置实现废气的集中处理；过滤装置的废弃过滤网应按照环境保护有关规定处理，禁止露天焚烧。</w:t>
                  </w:r>
                </w:p>
              </w:tc>
              <w:tc>
                <w:tcPr>
                  <w:tcW w:w="2717" w:type="dxa"/>
                  <w:vAlign w:val="center"/>
                </w:tcPr>
                <w:p>
                  <w:pPr>
                    <w:pStyle w:val="11"/>
                    <w:jc w:val="both"/>
                    <w:rPr>
                      <w:color w:val="auto"/>
                      <w:sz w:val="21"/>
                      <w:szCs w:val="21"/>
                    </w:rPr>
                  </w:pPr>
                  <w:r>
                    <w:rPr>
                      <w:rFonts w:hint="eastAsia"/>
                      <w:color w:val="auto"/>
                      <w:sz w:val="21"/>
                      <w:szCs w:val="21"/>
                    </w:rPr>
                    <w:t>本项目塑料颗粒产品生产线已设计安装“两级活性炭吸附装置”对废气进行集中处理，过滤网按危废进行处理，不进行露天焚烧；</w:t>
                  </w:r>
                </w:p>
              </w:tc>
              <w:tc>
                <w:tcPr>
                  <w:tcW w:w="932" w:type="dxa"/>
                  <w:vAlign w:val="center"/>
                </w:tcPr>
                <w:p>
                  <w:pPr>
                    <w:pStyle w:val="11"/>
                    <w:jc w:val="center"/>
                    <w:rPr>
                      <w:color w:val="auto"/>
                      <w:sz w:val="21"/>
                      <w:szCs w:val="21"/>
                    </w:rPr>
                  </w:pPr>
                  <w:r>
                    <w:rPr>
                      <w:rFonts w:hint="eastAsia"/>
                      <w:color w:val="auto"/>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748" w:type="dxa"/>
                  <w:vMerge w:val="restart"/>
                  <w:vAlign w:val="center"/>
                </w:tcPr>
                <w:p>
                  <w:pPr>
                    <w:pStyle w:val="11"/>
                    <w:rPr>
                      <w:color w:val="auto"/>
                      <w:sz w:val="21"/>
                      <w:szCs w:val="21"/>
                    </w:rPr>
                  </w:pPr>
                  <w:r>
                    <w:rPr>
                      <w:rFonts w:hint="eastAsia"/>
                      <w:color w:val="auto"/>
                      <w:sz w:val="21"/>
                      <w:szCs w:val="21"/>
                    </w:rPr>
                    <w:t>环境保护</w:t>
                  </w:r>
                </w:p>
              </w:tc>
              <w:tc>
                <w:tcPr>
                  <w:tcW w:w="3734" w:type="dxa"/>
                  <w:vMerge w:val="restart"/>
                  <w:vAlign w:val="center"/>
                </w:tcPr>
                <w:p>
                  <w:pPr>
                    <w:pStyle w:val="11"/>
                    <w:rPr>
                      <w:color w:val="auto"/>
                      <w:sz w:val="21"/>
                      <w:szCs w:val="21"/>
                    </w:rPr>
                  </w:pPr>
                  <w:r>
                    <w:rPr>
                      <w:rFonts w:hint="eastAsia"/>
                      <w:color w:val="auto"/>
                      <w:sz w:val="21"/>
                      <w:szCs w:val="21"/>
                    </w:rPr>
                    <w:t>企业应具有与加工利用能力相适应的废水处理设施。废水处理后需要外排的废水，必须经处理后达标排放。企业应采用高效节能环保的污泥处理工艺；再生加工过程中产生废气、粉尘的加工车间应设置废气、粉尘收集处理设施，通过净化处理，达标后排放；对于加工过程中噪音污染大的设备，必须采取降噪和隔音措施，企业噪声应达到《工业企业厂界环境噪声排放标准》。</w:t>
                  </w:r>
                </w:p>
              </w:tc>
              <w:tc>
                <w:tcPr>
                  <w:tcW w:w="2717" w:type="dxa"/>
                  <w:vAlign w:val="center"/>
                </w:tcPr>
                <w:p>
                  <w:pPr>
                    <w:pStyle w:val="11"/>
                    <w:jc w:val="both"/>
                    <w:rPr>
                      <w:rFonts w:hint="default" w:eastAsia="宋体"/>
                      <w:color w:val="auto"/>
                      <w:sz w:val="21"/>
                      <w:szCs w:val="21"/>
                      <w:lang w:val="en-US" w:eastAsia="zh-CN"/>
                    </w:rPr>
                  </w:pPr>
                  <w:r>
                    <w:rPr>
                      <w:rFonts w:hint="eastAsia"/>
                      <w:color w:val="auto"/>
                      <w:sz w:val="21"/>
                      <w:szCs w:val="21"/>
                      <w:lang w:val="en-US" w:eastAsia="zh-CN"/>
                    </w:rPr>
                    <w:t>生产废水：本项目设置1套采用“沉淀+气浮+水解酸化”的清洗废水循环回用处理系统；</w:t>
                  </w:r>
                </w:p>
              </w:tc>
              <w:tc>
                <w:tcPr>
                  <w:tcW w:w="932" w:type="dxa"/>
                  <w:vAlign w:val="center"/>
                </w:tcPr>
                <w:p>
                  <w:pPr>
                    <w:pStyle w:val="11"/>
                    <w:jc w:val="center"/>
                    <w:rPr>
                      <w:rFonts w:ascii="Times New Roman" w:hAnsi="Times New Roman" w:eastAsia="宋体" w:cs="Times New Roman"/>
                      <w:color w:val="auto"/>
                      <w:sz w:val="21"/>
                      <w:szCs w:val="21"/>
                      <w:lang w:val="en-US" w:eastAsia="zh-CN" w:bidi="ar-SA"/>
                    </w:rPr>
                  </w:pPr>
                  <w:r>
                    <w:rPr>
                      <w:rFonts w:hint="eastAsia"/>
                      <w:color w:val="auto"/>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748" w:type="dxa"/>
                  <w:vMerge w:val="continue"/>
                  <w:vAlign w:val="center"/>
                </w:tcPr>
                <w:p>
                  <w:pPr>
                    <w:pStyle w:val="11"/>
                    <w:jc w:val="both"/>
                    <w:rPr>
                      <w:rFonts w:hint="eastAsia"/>
                      <w:color w:val="auto"/>
                      <w:lang w:val="en-US" w:eastAsia="zh-CN"/>
                    </w:rPr>
                  </w:pPr>
                </w:p>
              </w:tc>
              <w:tc>
                <w:tcPr>
                  <w:tcW w:w="3734" w:type="dxa"/>
                  <w:vMerge w:val="continue"/>
                  <w:vAlign w:val="center"/>
                </w:tcPr>
                <w:p>
                  <w:pPr>
                    <w:pStyle w:val="11"/>
                    <w:jc w:val="both"/>
                    <w:rPr>
                      <w:rFonts w:hint="eastAsia"/>
                      <w:color w:val="auto"/>
                      <w:lang w:val="en-US" w:eastAsia="zh-CN"/>
                    </w:rPr>
                  </w:pPr>
                </w:p>
              </w:tc>
              <w:tc>
                <w:tcPr>
                  <w:tcW w:w="2717" w:type="dxa"/>
                  <w:vAlign w:val="center"/>
                </w:tcPr>
                <w:p>
                  <w:pPr>
                    <w:pStyle w:val="11"/>
                    <w:jc w:val="both"/>
                    <w:rPr>
                      <w:rFonts w:hint="eastAsia"/>
                      <w:color w:val="auto"/>
                      <w:lang w:val="en-US" w:eastAsia="zh-CN"/>
                    </w:rPr>
                  </w:pPr>
                  <w:r>
                    <w:rPr>
                      <w:rFonts w:hint="eastAsia"/>
                      <w:color w:val="auto"/>
                    </w:rPr>
                    <w:t>造粒废气</w:t>
                  </w:r>
                  <w:r>
                    <w:rPr>
                      <w:color w:val="auto"/>
                    </w:rPr>
                    <w:t>：采用1套“</w:t>
                  </w:r>
                  <w:r>
                    <w:rPr>
                      <w:rFonts w:hint="eastAsia"/>
                      <w:color w:val="auto"/>
                    </w:rPr>
                    <w:t>两级活性炭吸附</w:t>
                  </w:r>
                  <w:r>
                    <w:rPr>
                      <w:color w:val="auto"/>
                    </w:rPr>
                    <w:t>”</w:t>
                  </w:r>
                  <w:r>
                    <w:rPr>
                      <w:rFonts w:hint="eastAsia"/>
                      <w:color w:val="auto"/>
                    </w:rPr>
                    <w:t>装置</w:t>
                  </w:r>
                  <w:r>
                    <w:rPr>
                      <w:color w:val="auto"/>
                    </w:rPr>
                    <w:t>处理</w:t>
                  </w:r>
                  <w:r>
                    <w:rPr>
                      <w:rFonts w:hint="eastAsia"/>
                      <w:color w:val="auto"/>
                    </w:rPr>
                    <w:t>后经15m高排气筒排放；</w:t>
                  </w:r>
                </w:p>
              </w:tc>
              <w:tc>
                <w:tcPr>
                  <w:tcW w:w="932" w:type="dxa"/>
                  <w:vAlign w:val="center"/>
                </w:tcPr>
                <w:p>
                  <w:pPr>
                    <w:pStyle w:val="11"/>
                    <w:jc w:val="center"/>
                    <w:rPr>
                      <w:rFonts w:hint="eastAsia" w:ascii="Times New Roman" w:hAnsi="Times New Roman" w:eastAsia="宋体" w:cs="Times New Roman"/>
                      <w:color w:val="auto"/>
                      <w:sz w:val="21"/>
                      <w:szCs w:val="21"/>
                      <w:lang w:val="en-US" w:eastAsia="zh-CN" w:bidi="ar-SA"/>
                    </w:rPr>
                  </w:pPr>
                  <w:r>
                    <w:rPr>
                      <w:rFonts w:hint="eastAsia"/>
                      <w:color w:val="auto"/>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748" w:type="dxa"/>
                  <w:vMerge w:val="continue"/>
                  <w:vAlign w:val="center"/>
                </w:tcPr>
                <w:p>
                  <w:pPr>
                    <w:pStyle w:val="11"/>
                    <w:jc w:val="both"/>
                    <w:rPr>
                      <w:rFonts w:hint="eastAsia"/>
                      <w:color w:val="auto"/>
                      <w:lang w:val="en-US" w:eastAsia="zh-CN"/>
                    </w:rPr>
                  </w:pPr>
                </w:p>
              </w:tc>
              <w:tc>
                <w:tcPr>
                  <w:tcW w:w="3734" w:type="dxa"/>
                  <w:vMerge w:val="continue"/>
                  <w:vAlign w:val="center"/>
                </w:tcPr>
                <w:p>
                  <w:pPr>
                    <w:pStyle w:val="11"/>
                    <w:jc w:val="both"/>
                    <w:rPr>
                      <w:rFonts w:hint="eastAsia"/>
                      <w:color w:val="auto"/>
                      <w:lang w:val="en-US" w:eastAsia="zh-CN"/>
                    </w:rPr>
                  </w:pPr>
                </w:p>
              </w:tc>
              <w:tc>
                <w:tcPr>
                  <w:tcW w:w="2717" w:type="dxa"/>
                  <w:vAlign w:val="center"/>
                </w:tcPr>
                <w:p>
                  <w:pPr>
                    <w:pStyle w:val="11"/>
                    <w:jc w:val="both"/>
                    <w:rPr>
                      <w:rFonts w:hint="eastAsia"/>
                      <w:color w:val="auto"/>
                      <w:lang w:val="en-US" w:eastAsia="zh-CN"/>
                    </w:rPr>
                  </w:pPr>
                  <w:r>
                    <w:rPr>
                      <w:rFonts w:hint="eastAsia"/>
                      <w:color w:val="auto"/>
                      <w:kern w:val="2"/>
                    </w:rPr>
                    <w:t>污泥恶臭：加强车间通风，泥饼采取日产日清的方式，交由环卫部门及时清运；</w:t>
                  </w:r>
                </w:p>
              </w:tc>
              <w:tc>
                <w:tcPr>
                  <w:tcW w:w="932" w:type="dxa"/>
                  <w:vAlign w:val="center"/>
                </w:tcPr>
                <w:p>
                  <w:pPr>
                    <w:pStyle w:val="11"/>
                    <w:jc w:val="center"/>
                    <w:rPr>
                      <w:rFonts w:hint="eastAsia" w:ascii="Times New Roman" w:hAnsi="Times New Roman" w:eastAsia="宋体" w:cs="Times New Roman"/>
                      <w:color w:val="auto"/>
                      <w:sz w:val="21"/>
                      <w:szCs w:val="21"/>
                      <w:lang w:val="en-US" w:eastAsia="zh-CN" w:bidi="ar-SA"/>
                    </w:rPr>
                  </w:pPr>
                  <w:r>
                    <w:rPr>
                      <w:rFonts w:hint="eastAsia"/>
                      <w:color w:val="auto"/>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748" w:type="dxa"/>
                  <w:vMerge w:val="continue"/>
                  <w:vAlign w:val="center"/>
                </w:tcPr>
                <w:p>
                  <w:pPr>
                    <w:pStyle w:val="11"/>
                    <w:jc w:val="both"/>
                    <w:rPr>
                      <w:rFonts w:hint="eastAsia"/>
                      <w:color w:val="auto"/>
                    </w:rPr>
                  </w:pPr>
                </w:p>
              </w:tc>
              <w:tc>
                <w:tcPr>
                  <w:tcW w:w="3734" w:type="dxa"/>
                  <w:vMerge w:val="continue"/>
                  <w:vAlign w:val="center"/>
                </w:tcPr>
                <w:p>
                  <w:pPr>
                    <w:pStyle w:val="11"/>
                    <w:jc w:val="both"/>
                    <w:rPr>
                      <w:rFonts w:hint="eastAsia"/>
                      <w:color w:val="auto"/>
                    </w:rPr>
                  </w:pPr>
                </w:p>
              </w:tc>
              <w:tc>
                <w:tcPr>
                  <w:tcW w:w="2717" w:type="dxa"/>
                  <w:vAlign w:val="center"/>
                </w:tcPr>
                <w:p>
                  <w:pPr>
                    <w:pStyle w:val="11"/>
                    <w:jc w:val="both"/>
                    <w:rPr>
                      <w:rFonts w:hint="eastAsia"/>
                      <w:color w:val="auto"/>
                    </w:rPr>
                  </w:pPr>
                  <w:r>
                    <w:rPr>
                      <w:rFonts w:hint="eastAsia"/>
                      <w:color w:val="auto"/>
                    </w:rPr>
                    <w:t>车间封闭隔声，机械设备基础设减震垫，通风排气管采取软性连接等；</w:t>
                  </w:r>
                </w:p>
              </w:tc>
              <w:tc>
                <w:tcPr>
                  <w:tcW w:w="932" w:type="dxa"/>
                  <w:vAlign w:val="center"/>
                </w:tcPr>
                <w:p>
                  <w:pPr>
                    <w:pStyle w:val="11"/>
                    <w:jc w:val="center"/>
                    <w:rPr>
                      <w:rFonts w:hint="eastAsia" w:ascii="Times New Roman" w:hAnsi="Times New Roman" w:eastAsia="宋体" w:cs="Times New Roman"/>
                      <w:color w:val="auto"/>
                      <w:sz w:val="21"/>
                      <w:szCs w:val="21"/>
                      <w:lang w:val="en-US" w:eastAsia="zh-CN" w:bidi="ar-SA"/>
                    </w:rPr>
                  </w:pPr>
                  <w:r>
                    <w:rPr>
                      <w:rFonts w:hint="eastAsia"/>
                      <w:color w:val="auto"/>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748" w:type="dxa"/>
                  <w:vMerge w:val="continue"/>
                  <w:vAlign w:val="center"/>
                </w:tcPr>
                <w:p>
                  <w:pPr>
                    <w:pStyle w:val="11"/>
                    <w:jc w:val="both"/>
                    <w:rPr>
                      <w:rFonts w:hint="eastAsia"/>
                      <w:color w:val="auto"/>
                    </w:rPr>
                  </w:pPr>
                </w:p>
              </w:tc>
              <w:tc>
                <w:tcPr>
                  <w:tcW w:w="3734" w:type="dxa"/>
                  <w:vMerge w:val="continue"/>
                  <w:vAlign w:val="center"/>
                </w:tcPr>
                <w:p>
                  <w:pPr>
                    <w:pStyle w:val="11"/>
                    <w:jc w:val="both"/>
                    <w:rPr>
                      <w:rFonts w:hint="eastAsia"/>
                      <w:color w:val="auto"/>
                    </w:rPr>
                  </w:pPr>
                </w:p>
              </w:tc>
              <w:tc>
                <w:tcPr>
                  <w:tcW w:w="2717" w:type="dxa"/>
                  <w:vAlign w:val="center"/>
                </w:tcPr>
                <w:p>
                  <w:pPr>
                    <w:pStyle w:val="11"/>
                    <w:jc w:val="both"/>
                    <w:rPr>
                      <w:rFonts w:hint="eastAsia" w:eastAsia="宋体"/>
                      <w:color w:val="auto"/>
                      <w:lang w:eastAsia="zh-CN"/>
                    </w:rPr>
                  </w:pPr>
                  <w:r>
                    <w:rPr>
                      <w:color w:val="auto"/>
                    </w:rPr>
                    <w:t>设置固废储存区，其中一般固废储存区面积约</w:t>
                  </w:r>
                  <w:r>
                    <w:rPr>
                      <w:rFonts w:hint="eastAsia"/>
                      <w:color w:val="auto"/>
                    </w:rPr>
                    <w:t>100</w:t>
                  </w:r>
                  <w:r>
                    <w:rPr>
                      <w:color w:val="auto"/>
                    </w:rPr>
                    <w:t>m</w:t>
                  </w:r>
                  <w:r>
                    <w:rPr>
                      <w:color w:val="auto"/>
                      <w:vertAlign w:val="superscript"/>
                    </w:rPr>
                    <w:t>2</w:t>
                  </w:r>
                  <w:r>
                    <w:rPr>
                      <w:rFonts w:hint="eastAsia"/>
                      <w:color w:val="auto"/>
                      <w:lang w:eastAsia="zh-CN"/>
                    </w:rPr>
                    <w:t>，</w:t>
                  </w:r>
                  <w:r>
                    <w:rPr>
                      <w:color w:val="auto"/>
                    </w:rPr>
                    <w:t>危废储存区面积约为</w:t>
                  </w:r>
                  <w:r>
                    <w:rPr>
                      <w:rFonts w:hint="eastAsia"/>
                      <w:color w:val="auto"/>
                      <w:lang w:val="en-US" w:eastAsia="zh-CN"/>
                    </w:rPr>
                    <w:t>1</w:t>
                  </w:r>
                  <w:r>
                    <w:rPr>
                      <w:rFonts w:hint="eastAsia"/>
                      <w:color w:val="auto"/>
                    </w:rPr>
                    <w:t>0</w:t>
                  </w:r>
                  <w:r>
                    <w:rPr>
                      <w:color w:val="auto"/>
                    </w:rPr>
                    <w:t>m</w:t>
                  </w:r>
                  <w:r>
                    <w:rPr>
                      <w:color w:val="auto"/>
                      <w:vertAlign w:val="superscript"/>
                    </w:rPr>
                    <w:t>2</w:t>
                  </w:r>
                  <w:r>
                    <w:rPr>
                      <w:rFonts w:hint="eastAsia"/>
                      <w:color w:val="auto"/>
                      <w:lang w:eastAsia="zh-CN"/>
                    </w:rPr>
                    <w:t>，</w:t>
                  </w:r>
                  <w:r>
                    <w:rPr>
                      <w:rFonts w:hint="eastAsia"/>
                      <w:color w:val="auto"/>
                      <w:lang w:val="en-US" w:eastAsia="zh-CN"/>
                    </w:rPr>
                    <w:t>位于生产车间东侧</w:t>
                  </w:r>
                  <w:r>
                    <w:rPr>
                      <w:color w:val="auto"/>
                    </w:rPr>
                    <w:t>。</w:t>
                  </w:r>
                </w:p>
              </w:tc>
              <w:tc>
                <w:tcPr>
                  <w:tcW w:w="932" w:type="dxa"/>
                  <w:vAlign w:val="center"/>
                </w:tcPr>
                <w:p>
                  <w:pPr>
                    <w:pStyle w:val="11"/>
                    <w:jc w:val="center"/>
                    <w:rPr>
                      <w:rFonts w:hint="eastAsia" w:ascii="Times New Roman" w:hAnsi="Times New Roman" w:eastAsia="宋体" w:cs="Times New Roman"/>
                      <w:color w:val="auto"/>
                      <w:sz w:val="21"/>
                      <w:szCs w:val="21"/>
                      <w:lang w:val="en-US" w:eastAsia="zh-CN" w:bidi="ar-SA"/>
                    </w:rPr>
                  </w:pPr>
                  <w:r>
                    <w:rPr>
                      <w:rFonts w:hint="eastAsia"/>
                      <w:color w:val="auto"/>
                      <w:sz w:val="21"/>
                      <w:szCs w:val="21"/>
                    </w:rPr>
                    <w:t>符合</w:t>
                  </w:r>
                </w:p>
              </w:tc>
            </w:tr>
          </w:tbl>
          <w:p>
            <w:pPr>
              <w:ind w:firstLine="480"/>
              <w:rPr>
                <w:color w:val="auto"/>
              </w:rPr>
            </w:pPr>
          </w:p>
          <w:p>
            <w:pPr>
              <w:ind w:firstLine="480"/>
              <w:rPr>
                <w:color w:val="auto"/>
              </w:rPr>
            </w:pPr>
          </w:p>
          <w:p>
            <w:pPr>
              <w:autoSpaceDE w:val="0"/>
              <w:autoSpaceDN w:val="0"/>
              <w:adjustRightInd w:val="0"/>
              <w:snapToGrid w:val="0"/>
              <w:ind w:firstLine="480"/>
              <w:rPr>
                <w:color w:val="auto"/>
              </w:rPr>
            </w:pPr>
          </w:p>
          <w:p>
            <w:pPr>
              <w:autoSpaceDE w:val="0"/>
              <w:autoSpaceDN w:val="0"/>
              <w:adjustRightInd w:val="0"/>
              <w:snapToGrid w:val="0"/>
              <w:ind w:firstLine="480"/>
              <w:rPr>
                <w:color w:val="auto"/>
              </w:rPr>
            </w:pPr>
          </w:p>
          <w:p>
            <w:pPr>
              <w:autoSpaceDE w:val="0"/>
              <w:autoSpaceDN w:val="0"/>
              <w:adjustRightInd w:val="0"/>
              <w:snapToGrid w:val="0"/>
              <w:ind w:firstLine="480"/>
              <w:rPr>
                <w:color w:val="auto"/>
              </w:rPr>
            </w:pPr>
          </w:p>
        </w:tc>
      </w:tr>
    </w:tbl>
    <w:p>
      <w:pPr>
        <w:bidi w:val="0"/>
        <w:rPr>
          <w:color w:val="auto"/>
        </w:rPr>
        <w:sectPr>
          <w:footerReference r:id="rId12" w:type="default"/>
          <w:pgSz w:w="11906" w:h="16838"/>
          <w:pgMar w:top="1440" w:right="1080" w:bottom="1440" w:left="1080" w:header="851" w:footer="1077" w:gutter="0"/>
          <w:pgBorders>
            <w:top w:val="none" w:sz="0" w:space="0"/>
            <w:left w:val="none" w:sz="0" w:space="0"/>
            <w:bottom w:val="none" w:sz="0" w:space="0"/>
            <w:right w:val="none" w:sz="0" w:space="0"/>
          </w:pgBorders>
          <w:pgNumType w:start="1"/>
          <w:cols w:space="720" w:num="1"/>
          <w:docGrid w:linePitch="312" w:charSpace="0"/>
        </w:sectPr>
      </w:pPr>
    </w:p>
    <w:p>
      <w:pPr>
        <w:pStyle w:val="2"/>
        <w:ind w:firstLine="602"/>
        <w:rPr>
          <w:color w:val="auto"/>
        </w:rPr>
      </w:pPr>
      <w:bookmarkStart w:id="33" w:name="_Toc14898"/>
      <w:r>
        <w:rPr>
          <w:color w:val="auto"/>
        </w:rPr>
        <w:t>二、建设项目工程分析</w:t>
      </w:r>
      <w:bookmarkEnd w:id="33"/>
    </w:p>
    <w:tbl>
      <w:tblPr>
        <w:tblStyle w:val="5"/>
        <w:tblW w:w="985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31"/>
        <w:gridCol w:w="871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27" w:hRule="atLeast"/>
          <w:jc w:val="center"/>
        </w:trPr>
        <w:tc>
          <w:tcPr>
            <w:tcW w:w="1131" w:type="dxa"/>
            <w:vAlign w:val="center"/>
          </w:tcPr>
          <w:p>
            <w:pPr>
              <w:pStyle w:val="11"/>
              <w:jc w:val="center"/>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建设</w:t>
            </w:r>
          </w:p>
          <w:p>
            <w:pPr>
              <w:pStyle w:val="11"/>
              <w:jc w:val="center"/>
              <w:rPr>
                <w:rFonts w:hint="default" w:ascii="Times New Roman" w:hAnsi="Times New Roman" w:cs="Times New Roman"/>
                <w:b/>
                <w:bCs/>
                <w:color w:val="auto"/>
              </w:rPr>
            </w:pPr>
            <w:r>
              <w:rPr>
                <w:rFonts w:hint="default" w:ascii="Times New Roman" w:hAnsi="Times New Roman" w:cs="Times New Roman"/>
                <w:b/>
                <w:bCs/>
                <w:color w:val="auto"/>
                <w:sz w:val="24"/>
                <w:szCs w:val="24"/>
              </w:rPr>
              <w:t>内容</w:t>
            </w:r>
          </w:p>
        </w:tc>
        <w:tc>
          <w:tcPr>
            <w:tcW w:w="8719" w:type="dxa"/>
          </w:tcPr>
          <w:p>
            <w:pPr>
              <w:adjustRightInd w:val="0"/>
              <w:snapToGrid w:val="0"/>
              <w:ind w:firstLine="482"/>
              <w:rPr>
                <w:rFonts w:hint="default" w:ascii="Times New Roman" w:hAnsi="Times New Roman" w:cs="Times New Roman"/>
                <w:b/>
                <w:bCs/>
                <w:color w:val="auto"/>
              </w:rPr>
            </w:pPr>
            <w:r>
              <w:rPr>
                <w:rFonts w:hint="default" w:ascii="Times New Roman" w:hAnsi="Times New Roman" w:cs="Times New Roman"/>
                <w:b/>
                <w:bCs/>
                <w:color w:val="auto"/>
              </w:rPr>
              <w:t>1、项目背景及由来</w:t>
            </w:r>
          </w:p>
          <w:p>
            <w:pPr>
              <w:widowControl/>
              <w:ind w:firstLine="480"/>
              <w:jc w:val="left"/>
              <w:rPr>
                <w:rFonts w:hint="default" w:ascii="Times New Roman" w:hAnsi="Times New Roman" w:cs="Times New Roman"/>
                <w:color w:val="auto"/>
              </w:rPr>
            </w:pPr>
            <w:r>
              <w:rPr>
                <w:rFonts w:hint="default" w:ascii="Times New Roman" w:hAnsi="Times New Roman" w:cs="Times New Roman"/>
                <w:color w:val="auto"/>
              </w:rPr>
              <w:t>由于周边市场的需求，据此，</w:t>
            </w:r>
            <w:r>
              <w:rPr>
                <w:rFonts w:hint="default" w:ascii="Times New Roman" w:hAnsi="Times New Roman" w:cs="Times New Roman"/>
                <w:color w:val="auto"/>
                <w:lang w:eastAsia="zh-CN"/>
              </w:rPr>
              <w:t>四川力爱塑料科技有限公司</w:t>
            </w:r>
            <w:r>
              <w:rPr>
                <w:rFonts w:hint="default" w:ascii="Times New Roman" w:hAnsi="Times New Roman" w:cs="Times New Roman"/>
                <w:color w:val="auto"/>
              </w:rPr>
              <w:t>因企业自身发展需要，拟投资</w:t>
            </w:r>
            <w:r>
              <w:rPr>
                <w:rFonts w:hint="default" w:ascii="Times New Roman" w:hAnsi="Times New Roman" w:cs="Times New Roman"/>
                <w:color w:val="auto"/>
                <w:lang w:val="en-US" w:eastAsia="zh-CN"/>
              </w:rPr>
              <w:t>3</w:t>
            </w:r>
            <w:r>
              <w:rPr>
                <w:rFonts w:hint="default" w:ascii="Times New Roman" w:hAnsi="Times New Roman" w:cs="Times New Roman"/>
                <w:color w:val="auto"/>
              </w:rPr>
              <w:t>00万元，</w:t>
            </w:r>
            <w:r>
              <w:rPr>
                <w:rFonts w:hint="default" w:ascii="Times New Roman" w:hAnsi="Times New Roman" w:cs="Times New Roman"/>
                <w:color w:val="auto"/>
                <w:lang w:val="en-US" w:eastAsia="zh-CN"/>
              </w:rPr>
              <w:t>租用宣汉骅龙塑料制品有限公司生产厂房</w:t>
            </w:r>
            <w:r>
              <w:rPr>
                <w:rFonts w:hint="default" w:ascii="Times New Roman" w:hAnsi="Times New Roman" w:cs="Times New Roman"/>
                <w:color w:val="auto"/>
              </w:rPr>
              <w:t>，购置造粒机等生产设备，建设一条年产约</w:t>
            </w:r>
            <w:r>
              <w:rPr>
                <w:rFonts w:hint="default" w:ascii="Times New Roman" w:hAnsi="Times New Roman" w:cs="Times New Roman"/>
                <w:color w:val="auto"/>
                <w:lang w:val="en-US" w:eastAsia="zh-CN"/>
              </w:rPr>
              <w:t>75</w:t>
            </w:r>
            <w:r>
              <w:rPr>
                <w:rFonts w:hint="default" w:ascii="Times New Roman" w:hAnsi="Times New Roman" w:cs="Times New Roman"/>
                <w:color w:val="auto"/>
              </w:rPr>
              <w:t>00t/a的再生塑料</w:t>
            </w:r>
            <w:r>
              <w:rPr>
                <w:rFonts w:hint="default" w:ascii="Times New Roman" w:hAnsi="Times New Roman" w:cs="Times New Roman"/>
                <w:color w:val="auto"/>
                <w:lang w:val="en-US" w:eastAsia="zh-CN"/>
              </w:rPr>
              <w:t>产品</w:t>
            </w:r>
            <w:r>
              <w:rPr>
                <w:rFonts w:hint="default" w:ascii="Times New Roman" w:hAnsi="Times New Roman" w:cs="Times New Roman"/>
                <w:color w:val="auto"/>
              </w:rPr>
              <w:t>生产线，</w:t>
            </w:r>
            <w:r>
              <w:rPr>
                <w:rFonts w:hint="default" w:ascii="Times New Roman" w:hAnsi="Times New Roman" w:cs="Times New Roman"/>
                <w:color w:val="auto"/>
                <w:kern w:val="0"/>
                <w:lang w:bidi="ar"/>
              </w:rPr>
              <w:t>项目建成后既可以满足当地市场需求，又增加了当地群众就业途径，既有良好的经济效益，又有明显的社会效益，对于促进经济社会协调、可持续发展具有重要意义。</w:t>
            </w:r>
          </w:p>
          <w:p>
            <w:pPr>
              <w:adjustRightInd w:val="0"/>
              <w:snapToGrid w:val="0"/>
              <w:ind w:firstLine="480"/>
              <w:rPr>
                <w:rFonts w:hint="default" w:ascii="Times New Roman" w:hAnsi="Times New Roman" w:cs="Times New Roman"/>
                <w:color w:val="auto"/>
              </w:rPr>
            </w:pPr>
            <w:r>
              <w:rPr>
                <w:rFonts w:hint="default" w:ascii="Times New Roman" w:hAnsi="Times New Roman" w:cs="Times New Roman"/>
                <w:color w:val="auto"/>
              </w:rPr>
              <w:t>为了预测评估该项目对环境质量带来的变化和可能产生的影响，为主管部门审查和决策、设计部门设计、项目的环境管理提供依据，并从环境保护的角度论证项目的可行性。根据《中华人民共和国环境保护法》、《中华人民共和国环境影响评价法》和国务院第682号令《建设项目环境保护管理条例》的有关规定，该项目应当进行环境影响评价。根据中华人民共和国环境保护部令第16号《建设项目环境影响评价分类管理名录》（2021年版）划分，本项目属于第三十九项“废弃资源综合利用业”第85条“非金属废料和碎屑加工处理”类项目，建设单位委托环评单位承担该项目的环境影响评价工作。评价单位在接到委托后，立即组织技术人员对项目现场进行调查及资料收集，在完成工程分析和环境影响因素识别的基础上按照有关法律法规和“环评技术导则”等技术规范要求，编制完成《</w:t>
            </w:r>
            <w:r>
              <w:rPr>
                <w:rFonts w:hint="default" w:ascii="Times New Roman" w:hAnsi="Times New Roman" w:cs="Times New Roman"/>
                <w:color w:val="auto"/>
                <w:lang w:eastAsia="zh-CN"/>
              </w:rPr>
              <w:t>年产7500吨农用塑料薄膜回收再利用项目</w:t>
            </w:r>
            <w:r>
              <w:rPr>
                <w:rFonts w:hint="default" w:ascii="Times New Roman" w:hAnsi="Times New Roman" w:cs="Times New Roman"/>
                <w:color w:val="auto"/>
              </w:rPr>
              <w:t>环境影响报告表》，现上报审批。</w:t>
            </w:r>
          </w:p>
          <w:p>
            <w:pPr>
              <w:adjustRightInd w:val="0"/>
              <w:snapToGrid w:val="0"/>
              <w:ind w:firstLine="482"/>
              <w:rPr>
                <w:rFonts w:hint="default" w:ascii="Times New Roman" w:hAnsi="Times New Roman" w:cs="Times New Roman"/>
                <w:b/>
                <w:color w:val="auto"/>
                <w:szCs w:val="21"/>
              </w:rPr>
            </w:pPr>
            <w:r>
              <w:rPr>
                <w:rFonts w:hint="default" w:ascii="Times New Roman" w:hAnsi="Times New Roman" w:cs="Times New Roman"/>
                <w:b/>
                <w:color w:val="auto"/>
                <w:szCs w:val="21"/>
              </w:rPr>
              <w:t>2、项目概况</w:t>
            </w:r>
          </w:p>
          <w:p>
            <w:pPr>
              <w:adjustRightInd w:val="0"/>
              <w:snapToGrid w:val="0"/>
              <w:ind w:firstLine="480"/>
              <w:rPr>
                <w:rFonts w:hint="default" w:ascii="Times New Roman" w:hAnsi="Times New Roman" w:eastAsia="宋体" w:cs="Times New Roman"/>
                <w:bCs/>
                <w:color w:val="auto"/>
                <w:szCs w:val="21"/>
                <w:lang w:eastAsia="zh-CN"/>
              </w:rPr>
            </w:pPr>
            <w:r>
              <w:rPr>
                <w:rFonts w:hint="default" w:ascii="Times New Roman" w:hAnsi="Times New Roman" w:cs="Times New Roman"/>
                <w:bCs/>
                <w:color w:val="auto"/>
                <w:szCs w:val="21"/>
              </w:rPr>
              <w:t>项目名称：</w:t>
            </w:r>
            <w:r>
              <w:rPr>
                <w:rFonts w:hint="default" w:ascii="Times New Roman" w:hAnsi="Times New Roman" w:cs="Times New Roman"/>
                <w:bCs/>
                <w:color w:val="auto"/>
                <w:szCs w:val="21"/>
                <w:lang w:eastAsia="zh-CN"/>
              </w:rPr>
              <w:t>年产7500吨农用塑料薄膜回收再利用项目</w:t>
            </w:r>
          </w:p>
          <w:p>
            <w:pPr>
              <w:adjustRightInd w:val="0"/>
              <w:snapToGrid w:val="0"/>
              <w:ind w:firstLine="480"/>
              <w:rPr>
                <w:rFonts w:hint="default" w:ascii="Times New Roman" w:hAnsi="Times New Roman" w:cs="Times New Roman"/>
                <w:bCs/>
                <w:color w:val="auto"/>
                <w:szCs w:val="21"/>
              </w:rPr>
            </w:pPr>
            <w:r>
              <w:rPr>
                <w:rFonts w:hint="default" w:ascii="Times New Roman" w:hAnsi="Times New Roman" w:cs="Times New Roman"/>
                <w:bCs/>
                <w:color w:val="auto"/>
                <w:szCs w:val="21"/>
              </w:rPr>
              <w:t>项目性质：新建</w:t>
            </w:r>
          </w:p>
          <w:p>
            <w:pPr>
              <w:adjustRightInd w:val="0"/>
              <w:snapToGrid w:val="0"/>
              <w:ind w:firstLine="480"/>
              <w:rPr>
                <w:rFonts w:hint="default" w:ascii="Times New Roman" w:hAnsi="Times New Roman" w:eastAsia="宋体" w:cs="Times New Roman"/>
                <w:bCs/>
                <w:color w:val="auto"/>
                <w:szCs w:val="21"/>
                <w:lang w:eastAsia="zh-CN"/>
              </w:rPr>
            </w:pPr>
            <w:r>
              <w:rPr>
                <w:rFonts w:hint="default" w:ascii="Times New Roman" w:hAnsi="Times New Roman" w:cs="Times New Roman"/>
                <w:bCs/>
                <w:color w:val="auto"/>
                <w:szCs w:val="21"/>
              </w:rPr>
              <w:t>建设地点：</w:t>
            </w:r>
            <w:r>
              <w:rPr>
                <w:rFonts w:hint="default" w:ascii="Times New Roman" w:hAnsi="Times New Roman" w:cs="Times New Roman"/>
                <w:bCs/>
                <w:color w:val="auto"/>
                <w:szCs w:val="21"/>
                <w:lang w:val="zh-TW" w:eastAsia="zh-CN"/>
              </w:rPr>
              <w:t>四川省达州市宣汉县一号大道和四号大道交叉口东北180米</w:t>
            </w:r>
          </w:p>
          <w:p>
            <w:pPr>
              <w:adjustRightInd w:val="0"/>
              <w:snapToGrid w:val="0"/>
              <w:ind w:firstLine="480"/>
              <w:rPr>
                <w:rFonts w:hint="default" w:ascii="Times New Roman" w:hAnsi="Times New Roman" w:eastAsia="宋体" w:cs="Times New Roman"/>
                <w:bCs/>
                <w:color w:val="auto"/>
                <w:szCs w:val="21"/>
                <w:lang w:eastAsia="zh-CN"/>
              </w:rPr>
            </w:pPr>
            <w:r>
              <w:rPr>
                <w:rFonts w:hint="default" w:ascii="Times New Roman" w:hAnsi="Times New Roman" w:cs="Times New Roman"/>
                <w:bCs/>
                <w:color w:val="auto"/>
                <w:szCs w:val="21"/>
              </w:rPr>
              <w:t>建设单位：</w:t>
            </w:r>
            <w:r>
              <w:rPr>
                <w:rFonts w:hint="default" w:ascii="Times New Roman" w:hAnsi="Times New Roman" w:cs="Times New Roman"/>
                <w:bCs/>
                <w:color w:val="auto"/>
                <w:szCs w:val="21"/>
                <w:lang w:eastAsia="zh-CN"/>
              </w:rPr>
              <w:t>四川力爱塑料科技有限公司</w:t>
            </w:r>
          </w:p>
          <w:p>
            <w:pPr>
              <w:adjustRightInd w:val="0"/>
              <w:snapToGrid w:val="0"/>
              <w:ind w:firstLine="480"/>
              <w:rPr>
                <w:rFonts w:hint="default" w:ascii="Times New Roman" w:hAnsi="Times New Roman" w:cs="Times New Roman"/>
                <w:bCs/>
                <w:color w:val="auto"/>
                <w:szCs w:val="21"/>
              </w:rPr>
            </w:pPr>
            <w:r>
              <w:rPr>
                <w:rFonts w:hint="default" w:ascii="Times New Roman" w:hAnsi="Times New Roman" w:cs="Times New Roman"/>
                <w:bCs/>
                <w:color w:val="auto"/>
                <w:szCs w:val="21"/>
              </w:rPr>
              <w:t>建筑面积：约</w:t>
            </w:r>
            <w:r>
              <w:rPr>
                <w:rFonts w:hint="default" w:ascii="Times New Roman" w:hAnsi="Times New Roman" w:cs="Times New Roman"/>
                <w:bCs/>
                <w:color w:val="auto"/>
                <w:szCs w:val="21"/>
                <w:lang w:val="en-US" w:eastAsia="zh-CN"/>
              </w:rPr>
              <w:t>3500</w:t>
            </w:r>
            <w:r>
              <w:rPr>
                <w:rFonts w:hint="default" w:ascii="Times New Roman" w:hAnsi="Times New Roman" w:cs="Times New Roman"/>
                <w:bCs/>
                <w:color w:val="auto"/>
                <w:szCs w:val="21"/>
              </w:rPr>
              <w:t>m</w:t>
            </w:r>
            <w:r>
              <w:rPr>
                <w:rFonts w:hint="default" w:ascii="Times New Roman" w:hAnsi="Times New Roman" w:cs="Times New Roman"/>
                <w:bCs/>
                <w:color w:val="auto"/>
                <w:szCs w:val="21"/>
                <w:vertAlign w:val="superscript"/>
              </w:rPr>
              <w:t>2</w:t>
            </w:r>
          </w:p>
          <w:p>
            <w:pPr>
              <w:adjustRightInd w:val="0"/>
              <w:snapToGrid w:val="0"/>
              <w:ind w:firstLine="480"/>
              <w:rPr>
                <w:rFonts w:hint="default" w:ascii="Times New Roman" w:hAnsi="Times New Roman" w:cs="Times New Roman"/>
                <w:color w:val="auto"/>
              </w:rPr>
            </w:pPr>
            <w:r>
              <w:rPr>
                <w:rFonts w:hint="default" w:ascii="Times New Roman" w:hAnsi="Times New Roman" w:cs="Times New Roman"/>
                <w:bCs/>
                <w:color w:val="auto"/>
                <w:szCs w:val="21"/>
              </w:rPr>
              <w:t>建设内容及规模为：</w:t>
            </w:r>
            <w:r>
              <w:rPr>
                <w:rFonts w:hint="default" w:ascii="Times New Roman" w:hAnsi="Times New Roman" w:cs="Times New Roman"/>
                <w:color w:val="auto"/>
                <w:lang w:eastAsia="zh-CN"/>
              </w:rPr>
              <w:t>四川力爱塑料科技有限公司</w:t>
            </w:r>
            <w:r>
              <w:rPr>
                <w:rFonts w:hint="default" w:ascii="Times New Roman" w:hAnsi="Times New Roman" w:cs="Times New Roman"/>
                <w:color w:val="auto"/>
              </w:rPr>
              <w:t>因企业自身发展需要，拟投资</w:t>
            </w:r>
            <w:r>
              <w:rPr>
                <w:rFonts w:hint="default" w:ascii="Times New Roman" w:hAnsi="Times New Roman" w:cs="Times New Roman"/>
                <w:color w:val="auto"/>
                <w:lang w:val="en-US" w:eastAsia="zh-CN"/>
              </w:rPr>
              <w:t>3</w:t>
            </w:r>
            <w:r>
              <w:rPr>
                <w:rFonts w:hint="default" w:ascii="Times New Roman" w:hAnsi="Times New Roman" w:cs="Times New Roman"/>
                <w:color w:val="auto"/>
              </w:rPr>
              <w:t>00万元，</w:t>
            </w:r>
            <w:r>
              <w:rPr>
                <w:rFonts w:hint="default" w:ascii="Times New Roman" w:hAnsi="Times New Roman" w:cs="Times New Roman"/>
                <w:color w:val="auto"/>
                <w:lang w:val="en-US" w:eastAsia="zh-CN"/>
              </w:rPr>
              <w:t>租用宣汉骅龙塑料制品有限公司生产厂房</w:t>
            </w:r>
            <w:r>
              <w:rPr>
                <w:rFonts w:hint="default" w:ascii="Times New Roman" w:hAnsi="Times New Roman" w:cs="Times New Roman"/>
                <w:color w:val="auto"/>
              </w:rPr>
              <w:t>，购置造粒机等生产设备，建设一条年产约</w:t>
            </w:r>
            <w:r>
              <w:rPr>
                <w:rFonts w:hint="default" w:ascii="Times New Roman" w:hAnsi="Times New Roman" w:cs="Times New Roman"/>
                <w:color w:val="auto"/>
                <w:lang w:val="en-US" w:eastAsia="zh-CN"/>
              </w:rPr>
              <w:t>75</w:t>
            </w:r>
            <w:r>
              <w:rPr>
                <w:rFonts w:hint="default" w:ascii="Times New Roman" w:hAnsi="Times New Roman" w:cs="Times New Roman"/>
                <w:color w:val="auto"/>
              </w:rPr>
              <w:t>00t/a的再生塑料</w:t>
            </w:r>
            <w:r>
              <w:rPr>
                <w:rFonts w:hint="default" w:ascii="Times New Roman" w:hAnsi="Times New Roman" w:cs="Times New Roman"/>
                <w:color w:val="auto"/>
                <w:lang w:val="en-US" w:eastAsia="zh-CN"/>
              </w:rPr>
              <w:t>产品</w:t>
            </w:r>
            <w:r>
              <w:rPr>
                <w:rFonts w:hint="default" w:ascii="Times New Roman" w:hAnsi="Times New Roman" w:cs="Times New Roman"/>
                <w:color w:val="auto"/>
              </w:rPr>
              <w:t>生产线。</w:t>
            </w:r>
          </w:p>
          <w:p>
            <w:pPr>
              <w:pStyle w:val="11"/>
              <w:jc w:val="center"/>
              <w:rPr>
                <w:rFonts w:hint="default" w:ascii="Times New Roman" w:hAnsi="Times New Roman" w:cs="Times New Roman"/>
                <w:b/>
                <w:bCs/>
                <w:color w:val="auto"/>
              </w:rPr>
            </w:pPr>
            <w:r>
              <w:rPr>
                <w:rFonts w:hint="default" w:ascii="Times New Roman" w:hAnsi="Times New Roman" w:cs="Times New Roman"/>
                <w:b/>
                <w:bCs/>
                <w:color w:val="auto"/>
              </w:rPr>
              <w:t>表2-1      项目产品方案及生产规模     单位：（t/年）</w:t>
            </w:r>
          </w:p>
          <w:tbl>
            <w:tblPr>
              <w:tblStyle w:val="5"/>
              <w:tblW w:w="8445"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684"/>
              <w:gridCol w:w="2538"/>
              <w:gridCol w:w="1"/>
              <w:gridCol w:w="255"/>
              <w:gridCol w:w="3967"/>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4478" w:type="dxa"/>
                  <w:gridSpan w:val="4"/>
                  <w:vAlign w:val="center"/>
                </w:tcPr>
                <w:p>
                  <w:pPr>
                    <w:pStyle w:val="11"/>
                    <w:jc w:val="center"/>
                    <w:rPr>
                      <w:rFonts w:hint="default" w:ascii="Times New Roman" w:hAnsi="Times New Roman" w:cs="Times New Roman"/>
                      <w:b/>
                      <w:bCs/>
                      <w:color w:val="auto"/>
                    </w:rPr>
                  </w:pPr>
                  <w:r>
                    <w:rPr>
                      <w:rFonts w:hint="default" w:ascii="Times New Roman" w:hAnsi="Times New Roman" w:cs="Times New Roman"/>
                      <w:b/>
                      <w:bCs/>
                      <w:color w:val="auto"/>
                    </w:rPr>
                    <w:t>产品型号</w:t>
                  </w:r>
                </w:p>
              </w:tc>
              <w:tc>
                <w:tcPr>
                  <w:tcW w:w="3967" w:type="dxa"/>
                  <w:vAlign w:val="center"/>
                </w:tcPr>
                <w:p>
                  <w:pPr>
                    <w:pStyle w:val="11"/>
                    <w:jc w:val="center"/>
                    <w:rPr>
                      <w:rFonts w:hint="default" w:ascii="Times New Roman" w:hAnsi="Times New Roman" w:cs="Times New Roman"/>
                      <w:b/>
                      <w:bCs/>
                      <w:color w:val="auto"/>
                    </w:rPr>
                  </w:pPr>
                  <w:r>
                    <w:rPr>
                      <w:rFonts w:hint="default" w:ascii="Times New Roman" w:hAnsi="Times New Roman" w:cs="Times New Roman"/>
                      <w:b/>
                      <w:bCs/>
                      <w:color w:val="auto"/>
                    </w:rPr>
                    <w:t>生产规模</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76" w:hRule="atLeast"/>
                <w:jc w:val="center"/>
              </w:trPr>
              <w:tc>
                <w:tcPr>
                  <w:tcW w:w="1684" w:type="dxa"/>
                  <w:vMerge w:val="restart"/>
                  <w:vAlign w:val="center"/>
                </w:tcPr>
                <w:p>
                  <w:pPr>
                    <w:pStyle w:val="11"/>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PE</w:t>
                  </w:r>
                  <w:r>
                    <w:rPr>
                      <w:rFonts w:hint="default" w:ascii="Times New Roman" w:hAnsi="Times New Roman" w:cs="Times New Roman"/>
                      <w:color w:val="auto"/>
                    </w:rPr>
                    <w:t>再生塑料</w:t>
                  </w:r>
                </w:p>
              </w:tc>
              <w:tc>
                <w:tcPr>
                  <w:tcW w:w="2794" w:type="dxa"/>
                  <w:gridSpan w:val="3"/>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一级</w:t>
                  </w:r>
                </w:p>
              </w:tc>
              <w:tc>
                <w:tcPr>
                  <w:tcW w:w="3967" w:type="dxa"/>
                  <w:vAlign w:val="center"/>
                </w:tcPr>
                <w:p>
                  <w:pPr>
                    <w:pStyle w:val="11"/>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4000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76" w:hRule="atLeast"/>
                <w:jc w:val="center"/>
              </w:trPr>
              <w:tc>
                <w:tcPr>
                  <w:tcW w:w="1684" w:type="dxa"/>
                  <w:vMerge w:val="continue"/>
                  <w:vAlign w:val="center"/>
                </w:tcPr>
                <w:p>
                  <w:pPr>
                    <w:pStyle w:val="11"/>
                    <w:jc w:val="center"/>
                    <w:rPr>
                      <w:rFonts w:hint="default" w:ascii="Times New Roman" w:hAnsi="Times New Roman" w:cs="Times New Roman"/>
                      <w:color w:val="auto"/>
                    </w:rPr>
                  </w:pPr>
                </w:p>
              </w:tc>
              <w:tc>
                <w:tcPr>
                  <w:tcW w:w="2794" w:type="dxa"/>
                  <w:gridSpan w:val="3"/>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二级</w:t>
                  </w:r>
                </w:p>
              </w:tc>
              <w:tc>
                <w:tcPr>
                  <w:tcW w:w="3967" w:type="dxa"/>
                  <w:vAlign w:val="center"/>
                </w:tcPr>
                <w:p>
                  <w:pPr>
                    <w:pStyle w:val="11"/>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1000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76" w:hRule="atLeast"/>
                <w:jc w:val="center"/>
              </w:trPr>
              <w:tc>
                <w:tcPr>
                  <w:tcW w:w="1684" w:type="dxa"/>
                  <w:vMerge w:val="restart"/>
                  <w:vAlign w:val="center"/>
                </w:tcPr>
                <w:p>
                  <w:pPr>
                    <w:pStyle w:val="11"/>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PP</w:t>
                  </w:r>
                  <w:r>
                    <w:rPr>
                      <w:rFonts w:hint="default" w:ascii="Times New Roman" w:hAnsi="Times New Roman" w:cs="Times New Roman"/>
                      <w:color w:val="auto"/>
                    </w:rPr>
                    <w:t>再生塑料</w:t>
                  </w:r>
                </w:p>
              </w:tc>
              <w:tc>
                <w:tcPr>
                  <w:tcW w:w="2794" w:type="dxa"/>
                  <w:gridSpan w:val="3"/>
                  <w:vAlign w:val="center"/>
                </w:tcPr>
                <w:p>
                  <w:pPr>
                    <w:pStyle w:val="11"/>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rPr>
                    <w:t>一级</w:t>
                  </w:r>
                </w:p>
              </w:tc>
              <w:tc>
                <w:tcPr>
                  <w:tcW w:w="3967" w:type="dxa"/>
                  <w:vAlign w:val="center"/>
                </w:tcPr>
                <w:p>
                  <w:pPr>
                    <w:pStyle w:val="11"/>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2000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76" w:hRule="atLeast"/>
                <w:jc w:val="center"/>
              </w:trPr>
              <w:tc>
                <w:tcPr>
                  <w:tcW w:w="1684" w:type="dxa"/>
                  <w:vMerge w:val="continue"/>
                  <w:vAlign w:val="center"/>
                </w:tcPr>
                <w:p>
                  <w:pPr>
                    <w:pStyle w:val="11"/>
                    <w:jc w:val="center"/>
                    <w:rPr>
                      <w:rFonts w:hint="default" w:ascii="Times New Roman" w:hAnsi="Times New Roman" w:cs="Times New Roman"/>
                      <w:color w:val="auto"/>
                    </w:rPr>
                  </w:pPr>
                </w:p>
              </w:tc>
              <w:tc>
                <w:tcPr>
                  <w:tcW w:w="2794" w:type="dxa"/>
                  <w:gridSpan w:val="3"/>
                  <w:vAlign w:val="center"/>
                </w:tcPr>
                <w:p>
                  <w:pPr>
                    <w:pStyle w:val="11"/>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rPr>
                    <w:t>二级</w:t>
                  </w:r>
                </w:p>
              </w:tc>
              <w:tc>
                <w:tcPr>
                  <w:tcW w:w="3967" w:type="dxa"/>
                  <w:vAlign w:val="center"/>
                </w:tcPr>
                <w:p>
                  <w:pPr>
                    <w:pStyle w:val="11"/>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500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4478" w:type="dxa"/>
                  <w:gridSpan w:val="4"/>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合计</w:t>
                  </w:r>
                </w:p>
              </w:tc>
              <w:tc>
                <w:tcPr>
                  <w:tcW w:w="3967"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lang w:val="en-US" w:eastAsia="zh-CN"/>
                    </w:rPr>
                    <w:t>75</w:t>
                  </w:r>
                  <w:r>
                    <w:rPr>
                      <w:rFonts w:hint="default" w:ascii="Times New Roman" w:hAnsi="Times New Roman" w:cs="Times New Roman"/>
                      <w:color w:val="auto"/>
                    </w:rPr>
                    <w:t>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8445" w:type="dxa"/>
                  <w:gridSpan w:val="5"/>
                  <w:vAlign w:val="center"/>
                </w:tcPr>
                <w:p>
                  <w:pPr>
                    <w:pStyle w:val="11"/>
                    <w:ind w:firstLine="210" w:firstLineChars="100"/>
                    <w:jc w:val="both"/>
                    <w:rPr>
                      <w:rFonts w:hint="default" w:ascii="Times New Roman" w:hAnsi="Times New Roman" w:cs="Times New Roman"/>
                      <w:color w:val="auto"/>
                      <w:u w:val="single"/>
                    </w:rPr>
                  </w:pPr>
                  <w:r>
                    <w:rPr>
                      <w:rFonts w:hint="default" w:ascii="Times New Roman" w:hAnsi="Times New Roman" w:cs="Times New Roman"/>
                      <w:color w:val="auto"/>
                    </w:rPr>
                    <w:t>注：</w:t>
                  </w:r>
                  <w:r>
                    <w:rPr>
                      <w:rFonts w:hint="default" w:ascii="Times New Roman" w:hAnsi="Times New Roman" w:cs="Times New Roman"/>
                      <w:color w:val="auto"/>
                      <w:u w:val="single"/>
                    </w:rPr>
                    <w:t>本项目产品</w:t>
                  </w:r>
                  <w:r>
                    <w:rPr>
                      <w:rFonts w:hint="default" w:ascii="Times New Roman" w:hAnsi="Times New Roman" w:cs="Times New Roman"/>
                      <w:color w:val="auto"/>
                      <w:u w:val="single"/>
                      <w:lang w:val="en-US" w:eastAsia="zh-CN"/>
                    </w:rPr>
                    <w:t>参考《塑料-再生塑料》（GB/T 40006-2021）系列标准中相应要求</w:t>
                  </w:r>
                  <w:r>
                    <w:rPr>
                      <w:rFonts w:hint="default" w:ascii="Times New Roman" w:hAnsi="Times New Roman" w:cs="Times New Roman"/>
                      <w:color w:val="auto"/>
                      <w:u w:val="single"/>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4223" w:type="dxa"/>
                  <w:gridSpan w:val="3"/>
                  <w:vAlign w:val="center"/>
                </w:tcPr>
                <w:p>
                  <w:pPr>
                    <w:pStyle w:val="11"/>
                    <w:jc w:val="both"/>
                    <w:rPr>
                      <w:rFonts w:hint="default" w:ascii="Times New Roman" w:hAnsi="Times New Roman" w:cs="Times New Roman"/>
                      <w:b/>
                      <w:bCs/>
                      <w:color w:val="auto"/>
                    </w:rPr>
                  </w:pPr>
                  <w:r>
                    <w:rPr>
                      <w:rFonts w:hint="default" w:ascii="Times New Roman" w:hAnsi="Times New Roman" w:cs="Times New Roman"/>
                    </w:rPr>
                    <w:drawing>
                      <wp:inline distT="0" distB="0" distL="114300" distR="114300">
                        <wp:extent cx="2543175" cy="2498090"/>
                        <wp:effectExtent l="0" t="0" r="1905" b="1270"/>
                        <wp:docPr id="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pic:cNvPicPr>
                                  <a:picLocks noChangeAspect="1"/>
                                </pic:cNvPicPr>
                              </pic:nvPicPr>
                              <pic:blipFill>
                                <a:blip r:embed="rId17"/>
                                <a:stretch>
                                  <a:fillRect/>
                                </a:stretch>
                              </pic:blipFill>
                              <pic:spPr>
                                <a:xfrm>
                                  <a:off x="0" y="0"/>
                                  <a:ext cx="2543175" cy="2498090"/>
                                </a:xfrm>
                                <a:prstGeom prst="rect">
                                  <a:avLst/>
                                </a:prstGeom>
                                <a:noFill/>
                                <a:ln>
                                  <a:noFill/>
                                </a:ln>
                              </pic:spPr>
                            </pic:pic>
                          </a:graphicData>
                        </a:graphic>
                      </wp:inline>
                    </w:drawing>
                  </w:r>
                </w:p>
              </w:tc>
              <w:tc>
                <w:tcPr>
                  <w:tcW w:w="4222" w:type="dxa"/>
                  <w:gridSpan w:val="2"/>
                  <w:vAlign w:val="center"/>
                </w:tcPr>
                <w:p>
                  <w:pPr>
                    <w:pStyle w:val="11"/>
                    <w:jc w:val="both"/>
                    <w:rPr>
                      <w:rFonts w:hint="default" w:ascii="Times New Roman" w:hAnsi="Times New Roman" w:cs="Times New Roman"/>
                      <w:b/>
                      <w:bCs/>
                      <w:color w:val="auto"/>
                    </w:rPr>
                  </w:pPr>
                  <w:r>
                    <w:rPr>
                      <w:rFonts w:hint="default" w:ascii="Times New Roman" w:hAnsi="Times New Roman" w:cs="Times New Roman"/>
                    </w:rPr>
                    <w:drawing>
                      <wp:inline distT="0" distB="0" distL="114300" distR="114300">
                        <wp:extent cx="2541905" cy="2407920"/>
                        <wp:effectExtent l="0" t="0" r="3175" b="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18"/>
                                <a:stretch>
                                  <a:fillRect/>
                                </a:stretch>
                              </pic:blipFill>
                              <pic:spPr>
                                <a:xfrm>
                                  <a:off x="0" y="0"/>
                                  <a:ext cx="2541905" cy="2407920"/>
                                </a:xfrm>
                                <a:prstGeom prst="rect">
                                  <a:avLst/>
                                </a:prstGeom>
                                <a:noFill/>
                                <a:ln>
                                  <a:noFill/>
                                </a:ln>
                              </pic:spPr>
                            </pic:pic>
                          </a:graphicData>
                        </a:graphic>
                      </wp:inline>
                    </w:drawing>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4222" w:type="dxa"/>
                  <w:gridSpan w:val="2"/>
                  <w:vAlign w:val="center"/>
                </w:tcPr>
                <w:p>
                  <w:pPr>
                    <w:pStyle w:val="11"/>
                    <w:bidi w:val="0"/>
                    <w:jc w:val="center"/>
                    <w:rPr>
                      <w:rFonts w:hint="default" w:ascii="Times New Roman" w:hAnsi="Times New Roman" w:cs="Times New Roman"/>
                      <w:b/>
                      <w:bCs/>
                    </w:rPr>
                  </w:pPr>
                  <w:r>
                    <w:rPr>
                      <w:rFonts w:hint="default" w:ascii="Times New Roman" w:hAnsi="Times New Roman" w:cs="Times New Roman"/>
                      <w:b/>
                      <w:bCs/>
                      <w:lang w:val="en-US" w:eastAsia="zh-CN"/>
                    </w:rPr>
                    <w:t>PE</w:t>
                  </w:r>
                  <w:r>
                    <w:rPr>
                      <w:rFonts w:hint="default" w:ascii="Times New Roman" w:hAnsi="Times New Roman" w:cs="Times New Roman"/>
                      <w:b/>
                      <w:bCs/>
                    </w:rPr>
                    <w:t>再生塑料</w:t>
                  </w:r>
                </w:p>
              </w:tc>
              <w:tc>
                <w:tcPr>
                  <w:tcW w:w="4223" w:type="dxa"/>
                  <w:gridSpan w:val="3"/>
                  <w:vAlign w:val="center"/>
                </w:tcPr>
                <w:p>
                  <w:pPr>
                    <w:pStyle w:val="11"/>
                    <w:bidi w:val="0"/>
                    <w:jc w:val="center"/>
                    <w:rPr>
                      <w:rFonts w:hint="default" w:ascii="Times New Roman" w:hAnsi="Times New Roman" w:cs="Times New Roman"/>
                      <w:b/>
                      <w:bCs/>
                      <w:lang w:val="en-US" w:eastAsia="zh-CN"/>
                    </w:rPr>
                  </w:pPr>
                  <w:r>
                    <w:rPr>
                      <w:rFonts w:hint="default" w:ascii="Times New Roman" w:hAnsi="Times New Roman" w:cs="Times New Roman"/>
                      <w:b/>
                      <w:bCs/>
                      <w:lang w:val="en-US" w:eastAsia="zh-CN"/>
                    </w:rPr>
                    <w:t>PP</w:t>
                  </w:r>
                  <w:r>
                    <w:rPr>
                      <w:rFonts w:hint="default" w:ascii="Times New Roman" w:hAnsi="Times New Roman" w:cs="Times New Roman"/>
                      <w:b/>
                      <w:bCs/>
                    </w:rPr>
                    <w:t>再生塑料</w:t>
                  </w:r>
                </w:p>
              </w:tc>
            </w:tr>
          </w:tbl>
          <w:p>
            <w:pPr>
              <w:adjustRightInd w:val="0"/>
              <w:snapToGrid w:val="0"/>
              <w:ind w:firstLine="482"/>
              <w:rPr>
                <w:rFonts w:hint="default" w:ascii="Times New Roman" w:hAnsi="Times New Roman" w:cs="Times New Roman"/>
                <w:b/>
                <w:color w:val="auto"/>
                <w:szCs w:val="21"/>
              </w:rPr>
            </w:pPr>
            <w:r>
              <w:rPr>
                <w:rFonts w:hint="default" w:ascii="Times New Roman" w:hAnsi="Times New Roman" w:cs="Times New Roman"/>
                <w:b/>
                <w:color w:val="auto"/>
                <w:szCs w:val="21"/>
              </w:rPr>
              <w:t>3、项目建设内容及项目组成</w:t>
            </w:r>
          </w:p>
          <w:p>
            <w:pPr>
              <w:adjustRightInd w:val="0"/>
              <w:snapToGrid w:val="0"/>
              <w:ind w:firstLine="480"/>
              <w:rPr>
                <w:rFonts w:hint="default" w:ascii="Times New Roman" w:hAnsi="Times New Roman" w:cs="Times New Roman"/>
                <w:bCs/>
                <w:color w:val="auto"/>
                <w:szCs w:val="21"/>
              </w:rPr>
            </w:pPr>
            <w:r>
              <w:rPr>
                <w:rFonts w:hint="default" w:ascii="Times New Roman" w:hAnsi="Times New Roman" w:cs="Times New Roman"/>
                <w:bCs/>
                <w:color w:val="auto"/>
                <w:szCs w:val="21"/>
              </w:rPr>
              <w:t>本项目建设内容见下表所示。</w:t>
            </w:r>
          </w:p>
          <w:p>
            <w:pPr>
              <w:pStyle w:val="11"/>
              <w:jc w:val="center"/>
              <w:rPr>
                <w:rFonts w:hint="default" w:ascii="Times New Roman" w:hAnsi="Times New Roman" w:cs="Times New Roman"/>
                <w:b/>
                <w:bCs/>
                <w:color w:val="auto"/>
              </w:rPr>
            </w:pPr>
            <w:r>
              <w:rPr>
                <w:rFonts w:hint="default" w:ascii="Times New Roman" w:hAnsi="Times New Roman" w:cs="Times New Roman"/>
                <w:b/>
                <w:bCs/>
                <w:color w:val="auto"/>
              </w:rPr>
              <w:t>表2-2    建设项目组成一览表</w:t>
            </w:r>
          </w:p>
          <w:tbl>
            <w:tblPr>
              <w:tblStyle w:val="5"/>
              <w:tblW w:w="8383"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60"/>
              <w:gridCol w:w="650"/>
              <w:gridCol w:w="4172"/>
              <w:gridCol w:w="888"/>
              <w:gridCol w:w="975"/>
              <w:gridCol w:w="93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jc w:val="center"/>
              </w:trPr>
              <w:tc>
                <w:tcPr>
                  <w:tcW w:w="760" w:type="dxa"/>
                  <w:vMerge w:val="restart"/>
                  <w:vAlign w:val="center"/>
                </w:tcPr>
                <w:p>
                  <w:pPr>
                    <w:pStyle w:val="11"/>
                    <w:jc w:val="center"/>
                    <w:rPr>
                      <w:rFonts w:hint="default" w:ascii="Times New Roman" w:hAnsi="Times New Roman" w:cs="Times New Roman"/>
                      <w:b/>
                      <w:bCs/>
                      <w:color w:val="auto"/>
                    </w:rPr>
                  </w:pPr>
                  <w:r>
                    <w:rPr>
                      <w:rFonts w:hint="default" w:ascii="Times New Roman" w:hAnsi="Times New Roman" w:cs="Times New Roman"/>
                      <w:b/>
                      <w:bCs/>
                      <w:color w:val="auto"/>
                    </w:rPr>
                    <w:t>工程</w:t>
                  </w:r>
                </w:p>
                <w:p>
                  <w:pPr>
                    <w:pStyle w:val="11"/>
                    <w:jc w:val="center"/>
                    <w:rPr>
                      <w:rFonts w:hint="default" w:ascii="Times New Roman" w:hAnsi="Times New Roman" w:cs="Times New Roman"/>
                      <w:b/>
                      <w:bCs/>
                      <w:color w:val="auto"/>
                    </w:rPr>
                  </w:pPr>
                  <w:r>
                    <w:rPr>
                      <w:rFonts w:hint="default" w:ascii="Times New Roman" w:hAnsi="Times New Roman" w:cs="Times New Roman"/>
                      <w:b/>
                      <w:bCs/>
                      <w:color w:val="auto"/>
                    </w:rPr>
                    <w:t>类别</w:t>
                  </w:r>
                </w:p>
              </w:tc>
              <w:tc>
                <w:tcPr>
                  <w:tcW w:w="650" w:type="dxa"/>
                  <w:vMerge w:val="restart"/>
                  <w:vAlign w:val="center"/>
                </w:tcPr>
                <w:p>
                  <w:pPr>
                    <w:pStyle w:val="11"/>
                    <w:jc w:val="center"/>
                    <w:rPr>
                      <w:rFonts w:hint="default" w:ascii="Times New Roman" w:hAnsi="Times New Roman" w:cs="Times New Roman"/>
                      <w:b/>
                      <w:bCs/>
                      <w:color w:val="auto"/>
                    </w:rPr>
                  </w:pPr>
                  <w:r>
                    <w:rPr>
                      <w:rFonts w:hint="default" w:ascii="Times New Roman" w:hAnsi="Times New Roman" w:cs="Times New Roman"/>
                      <w:b/>
                      <w:bCs/>
                      <w:color w:val="auto"/>
                    </w:rPr>
                    <w:t>项目</w:t>
                  </w:r>
                </w:p>
              </w:tc>
              <w:tc>
                <w:tcPr>
                  <w:tcW w:w="4172" w:type="dxa"/>
                  <w:vMerge w:val="restart"/>
                  <w:vAlign w:val="center"/>
                </w:tcPr>
                <w:p>
                  <w:pPr>
                    <w:pStyle w:val="11"/>
                    <w:jc w:val="center"/>
                    <w:rPr>
                      <w:rFonts w:hint="default" w:ascii="Times New Roman" w:hAnsi="Times New Roman" w:cs="Times New Roman"/>
                      <w:b/>
                      <w:bCs/>
                      <w:color w:val="auto"/>
                    </w:rPr>
                  </w:pPr>
                  <w:r>
                    <w:rPr>
                      <w:rFonts w:hint="default" w:ascii="Times New Roman" w:hAnsi="Times New Roman" w:cs="Times New Roman"/>
                      <w:b/>
                      <w:bCs/>
                      <w:color w:val="auto"/>
                    </w:rPr>
                    <w:t>规模</w:t>
                  </w:r>
                </w:p>
              </w:tc>
              <w:tc>
                <w:tcPr>
                  <w:tcW w:w="1863" w:type="dxa"/>
                  <w:gridSpan w:val="2"/>
                  <w:vAlign w:val="center"/>
                </w:tcPr>
                <w:p>
                  <w:pPr>
                    <w:pStyle w:val="11"/>
                    <w:jc w:val="center"/>
                    <w:rPr>
                      <w:rFonts w:hint="default" w:ascii="Times New Roman" w:hAnsi="Times New Roman" w:cs="Times New Roman"/>
                      <w:b/>
                      <w:bCs/>
                      <w:color w:val="auto"/>
                    </w:rPr>
                  </w:pPr>
                  <w:r>
                    <w:rPr>
                      <w:rFonts w:hint="default" w:ascii="Times New Roman" w:hAnsi="Times New Roman" w:cs="Times New Roman"/>
                      <w:b/>
                      <w:bCs/>
                      <w:color w:val="auto"/>
                    </w:rPr>
                    <w:t>环境问题</w:t>
                  </w:r>
                </w:p>
              </w:tc>
              <w:tc>
                <w:tcPr>
                  <w:tcW w:w="938" w:type="dxa"/>
                  <w:vMerge w:val="restart"/>
                  <w:vAlign w:val="center"/>
                </w:tcPr>
                <w:p>
                  <w:pPr>
                    <w:pStyle w:val="11"/>
                    <w:jc w:val="center"/>
                    <w:rPr>
                      <w:rFonts w:hint="default" w:ascii="Times New Roman" w:hAnsi="Times New Roman" w:cs="Times New Roman"/>
                      <w:b/>
                      <w:bCs/>
                      <w:color w:val="auto"/>
                    </w:rPr>
                  </w:pPr>
                  <w:r>
                    <w:rPr>
                      <w:rFonts w:hint="default" w:ascii="Times New Roman" w:hAnsi="Times New Roman" w:cs="Times New Roman"/>
                      <w:b/>
                      <w:bCs/>
                      <w:color w:val="auto"/>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60" w:type="dxa"/>
                  <w:vMerge w:val="continue"/>
                  <w:vAlign w:val="center"/>
                </w:tcPr>
                <w:p>
                  <w:pPr>
                    <w:pStyle w:val="11"/>
                    <w:jc w:val="center"/>
                    <w:rPr>
                      <w:rFonts w:hint="default" w:ascii="Times New Roman" w:hAnsi="Times New Roman" w:cs="Times New Roman"/>
                      <w:color w:val="auto"/>
                    </w:rPr>
                  </w:pPr>
                </w:p>
              </w:tc>
              <w:tc>
                <w:tcPr>
                  <w:tcW w:w="650" w:type="dxa"/>
                  <w:vMerge w:val="continue"/>
                  <w:vAlign w:val="center"/>
                </w:tcPr>
                <w:p>
                  <w:pPr>
                    <w:pStyle w:val="11"/>
                    <w:jc w:val="center"/>
                    <w:rPr>
                      <w:rFonts w:hint="default" w:ascii="Times New Roman" w:hAnsi="Times New Roman" w:cs="Times New Roman"/>
                      <w:color w:val="auto"/>
                    </w:rPr>
                  </w:pPr>
                </w:p>
              </w:tc>
              <w:tc>
                <w:tcPr>
                  <w:tcW w:w="4172" w:type="dxa"/>
                  <w:vMerge w:val="continue"/>
                  <w:vAlign w:val="center"/>
                </w:tcPr>
                <w:p>
                  <w:pPr>
                    <w:pStyle w:val="11"/>
                    <w:jc w:val="center"/>
                    <w:rPr>
                      <w:rFonts w:hint="default" w:ascii="Times New Roman" w:hAnsi="Times New Roman" w:cs="Times New Roman"/>
                      <w:b/>
                      <w:bCs/>
                      <w:color w:val="auto"/>
                    </w:rPr>
                  </w:pPr>
                </w:p>
              </w:tc>
              <w:tc>
                <w:tcPr>
                  <w:tcW w:w="888" w:type="dxa"/>
                  <w:vAlign w:val="center"/>
                </w:tcPr>
                <w:p>
                  <w:pPr>
                    <w:pStyle w:val="11"/>
                    <w:jc w:val="center"/>
                    <w:rPr>
                      <w:rFonts w:hint="default" w:ascii="Times New Roman" w:hAnsi="Times New Roman" w:cs="Times New Roman"/>
                      <w:b/>
                      <w:bCs/>
                      <w:color w:val="auto"/>
                    </w:rPr>
                  </w:pPr>
                  <w:r>
                    <w:rPr>
                      <w:rFonts w:hint="default" w:ascii="Times New Roman" w:hAnsi="Times New Roman" w:cs="Times New Roman"/>
                      <w:b/>
                      <w:bCs/>
                      <w:color w:val="auto"/>
                    </w:rPr>
                    <w:t>施工期</w:t>
                  </w:r>
                </w:p>
              </w:tc>
              <w:tc>
                <w:tcPr>
                  <w:tcW w:w="975" w:type="dxa"/>
                  <w:vAlign w:val="center"/>
                </w:tcPr>
                <w:p>
                  <w:pPr>
                    <w:pStyle w:val="11"/>
                    <w:jc w:val="center"/>
                    <w:rPr>
                      <w:rFonts w:hint="default" w:ascii="Times New Roman" w:hAnsi="Times New Roman" w:cs="Times New Roman"/>
                      <w:b/>
                      <w:bCs/>
                      <w:color w:val="auto"/>
                    </w:rPr>
                  </w:pPr>
                  <w:r>
                    <w:rPr>
                      <w:rFonts w:hint="default" w:ascii="Times New Roman" w:hAnsi="Times New Roman" w:cs="Times New Roman"/>
                      <w:b/>
                      <w:bCs/>
                      <w:color w:val="auto"/>
                    </w:rPr>
                    <w:t>营运期</w:t>
                  </w:r>
                </w:p>
              </w:tc>
              <w:tc>
                <w:tcPr>
                  <w:tcW w:w="938" w:type="dxa"/>
                  <w:vMerge w:val="continue"/>
                  <w:vAlign w:val="center"/>
                </w:tcPr>
                <w:p>
                  <w:pPr>
                    <w:pStyle w:val="11"/>
                    <w:jc w:val="center"/>
                    <w:rPr>
                      <w:rFonts w:hint="default" w:ascii="Times New Roman" w:hAnsi="Times New Roman" w:cs="Times New Roman"/>
                      <w:color w:va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03" w:hRule="atLeast"/>
                <w:jc w:val="center"/>
              </w:trPr>
              <w:tc>
                <w:tcPr>
                  <w:tcW w:w="760"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主体工程</w:t>
                  </w:r>
                </w:p>
              </w:tc>
              <w:tc>
                <w:tcPr>
                  <w:tcW w:w="650"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生产车间</w:t>
                  </w:r>
                </w:p>
              </w:tc>
              <w:tc>
                <w:tcPr>
                  <w:tcW w:w="4172" w:type="dxa"/>
                  <w:vAlign w:val="center"/>
                </w:tcPr>
                <w:p>
                  <w:pPr>
                    <w:pStyle w:val="11"/>
                    <w:jc w:val="both"/>
                    <w:rPr>
                      <w:rFonts w:hint="default" w:ascii="Times New Roman" w:hAnsi="Times New Roman" w:cs="Times New Roman"/>
                      <w:color w:val="auto"/>
                    </w:rPr>
                  </w:pPr>
                  <w:r>
                    <w:rPr>
                      <w:rFonts w:hint="default" w:ascii="Times New Roman" w:hAnsi="Times New Roman" w:cs="Times New Roman"/>
                      <w:color w:val="auto"/>
                    </w:rPr>
                    <w:t>生产车间，钢结构，层高9.5m，建筑面积约</w:t>
                  </w:r>
                  <w:r>
                    <w:rPr>
                      <w:rFonts w:hint="default" w:ascii="Times New Roman" w:hAnsi="Times New Roman" w:cs="Times New Roman"/>
                      <w:color w:val="auto"/>
                      <w:lang w:val="en-US" w:eastAsia="zh-CN"/>
                    </w:rPr>
                    <w:t>30</w:t>
                  </w:r>
                  <w:r>
                    <w:rPr>
                      <w:rFonts w:hint="default" w:ascii="Times New Roman" w:hAnsi="Times New Roman" w:cs="Times New Roman"/>
                      <w:color w:val="auto"/>
                    </w:rPr>
                    <w:t>00m</w:t>
                  </w:r>
                  <w:r>
                    <w:rPr>
                      <w:rFonts w:hint="default" w:ascii="Times New Roman" w:hAnsi="Times New Roman" w:cs="Times New Roman"/>
                      <w:color w:val="auto"/>
                      <w:vertAlign w:val="superscript"/>
                    </w:rPr>
                    <w:t>2</w:t>
                  </w:r>
                  <w:r>
                    <w:rPr>
                      <w:rFonts w:hint="default" w:ascii="Times New Roman" w:hAnsi="Times New Roman" w:cs="Times New Roman"/>
                      <w:color w:val="auto"/>
                    </w:rPr>
                    <w:t>，主要进行</w:t>
                  </w:r>
                  <w:r>
                    <w:rPr>
                      <w:rFonts w:hint="default" w:ascii="Times New Roman" w:hAnsi="Times New Roman" w:cs="Times New Roman"/>
                      <w:color w:val="auto"/>
                      <w:kern w:val="2"/>
                    </w:rPr>
                    <w:t>再生塑料颗粒</w:t>
                  </w:r>
                  <w:r>
                    <w:rPr>
                      <w:rFonts w:hint="default" w:ascii="Times New Roman" w:hAnsi="Times New Roman" w:cs="Times New Roman"/>
                      <w:color w:val="auto"/>
                    </w:rPr>
                    <w:t>产品的生产，安置提料机、湿式破碎机、造粒机、切粒机等生产设备；</w:t>
                  </w:r>
                </w:p>
              </w:tc>
              <w:tc>
                <w:tcPr>
                  <w:tcW w:w="888" w:type="dxa"/>
                  <w:vMerge w:val="restart"/>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建筑垃圾、生活垃圾、</w:t>
                  </w:r>
                </w:p>
              </w:tc>
              <w:tc>
                <w:tcPr>
                  <w:tcW w:w="975"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噪声、固废、废气、废水</w:t>
                  </w:r>
                </w:p>
              </w:tc>
              <w:tc>
                <w:tcPr>
                  <w:tcW w:w="938"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03" w:hRule="atLeast"/>
                <w:jc w:val="center"/>
              </w:trPr>
              <w:tc>
                <w:tcPr>
                  <w:tcW w:w="760"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辅助工程</w:t>
                  </w:r>
                </w:p>
              </w:tc>
              <w:tc>
                <w:tcPr>
                  <w:tcW w:w="650"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办公区</w:t>
                  </w:r>
                </w:p>
              </w:tc>
              <w:tc>
                <w:tcPr>
                  <w:tcW w:w="4172" w:type="dxa"/>
                  <w:vAlign w:val="center"/>
                </w:tcPr>
                <w:p>
                  <w:pPr>
                    <w:pStyle w:val="11"/>
                    <w:jc w:val="both"/>
                    <w:rPr>
                      <w:rFonts w:hint="default" w:ascii="Times New Roman" w:hAnsi="Times New Roman" w:cs="Times New Roman"/>
                      <w:color w:val="auto"/>
                    </w:rPr>
                  </w:pPr>
                  <w:r>
                    <w:rPr>
                      <w:rFonts w:hint="default" w:ascii="Times New Roman" w:hAnsi="Times New Roman" w:cs="Times New Roman"/>
                      <w:color w:val="auto"/>
                    </w:rPr>
                    <w:t>层高</w:t>
                  </w:r>
                  <w:r>
                    <w:rPr>
                      <w:rFonts w:hint="default" w:ascii="Times New Roman" w:hAnsi="Times New Roman" w:cs="Times New Roman"/>
                      <w:color w:val="auto"/>
                      <w:lang w:val="en-US" w:eastAsia="zh-CN"/>
                    </w:rPr>
                    <w:t>3.0</w:t>
                  </w:r>
                  <w:r>
                    <w:rPr>
                      <w:rFonts w:hint="default" w:ascii="Times New Roman" w:hAnsi="Times New Roman" w:cs="Times New Roman"/>
                      <w:color w:val="auto"/>
                    </w:rPr>
                    <w:t>m，建筑面积约</w:t>
                  </w:r>
                  <w:r>
                    <w:rPr>
                      <w:rFonts w:hint="default" w:ascii="Times New Roman" w:hAnsi="Times New Roman" w:cs="Times New Roman"/>
                      <w:color w:val="auto"/>
                      <w:lang w:val="en-US" w:eastAsia="zh-CN"/>
                    </w:rPr>
                    <w:t>50</w:t>
                  </w:r>
                  <w:r>
                    <w:rPr>
                      <w:rFonts w:hint="default" w:ascii="Times New Roman" w:hAnsi="Times New Roman" w:cs="Times New Roman"/>
                      <w:color w:val="auto"/>
                    </w:rPr>
                    <w:t>0m</w:t>
                  </w:r>
                  <w:r>
                    <w:rPr>
                      <w:rFonts w:hint="default" w:ascii="Times New Roman" w:hAnsi="Times New Roman" w:cs="Times New Roman"/>
                      <w:color w:val="auto"/>
                      <w:vertAlign w:val="superscript"/>
                    </w:rPr>
                    <w:t>2</w:t>
                  </w:r>
                  <w:r>
                    <w:rPr>
                      <w:rFonts w:hint="default" w:ascii="Times New Roman" w:hAnsi="Times New Roman" w:cs="Times New Roman"/>
                      <w:color w:val="auto"/>
                    </w:rPr>
                    <w:t>，设置办公室、会议室；</w:t>
                  </w:r>
                </w:p>
              </w:tc>
              <w:tc>
                <w:tcPr>
                  <w:tcW w:w="888" w:type="dxa"/>
                  <w:vMerge w:val="continue"/>
                  <w:vAlign w:val="center"/>
                </w:tcPr>
                <w:p>
                  <w:pPr>
                    <w:pStyle w:val="11"/>
                    <w:jc w:val="center"/>
                    <w:rPr>
                      <w:rFonts w:hint="default" w:ascii="Times New Roman" w:hAnsi="Times New Roman" w:cs="Times New Roman"/>
                      <w:color w:val="auto"/>
                    </w:rPr>
                  </w:pPr>
                </w:p>
              </w:tc>
              <w:tc>
                <w:tcPr>
                  <w:tcW w:w="975"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噪声、固废、废气</w:t>
                  </w:r>
                </w:p>
              </w:tc>
              <w:tc>
                <w:tcPr>
                  <w:tcW w:w="938"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60" w:type="dxa"/>
                  <w:vMerge w:val="restart"/>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公用工程</w:t>
                  </w:r>
                </w:p>
              </w:tc>
              <w:tc>
                <w:tcPr>
                  <w:tcW w:w="650"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供电</w:t>
                  </w:r>
                </w:p>
              </w:tc>
              <w:tc>
                <w:tcPr>
                  <w:tcW w:w="4172" w:type="dxa"/>
                  <w:vAlign w:val="center"/>
                </w:tcPr>
                <w:p>
                  <w:pPr>
                    <w:pStyle w:val="11"/>
                    <w:jc w:val="center"/>
                    <w:rPr>
                      <w:rFonts w:hint="default" w:ascii="Times New Roman" w:hAnsi="Times New Roman" w:eastAsia="宋体" w:cs="Times New Roman"/>
                      <w:color w:val="auto"/>
                      <w:lang w:eastAsia="zh-CN"/>
                    </w:rPr>
                  </w:pPr>
                  <w:r>
                    <w:rPr>
                      <w:rFonts w:hint="default" w:ascii="Times New Roman" w:hAnsi="Times New Roman" w:cs="Times New Roman"/>
                      <w:color w:val="auto"/>
                    </w:rPr>
                    <w:t>市政供电</w:t>
                  </w:r>
                  <w:r>
                    <w:rPr>
                      <w:rFonts w:hint="default" w:ascii="Times New Roman" w:hAnsi="Times New Roman" w:cs="Times New Roman"/>
                      <w:color w:val="auto"/>
                      <w:lang w:eastAsia="zh-CN"/>
                    </w:rPr>
                    <w:t>；</w:t>
                  </w:r>
                </w:p>
              </w:tc>
              <w:tc>
                <w:tcPr>
                  <w:tcW w:w="888" w:type="dxa"/>
                  <w:vMerge w:val="continue"/>
                  <w:vAlign w:val="center"/>
                </w:tcPr>
                <w:p>
                  <w:pPr>
                    <w:pStyle w:val="11"/>
                    <w:jc w:val="center"/>
                    <w:rPr>
                      <w:rFonts w:hint="default" w:ascii="Times New Roman" w:hAnsi="Times New Roman" w:cs="Times New Roman"/>
                      <w:color w:val="auto"/>
                    </w:rPr>
                  </w:pPr>
                </w:p>
              </w:tc>
              <w:tc>
                <w:tcPr>
                  <w:tcW w:w="975"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w:t>
                  </w:r>
                </w:p>
              </w:tc>
              <w:tc>
                <w:tcPr>
                  <w:tcW w:w="938"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依托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60" w:type="dxa"/>
                  <w:vMerge w:val="continue"/>
                  <w:vAlign w:val="center"/>
                </w:tcPr>
                <w:p>
                  <w:pPr>
                    <w:pStyle w:val="11"/>
                    <w:jc w:val="center"/>
                    <w:rPr>
                      <w:rFonts w:hint="default" w:ascii="Times New Roman" w:hAnsi="Times New Roman" w:cs="Times New Roman"/>
                      <w:color w:val="auto"/>
                    </w:rPr>
                  </w:pPr>
                </w:p>
              </w:tc>
              <w:tc>
                <w:tcPr>
                  <w:tcW w:w="650"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供水</w:t>
                  </w:r>
                </w:p>
              </w:tc>
              <w:tc>
                <w:tcPr>
                  <w:tcW w:w="4172" w:type="dxa"/>
                  <w:vAlign w:val="center"/>
                </w:tcPr>
                <w:p>
                  <w:pPr>
                    <w:pStyle w:val="11"/>
                    <w:jc w:val="center"/>
                    <w:rPr>
                      <w:rFonts w:hint="default" w:ascii="Times New Roman" w:hAnsi="Times New Roman" w:eastAsia="宋体" w:cs="Times New Roman"/>
                      <w:color w:val="auto"/>
                      <w:lang w:eastAsia="zh-CN"/>
                    </w:rPr>
                  </w:pPr>
                  <w:r>
                    <w:rPr>
                      <w:rFonts w:hint="default" w:ascii="Times New Roman" w:hAnsi="Times New Roman" w:cs="Times New Roman"/>
                      <w:color w:val="auto"/>
                    </w:rPr>
                    <w:t>市政供水</w:t>
                  </w:r>
                  <w:r>
                    <w:rPr>
                      <w:rFonts w:hint="default" w:ascii="Times New Roman" w:hAnsi="Times New Roman" w:cs="Times New Roman"/>
                      <w:color w:val="auto"/>
                      <w:lang w:eastAsia="zh-CN"/>
                    </w:rPr>
                    <w:t>；</w:t>
                  </w:r>
                </w:p>
              </w:tc>
              <w:tc>
                <w:tcPr>
                  <w:tcW w:w="888" w:type="dxa"/>
                  <w:vMerge w:val="continue"/>
                  <w:vAlign w:val="center"/>
                </w:tcPr>
                <w:p>
                  <w:pPr>
                    <w:pStyle w:val="11"/>
                    <w:jc w:val="center"/>
                    <w:rPr>
                      <w:rFonts w:hint="default" w:ascii="Times New Roman" w:hAnsi="Times New Roman" w:cs="Times New Roman"/>
                      <w:color w:val="auto"/>
                    </w:rPr>
                  </w:pPr>
                </w:p>
              </w:tc>
              <w:tc>
                <w:tcPr>
                  <w:tcW w:w="975"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w:t>
                  </w:r>
                </w:p>
              </w:tc>
              <w:tc>
                <w:tcPr>
                  <w:tcW w:w="938"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依托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60" w:type="dxa"/>
                  <w:vMerge w:val="continue"/>
                  <w:vAlign w:val="center"/>
                </w:tcPr>
                <w:p>
                  <w:pPr>
                    <w:pStyle w:val="11"/>
                    <w:jc w:val="center"/>
                    <w:rPr>
                      <w:rFonts w:hint="default" w:ascii="Times New Roman" w:hAnsi="Times New Roman" w:cs="Times New Roman"/>
                      <w:color w:val="auto"/>
                    </w:rPr>
                  </w:pPr>
                </w:p>
              </w:tc>
              <w:tc>
                <w:tcPr>
                  <w:tcW w:w="650"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排水</w:t>
                  </w:r>
                </w:p>
              </w:tc>
              <w:tc>
                <w:tcPr>
                  <w:tcW w:w="4172" w:type="dxa"/>
                  <w:vAlign w:val="center"/>
                </w:tcPr>
                <w:p>
                  <w:pPr>
                    <w:pStyle w:val="11"/>
                    <w:jc w:val="both"/>
                    <w:rPr>
                      <w:rFonts w:hint="default" w:ascii="Times New Roman" w:hAnsi="Times New Roman" w:eastAsia="宋体" w:cs="Times New Roman"/>
                      <w:color w:val="auto"/>
                      <w:lang w:eastAsia="zh-CN"/>
                    </w:rPr>
                  </w:pPr>
                  <w:r>
                    <w:rPr>
                      <w:rFonts w:hint="default" w:ascii="Times New Roman" w:hAnsi="Times New Roman" w:cs="Times New Roman"/>
                      <w:color w:val="auto"/>
                    </w:rPr>
                    <w:t>实行雨污分流制，生活污水经预处理池处理达标后进入园区管网，然后由园区工业污水处理厂处理后达标排入</w:t>
                  </w:r>
                  <w:r>
                    <w:rPr>
                      <w:rFonts w:hint="default" w:ascii="Times New Roman" w:hAnsi="Times New Roman" w:cs="Times New Roman"/>
                      <w:color w:val="auto"/>
                      <w:lang w:val="en-US" w:eastAsia="zh-CN"/>
                    </w:rPr>
                    <w:t>州河</w:t>
                  </w:r>
                  <w:r>
                    <w:rPr>
                      <w:rFonts w:hint="default" w:ascii="Times New Roman" w:hAnsi="Times New Roman" w:cs="Times New Roman"/>
                      <w:color w:val="auto"/>
                      <w:lang w:eastAsia="zh-CN"/>
                    </w:rPr>
                    <w:t>；</w:t>
                  </w:r>
                </w:p>
              </w:tc>
              <w:tc>
                <w:tcPr>
                  <w:tcW w:w="888" w:type="dxa"/>
                  <w:vMerge w:val="continue"/>
                  <w:vAlign w:val="center"/>
                </w:tcPr>
                <w:p>
                  <w:pPr>
                    <w:pStyle w:val="11"/>
                    <w:jc w:val="center"/>
                    <w:rPr>
                      <w:rFonts w:hint="default" w:ascii="Times New Roman" w:hAnsi="Times New Roman" w:cs="Times New Roman"/>
                      <w:color w:val="auto"/>
                    </w:rPr>
                  </w:pPr>
                </w:p>
              </w:tc>
              <w:tc>
                <w:tcPr>
                  <w:tcW w:w="975"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w:t>
                  </w:r>
                </w:p>
              </w:tc>
              <w:tc>
                <w:tcPr>
                  <w:tcW w:w="938"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依托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60" w:type="dxa"/>
                  <w:vMerge w:val="restart"/>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环保工程</w:t>
                  </w:r>
                </w:p>
              </w:tc>
              <w:tc>
                <w:tcPr>
                  <w:tcW w:w="650" w:type="dxa"/>
                  <w:vMerge w:val="restart"/>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废水处理</w:t>
                  </w:r>
                </w:p>
              </w:tc>
              <w:tc>
                <w:tcPr>
                  <w:tcW w:w="4172" w:type="dxa"/>
                  <w:vAlign w:val="center"/>
                </w:tcPr>
                <w:p>
                  <w:pPr>
                    <w:pStyle w:val="11"/>
                    <w:jc w:val="both"/>
                    <w:rPr>
                      <w:rFonts w:hint="default" w:ascii="Times New Roman" w:hAnsi="Times New Roman" w:cs="Times New Roman"/>
                      <w:color w:val="auto"/>
                    </w:rPr>
                  </w:pPr>
                  <w:r>
                    <w:rPr>
                      <w:rFonts w:hint="default" w:ascii="Times New Roman" w:hAnsi="Times New Roman" w:cs="Times New Roman"/>
                      <w:color w:val="auto"/>
                    </w:rPr>
                    <w:t>设置1个预处理池，容积100m³；</w:t>
                  </w:r>
                </w:p>
              </w:tc>
              <w:tc>
                <w:tcPr>
                  <w:tcW w:w="888" w:type="dxa"/>
                  <w:vMerge w:val="continue"/>
                  <w:vAlign w:val="center"/>
                </w:tcPr>
                <w:p>
                  <w:pPr>
                    <w:pStyle w:val="11"/>
                    <w:jc w:val="center"/>
                    <w:rPr>
                      <w:rFonts w:hint="default" w:ascii="Times New Roman" w:hAnsi="Times New Roman" w:cs="Times New Roman"/>
                      <w:color w:val="auto"/>
                    </w:rPr>
                  </w:pPr>
                </w:p>
              </w:tc>
              <w:tc>
                <w:tcPr>
                  <w:tcW w:w="975"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污泥</w:t>
                  </w:r>
                </w:p>
              </w:tc>
              <w:tc>
                <w:tcPr>
                  <w:tcW w:w="938"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60" w:type="dxa"/>
                  <w:vMerge w:val="continue"/>
                  <w:vAlign w:val="center"/>
                </w:tcPr>
                <w:p>
                  <w:pPr>
                    <w:pStyle w:val="11"/>
                    <w:jc w:val="center"/>
                    <w:rPr>
                      <w:rFonts w:hint="default" w:ascii="Times New Roman" w:hAnsi="Times New Roman" w:cs="Times New Roman"/>
                      <w:color w:val="auto"/>
                    </w:rPr>
                  </w:pPr>
                </w:p>
              </w:tc>
              <w:tc>
                <w:tcPr>
                  <w:tcW w:w="650" w:type="dxa"/>
                  <w:vMerge w:val="continue"/>
                  <w:vAlign w:val="center"/>
                </w:tcPr>
                <w:p>
                  <w:pPr>
                    <w:pStyle w:val="11"/>
                    <w:jc w:val="center"/>
                    <w:rPr>
                      <w:rFonts w:hint="default" w:ascii="Times New Roman" w:hAnsi="Times New Roman" w:cs="Times New Roman"/>
                      <w:color w:val="auto"/>
                    </w:rPr>
                  </w:pPr>
                </w:p>
              </w:tc>
              <w:tc>
                <w:tcPr>
                  <w:tcW w:w="4172" w:type="dxa"/>
                  <w:vAlign w:val="center"/>
                </w:tcPr>
                <w:p>
                  <w:pPr>
                    <w:pStyle w:val="11"/>
                    <w:jc w:val="both"/>
                    <w:rPr>
                      <w:rFonts w:hint="default" w:ascii="Times New Roman" w:hAnsi="Times New Roman" w:eastAsia="宋体" w:cs="Times New Roman"/>
                      <w:color w:val="auto"/>
                      <w:lang w:eastAsia="zh-CN"/>
                    </w:rPr>
                  </w:pPr>
                  <w:r>
                    <w:rPr>
                      <w:rFonts w:hint="default" w:ascii="Times New Roman" w:hAnsi="Times New Roman" w:cs="Times New Roman"/>
                      <w:color w:val="auto"/>
                    </w:rPr>
                    <w:t>车间设置1套</w:t>
                  </w:r>
                  <w:r>
                    <w:rPr>
                      <w:rFonts w:hint="default" w:ascii="Times New Roman" w:hAnsi="Times New Roman" w:cs="Times New Roman"/>
                      <w:bCs/>
                      <w:color w:val="auto"/>
                      <w:spacing w:val="-10"/>
                    </w:rPr>
                    <w:t>采用“沉淀+气浮”的清洗废水循环回用处理系统，</w:t>
                  </w:r>
                  <w:r>
                    <w:rPr>
                      <w:rFonts w:hint="default" w:ascii="Times New Roman" w:hAnsi="Times New Roman" w:cs="Times New Roman"/>
                      <w:bCs/>
                      <w:color w:val="auto"/>
                      <w:spacing w:val="-10"/>
                      <w:lang w:val="en-US" w:eastAsia="zh-CN"/>
                    </w:rPr>
                    <w:t>有效处理规模按100m</w:t>
                  </w:r>
                  <w:r>
                    <w:rPr>
                      <w:rFonts w:hint="default" w:ascii="Times New Roman" w:hAnsi="Times New Roman" w:cs="Times New Roman"/>
                      <w:bCs/>
                      <w:color w:val="auto"/>
                      <w:spacing w:val="-10"/>
                      <w:vertAlign w:val="superscript"/>
                      <w:lang w:val="en-US" w:eastAsia="zh-CN"/>
                    </w:rPr>
                    <w:t>3</w:t>
                  </w:r>
                  <w:r>
                    <w:rPr>
                      <w:rFonts w:hint="default" w:ascii="Times New Roman" w:hAnsi="Times New Roman" w:cs="Times New Roman"/>
                      <w:bCs/>
                      <w:color w:val="auto"/>
                      <w:spacing w:val="-10"/>
                      <w:lang w:val="en-US" w:eastAsia="zh-CN"/>
                    </w:rPr>
                    <w:t>/h计算</w:t>
                  </w:r>
                  <w:r>
                    <w:rPr>
                      <w:rFonts w:hint="default" w:ascii="Times New Roman" w:hAnsi="Times New Roman" w:cs="Times New Roman"/>
                      <w:bCs/>
                      <w:color w:val="auto"/>
                      <w:spacing w:val="-10"/>
                      <w:szCs w:val="21"/>
                      <w:lang w:eastAsia="zh-CN"/>
                    </w:rPr>
                    <w:t>；</w:t>
                  </w:r>
                </w:p>
              </w:tc>
              <w:tc>
                <w:tcPr>
                  <w:tcW w:w="888" w:type="dxa"/>
                  <w:vMerge w:val="continue"/>
                  <w:vAlign w:val="center"/>
                </w:tcPr>
                <w:p>
                  <w:pPr>
                    <w:pStyle w:val="11"/>
                    <w:jc w:val="center"/>
                    <w:rPr>
                      <w:rFonts w:hint="default" w:ascii="Times New Roman" w:hAnsi="Times New Roman" w:cs="Times New Roman"/>
                      <w:color w:val="auto"/>
                    </w:rPr>
                  </w:pPr>
                </w:p>
              </w:tc>
              <w:tc>
                <w:tcPr>
                  <w:tcW w:w="975"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污泥</w:t>
                  </w:r>
                </w:p>
              </w:tc>
              <w:tc>
                <w:tcPr>
                  <w:tcW w:w="938"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67" w:hRule="atLeast"/>
                <w:jc w:val="center"/>
              </w:trPr>
              <w:tc>
                <w:tcPr>
                  <w:tcW w:w="760" w:type="dxa"/>
                  <w:vMerge w:val="continue"/>
                  <w:vAlign w:val="center"/>
                </w:tcPr>
                <w:p>
                  <w:pPr>
                    <w:pStyle w:val="11"/>
                    <w:jc w:val="center"/>
                    <w:rPr>
                      <w:rFonts w:hint="default" w:ascii="Times New Roman" w:hAnsi="Times New Roman" w:cs="Times New Roman"/>
                      <w:color w:val="auto"/>
                    </w:rPr>
                  </w:pPr>
                </w:p>
              </w:tc>
              <w:tc>
                <w:tcPr>
                  <w:tcW w:w="650" w:type="dxa"/>
                  <w:vMerge w:val="restart"/>
                  <w:vAlign w:val="center"/>
                </w:tcPr>
                <w:p>
                  <w:pPr>
                    <w:pStyle w:val="11"/>
                    <w:jc w:val="center"/>
                    <w:rPr>
                      <w:rFonts w:hint="default" w:ascii="Times New Roman" w:hAnsi="Times New Roman" w:cs="Times New Roman"/>
                      <w:color w:val="auto"/>
                      <w:kern w:val="2"/>
                    </w:rPr>
                  </w:pPr>
                  <w:r>
                    <w:rPr>
                      <w:rFonts w:hint="default" w:ascii="Times New Roman" w:hAnsi="Times New Roman" w:cs="Times New Roman"/>
                      <w:color w:val="auto"/>
                    </w:rPr>
                    <w:t>废气治理</w:t>
                  </w:r>
                </w:p>
              </w:tc>
              <w:tc>
                <w:tcPr>
                  <w:tcW w:w="4172" w:type="dxa"/>
                  <w:vAlign w:val="center"/>
                </w:tcPr>
                <w:p>
                  <w:pPr>
                    <w:pStyle w:val="11"/>
                    <w:jc w:val="both"/>
                    <w:rPr>
                      <w:rFonts w:hint="default" w:ascii="Times New Roman" w:hAnsi="Times New Roman" w:cs="Times New Roman"/>
                      <w:color w:val="auto"/>
                      <w:kern w:val="2"/>
                    </w:rPr>
                  </w:pPr>
                  <w:r>
                    <w:rPr>
                      <w:rFonts w:hint="default" w:ascii="Times New Roman" w:hAnsi="Times New Roman" w:cs="Times New Roman"/>
                      <w:color w:val="auto"/>
                    </w:rPr>
                    <w:t>造粒废气：采用1套“两级活性炭吸附”装置（</w:t>
                  </w:r>
                  <w:r>
                    <w:rPr>
                      <w:rFonts w:hint="default" w:ascii="Times New Roman" w:hAnsi="Times New Roman" w:cs="Times New Roman"/>
                      <w:color w:val="auto"/>
                      <w:lang w:val="en-US" w:eastAsia="zh-CN"/>
                    </w:rPr>
                    <w:t>LA</w:t>
                  </w:r>
                  <w:r>
                    <w:rPr>
                      <w:rFonts w:hint="default" w:ascii="Times New Roman" w:hAnsi="Times New Roman" w:cs="Times New Roman"/>
                      <w:color w:val="auto"/>
                    </w:rPr>
                    <w:t>-00</w:t>
                  </w:r>
                  <w:r>
                    <w:rPr>
                      <w:rFonts w:hint="default" w:ascii="Times New Roman" w:hAnsi="Times New Roman" w:cs="Times New Roman"/>
                      <w:color w:val="auto"/>
                      <w:lang w:val="en-US" w:eastAsia="zh-CN"/>
                    </w:rPr>
                    <w:t>1</w:t>
                  </w:r>
                  <w:r>
                    <w:rPr>
                      <w:rFonts w:hint="default" w:ascii="Times New Roman" w:hAnsi="Times New Roman" w:cs="Times New Roman"/>
                      <w:color w:val="auto"/>
                    </w:rPr>
                    <w:t>）处理后经15m高排气筒排放(风量按</w:t>
                  </w:r>
                  <w:r>
                    <w:rPr>
                      <w:rFonts w:hint="default" w:ascii="Times New Roman" w:hAnsi="Times New Roman" w:cs="Times New Roman"/>
                      <w:color w:val="auto"/>
                      <w:lang w:eastAsia="zh-CN"/>
                    </w:rPr>
                    <w:t>10800m</w:t>
                  </w:r>
                  <w:r>
                    <w:rPr>
                      <w:rFonts w:hint="default" w:ascii="Times New Roman" w:hAnsi="Times New Roman" w:cs="Times New Roman"/>
                      <w:color w:val="auto"/>
                      <w:vertAlign w:val="superscript"/>
                    </w:rPr>
                    <w:t>3</w:t>
                  </w:r>
                  <w:r>
                    <w:rPr>
                      <w:rFonts w:hint="default" w:ascii="Times New Roman" w:hAnsi="Times New Roman" w:cs="Times New Roman"/>
                      <w:color w:val="auto"/>
                    </w:rPr>
                    <w:t>/h计算）；</w:t>
                  </w:r>
                </w:p>
              </w:tc>
              <w:tc>
                <w:tcPr>
                  <w:tcW w:w="888" w:type="dxa"/>
                  <w:vMerge w:val="continue"/>
                  <w:vAlign w:val="center"/>
                </w:tcPr>
                <w:p>
                  <w:pPr>
                    <w:pStyle w:val="11"/>
                    <w:jc w:val="center"/>
                    <w:rPr>
                      <w:rFonts w:hint="default" w:ascii="Times New Roman" w:hAnsi="Times New Roman" w:cs="Times New Roman"/>
                      <w:color w:val="auto"/>
                    </w:rPr>
                  </w:pPr>
                </w:p>
              </w:tc>
              <w:tc>
                <w:tcPr>
                  <w:tcW w:w="975" w:type="dxa"/>
                  <w:vMerge w:val="restart"/>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噪声、废气</w:t>
                  </w:r>
                </w:p>
              </w:tc>
              <w:tc>
                <w:tcPr>
                  <w:tcW w:w="938" w:type="dxa"/>
                  <w:vMerge w:val="restart"/>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67" w:hRule="atLeast"/>
                <w:jc w:val="center"/>
              </w:trPr>
              <w:tc>
                <w:tcPr>
                  <w:tcW w:w="760" w:type="dxa"/>
                  <w:vMerge w:val="continue"/>
                  <w:vAlign w:val="center"/>
                </w:tcPr>
                <w:p>
                  <w:pPr>
                    <w:pStyle w:val="11"/>
                    <w:jc w:val="both"/>
                    <w:rPr>
                      <w:rFonts w:hint="default" w:ascii="Times New Roman" w:hAnsi="Times New Roman" w:cs="Times New Roman"/>
                      <w:color w:val="auto"/>
                    </w:rPr>
                  </w:pPr>
                </w:p>
              </w:tc>
              <w:tc>
                <w:tcPr>
                  <w:tcW w:w="650" w:type="dxa"/>
                  <w:vMerge w:val="continue"/>
                  <w:vAlign w:val="center"/>
                </w:tcPr>
                <w:p>
                  <w:pPr>
                    <w:pStyle w:val="11"/>
                    <w:jc w:val="both"/>
                    <w:rPr>
                      <w:rFonts w:hint="default" w:ascii="Times New Roman" w:hAnsi="Times New Roman" w:cs="Times New Roman"/>
                      <w:color w:val="auto"/>
                    </w:rPr>
                  </w:pPr>
                </w:p>
              </w:tc>
              <w:tc>
                <w:tcPr>
                  <w:tcW w:w="4172" w:type="dxa"/>
                  <w:vAlign w:val="center"/>
                </w:tcPr>
                <w:p>
                  <w:pPr>
                    <w:pStyle w:val="11"/>
                    <w:jc w:val="both"/>
                    <w:rPr>
                      <w:rFonts w:hint="default" w:ascii="Times New Roman" w:hAnsi="Times New Roman" w:cs="Times New Roman"/>
                      <w:color w:val="auto"/>
                      <w:kern w:val="2"/>
                    </w:rPr>
                  </w:pPr>
                  <w:r>
                    <w:rPr>
                      <w:rFonts w:hint="default" w:ascii="Times New Roman" w:hAnsi="Times New Roman" w:cs="Times New Roman"/>
                      <w:color w:val="auto"/>
                      <w:kern w:val="2"/>
                    </w:rPr>
                    <w:t>污泥恶臭：加强车间通风，</w:t>
                  </w:r>
                  <w:r>
                    <w:rPr>
                      <w:rFonts w:hint="default" w:ascii="Times New Roman" w:hAnsi="Times New Roman" w:cs="Times New Roman"/>
                      <w:color w:val="auto"/>
                      <w:kern w:val="2"/>
                      <w:lang w:val="en-US" w:eastAsia="zh-CN"/>
                    </w:rPr>
                    <w:t>沉淀池泥沙</w:t>
                  </w:r>
                  <w:r>
                    <w:rPr>
                      <w:rFonts w:hint="default" w:ascii="Times New Roman" w:hAnsi="Times New Roman" w:cs="Times New Roman"/>
                      <w:color w:val="auto"/>
                      <w:kern w:val="2"/>
                    </w:rPr>
                    <w:t>交由环卫部门及时清运；</w:t>
                  </w:r>
                </w:p>
              </w:tc>
              <w:tc>
                <w:tcPr>
                  <w:tcW w:w="888" w:type="dxa"/>
                  <w:vMerge w:val="continue"/>
                  <w:vAlign w:val="center"/>
                </w:tcPr>
                <w:p>
                  <w:pPr>
                    <w:pStyle w:val="11"/>
                    <w:jc w:val="both"/>
                    <w:rPr>
                      <w:rFonts w:hint="default" w:ascii="Times New Roman" w:hAnsi="Times New Roman" w:cs="Times New Roman"/>
                      <w:color w:val="auto"/>
                      <w:kern w:val="2"/>
                    </w:rPr>
                  </w:pPr>
                </w:p>
              </w:tc>
              <w:tc>
                <w:tcPr>
                  <w:tcW w:w="975" w:type="dxa"/>
                  <w:vMerge w:val="continue"/>
                  <w:vAlign w:val="center"/>
                </w:tcPr>
                <w:p>
                  <w:pPr>
                    <w:pStyle w:val="11"/>
                    <w:jc w:val="both"/>
                    <w:rPr>
                      <w:rFonts w:hint="default" w:ascii="Times New Roman" w:hAnsi="Times New Roman" w:cs="Times New Roman"/>
                      <w:color w:val="auto"/>
                      <w:kern w:val="2"/>
                    </w:rPr>
                  </w:pPr>
                </w:p>
              </w:tc>
              <w:tc>
                <w:tcPr>
                  <w:tcW w:w="938" w:type="dxa"/>
                  <w:vMerge w:val="continue"/>
                  <w:vAlign w:val="center"/>
                </w:tcPr>
                <w:p>
                  <w:pPr>
                    <w:pStyle w:val="11"/>
                    <w:jc w:val="both"/>
                    <w:rPr>
                      <w:rFonts w:hint="default" w:ascii="Times New Roman" w:hAnsi="Times New Roman" w:cs="Times New Roman"/>
                      <w:color w:val="auto"/>
                      <w:kern w:val="2"/>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60" w:type="dxa"/>
                  <w:vMerge w:val="continue"/>
                  <w:vAlign w:val="center"/>
                </w:tcPr>
                <w:p>
                  <w:pPr>
                    <w:pStyle w:val="11"/>
                    <w:jc w:val="center"/>
                    <w:rPr>
                      <w:rFonts w:hint="default" w:ascii="Times New Roman" w:hAnsi="Times New Roman" w:cs="Times New Roman"/>
                      <w:color w:val="auto"/>
                    </w:rPr>
                  </w:pPr>
                </w:p>
              </w:tc>
              <w:tc>
                <w:tcPr>
                  <w:tcW w:w="650"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噪声治理</w:t>
                  </w:r>
                </w:p>
              </w:tc>
              <w:tc>
                <w:tcPr>
                  <w:tcW w:w="4172" w:type="dxa"/>
                  <w:vAlign w:val="center"/>
                </w:tcPr>
                <w:p>
                  <w:pPr>
                    <w:pStyle w:val="11"/>
                    <w:jc w:val="both"/>
                    <w:rPr>
                      <w:rFonts w:hint="default" w:ascii="Times New Roman" w:hAnsi="Times New Roman" w:cs="Times New Roman"/>
                      <w:color w:val="auto"/>
                    </w:rPr>
                  </w:pPr>
                  <w:r>
                    <w:rPr>
                      <w:rFonts w:hint="default" w:ascii="Times New Roman" w:hAnsi="Times New Roman" w:cs="Times New Roman"/>
                      <w:color w:val="auto"/>
                    </w:rPr>
                    <w:t>车间封闭隔声，机械设备基础设减震垫，通风排气管采取软性连接等；</w:t>
                  </w:r>
                </w:p>
              </w:tc>
              <w:tc>
                <w:tcPr>
                  <w:tcW w:w="888" w:type="dxa"/>
                  <w:vMerge w:val="continue"/>
                  <w:vAlign w:val="center"/>
                </w:tcPr>
                <w:p>
                  <w:pPr>
                    <w:pStyle w:val="11"/>
                    <w:jc w:val="center"/>
                    <w:rPr>
                      <w:rFonts w:hint="default" w:ascii="Times New Roman" w:hAnsi="Times New Roman" w:cs="Times New Roman"/>
                      <w:color w:val="auto"/>
                    </w:rPr>
                  </w:pPr>
                </w:p>
              </w:tc>
              <w:tc>
                <w:tcPr>
                  <w:tcW w:w="975"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w:t>
                  </w:r>
                </w:p>
              </w:tc>
              <w:tc>
                <w:tcPr>
                  <w:tcW w:w="938"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60" w:type="dxa"/>
                  <w:vMerge w:val="continue"/>
                  <w:vAlign w:val="center"/>
                </w:tcPr>
                <w:p>
                  <w:pPr>
                    <w:pStyle w:val="11"/>
                    <w:jc w:val="center"/>
                    <w:rPr>
                      <w:rFonts w:hint="default" w:ascii="Times New Roman" w:hAnsi="Times New Roman" w:cs="Times New Roman"/>
                      <w:color w:val="auto"/>
                    </w:rPr>
                  </w:pPr>
                </w:p>
              </w:tc>
              <w:tc>
                <w:tcPr>
                  <w:tcW w:w="650" w:type="dxa"/>
                  <w:vMerge w:val="restart"/>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固废处理</w:t>
                  </w:r>
                </w:p>
              </w:tc>
              <w:tc>
                <w:tcPr>
                  <w:tcW w:w="4172" w:type="dxa"/>
                  <w:vAlign w:val="center"/>
                </w:tcPr>
                <w:p>
                  <w:pPr>
                    <w:pStyle w:val="11"/>
                    <w:jc w:val="both"/>
                    <w:rPr>
                      <w:rFonts w:hint="default" w:ascii="Times New Roman" w:hAnsi="Times New Roman" w:cs="Times New Roman"/>
                      <w:color w:val="auto"/>
                    </w:rPr>
                  </w:pPr>
                  <w:r>
                    <w:rPr>
                      <w:rFonts w:hint="default" w:ascii="Times New Roman" w:hAnsi="Times New Roman" w:cs="Times New Roman"/>
                      <w:color w:val="auto"/>
                    </w:rPr>
                    <w:t>车间</w:t>
                  </w:r>
                  <w:r>
                    <w:rPr>
                      <w:rFonts w:hint="default" w:ascii="Times New Roman" w:hAnsi="Times New Roman" w:cs="Times New Roman"/>
                      <w:bCs/>
                      <w:color w:val="auto"/>
                      <w:spacing w:val="-10"/>
                    </w:rPr>
                    <w:t>废水循环回用处理系统设</w:t>
                  </w:r>
                  <w:r>
                    <w:rPr>
                      <w:rFonts w:hint="default" w:ascii="Times New Roman" w:hAnsi="Times New Roman" w:cs="Times New Roman"/>
                      <w:bCs/>
                      <w:color w:val="auto"/>
                      <w:spacing w:val="-10"/>
                      <w:lang w:val="en-US" w:eastAsia="zh-CN"/>
                    </w:rPr>
                    <w:t>委托环卫部门</w:t>
                  </w:r>
                  <w:r>
                    <w:rPr>
                      <w:rFonts w:hint="default" w:ascii="Times New Roman" w:hAnsi="Times New Roman" w:cs="Times New Roman"/>
                      <w:bCs/>
                      <w:color w:val="auto"/>
                      <w:spacing w:val="-10"/>
                    </w:rPr>
                    <w:t>定期处理清洗废水处理过程中产生的泥沙；</w:t>
                  </w:r>
                </w:p>
              </w:tc>
              <w:tc>
                <w:tcPr>
                  <w:tcW w:w="888" w:type="dxa"/>
                  <w:vMerge w:val="continue"/>
                  <w:vAlign w:val="center"/>
                </w:tcPr>
                <w:p>
                  <w:pPr>
                    <w:pStyle w:val="11"/>
                    <w:jc w:val="center"/>
                    <w:rPr>
                      <w:rFonts w:hint="default" w:ascii="Times New Roman" w:hAnsi="Times New Roman" w:cs="Times New Roman"/>
                      <w:color w:val="auto"/>
                    </w:rPr>
                  </w:pPr>
                </w:p>
              </w:tc>
              <w:tc>
                <w:tcPr>
                  <w:tcW w:w="975"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噪声、废气</w:t>
                  </w:r>
                </w:p>
              </w:tc>
              <w:tc>
                <w:tcPr>
                  <w:tcW w:w="938"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60" w:type="dxa"/>
                  <w:vMerge w:val="continue"/>
                  <w:vAlign w:val="center"/>
                </w:tcPr>
                <w:p>
                  <w:pPr>
                    <w:pStyle w:val="11"/>
                    <w:jc w:val="center"/>
                    <w:rPr>
                      <w:rFonts w:hint="default" w:ascii="Times New Roman" w:hAnsi="Times New Roman" w:cs="Times New Roman"/>
                      <w:color w:val="auto"/>
                    </w:rPr>
                  </w:pPr>
                </w:p>
              </w:tc>
              <w:tc>
                <w:tcPr>
                  <w:tcW w:w="650" w:type="dxa"/>
                  <w:vMerge w:val="continue"/>
                  <w:vAlign w:val="center"/>
                </w:tcPr>
                <w:p>
                  <w:pPr>
                    <w:pStyle w:val="11"/>
                    <w:jc w:val="center"/>
                    <w:rPr>
                      <w:rFonts w:hint="default" w:ascii="Times New Roman" w:hAnsi="Times New Roman" w:cs="Times New Roman"/>
                      <w:color w:val="auto"/>
                    </w:rPr>
                  </w:pPr>
                </w:p>
              </w:tc>
              <w:tc>
                <w:tcPr>
                  <w:tcW w:w="4172" w:type="dxa"/>
                  <w:vAlign w:val="center"/>
                </w:tcPr>
                <w:p>
                  <w:pPr>
                    <w:pStyle w:val="11"/>
                    <w:jc w:val="both"/>
                    <w:rPr>
                      <w:rFonts w:hint="default" w:ascii="Times New Roman" w:hAnsi="Times New Roman" w:eastAsia="宋体" w:cs="Times New Roman"/>
                      <w:color w:val="auto"/>
                      <w:lang w:eastAsia="zh-CN"/>
                    </w:rPr>
                  </w:pPr>
                  <w:r>
                    <w:rPr>
                      <w:rFonts w:hint="default" w:ascii="Times New Roman" w:hAnsi="Times New Roman" w:cs="Times New Roman"/>
                      <w:color w:val="auto"/>
                    </w:rPr>
                    <w:t>设置固废储存区，其中一般固废储存区面积约100m</w:t>
                  </w:r>
                  <w:r>
                    <w:rPr>
                      <w:rFonts w:hint="default" w:ascii="Times New Roman" w:hAnsi="Times New Roman" w:cs="Times New Roman"/>
                      <w:color w:val="auto"/>
                      <w:vertAlign w:val="superscript"/>
                    </w:rPr>
                    <w:t>2</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位于车间北侧，</w:t>
                  </w:r>
                  <w:r>
                    <w:rPr>
                      <w:rFonts w:hint="default" w:ascii="Times New Roman" w:hAnsi="Times New Roman" w:cs="Times New Roman"/>
                      <w:color w:val="auto"/>
                    </w:rPr>
                    <w:t>危废储存区面积约为20m</w:t>
                  </w:r>
                  <w:r>
                    <w:rPr>
                      <w:rFonts w:hint="default" w:ascii="Times New Roman" w:hAnsi="Times New Roman" w:cs="Times New Roman"/>
                      <w:color w:val="auto"/>
                      <w:vertAlign w:val="superscript"/>
                    </w:rPr>
                    <w:t>2</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位于车间北侧</w:t>
                  </w:r>
                  <w:r>
                    <w:rPr>
                      <w:rFonts w:hint="default" w:ascii="Times New Roman" w:hAnsi="Times New Roman" w:cs="Times New Roman"/>
                      <w:b/>
                      <w:bCs/>
                      <w:color w:val="auto"/>
                      <w:u w:val="single"/>
                    </w:rPr>
                    <w:t>，委托有资质的单位处置，要求按照《危险废物贮存污染控制标准》（GB18597）的规定，做好防风、防雨、防晒、防渗漏“四防”措施</w:t>
                  </w:r>
                  <w:r>
                    <w:rPr>
                      <w:rFonts w:hint="default" w:ascii="Times New Roman" w:hAnsi="Times New Roman" w:cs="Times New Roman"/>
                      <w:b/>
                      <w:bCs/>
                      <w:color w:val="auto"/>
                      <w:u w:val="single"/>
                      <w:lang w:eastAsia="zh-CN"/>
                    </w:rPr>
                    <w:t>；</w:t>
                  </w:r>
                </w:p>
              </w:tc>
              <w:tc>
                <w:tcPr>
                  <w:tcW w:w="888" w:type="dxa"/>
                  <w:vMerge w:val="continue"/>
                  <w:vAlign w:val="center"/>
                </w:tcPr>
                <w:p>
                  <w:pPr>
                    <w:pStyle w:val="11"/>
                    <w:jc w:val="center"/>
                    <w:rPr>
                      <w:rFonts w:hint="default" w:ascii="Times New Roman" w:hAnsi="Times New Roman" w:cs="Times New Roman"/>
                      <w:color w:val="auto"/>
                    </w:rPr>
                  </w:pPr>
                </w:p>
              </w:tc>
              <w:tc>
                <w:tcPr>
                  <w:tcW w:w="975"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w:t>
                  </w:r>
                </w:p>
              </w:tc>
              <w:tc>
                <w:tcPr>
                  <w:tcW w:w="938"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新建</w:t>
                  </w:r>
                </w:p>
              </w:tc>
            </w:tr>
          </w:tbl>
          <w:p>
            <w:pPr>
              <w:adjustRightInd w:val="0"/>
              <w:snapToGrid w:val="0"/>
              <w:ind w:firstLine="482"/>
              <w:rPr>
                <w:rFonts w:hint="default" w:ascii="Times New Roman" w:hAnsi="Times New Roman" w:cs="Times New Roman"/>
                <w:b/>
                <w:color w:val="auto"/>
                <w:szCs w:val="21"/>
              </w:rPr>
            </w:pPr>
            <w:r>
              <w:rPr>
                <w:rFonts w:hint="default" w:ascii="Times New Roman" w:hAnsi="Times New Roman" w:cs="Times New Roman"/>
                <w:b/>
                <w:color w:val="auto"/>
                <w:szCs w:val="21"/>
              </w:rPr>
              <w:t>4、主要原辅料</w:t>
            </w:r>
          </w:p>
          <w:p>
            <w:pPr>
              <w:adjustRightInd w:val="0"/>
              <w:snapToGrid w:val="0"/>
              <w:ind w:firstLine="480"/>
              <w:rPr>
                <w:rFonts w:hint="default" w:ascii="Times New Roman" w:hAnsi="Times New Roman" w:cs="Times New Roman"/>
                <w:bCs/>
                <w:color w:val="auto"/>
                <w:szCs w:val="21"/>
              </w:rPr>
            </w:pPr>
            <w:r>
              <w:rPr>
                <w:rFonts w:hint="default" w:ascii="Times New Roman" w:hAnsi="Times New Roman" w:cs="Times New Roman"/>
                <w:bCs/>
                <w:color w:val="auto"/>
                <w:szCs w:val="21"/>
              </w:rPr>
              <w:t>本项目主要原辅材料、动力消耗及来源见表2-3所示。</w:t>
            </w:r>
          </w:p>
          <w:p>
            <w:pPr>
              <w:adjustRightInd w:val="0"/>
              <w:snapToGrid w:val="0"/>
              <w:spacing w:line="240" w:lineRule="auto"/>
              <w:ind w:left="0" w:leftChars="0" w:firstLine="0" w:firstLineChars="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 xml:space="preserve">表2-3     主要原辅料及能源消耗表  </w:t>
            </w:r>
            <w:r>
              <w:rPr>
                <w:rFonts w:hint="default" w:ascii="Times New Roman" w:hAnsi="Times New Roman" w:cs="Times New Roman"/>
                <w:b/>
                <w:color w:val="auto"/>
                <w:sz w:val="21"/>
                <w:szCs w:val="21"/>
                <w:lang w:val="en-US" w:eastAsia="zh-CN"/>
              </w:rPr>
              <w:t xml:space="preserve">   </w:t>
            </w:r>
            <w:r>
              <w:rPr>
                <w:rFonts w:hint="default" w:ascii="Times New Roman" w:hAnsi="Times New Roman" w:cs="Times New Roman"/>
                <w:b/>
                <w:color w:val="auto"/>
                <w:sz w:val="21"/>
                <w:szCs w:val="21"/>
              </w:rPr>
              <w:t>单位：t</w:t>
            </w:r>
          </w:p>
          <w:tbl>
            <w:tblPr>
              <w:tblStyle w:val="5"/>
              <w:tblW w:w="8433"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583"/>
              <w:gridCol w:w="2041"/>
              <w:gridCol w:w="1219"/>
              <w:gridCol w:w="1159"/>
              <w:gridCol w:w="160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11" w:type="dxa"/>
                  <w:gridSpan w:val="2"/>
                  <w:vAlign w:val="center"/>
                </w:tcPr>
                <w:p>
                  <w:pPr>
                    <w:pStyle w:val="11"/>
                    <w:jc w:val="center"/>
                    <w:rPr>
                      <w:rFonts w:hint="default" w:ascii="Times New Roman" w:hAnsi="Times New Roman" w:cs="Times New Roman"/>
                      <w:b/>
                      <w:bCs/>
                      <w:color w:val="auto"/>
                    </w:rPr>
                  </w:pPr>
                  <w:r>
                    <w:rPr>
                      <w:rFonts w:hint="default" w:ascii="Times New Roman" w:hAnsi="Times New Roman" w:cs="Times New Roman"/>
                      <w:b/>
                      <w:bCs/>
                      <w:color w:val="auto"/>
                    </w:rPr>
                    <w:t>名称</w:t>
                  </w:r>
                </w:p>
              </w:tc>
              <w:tc>
                <w:tcPr>
                  <w:tcW w:w="2041" w:type="dxa"/>
                  <w:vAlign w:val="center"/>
                </w:tcPr>
                <w:p>
                  <w:pPr>
                    <w:pStyle w:val="11"/>
                    <w:jc w:val="center"/>
                    <w:rPr>
                      <w:rFonts w:hint="default" w:ascii="Times New Roman" w:hAnsi="Times New Roman" w:cs="Times New Roman"/>
                      <w:b/>
                      <w:bCs/>
                      <w:color w:val="auto"/>
                    </w:rPr>
                  </w:pPr>
                  <w:r>
                    <w:rPr>
                      <w:rFonts w:hint="default" w:ascii="Times New Roman" w:hAnsi="Times New Roman" w:cs="Times New Roman"/>
                      <w:b/>
                      <w:bCs/>
                      <w:color w:val="auto"/>
                    </w:rPr>
                    <w:t>型号</w:t>
                  </w:r>
                </w:p>
              </w:tc>
              <w:tc>
                <w:tcPr>
                  <w:tcW w:w="1219" w:type="dxa"/>
                  <w:vAlign w:val="center"/>
                </w:tcPr>
                <w:p>
                  <w:pPr>
                    <w:pStyle w:val="11"/>
                    <w:jc w:val="center"/>
                    <w:rPr>
                      <w:rFonts w:hint="default" w:ascii="Times New Roman" w:hAnsi="Times New Roman" w:cs="Times New Roman"/>
                      <w:b/>
                      <w:bCs/>
                      <w:color w:val="auto"/>
                    </w:rPr>
                  </w:pPr>
                  <w:r>
                    <w:rPr>
                      <w:rFonts w:hint="default" w:ascii="Times New Roman" w:hAnsi="Times New Roman" w:cs="Times New Roman"/>
                      <w:b/>
                      <w:bCs/>
                      <w:color w:val="auto"/>
                    </w:rPr>
                    <w:t>年耗量</w:t>
                  </w:r>
                </w:p>
              </w:tc>
              <w:tc>
                <w:tcPr>
                  <w:tcW w:w="1159" w:type="dxa"/>
                  <w:vAlign w:val="center"/>
                </w:tcPr>
                <w:p>
                  <w:pPr>
                    <w:pStyle w:val="11"/>
                    <w:jc w:val="center"/>
                    <w:rPr>
                      <w:rFonts w:hint="default" w:ascii="Times New Roman" w:hAnsi="Times New Roman" w:cs="Times New Roman"/>
                      <w:b/>
                      <w:bCs/>
                      <w:color w:val="auto"/>
                    </w:rPr>
                  </w:pPr>
                  <w:r>
                    <w:rPr>
                      <w:rFonts w:hint="default" w:ascii="Times New Roman" w:hAnsi="Times New Roman" w:cs="Times New Roman"/>
                      <w:b/>
                      <w:bCs/>
                      <w:color w:val="auto"/>
                    </w:rPr>
                    <w:t>储存位置</w:t>
                  </w:r>
                </w:p>
              </w:tc>
              <w:tc>
                <w:tcPr>
                  <w:tcW w:w="1603" w:type="dxa"/>
                  <w:vAlign w:val="center"/>
                </w:tcPr>
                <w:p>
                  <w:pPr>
                    <w:pStyle w:val="11"/>
                    <w:jc w:val="center"/>
                    <w:rPr>
                      <w:rFonts w:hint="default" w:ascii="Times New Roman" w:hAnsi="Times New Roman" w:cs="Times New Roman"/>
                      <w:b/>
                      <w:bCs/>
                      <w:color w:val="auto"/>
                    </w:rPr>
                  </w:pPr>
                  <w:r>
                    <w:rPr>
                      <w:rFonts w:hint="default" w:ascii="Times New Roman" w:hAnsi="Times New Roman" w:cs="Times New Roman"/>
                      <w:b/>
                      <w:bCs/>
                      <w:color w:val="auto"/>
                    </w:rPr>
                    <w:t>来源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8" w:type="dxa"/>
                  <w:vMerge w:val="restart"/>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lang w:val="en-US" w:eastAsia="zh-CN"/>
                    </w:rPr>
                    <w:t>生产</w:t>
                  </w:r>
                  <w:r>
                    <w:rPr>
                      <w:rFonts w:hint="default" w:ascii="Times New Roman" w:hAnsi="Times New Roman" w:cs="Times New Roman"/>
                      <w:color w:val="auto"/>
                    </w:rPr>
                    <w:t>原料</w:t>
                  </w:r>
                </w:p>
              </w:tc>
              <w:tc>
                <w:tcPr>
                  <w:tcW w:w="1583" w:type="dxa"/>
                  <w:vMerge w:val="restart"/>
                  <w:vAlign w:val="center"/>
                </w:tcPr>
                <w:p>
                  <w:pPr>
                    <w:pStyle w:val="11"/>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sz w:val="21"/>
                      <w:szCs w:val="21"/>
                      <w:lang w:val="en-US" w:eastAsia="zh-CN"/>
                    </w:rPr>
                    <w:t>废旧</w:t>
                  </w:r>
                  <w:r>
                    <w:rPr>
                      <w:rFonts w:hint="default" w:ascii="Times New Roman" w:hAnsi="Times New Roman" w:cs="Times New Roman"/>
                      <w:color w:val="auto"/>
                      <w:sz w:val="21"/>
                      <w:szCs w:val="21"/>
                      <w:lang w:val="en-US" w:eastAsia="zh-CN"/>
                    </w:rPr>
                    <w:t>农膜</w:t>
                  </w:r>
                </w:p>
              </w:tc>
              <w:tc>
                <w:tcPr>
                  <w:tcW w:w="2041" w:type="dxa"/>
                  <w:vAlign w:val="center"/>
                </w:tcPr>
                <w:p>
                  <w:pPr>
                    <w:pStyle w:val="11"/>
                    <w:jc w:val="center"/>
                    <w:rPr>
                      <w:rFonts w:hint="default" w:ascii="Times New Roman" w:hAnsi="Times New Roman" w:cs="Times New Roman"/>
                      <w:color w:val="auto"/>
                      <w:sz w:val="21"/>
                      <w:szCs w:val="21"/>
                      <w:lang w:val="en-US"/>
                    </w:rPr>
                  </w:pPr>
                  <w:r>
                    <w:rPr>
                      <w:rFonts w:hint="default" w:ascii="Times New Roman" w:hAnsi="Times New Roman" w:cs="Times New Roman"/>
                      <w:color w:val="auto"/>
                      <w:sz w:val="21"/>
                      <w:szCs w:val="21"/>
                      <w:lang w:val="en-US" w:eastAsia="zh-CN"/>
                    </w:rPr>
                    <w:t>PE</w:t>
                  </w:r>
                </w:p>
              </w:tc>
              <w:tc>
                <w:tcPr>
                  <w:tcW w:w="1219" w:type="dxa"/>
                  <w:vAlign w:val="center"/>
                </w:tcPr>
                <w:p>
                  <w:pPr>
                    <w:pStyle w:val="11"/>
                    <w:jc w:val="center"/>
                    <w:rPr>
                      <w:rFonts w:hint="default" w:ascii="Times New Roman" w:hAnsi="Times New Roman" w:cs="Times New Roman"/>
                      <w:color w:val="auto"/>
                      <w:lang w:val="en-US"/>
                    </w:rPr>
                  </w:pPr>
                  <w:r>
                    <w:rPr>
                      <w:rFonts w:hint="default" w:ascii="Times New Roman" w:hAnsi="Times New Roman" w:cs="Times New Roman"/>
                      <w:color w:val="auto"/>
                      <w:sz w:val="24"/>
                      <w:szCs w:val="24"/>
                      <w:lang w:val="en-US" w:eastAsia="zh-CN"/>
                    </w:rPr>
                    <w:t>5030</w:t>
                  </w:r>
                </w:p>
              </w:tc>
              <w:tc>
                <w:tcPr>
                  <w:tcW w:w="1159"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lang w:val="en-US" w:eastAsia="zh-CN"/>
                    </w:rPr>
                    <w:t>生产</w:t>
                  </w:r>
                  <w:r>
                    <w:rPr>
                      <w:rFonts w:hint="default" w:ascii="Times New Roman" w:hAnsi="Times New Roman" w:cs="Times New Roman"/>
                      <w:color w:val="auto"/>
                    </w:rPr>
                    <w:t>车间</w:t>
                  </w:r>
                </w:p>
              </w:tc>
              <w:tc>
                <w:tcPr>
                  <w:tcW w:w="1603" w:type="dxa"/>
                  <w:vMerge w:val="restart"/>
                  <w:vAlign w:val="center"/>
                </w:tcPr>
                <w:p>
                  <w:pPr>
                    <w:pStyle w:val="11"/>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8" w:type="dxa"/>
                  <w:vMerge w:val="continue"/>
                  <w:vAlign w:val="center"/>
                </w:tcPr>
                <w:p>
                  <w:pPr>
                    <w:pStyle w:val="11"/>
                    <w:jc w:val="center"/>
                    <w:rPr>
                      <w:rFonts w:hint="default" w:ascii="Times New Roman" w:hAnsi="Times New Roman" w:cs="Times New Roman"/>
                      <w:color w:val="auto"/>
                    </w:rPr>
                  </w:pPr>
                </w:p>
              </w:tc>
              <w:tc>
                <w:tcPr>
                  <w:tcW w:w="1583" w:type="dxa"/>
                  <w:vMerge w:val="continue"/>
                  <w:vAlign w:val="center"/>
                </w:tcPr>
                <w:p>
                  <w:pPr>
                    <w:pStyle w:val="11"/>
                    <w:jc w:val="center"/>
                    <w:rPr>
                      <w:rFonts w:hint="default" w:ascii="Times New Roman" w:hAnsi="Times New Roman" w:cs="Times New Roman"/>
                      <w:color w:val="auto"/>
                      <w:lang w:val="en-US" w:eastAsia="zh-CN"/>
                    </w:rPr>
                  </w:pPr>
                </w:p>
              </w:tc>
              <w:tc>
                <w:tcPr>
                  <w:tcW w:w="2041" w:type="dxa"/>
                  <w:vAlign w:val="center"/>
                </w:tcPr>
                <w:p>
                  <w:pPr>
                    <w:pStyle w:val="11"/>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PP</w:t>
                  </w:r>
                </w:p>
              </w:tc>
              <w:tc>
                <w:tcPr>
                  <w:tcW w:w="1219" w:type="dxa"/>
                  <w:vAlign w:val="center"/>
                </w:tcPr>
                <w:p>
                  <w:pPr>
                    <w:pStyle w:val="11"/>
                    <w:jc w:val="center"/>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2520</w:t>
                  </w:r>
                </w:p>
              </w:tc>
              <w:tc>
                <w:tcPr>
                  <w:tcW w:w="1159" w:type="dxa"/>
                  <w:vAlign w:val="center"/>
                </w:tcPr>
                <w:p>
                  <w:pPr>
                    <w:pStyle w:val="11"/>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生产</w:t>
                  </w:r>
                  <w:r>
                    <w:rPr>
                      <w:rFonts w:hint="default" w:ascii="Times New Roman" w:hAnsi="Times New Roman" w:cs="Times New Roman"/>
                      <w:color w:val="auto"/>
                    </w:rPr>
                    <w:t>车间</w:t>
                  </w:r>
                </w:p>
              </w:tc>
              <w:tc>
                <w:tcPr>
                  <w:tcW w:w="1603" w:type="dxa"/>
                  <w:vMerge w:val="continue"/>
                  <w:vAlign w:val="center"/>
                </w:tcPr>
                <w:p>
                  <w:pPr>
                    <w:pStyle w:val="11"/>
                    <w:jc w:val="center"/>
                    <w:rPr>
                      <w:rFonts w:hint="default" w:ascii="Times New Roman" w:hAnsi="Times New Roman" w:cs="Times New Roman"/>
                      <w:color w:val="auto"/>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8" w:type="dxa"/>
                  <w:vMerge w:val="restart"/>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其它</w:t>
                  </w:r>
                </w:p>
              </w:tc>
              <w:tc>
                <w:tcPr>
                  <w:tcW w:w="1583"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机油</w:t>
                  </w:r>
                </w:p>
              </w:tc>
              <w:tc>
                <w:tcPr>
                  <w:tcW w:w="2041"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w:t>
                  </w:r>
                </w:p>
              </w:tc>
              <w:tc>
                <w:tcPr>
                  <w:tcW w:w="1219"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0.1t</w:t>
                  </w:r>
                </w:p>
              </w:tc>
              <w:tc>
                <w:tcPr>
                  <w:tcW w:w="1159"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库房</w:t>
                  </w:r>
                </w:p>
              </w:tc>
              <w:tc>
                <w:tcPr>
                  <w:tcW w:w="1603" w:type="dxa"/>
                  <w:vMerge w:val="continue"/>
                  <w:vAlign w:val="center"/>
                </w:tcPr>
                <w:p>
                  <w:pPr>
                    <w:pStyle w:val="11"/>
                    <w:jc w:val="center"/>
                    <w:rPr>
                      <w:rFonts w:hint="default" w:ascii="Times New Roman" w:hAnsi="Times New Roman" w:cs="Times New Roman"/>
                      <w:color w:va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8" w:type="dxa"/>
                  <w:vMerge w:val="continue"/>
                  <w:vAlign w:val="center"/>
                </w:tcPr>
                <w:p>
                  <w:pPr>
                    <w:pStyle w:val="11"/>
                    <w:jc w:val="center"/>
                    <w:rPr>
                      <w:rFonts w:hint="default" w:ascii="Times New Roman" w:hAnsi="Times New Roman" w:cs="Times New Roman"/>
                      <w:color w:val="auto"/>
                    </w:rPr>
                  </w:pPr>
                </w:p>
              </w:tc>
              <w:tc>
                <w:tcPr>
                  <w:tcW w:w="1583"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液压油</w:t>
                  </w:r>
                </w:p>
              </w:tc>
              <w:tc>
                <w:tcPr>
                  <w:tcW w:w="2041"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w:t>
                  </w:r>
                </w:p>
              </w:tc>
              <w:tc>
                <w:tcPr>
                  <w:tcW w:w="1219"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0.1t</w:t>
                  </w:r>
                </w:p>
              </w:tc>
              <w:tc>
                <w:tcPr>
                  <w:tcW w:w="1159"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库房</w:t>
                  </w:r>
                </w:p>
              </w:tc>
              <w:tc>
                <w:tcPr>
                  <w:tcW w:w="1603" w:type="dxa"/>
                  <w:vMerge w:val="continue"/>
                  <w:vAlign w:val="center"/>
                </w:tcPr>
                <w:p>
                  <w:pPr>
                    <w:pStyle w:val="11"/>
                    <w:jc w:val="center"/>
                    <w:rPr>
                      <w:rFonts w:hint="default" w:ascii="Times New Roman" w:hAnsi="Times New Roman" w:cs="Times New Roman"/>
                      <w:color w:va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8" w:type="dxa"/>
                  <w:vMerge w:val="continue"/>
                  <w:vAlign w:val="center"/>
                </w:tcPr>
                <w:p>
                  <w:pPr>
                    <w:pStyle w:val="11"/>
                    <w:jc w:val="center"/>
                    <w:rPr>
                      <w:rFonts w:hint="default" w:ascii="Times New Roman" w:hAnsi="Times New Roman" w:cs="Times New Roman"/>
                      <w:color w:val="auto"/>
                    </w:rPr>
                  </w:pPr>
                </w:p>
              </w:tc>
              <w:tc>
                <w:tcPr>
                  <w:tcW w:w="1583" w:type="dxa"/>
                  <w:vAlign w:val="center"/>
                </w:tcPr>
                <w:p>
                  <w:pPr>
                    <w:pStyle w:val="11"/>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PAC</w:t>
                  </w:r>
                </w:p>
              </w:tc>
              <w:tc>
                <w:tcPr>
                  <w:tcW w:w="2041" w:type="dxa"/>
                  <w:vAlign w:val="center"/>
                </w:tcPr>
                <w:p>
                  <w:pPr>
                    <w:pStyle w:val="11"/>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rPr>
                    <w:t>/</w:t>
                  </w:r>
                </w:p>
              </w:tc>
              <w:tc>
                <w:tcPr>
                  <w:tcW w:w="1219"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lang w:val="en-US" w:eastAsia="zh-CN"/>
                    </w:rPr>
                    <w:t>1.0t</w:t>
                  </w:r>
                </w:p>
              </w:tc>
              <w:tc>
                <w:tcPr>
                  <w:tcW w:w="1159"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库房</w:t>
                  </w:r>
                </w:p>
              </w:tc>
              <w:tc>
                <w:tcPr>
                  <w:tcW w:w="1603" w:type="dxa"/>
                  <w:vMerge w:val="continue"/>
                  <w:vAlign w:val="center"/>
                </w:tcPr>
                <w:p>
                  <w:pPr>
                    <w:pStyle w:val="11"/>
                    <w:jc w:val="center"/>
                    <w:rPr>
                      <w:rFonts w:hint="default" w:ascii="Times New Roman" w:hAnsi="Times New Roman" w:cs="Times New Roman"/>
                      <w:color w:va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8" w:type="dxa"/>
                  <w:vMerge w:val="continue"/>
                  <w:vAlign w:val="center"/>
                </w:tcPr>
                <w:p>
                  <w:pPr>
                    <w:pStyle w:val="11"/>
                    <w:jc w:val="center"/>
                    <w:rPr>
                      <w:rFonts w:hint="default" w:ascii="Times New Roman" w:hAnsi="Times New Roman" w:cs="Times New Roman"/>
                      <w:color w:val="auto"/>
                    </w:rPr>
                  </w:pPr>
                </w:p>
              </w:tc>
              <w:tc>
                <w:tcPr>
                  <w:tcW w:w="1583" w:type="dxa"/>
                  <w:vAlign w:val="center"/>
                </w:tcPr>
                <w:p>
                  <w:pPr>
                    <w:pStyle w:val="11"/>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PAM</w:t>
                  </w:r>
                </w:p>
              </w:tc>
              <w:tc>
                <w:tcPr>
                  <w:tcW w:w="2041" w:type="dxa"/>
                  <w:vAlign w:val="center"/>
                </w:tcPr>
                <w:p>
                  <w:pPr>
                    <w:pStyle w:val="11"/>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rPr>
                    <w:t>/</w:t>
                  </w:r>
                </w:p>
              </w:tc>
              <w:tc>
                <w:tcPr>
                  <w:tcW w:w="1219" w:type="dxa"/>
                  <w:vAlign w:val="center"/>
                </w:tcPr>
                <w:p>
                  <w:pPr>
                    <w:pStyle w:val="11"/>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0.1t</w:t>
                  </w:r>
                </w:p>
              </w:tc>
              <w:tc>
                <w:tcPr>
                  <w:tcW w:w="1159"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库房</w:t>
                  </w:r>
                </w:p>
              </w:tc>
              <w:tc>
                <w:tcPr>
                  <w:tcW w:w="1603" w:type="dxa"/>
                  <w:vMerge w:val="continue"/>
                  <w:vAlign w:val="center"/>
                </w:tcPr>
                <w:p>
                  <w:pPr>
                    <w:pStyle w:val="11"/>
                    <w:jc w:val="center"/>
                    <w:rPr>
                      <w:rFonts w:hint="default" w:ascii="Times New Roman" w:hAnsi="Times New Roman" w:cs="Times New Roman"/>
                      <w:color w:va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8" w:type="dxa"/>
                  <w:vMerge w:val="continue"/>
                  <w:vAlign w:val="center"/>
                </w:tcPr>
                <w:p>
                  <w:pPr>
                    <w:pStyle w:val="11"/>
                    <w:tabs>
                      <w:tab w:val="center" w:pos="323"/>
                      <w:tab w:val="left" w:pos="431"/>
                    </w:tabs>
                    <w:rPr>
                      <w:rFonts w:hint="default" w:ascii="Times New Roman" w:hAnsi="Times New Roman" w:cs="Times New Roman"/>
                      <w:color w:val="auto"/>
                    </w:rPr>
                  </w:pPr>
                </w:p>
              </w:tc>
              <w:tc>
                <w:tcPr>
                  <w:tcW w:w="1583"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活性炭</w:t>
                  </w:r>
                </w:p>
              </w:tc>
              <w:tc>
                <w:tcPr>
                  <w:tcW w:w="2041"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w:t>
                  </w:r>
                </w:p>
              </w:tc>
              <w:tc>
                <w:tcPr>
                  <w:tcW w:w="1219" w:type="dxa"/>
                  <w:vAlign w:val="center"/>
                </w:tcPr>
                <w:p>
                  <w:pPr>
                    <w:pStyle w:val="11"/>
                    <w:jc w:val="center"/>
                    <w:rPr>
                      <w:rFonts w:hint="default" w:ascii="Times New Roman" w:hAnsi="Times New Roman" w:cs="Times New Roman"/>
                      <w:color w:val="auto"/>
                    </w:rPr>
                  </w:pPr>
                  <w:r>
                    <w:rPr>
                      <w:rFonts w:hint="eastAsia" w:cs="Times New Roman"/>
                      <w:color w:val="auto"/>
                      <w:lang w:val="en-US" w:eastAsia="zh-CN"/>
                    </w:rPr>
                    <w:t>1.0</w:t>
                  </w:r>
                  <w:r>
                    <w:rPr>
                      <w:rFonts w:hint="default" w:ascii="Times New Roman" w:hAnsi="Times New Roman" w:cs="Times New Roman"/>
                      <w:color w:val="auto"/>
                    </w:rPr>
                    <w:t>t</w:t>
                  </w:r>
                </w:p>
              </w:tc>
              <w:tc>
                <w:tcPr>
                  <w:tcW w:w="1159"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库房</w:t>
                  </w:r>
                </w:p>
              </w:tc>
              <w:tc>
                <w:tcPr>
                  <w:tcW w:w="1603" w:type="dxa"/>
                  <w:vMerge w:val="continue"/>
                  <w:vAlign w:val="center"/>
                </w:tcPr>
                <w:p>
                  <w:pPr>
                    <w:pStyle w:val="11"/>
                    <w:jc w:val="center"/>
                    <w:rPr>
                      <w:rFonts w:hint="default" w:ascii="Times New Roman" w:hAnsi="Times New Roman" w:cs="Times New Roman"/>
                      <w:color w:va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8"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能源</w:t>
                  </w:r>
                </w:p>
              </w:tc>
              <w:tc>
                <w:tcPr>
                  <w:tcW w:w="1583"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电（KW•h）</w:t>
                  </w:r>
                </w:p>
              </w:tc>
              <w:tc>
                <w:tcPr>
                  <w:tcW w:w="2041"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w:t>
                  </w:r>
                </w:p>
              </w:tc>
              <w:tc>
                <w:tcPr>
                  <w:tcW w:w="1219"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lang w:val="en-US" w:eastAsia="zh-CN"/>
                    </w:rPr>
                    <w:t>3</w:t>
                  </w:r>
                  <w:r>
                    <w:rPr>
                      <w:rFonts w:hint="default" w:ascii="Times New Roman" w:hAnsi="Times New Roman" w:cs="Times New Roman"/>
                      <w:color w:val="auto"/>
                    </w:rPr>
                    <w:t>00万</w:t>
                  </w:r>
                </w:p>
              </w:tc>
              <w:tc>
                <w:tcPr>
                  <w:tcW w:w="1159"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w:t>
                  </w:r>
                </w:p>
              </w:tc>
              <w:tc>
                <w:tcPr>
                  <w:tcW w:w="1603"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市政电网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0" w:hRule="atLeast"/>
                <w:jc w:val="center"/>
              </w:trPr>
              <w:tc>
                <w:tcPr>
                  <w:tcW w:w="828"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水量</w:t>
                  </w:r>
                </w:p>
              </w:tc>
              <w:tc>
                <w:tcPr>
                  <w:tcW w:w="1583"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用水</w:t>
                  </w:r>
                </w:p>
              </w:tc>
              <w:tc>
                <w:tcPr>
                  <w:tcW w:w="2041"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w:t>
                  </w:r>
                </w:p>
              </w:tc>
              <w:tc>
                <w:tcPr>
                  <w:tcW w:w="1219"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7800m</w:t>
                  </w:r>
                  <w:r>
                    <w:rPr>
                      <w:rFonts w:hint="default" w:ascii="Times New Roman" w:hAnsi="Times New Roman" w:cs="Times New Roman"/>
                      <w:color w:val="auto"/>
                      <w:vertAlign w:val="superscript"/>
                    </w:rPr>
                    <w:t>3</w:t>
                  </w:r>
                  <w:r>
                    <w:rPr>
                      <w:rFonts w:hint="default" w:ascii="Times New Roman" w:hAnsi="Times New Roman" w:cs="Times New Roman"/>
                      <w:color w:val="auto"/>
                    </w:rPr>
                    <w:t>/a</w:t>
                  </w:r>
                </w:p>
              </w:tc>
              <w:tc>
                <w:tcPr>
                  <w:tcW w:w="1159"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w:t>
                  </w:r>
                </w:p>
              </w:tc>
              <w:tc>
                <w:tcPr>
                  <w:tcW w:w="1603"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园区管网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0" w:hRule="atLeast"/>
                <w:jc w:val="center"/>
              </w:trPr>
              <w:tc>
                <w:tcPr>
                  <w:tcW w:w="8433" w:type="dxa"/>
                  <w:gridSpan w:val="6"/>
                  <w:vAlign w:val="center"/>
                </w:tcPr>
                <w:p>
                  <w:pPr>
                    <w:pStyle w:val="11"/>
                    <w:rPr>
                      <w:rFonts w:hint="default" w:ascii="Times New Roman" w:hAnsi="Times New Roman" w:cs="Times New Roman"/>
                      <w:color w:val="auto"/>
                    </w:rPr>
                  </w:pPr>
                  <w:r>
                    <w:rPr>
                      <w:rFonts w:hint="default" w:ascii="Times New Roman" w:hAnsi="Times New Roman" w:cs="Times New Roman"/>
                      <w:color w:val="auto"/>
                    </w:rPr>
                    <w:t>注：本项目使用塑料制品原料为</w:t>
                  </w:r>
                  <w:r>
                    <w:rPr>
                      <w:rFonts w:hint="default" w:ascii="Times New Roman" w:hAnsi="Times New Roman" w:cs="Times New Roman"/>
                      <w:color w:val="auto"/>
                      <w:lang w:val="en-US" w:eastAsia="zh-CN"/>
                    </w:rPr>
                    <w:t>废旧塑料(主要为塑料农膜等，不含水泥、化学品包装，不含医疗废物、农药等危险废物和放射性废物的包装）</w:t>
                  </w:r>
                  <w:r>
                    <w:rPr>
                      <w:rFonts w:hint="default" w:ascii="Times New Roman" w:hAnsi="Times New Roman" w:cs="Times New Roman"/>
                      <w:color w:val="auto"/>
                    </w:rPr>
                    <w:t>；</w:t>
                  </w:r>
                </w:p>
              </w:tc>
            </w:tr>
          </w:tbl>
          <w:p>
            <w:pPr>
              <w:bidi w:val="0"/>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主要原材料的理化性质：</w:t>
            </w:r>
          </w:p>
          <w:p>
            <w:pPr>
              <w:bidi w:val="0"/>
              <w:rPr>
                <w:rFonts w:hint="default" w:ascii="Times New Roman" w:hAnsi="Times New Roman" w:eastAsia="宋体" w:cs="Times New Roman"/>
                <w:i w:val="0"/>
                <w:iCs w:val="0"/>
                <w:caps w:val="0"/>
                <w:color w:val="auto"/>
                <w:spacing w:val="0"/>
                <w:sz w:val="24"/>
                <w:szCs w:val="24"/>
                <w:shd w:val="clear" w:fill="FFFFFF"/>
                <w:lang w:val="en-US" w:eastAsia="zh-CN"/>
              </w:rPr>
            </w:pPr>
            <w:r>
              <w:rPr>
                <w:rFonts w:hint="default" w:ascii="Times New Roman" w:hAnsi="Times New Roman" w:cs="Times New Roman"/>
                <w:color w:val="auto"/>
                <w:sz w:val="24"/>
                <w:szCs w:val="24"/>
                <w:lang w:val="en-US" w:eastAsia="zh-CN"/>
              </w:rPr>
              <w:t>PP塑料：聚丙烯，化学式为(C3H6)n，是丙烯通过</w:t>
            </w:r>
            <w:r>
              <w:rPr>
                <w:rFonts w:hint="default" w:ascii="Times New Roman" w:hAnsi="Times New Roman" w:cs="Times New Roman"/>
                <w:color w:val="auto"/>
                <w:sz w:val="24"/>
                <w:szCs w:val="24"/>
                <w:lang w:val="en-US" w:eastAsia="zh-CN"/>
              </w:rPr>
              <w:fldChar w:fldCharType="begin"/>
            </w:r>
            <w:r>
              <w:rPr>
                <w:rFonts w:hint="default" w:ascii="Times New Roman" w:hAnsi="Times New Roman" w:cs="Times New Roman"/>
                <w:color w:val="auto"/>
                <w:sz w:val="24"/>
                <w:szCs w:val="24"/>
                <w:lang w:val="en-US" w:eastAsia="zh-CN"/>
              </w:rPr>
              <w:instrText xml:space="preserve"> HYPERLINK "https://baike.baidu.com/item/%E5%8A%A0%E8%81%9A%E5%8F%8D%E5%BA%94/9609649?fromModule=lemma_inlink" \t "https://baike.baidu.com/item/%E8%81%9A%E4%B8%99%E7%83%AF/_blank" </w:instrText>
            </w:r>
            <w:r>
              <w:rPr>
                <w:rFonts w:hint="default" w:ascii="Times New Roman" w:hAnsi="Times New Roman" w:cs="Times New Roman"/>
                <w:color w:val="auto"/>
                <w:sz w:val="24"/>
                <w:szCs w:val="24"/>
                <w:lang w:val="en-US" w:eastAsia="zh-CN"/>
              </w:rPr>
              <w:fldChar w:fldCharType="separate"/>
            </w:r>
            <w:r>
              <w:rPr>
                <w:rFonts w:hint="default" w:ascii="Times New Roman" w:hAnsi="Times New Roman" w:cs="Times New Roman"/>
                <w:color w:val="auto"/>
                <w:sz w:val="24"/>
                <w:szCs w:val="24"/>
                <w:lang w:val="en-US" w:eastAsia="zh-CN"/>
              </w:rPr>
              <w:t>加聚反应</w:t>
            </w:r>
            <w:r>
              <w:rPr>
                <w:rFonts w:hint="default" w:ascii="Times New Roman" w:hAnsi="Times New Roman" w:cs="Times New Roman"/>
                <w:color w:val="auto"/>
                <w:sz w:val="24"/>
                <w:szCs w:val="24"/>
                <w:lang w:val="en-US" w:eastAsia="zh-CN"/>
              </w:rPr>
              <w:fldChar w:fldCharType="end"/>
            </w:r>
            <w:r>
              <w:rPr>
                <w:rFonts w:hint="default" w:ascii="Times New Roman" w:hAnsi="Times New Roman" w:cs="Times New Roman"/>
                <w:color w:val="auto"/>
                <w:sz w:val="24"/>
                <w:szCs w:val="24"/>
                <w:lang w:val="en-US" w:eastAsia="zh-CN"/>
              </w:rPr>
              <w:t>而成的</w:t>
            </w:r>
            <w:r>
              <w:rPr>
                <w:rFonts w:hint="default" w:ascii="Times New Roman" w:hAnsi="Times New Roman" w:cs="Times New Roman"/>
                <w:color w:val="auto"/>
                <w:sz w:val="24"/>
                <w:szCs w:val="24"/>
                <w:lang w:val="en-US" w:eastAsia="zh-CN"/>
              </w:rPr>
              <w:fldChar w:fldCharType="begin"/>
            </w:r>
            <w:r>
              <w:rPr>
                <w:rFonts w:hint="default" w:ascii="Times New Roman" w:hAnsi="Times New Roman" w:cs="Times New Roman"/>
                <w:color w:val="auto"/>
                <w:sz w:val="24"/>
                <w:szCs w:val="24"/>
                <w:lang w:val="en-US" w:eastAsia="zh-CN"/>
              </w:rPr>
              <w:instrText xml:space="preserve"> HYPERLINK "https://baike.baidu.com/item/%E8%81%9A%E5%90%88%E7%89%A9/6252844?fromModule=lemma_inlink" \t "https://baike.baidu.com/item/%E8%81%9A%E4%B8%99%E7%83%AF/_blank" </w:instrText>
            </w:r>
            <w:r>
              <w:rPr>
                <w:rFonts w:hint="default" w:ascii="Times New Roman" w:hAnsi="Times New Roman" w:cs="Times New Roman"/>
                <w:color w:val="auto"/>
                <w:sz w:val="24"/>
                <w:szCs w:val="24"/>
                <w:lang w:val="en-US" w:eastAsia="zh-CN"/>
              </w:rPr>
              <w:fldChar w:fldCharType="separate"/>
            </w:r>
            <w:r>
              <w:rPr>
                <w:rFonts w:hint="default" w:ascii="Times New Roman" w:hAnsi="Times New Roman" w:cs="Times New Roman"/>
                <w:color w:val="auto"/>
                <w:sz w:val="24"/>
                <w:szCs w:val="24"/>
                <w:lang w:val="en-US" w:eastAsia="zh-CN"/>
              </w:rPr>
              <w:t>聚合物</w:t>
            </w:r>
            <w:r>
              <w:rPr>
                <w:rFonts w:hint="default" w:ascii="Times New Roman" w:hAnsi="Times New Roman" w:cs="Times New Roman"/>
                <w:color w:val="auto"/>
                <w:sz w:val="24"/>
                <w:szCs w:val="24"/>
                <w:lang w:val="en-US" w:eastAsia="zh-CN"/>
              </w:rPr>
              <w:fldChar w:fldCharType="end"/>
            </w:r>
            <w:r>
              <w:rPr>
                <w:rFonts w:hint="default" w:ascii="Times New Roman" w:hAnsi="Times New Roman" w:cs="Times New Roman"/>
                <w:color w:val="auto"/>
                <w:sz w:val="24"/>
                <w:szCs w:val="24"/>
                <w:lang w:val="en-US" w:eastAsia="zh-CN"/>
              </w:rPr>
              <w:t>。系白色蜡状材料，外观透明而轻。密度为0.89~0.91g/cm3，熔点为164~170℃， 在155℃左右软化，使用温度范围为-30～140℃。在80℃以下能耐酸、碱、盐液及多种有机溶剂的腐蚀，能在高温和氧化作用下分解，分解温度300℃以上。</w:t>
            </w:r>
          </w:p>
          <w:p>
            <w:pPr>
              <w:bidi w:val="0"/>
              <w:jc w:val="both"/>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lang w:val="en-US" w:eastAsia="zh-CN"/>
              </w:rPr>
              <w:t>PE塑料：聚乙烯，化学式为（C</w:t>
            </w:r>
            <w:r>
              <w:rPr>
                <w:rFonts w:hint="default" w:ascii="Times New Roman" w:hAnsi="Times New Roman" w:cs="Times New Roman"/>
                <w:color w:val="auto"/>
                <w:sz w:val="24"/>
                <w:szCs w:val="24"/>
                <w:vertAlign w:val="subscript"/>
                <w:lang w:val="en-US" w:eastAsia="zh-CN"/>
              </w:rPr>
              <w:t>2</w:t>
            </w:r>
            <w:r>
              <w:rPr>
                <w:rFonts w:hint="default" w:ascii="Times New Roman" w:hAnsi="Times New Roman" w:cs="Times New Roman"/>
                <w:color w:val="auto"/>
                <w:sz w:val="24"/>
                <w:szCs w:val="24"/>
                <w:lang w:val="en-US" w:eastAsia="zh-CN"/>
              </w:rPr>
              <w:t>H</w:t>
            </w:r>
            <w:r>
              <w:rPr>
                <w:rFonts w:hint="default" w:ascii="Times New Roman" w:hAnsi="Times New Roman" w:cs="Times New Roman"/>
                <w:color w:val="auto"/>
                <w:sz w:val="24"/>
                <w:szCs w:val="24"/>
                <w:vertAlign w:val="subscript"/>
                <w:lang w:val="en-US" w:eastAsia="zh-CN"/>
              </w:rPr>
              <w:t>4</w:t>
            </w:r>
            <w:r>
              <w:rPr>
                <w:rFonts w:hint="default" w:ascii="Times New Roman" w:hAnsi="Times New Roman" w:cs="Times New Roman"/>
                <w:color w:val="auto"/>
                <w:sz w:val="24"/>
                <w:szCs w:val="24"/>
                <w:lang w:val="en-US" w:eastAsia="zh-CN"/>
              </w:rPr>
              <w:t>）</w:t>
            </w:r>
            <w:r>
              <w:rPr>
                <w:rFonts w:hint="default" w:ascii="Times New Roman" w:hAnsi="Times New Roman" w:cs="Times New Roman"/>
                <w:color w:val="auto"/>
                <w:sz w:val="24"/>
                <w:szCs w:val="24"/>
                <w:vertAlign w:val="subscript"/>
                <w:lang w:val="en-US" w:eastAsia="zh-CN"/>
              </w:rPr>
              <w:t>n</w:t>
            </w:r>
            <w:r>
              <w:rPr>
                <w:rFonts w:hint="default" w:ascii="Times New Roman" w:hAnsi="Times New Roman" w:cs="Times New Roman"/>
                <w:color w:val="auto"/>
                <w:sz w:val="24"/>
                <w:szCs w:val="24"/>
                <w:lang w:val="en-US" w:eastAsia="zh-CN"/>
              </w:rPr>
              <w:t>，CAS号为9002-88-4，融化温度120~240℃，加工范围较广，分解温度300℃以上，密度为0.91~0.97g/cm³，为无毒、无味的白色粉末或颗粒，外观呈</w:t>
            </w:r>
            <w:r>
              <w:rPr>
                <w:rFonts w:hint="default" w:ascii="Times New Roman" w:hAnsi="Times New Roman" w:cs="Times New Roman"/>
                <w:color w:val="auto"/>
                <w:sz w:val="24"/>
                <w:szCs w:val="24"/>
                <w:lang w:val="en-US" w:eastAsia="zh-CN"/>
              </w:rPr>
              <w:fldChar w:fldCharType="begin"/>
            </w:r>
            <w:r>
              <w:rPr>
                <w:rFonts w:hint="default" w:ascii="Times New Roman" w:hAnsi="Times New Roman" w:cs="Times New Roman"/>
                <w:color w:val="auto"/>
                <w:sz w:val="24"/>
                <w:szCs w:val="24"/>
                <w:lang w:val="en-US" w:eastAsia="zh-CN"/>
              </w:rPr>
              <w:instrText xml:space="preserve"> HYPERLINK "https://baike.baidu.com/item/%E4%B9%B3%E7%99%BD?fromModule=lemma_inlink" \t "https://baike.baidu.com/item/%E8%81%9A%E4%B9%99%E7%83%AF/_blank" </w:instrText>
            </w:r>
            <w:r>
              <w:rPr>
                <w:rFonts w:hint="default" w:ascii="Times New Roman" w:hAnsi="Times New Roman" w:cs="Times New Roman"/>
                <w:color w:val="auto"/>
                <w:sz w:val="24"/>
                <w:szCs w:val="24"/>
                <w:lang w:val="en-US" w:eastAsia="zh-CN"/>
              </w:rPr>
              <w:fldChar w:fldCharType="separate"/>
            </w:r>
            <w:r>
              <w:rPr>
                <w:rFonts w:hint="default" w:ascii="Times New Roman" w:hAnsi="Times New Roman" w:cs="Times New Roman"/>
                <w:color w:val="auto"/>
                <w:sz w:val="24"/>
                <w:szCs w:val="24"/>
                <w:lang w:val="en-US" w:eastAsia="zh-CN"/>
              </w:rPr>
              <w:t>乳白</w:t>
            </w:r>
            <w:r>
              <w:rPr>
                <w:rFonts w:hint="default" w:ascii="Times New Roman" w:hAnsi="Times New Roman" w:cs="Times New Roman"/>
                <w:color w:val="auto"/>
                <w:sz w:val="24"/>
                <w:szCs w:val="24"/>
                <w:lang w:val="en-US" w:eastAsia="zh-CN"/>
              </w:rPr>
              <w:fldChar w:fldCharType="end"/>
            </w:r>
            <w:r>
              <w:rPr>
                <w:rFonts w:hint="default" w:ascii="Times New Roman" w:hAnsi="Times New Roman" w:cs="Times New Roman"/>
                <w:color w:val="auto"/>
                <w:sz w:val="24"/>
                <w:szCs w:val="24"/>
                <w:lang w:val="en-US" w:eastAsia="zh-CN"/>
              </w:rPr>
              <w:t>色，有似蜡的手感，吸水率低，小于0.01%。聚乙烯膜透明，并随</w:t>
            </w:r>
            <w:r>
              <w:rPr>
                <w:rFonts w:hint="default" w:ascii="Times New Roman" w:hAnsi="Times New Roman" w:cs="Times New Roman"/>
                <w:color w:val="auto"/>
                <w:sz w:val="24"/>
                <w:szCs w:val="24"/>
                <w:lang w:val="en-US" w:eastAsia="zh-CN"/>
              </w:rPr>
              <w:fldChar w:fldCharType="begin"/>
            </w:r>
            <w:r>
              <w:rPr>
                <w:rFonts w:hint="default" w:ascii="Times New Roman" w:hAnsi="Times New Roman" w:cs="Times New Roman"/>
                <w:color w:val="auto"/>
                <w:sz w:val="24"/>
                <w:szCs w:val="24"/>
                <w:lang w:val="en-US" w:eastAsia="zh-CN"/>
              </w:rPr>
              <w:instrText xml:space="preserve"> HYPERLINK "https://baike.baidu.com/item/%E7%BB%93%E6%99%B6?fromModule=lemma_inlink" \t "https://baike.baidu.com/item/%E8%81%9A%E4%B9%99%E7%83%AF/_blank" </w:instrText>
            </w:r>
            <w:r>
              <w:rPr>
                <w:rFonts w:hint="default" w:ascii="Times New Roman" w:hAnsi="Times New Roman" w:cs="Times New Roman"/>
                <w:color w:val="auto"/>
                <w:sz w:val="24"/>
                <w:szCs w:val="24"/>
                <w:lang w:val="en-US" w:eastAsia="zh-CN"/>
              </w:rPr>
              <w:fldChar w:fldCharType="separate"/>
            </w:r>
            <w:r>
              <w:rPr>
                <w:rFonts w:hint="default" w:ascii="Times New Roman" w:hAnsi="Times New Roman" w:cs="Times New Roman"/>
                <w:color w:val="auto"/>
                <w:sz w:val="24"/>
                <w:szCs w:val="24"/>
                <w:lang w:val="en-US" w:eastAsia="zh-CN"/>
              </w:rPr>
              <w:t>结晶</w:t>
            </w:r>
            <w:r>
              <w:rPr>
                <w:rFonts w:hint="default" w:ascii="Times New Roman" w:hAnsi="Times New Roman" w:cs="Times New Roman"/>
                <w:color w:val="auto"/>
                <w:sz w:val="24"/>
                <w:szCs w:val="24"/>
                <w:lang w:val="en-US" w:eastAsia="zh-CN"/>
              </w:rPr>
              <w:fldChar w:fldCharType="end"/>
            </w:r>
            <w:r>
              <w:rPr>
                <w:rFonts w:hint="default" w:ascii="Times New Roman" w:hAnsi="Times New Roman" w:cs="Times New Roman"/>
                <w:color w:val="auto"/>
                <w:sz w:val="24"/>
                <w:szCs w:val="24"/>
                <w:lang w:val="en-US" w:eastAsia="zh-CN"/>
              </w:rPr>
              <w:t>度的提高而降低。聚乙烯膜的</w:t>
            </w:r>
            <w:r>
              <w:rPr>
                <w:rFonts w:hint="default" w:ascii="Times New Roman" w:hAnsi="Times New Roman" w:cs="Times New Roman"/>
                <w:color w:val="auto"/>
                <w:sz w:val="24"/>
                <w:szCs w:val="24"/>
                <w:lang w:val="en-US" w:eastAsia="zh-CN"/>
              </w:rPr>
              <w:fldChar w:fldCharType="begin"/>
            </w:r>
            <w:r>
              <w:rPr>
                <w:rFonts w:hint="default" w:ascii="Times New Roman" w:hAnsi="Times New Roman" w:cs="Times New Roman"/>
                <w:color w:val="auto"/>
                <w:sz w:val="24"/>
                <w:szCs w:val="24"/>
                <w:lang w:val="en-US" w:eastAsia="zh-CN"/>
              </w:rPr>
              <w:instrText xml:space="preserve"> HYPERLINK "https://baike.baidu.com/item/%E9%80%8F%E6%B0%B4%E7%8E%87?fromModule=lemma_inlink" \t "https://baike.baidu.com/item/%E8%81%9A%E4%B9%99%E7%83%AF/_blank" </w:instrText>
            </w:r>
            <w:r>
              <w:rPr>
                <w:rFonts w:hint="default" w:ascii="Times New Roman" w:hAnsi="Times New Roman" w:cs="Times New Roman"/>
                <w:color w:val="auto"/>
                <w:sz w:val="24"/>
                <w:szCs w:val="24"/>
                <w:lang w:val="en-US" w:eastAsia="zh-CN"/>
              </w:rPr>
              <w:fldChar w:fldCharType="separate"/>
            </w:r>
            <w:r>
              <w:rPr>
                <w:rFonts w:hint="default" w:ascii="Times New Roman" w:hAnsi="Times New Roman" w:cs="Times New Roman"/>
                <w:color w:val="auto"/>
                <w:sz w:val="24"/>
                <w:szCs w:val="24"/>
                <w:lang w:val="en-US" w:eastAsia="zh-CN"/>
              </w:rPr>
              <w:t>透水率</w:t>
            </w:r>
            <w:r>
              <w:rPr>
                <w:rFonts w:hint="default" w:ascii="Times New Roman" w:hAnsi="Times New Roman" w:cs="Times New Roman"/>
                <w:color w:val="auto"/>
                <w:sz w:val="24"/>
                <w:szCs w:val="24"/>
                <w:lang w:val="en-US" w:eastAsia="zh-CN"/>
              </w:rPr>
              <w:fldChar w:fldCharType="end"/>
            </w:r>
            <w:r>
              <w:rPr>
                <w:rFonts w:hint="default" w:ascii="Times New Roman" w:hAnsi="Times New Roman" w:cs="Times New Roman"/>
                <w:color w:val="auto"/>
                <w:sz w:val="24"/>
                <w:szCs w:val="24"/>
                <w:lang w:val="en-US" w:eastAsia="zh-CN"/>
              </w:rPr>
              <w:t>低但</w:t>
            </w:r>
            <w:r>
              <w:rPr>
                <w:rFonts w:hint="default" w:ascii="Times New Roman" w:hAnsi="Times New Roman" w:cs="Times New Roman"/>
                <w:color w:val="auto"/>
                <w:sz w:val="24"/>
                <w:szCs w:val="24"/>
                <w:lang w:val="en-US" w:eastAsia="zh-CN"/>
              </w:rPr>
              <w:fldChar w:fldCharType="begin"/>
            </w:r>
            <w:r>
              <w:rPr>
                <w:rFonts w:hint="default" w:ascii="Times New Roman" w:hAnsi="Times New Roman" w:cs="Times New Roman"/>
                <w:color w:val="auto"/>
                <w:sz w:val="24"/>
                <w:szCs w:val="24"/>
                <w:lang w:val="en-US" w:eastAsia="zh-CN"/>
              </w:rPr>
              <w:instrText xml:space="preserve"> HYPERLINK "https://baike.baidu.com/item/%E9%80%8F%E6%B0%94%E6%80%A7?fromModule=lemma_inlink" \t "https://baike.baidu.com/item/%E8%81%9A%E4%B9%99%E7%83%AF/_blank" </w:instrText>
            </w:r>
            <w:r>
              <w:rPr>
                <w:rFonts w:hint="default" w:ascii="Times New Roman" w:hAnsi="Times New Roman" w:cs="Times New Roman"/>
                <w:color w:val="auto"/>
                <w:sz w:val="24"/>
                <w:szCs w:val="24"/>
                <w:lang w:val="en-US" w:eastAsia="zh-CN"/>
              </w:rPr>
              <w:fldChar w:fldCharType="separate"/>
            </w:r>
            <w:r>
              <w:rPr>
                <w:rFonts w:hint="default" w:ascii="Times New Roman" w:hAnsi="Times New Roman" w:cs="Times New Roman"/>
                <w:color w:val="auto"/>
                <w:sz w:val="24"/>
                <w:szCs w:val="24"/>
                <w:lang w:val="en-US" w:eastAsia="zh-CN"/>
              </w:rPr>
              <w:t>透气性</w:t>
            </w:r>
            <w:r>
              <w:rPr>
                <w:rFonts w:hint="default" w:ascii="Times New Roman" w:hAnsi="Times New Roman" w:cs="Times New Roman"/>
                <w:color w:val="auto"/>
                <w:sz w:val="24"/>
                <w:szCs w:val="24"/>
                <w:lang w:val="en-US" w:eastAsia="zh-CN"/>
              </w:rPr>
              <w:fldChar w:fldCharType="end"/>
            </w:r>
            <w:r>
              <w:rPr>
                <w:rFonts w:hint="default" w:ascii="Times New Roman" w:hAnsi="Times New Roman" w:cs="Times New Roman"/>
                <w:color w:val="auto"/>
                <w:sz w:val="24"/>
                <w:szCs w:val="24"/>
                <w:lang w:val="en-US" w:eastAsia="zh-CN"/>
              </w:rPr>
              <w:t>较大，不适于</w:t>
            </w:r>
            <w:r>
              <w:rPr>
                <w:rFonts w:hint="default" w:ascii="Times New Roman" w:hAnsi="Times New Roman" w:cs="Times New Roman"/>
                <w:color w:val="auto"/>
                <w:sz w:val="24"/>
                <w:szCs w:val="24"/>
                <w:lang w:val="en-US" w:eastAsia="zh-CN"/>
              </w:rPr>
              <w:fldChar w:fldCharType="begin"/>
            </w:r>
            <w:r>
              <w:rPr>
                <w:rFonts w:hint="default" w:ascii="Times New Roman" w:hAnsi="Times New Roman" w:cs="Times New Roman"/>
                <w:color w:val="auto"/>
                <w:sz w:val="24"/>
                <w:szCs w:val="24"/>
                <w:lang w:val="en-US" w:eastAsia="zh-CN"/>
              </w:rPr>
              <w:instrText xml:space="preserve"> HYPERLINK "https://baike.baidu.com/item/%E4%BF%9D%E9%B2%9C?fromModule=lemma_inlink" \t "https://baike.baidu.com/item/%E8%81%9A%E4%B9%99%E7%83%AF/_blank" </w:instrText>
            </w:r>
            <w:r>
              <w:rPr>
                <w:rFonts w:hint="default" w:ascii="Times New Roman" w:hAnsi="Times New Roman" w:cs="Times New Roman"/>
                <w:color w:val="auto"/>
                <w:sz w:val="24"/>
                <w:szCs w:val="24"/>
                <w:lang w:val="en-US" w:eastAsia="zh-CN"/>
              </w:rPr>
              <w:fldChar w:fldCharType="separate"/>
            </w:r>
            <w:r>
              <w:rPr>
                <w:rFonts w:hint="default" w:ascii="Times New Roman" w:hAnsi="Times New Roman" w:cs="Times New Roman"/>
                <w:color w:val="auto"/>
                <w:sz w:val="24"/>
                <w:szCs w:val="24"/>
                <w:lang w:val="en-US" w:eastAsia="zh-CN"/>
              </w:rPr>
              <w:t>保鲜</w:t>
            </w:r>
            <w:r>
              <w:rPr>
                <w:rFonts w:hint="default" w:ascii="Times New Roman" w:hAnsi="Times New Roman" w:cs="Times New Roman"/>
                <w:color w:val="auto"/>
                <w:sz w:val="24"/>
                <w:szCs w:val="24"/>
                <w:lang w:val="en-US" w:eastAsia="zh-CN"/>
              </w:rPr>
              <w:fldChar w:fldCharType="end"/>
            </w:r>
            <w:r>
              <w:rPr>
                <w:rFonts w:hint="default" w:ascii="Times New Roman" w:hAnsi="Times New Roman" w:cs="Times New Roman"/>
                <w:color w:val="auto"/>
                <w:sz w:val="24"/>
                <w:szCs w:val="24"/>
                <w:lang w:val="en-US" w:eastAsia="zh-CN"/>
              </w:rPr>
              <w:t>包装而适于</w:t>
            </w:r>
            <w:r>
              <w:rPr>
                <w:rFonts w:hint="default" w:ascii="Times New Roman" w:hAnsi="Times New Roman" w:cs="Times New Roman"/>
                <w:color w:val="auto"/>
                <w:sz w:val="24"/>
                <w:szCs w:val="24"/>
                <w:lang w:val="en-US" w:eastAsia="zh-CN"/>
              </w:rPr>
              <w:fldChar w:fldCharType="begin"/>
            </w:r>
            <w:r>
              <w:rPr>
                <w:rFonts w:hint="default" w:ascii="Times New Roman" w:hAnsi="Times New Roman" w:cs="Times New Roman"/>
                <w:color w:val="auto"/>
                <w:sz w:val="24"/>
                <w:szCs w:val="24"/>
                <w:lang w:val="en-US" w:eastAsia="zh-CN"/>
              </w:rPr>
              <w:instrText xml:space="preserve"> HYPERLINK "https://baike.baidu.com/item/%E9%98%B2%E6%BD%AE?fromModule=lemma_inlink" \t "https://baike.baidu.com/item/%E8%81%9A%E4%B9%99%E7%83%AF/_blank" </w:instrText>
            </w:r>
            <w:r>
              <w:rPr>
                <w:rFonts w:hint="default" w:ascii="Times New Roman" w:hAnsi="Times New Roman" w:cs="Times New Roman"/>
                <w:color w:val="auto"/>
                <w:sz w:val="24"/>
                <w:szCs w:val="24"/>
                <w:lang w:val="en-US" w:eastAsia="zh-CN"/>
              </w:rPr>
              <w:fldChar w:fldCharType="separate"/>
            </w:r>
            <w:r>
              <w:rPr>
                <w:rFonts w:hint="default" w:ascii="Times New Roman" w:hAnsi="Times New Roman" w:cs="Times New Roman"/>
                <w:color w:val="auto"/>
                <w:sz w:val="24"/>
                <w:szCs w:val="24"/>
                <w:lang w:val="en-US" w:eastAsia="zh-CN"/>
              </w:rPr>
              <w:t>防潮</w:t>
            </w:r>
            <w:r>
              <w:rPr>
                <w:rFonts w:hint="default" w:ascii="Times New Roman" w:hAnsi="Times New Roman" w:cs="Times New Roman"/>
                <w:color w:val="auto"/>
                <w:sz w:val="24"/>
                <w:szCs w:val="24"/>
                <w:lang w:val="en-US" w:eastAsia="zh-CN"/>
              </w:rPr>
              <w:fldChar w:fldCharType="end"/>
            </w:r>
            <w:r>
              <w:rPr>
                <w:rFonts w:hint="default" w:ascii="Times New Roman" w:hAnsi="Times New Roman" w:cs="Times New Roman"/>
                <w:color w:val="auto"/>
                <w:sz w:val="24"/>
                <w:szCs w:val="24"/>
                <w:lang w:val="en-US" w:eastAsia="zh-CN"/>
              </w:rPr>
              <w:t>包装。易燃、氧指数为17.4，燃烧时低烟，有少量熔融落滴，火焰上黄下蓝，有</w:t>
            </w:r>
            <w:r>
              <w:rPr>
                <w:rFonts w:hint="default" w:ascii="Times New Roman" w:hAnsi="Times New Roman" w:cs="Times New Roman"/>
                <w:color w:val="auto"/>
                <w:sz w:val="24"/>
                <w:szCs w:val="24"/>
                <w:lang w:val="en-US" w:eastAsia="zh-CN"/>
              </w:rPr>
              <w:fldChar w:fldCharType="begin"/>
            </w:r>
            <w:r>
              <w:rPr>
                <w:rFonts w:hint="default" w:ascii="Times New Roman" w:hAnsi="Times New Roman" w:cs="Times New Roman"/>
                <w:color w:val="auto"/>
                <w:sz w:val="24"/>
                <w:szCs w:val="24"/>
                <w:lang w:val="en-US" w:eastAsia="zh-CN"/>
              </w:rPr>
              <w:instrText xml:space="preserve"> HYPERLINK "https://baike.baidu.com/item/%E7%9F%B3%E8%9C%A1?fromModule=lemma_inlink" \t "https://baike.baidu.com/item/%E8%81%9A%E4%B9%99%E7%83%AF/_blank" </w:instrText>
            </w:r>
            <w:r>
              <w:rPr>
                <w:rFonts w:hint="default" w:ascii="Times New Roman" w:hAnsi="Times New Roman" w:cs="Times New Roman"/>
                <w:color w:val="auto"/>
                <w:sz w:val="24"/>
                <w:szCs w:val="24"/>
                <w:lang w:val="en-US" w:eastAsia="zh-CN"/>
              </w:rPr>
              <w:fldChar w:fldCharType="separate"/>
            </w:r>
            <w:r>
              <w:rPr>
                <w:rFonts w:hint="default" w:ascii="Times New Roman" w:hAnsi="Times New Roman" w:cs="Times New Roman"/>
                <w:color w:val="auto"/>
                <w:sz w:val="24"/>
                <w:szCs w:val="24"/>
                <w:lang w:val="en-US" w:eastAsia="zh-CN"/>
              </w:rPr>
              <w:t>石蜡</w:t>
            </w:r>
            <w:r>
              <w:rPr>
                <w:rFonts w:hint="default" w:ascii="Times New Roman" w:hAnsi="Times New Roman" w:cs="Times New Roman"/>
                <w:color w:val="auto"/>
                <w:sz w:val="24"/>
                <w:szCs w:val="24"/>
                <w:lang w:val="en-US" w:eastAsia="zh-CN"/>
              </w:rPr>
              <w:fldChar w:fldCharType="end"/>
            </w:r>
            <w:r>
              <w:rPr>
                <w:rFonts w:hint="default" w:ascii="Times New Roman" w:hAnsi="Times New Roman" w:cs="Times New Roman"/>
                <w:color w:val="auto"/>
                <w:sz w:val="24"/>
                <w:szCs w:val="24"/>
                <w:lang w:val="en-US" w:eastAsia="zh-CN"/>
              </w:rPr>
              <w:t>气味。</w:t>
            </w:r>
          </w:p>
          <w:p>
            <w:pPr>
              <w:adjustRightInd w:val="0"/>
              <w:snapToGrid w:val="0"/>
              <w:ind w:firstLine="482"/>
              <w:rPr>
                <w:rFonts w:hint="default" w:ascii="Times New Roman" w:hAnsi="Times New Roman" w:cs="Times New Roman"/>
                <w:b/>
                <w:color w:val="auto"/>
                <w:szCs w:val="21"/>
              </w:rPr>
            </w:pPr>
            <w:r>
              <w:rPr>
                <w:rFonts w:hint="default" w:ascii="Times New Roman" w:hAnsi="Times New Roman" w:cs="Times New Roman"/>
                <w:b/>
                <w:color w:val="auto"/>
                <w:szCs w:val="21"/>
              </w:rPr>
              <w:t>5、主要设备清单</w:t>
            </w:r>
          </w:p>
          <w:p>
            <w:pPr>
              <w:pStyle w:val="11"/>
              <w:jc w:val="center"/>
              <w:rPr>
                <w:rFonts w:hint="default" w:ascii="Times New Roman" w:hAnsi="Times New Roman" w:cs="Times New Roman"/>
                <w:b/>
                <w:bCs/>
                <w:color w:val="auto"/>
              </w:rPr>
            </w:pPr>
            <w:r>
              <w:rPr>
                <w:rFonts w:hint="default" w:ascii="Times New Roman" w:hAnsi="Times New Roman" w:cs="Times New Roman"/>
                <w:b/>
                <w:bCs/>
                <w:color w:val="auto"/>
              </w:rPr>
              <w:t>表2-4   主要设备一览表</w:t>
            </w:r>
          </w:p>
          <w:tbl>
            <w:tblPr>
              <w:tblStyle w:val="5"/>
              <w:tblW w:w="8235"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 w:type="dxa"/>
                <w:bottom w:w="0" w:type="dxa"/>
                <w:right w:w="10" w:type="dxa"/>
              </w:tblCellMar>
            </w:tblPr>
            <w:tblGrid>
              <w:gridCol w:w="1693"/>
              <w:gridCol w:w="700"/>
              <w:gridCol w:w="784"/>
              <w:gridCol w:w="1708"/>
              <w:gridCol w:w="2148"/>
              <w:gridCol w:w="1202"/>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 w:type="dxa"/>
                  <w:bottom w:w="0" w:type="dxa"/>
                  <w:right w:w="10" w:type="dxa"/>
                </w:tblCellMar>
              </w:tblPrEx>
              <w:trPr>
                <w:trHeight w:val="340" w:hRule="atLeast"/>
                <w:jc w:val="center"/>
              </w:trPr>
              <w:tc>
                <w:tcPr>
                  <w:tcW w:w="1693" w:type="dxa"/>
                  <w:tcBorders>
                    <w:tl2br w:val="nil"/>
                    <w:tr2bl w:val="nil"/>
                  </w:tcBorders>
                  <w:shd w:val="clear" w:color="000000" w:fill="FFFFFF"/>
                  <w:tcMar>
                    <w:left w:w="14" w:type="dxa"/>
                    <w:right w:w="14" w:type="dxa"/>
                  </w:tcMar>
                  <w:vAlign w:val="center"/>
                </w:tcPr>
                <w:p>
                  <w:pPr>
                    <w:pStyle w:val="11"/>
                    <w:jc w:val="center"/>
                    <w:rPr>
                      <w:rFonts w:hint="default" w:ascii="Times New Roman" w:hAnsi="Times New Roman" w:cs="Times New Roman"/>
                      <w:b/>
                      <w:color w:val="auto"/>
                    </w:rPr>
                  </w:pPr>
                  <w:r>
                    <w:rPr>
                      <w:rFonts w:hint="default" w:ascii="Times New Roman" w:hAnsi="Times New Roman" w:cs="Times New Roman"/>
                      <w:b/>
                      <w:color w:val="auto"/>
                    </w:rPr>
                    <w:t>设备名称</w:t>
                  </w:r>
                </w:p>
              </w:tc>
              <w:tc>
                <w:tcPr>
                  <w:tcW w:w="700" w:type="dxa"/>
                  <w:tcBorders>
                    <w:tl2br w:val="nil"/>
                    <w:tr2bl w:val="nil"/>
                  </w:tcBorders>
                  <w:shd w:val="clear" w:color="000000" w:fill="FFFFFF"/>
                  <w:vAlign w:val="center"/>
                </w:tcPr>
                <w:p>
                  <w:pPr>
                    <w:pStyle w:val="11"/>
                    <w:jc w:val="center"/>
                    <w:rPr>
                      <w:rFonts w:hint="default" w:ascii="Times New Roman" w:hAnsi="Times New Roman" w:cs="Times New Roman"/>
                      <w:b/>
                      <w:color w:val="auto"/>
                    </w:rPr>
                  </w:pPr>
                  <w:r>
                    <w:rPr>
                      <w:rFonts w:hint="default" w:ascii="Times New Roman" w:hAnsi="Times New Roman" w:cs="Times New Roman"/>
                      <w:b/>
                      <w:color w:val="auto"/>
                    </w:rPr>
                    <w:t>单位</w:t>
                  </w:r>
                </w:p>
              </w:tc>
              <w:tc>
                <w:tcPr>
                  <w:tcW w:w="784" w:type="dxa"/>
                  <w:tcBorders>
                    <w:tl2br w:val="nil"/>
                    <w:tr2bl w:val="nil"/>
                  </w:tcBorders>
                  <w:shd w:val="clear" w:color="000000" w:fill="FFFFFF"/>
                  <w:tcMar>
                    <w:left w:w="14" w:type="dxa"/>
                    <w:right w:w="14" w:type="dxa"/>
                  </w:tcMar>
                  <w:vAlign w:val="center"/>
                </w:tcPr>
                <w:p>
                  <w:pPr>
                    <w:pStyle w:val="11"/>
                    <w:jc w:val="center"/>
                    <w:rPr>
                      <w:rFonts w:hint="default" w:ascii="Times New Roman" w:hAnsi="Times New Roman" w:cs="Times New Roman"/>
                      <w:b/>
                      <w:color w:val="auto"/>
                    </w:rPr>
                  </w:pPr>
                  <w:r>
                    <w:rPr>
                      <w:rFonts w:hint="default" w:ascii="Times New Roman" w:hAnsi="Times New Roman" w:cs="Times New Roman"/>
                      <w:b/>
                      <w:color w:val="auto"/>
                    </w:rPr>
                    <w:t>数量</w:t>
                  </w:r>
                </w:p>
              </w:tc>
              <w:tc>
                <w:tcPr>
                  <w:tcW w:w="1708" w:type="dxa"/>
                  <w:tcBorders>
                    <w:tl2br w:val="nil"/>
                    <w:tr2bl w:val="nil"/>
                  </w:tcBorders>
                  <w:shd w:val="clear" w:color="000000" w:fill="FFFFFF"/>
                  <w:tcMar>
                    <w:left w:w="14" w:type="dxa"/>
                    <w:right w:w="14" w:type="dxa"/>
                  </w:tcMar>
                  <w:vAlign w:val="center"/>
                </w:tcPr>
                <w:p>
                  <w:pPr>
                    <w:pStyle w:val="11"/>
                    <w:jc w:val="center"/>
                    <w:rPr>
                      <w:rFonts w:hint="default" w:ascii="Times New Roman" w:hAnsi="Times New Roman" w:cs="Times New Roman"/>
                      <w:b/>
                      <w:color w:val="auto"/>
                    </w:rPr>
                  </w:pPr>
                  <w:r>
                    <w:rPr>
                      <w:rFonts w:hint="default" w:ascii="Times New Roman" w:hAnsi="Times New Roman" w:cs="Times New Roman"/>
                      <w:b/>
                      <w:color w:val="auto"/>
                    </w:rPr>
                    <w:t>型号</w:t>
                  </w:r>
                </w:p>
              </w:tc>
              <w:tc>
                <w:tcPr>
                  <w:tcW w:w="2148" w:type="dxa"/>
                  <w:tcBorders>
                    <w:tl2br w:val="nil"/>
                    <w:tr2bl w:val="nil"/>
                  </w:tcBorders>
                  <w:shd w:val="clear" w:color="000000" w:fill="FFFFFF"/>
                  <w:tcMar>
                    <w:left w:w="14" w:type="dxa"/>
                    <w:right w:w="14" w:type="dxa"/>
                  </w:tcMar>
                  <w:vAlign w:val="center"/>
                </w:tcPr>
                <w:p>
                  <w:pPr>
                    <w:pStyle w:val="11"/>
                    <w:jc w:val="center"/>
                    <w:rPr>
                      <w:rFonts w:hint="default" w:ascii="Times New Roman" w:hAnsi="Times New Roman" w:cs="Times New Roman"/>
                      <w:b/>
                      <w:color w:val="auto"/>
                    </w:rPr>
                  </w:pPr>
                  <w:r>
                    <w:rPr>
                      <w:rFonts w:hint="default" w:ascii="Times New Roman" w:hAnsi="Times New Roman" w:cs="Times New Roman"/>
                      <w:b/>
                      <w:color w:val="auto"/>
                    </w:rPr>
                    <w:t>工序名称</w:t>
                  </w:r>
                </w:p>
              </w:tc>
              <w:tc>
                <w:tcPr>
                  <w:tcW w:w="1202" w:type="dxa"/>
                  <w:tcBorders>
                    <w:tl2br w:val="nil"/>
                    <w:tr2bl w:val="nil"/>
                  </w:tcBorders>
                  <w:shd w:val="clear" w:color="000000" w:fill="FFFFFF"/>
                  <w:vAlign w:val="center"/>
                </w:tcPr>
                <w:p>
                  <w:pPr>
                    <w:pStyle w:val="11"/>
                    <w:jc w:val="center"/>
                    <w:rPr>
                      <w:rFonts w:hint="default" w:ascii="Times New Roman" w:hAnsi="Times New Roman" w:cs="Times New Roman"/>
                      <w:b/>
                      <w:color w:val="auto"/>
                    </w:rPr>
                  </w:pPr>
                  <w:r>
                    <w:rPr>
                      <w:rFonts w:hint="default" w:ascii="Times New Roman" w:hAnsi="Times New Roman" w:cs="Times New Roman"/>
                      <w:b/>
                      <w:color w:val="auto"/>
                    </w:rPr>
                    <w:t>安装位置</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 w:type="dxa"/>
                  <w:bottom w:w="0" w:type="dxa"/>
                  <w:right w:w="10" w:type="dxa"/>
                </w:tblCellMar>
              </w:tblPrEx>
              <w:trPr>
                <w:trHeight w:val="340" w:hRule="atLeast"/>
                <w:jc w:val="center"/>
              </w:trPr>
              <w:tc>
                <w:tcPr>
                  <w:tcW w:w="1693" w:type="dxa"/>
                  <w:tcBorders>
                    <w:tl2br w:val="nil"/>
                    <w:tr2bl w:val="nil"/>
                  </w:tcBorders>
                  <w:shd w:val="clear" w:color="000000" w:fill="FFFFFF"/>
                  <w:tcMar>
                    <w:left w:w="14" w:type="dxa"/>
                    <w:right w:w="14" w:type="dxa"/>
                  </w:tcMar>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碎料机（湿式）</w:t>
                  </w:r>
                </w:p>
              </w:tc>
              <w:tc>
                <w:tcPr>
                  <w:tcW w:w="700" w:type="dxa"/>
                  <w:tcBorders>
                    <w:tl2br w:val="nil"/>
                    <w:tr2bl w:val="nil"/>
                  </w:tcBorders>
                  <w:shd w:val="clear" w:color="000000" w:fill="FFFFFF"/>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台</w:t>
                  </w:r>
                </w:p>
              </w:tc>
              <w:tc>
                <w:tcPr>
                  <w:tcW w:w="784" w:type="dxa"/>
                  <w:tcBorders>
                    <w:tl2br w:val="nil"/>
                    <w:tr2bl w:val="nil"/>
                  </w:tcBorders>
                  <w:shd w:val="clear" w:color="000000" w:fill="FFFFFF"/>
                  <w:tcMar>
                    <w:left w:w="14" w:type="dxa"/>
                    <w:right w:w="14" w:type="dxa"/>
                  </w:tcMar>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2</w:t>
                  </w:r>
                </w:p>
              </w:tc>
              <w:tc>
                <w:tcPr>
                  <w:tcW w:w="1708" w:type="dxa"/>
                  <w:tcBorders>
                    <w:tl2br w:val="nil"/>
                    <w:tr2bl w:val="nil"/>
                  </w:tcBorders>
                  <w:shd w:val="clear" w:color="000000" w:fill="FFFFFF"/>
                  <w:tcMar>
                    <w:left w:w="14" w:type="dxa"/>
                    <w:right w:w="14" w:type="dxa"/>
                  </w:tcMar>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A1500</w:t>
                  </w:r>
                </w:p>
              </w:tc>
              <w:tc>
                <w:tcPr>
                  <w:tcW w:w="2148" w:type="dxa"/>
                  <w:tcBorders>
                    <w:tl2br w:val="nil"/>
                    <w:tr2bl w:val="nil"/>
                  </w:tcBorders>
                  <w:shd w:val="clear" w:color="000000" w:fill="FFFFFF"/>
                  <w:tcMar>
                    <w:left w:w="14" w:type="dxa"/>
                    <w:right w:w="14" w:type="dxa"/>
                  </w:tcMar>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碎料</w:t>
                  </w:r>
                </w:p>
              </w:tc>
              <w:tc>
                <w:tcPr>
                  <w:tcW w:w="1202" w:type="dxa"/>
                  <w:vMerge w:val="restart"/>
                  <w:tcBorders>
                    <w:tl2br w:val="nil"/>
                    <w:tr2bl w:val="nil"/>
                  </w:tcBorders>
                  <w:shd w:val="clear" w:color="000000" w:fill="FFFFFF"/>
                  <w:vAlign w:val="center"/>
                </w:tcPr>
                <w:p>
                  <w:pPr>
                    <w:pStyle w:val="11"/>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生产</w:t>
                  </w:r>
                </w:p>
                <w:p>
                  <w:pPr>
                    <w:pStyle w:val="11"/>
                    <w:jc w:val="center"/>
                    <w:rPr>
                      <w:rFonts w:hint="default" w:ascii="Times New Roman" w:hAnsi="Times New Roman" w:cs="Times New Roman"/>
                      <w:color w:val="auto"/>
                    </w:rPr>
                  </w:pPr>
                  <w:r>
                    <w:rPr>
                      <w:rFonts w:hint="default" w:ascii="Times New Roman" w:hAnsi="Times New Roman" w:cs="Times New Roman"/>
                      <w:color w:val="auto"/>
                    </w:rPr>
                    <w:t>车间</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 w:type="dxa"/>
                  <w:bottom w:w="0" w:type="dxa"/>
                  <w:right w:w="10" w:type="dxa"/>
                </w:tblCellMar>
              </w:tblPrEx>
              <w:trPr>
                <w:trHeight w:val="340" w:hRule="atLeast"/>
                <w:jc w:val="center"/>
              </w:trPr>
              <w:tc>
                <w:tcPr>
                  <w:tcW w:w="1693" w:type="dxa"/>
                  <w:tcBorders>
                    <w:tl2br w:val="nil"/>
                    <w:tr2bl w:val="nil"/>
                  </w:tcBorders>
                  <w:shd w:val="clear" w:color="000000" w:fill="FFFFFF"/>
                  <w:tcMar>
                    <w:left w:w="14" w:type="dxa"/>
                    <w:right w:w="14" w:type="dxa"/>
                  </w:tcMar>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滚筒机</w:t>
                  </w:r>
                </w:p>
              </w:tc>
              <w:tc>
                <w:tcPr>
                  <w:tcW w:w="700" w:type="dxa"/>
                  <w:tcBorders>
                    <w:tl2br w:val="nil"/>
                    <w:tr2bl w:val="nil"/>
                  </w:tcBorders>
                  <w:shd w:val="clear" w:color="000000" w:fill="FFFFFF"/>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套</w:t>
                  </w:r>
                </w:p>
              </w:tc>
              <w:tc>
                <w:tcPr>
                  <w:tcW w:w="784" w:type="dxa"/>
                  <w:tcBorders>
                    <w:tl2br w:val="nil"/>
                    <w:tr2bl w:val="nil"/>
                  </w:tcBorders>
                  <w:shd w:val="clear" w:color="000000" w:fill="FFFFFF"/>
                  <w:tcMar>
                    <w:left w:w="14" w:type="dxa"/>
                    <w:right w:w="14" w:type="dxa"/>
                  </w:tcMar>
                  <w:vAlign w:val="center"/>
                </w:tcPr>
                <w:p>
                  <w:pPr>
                    <w:pStyle w:val="11"/>
                    <w:jc w:val="center"/>
                    <w:rPr>
                      <w:rFonts w:hint="default" w:ascii="Times New Roman" w:hAnsi="Times New Roman" w:eastAsia="宋体" w:cs="Times New Roman"/>
                      <w:color w:val="auto"/>
                      <w:lang w:eastAsia="zh-CN"/>
                    </w:rPr>
                  </w:pPr>
                  <w:r>
                    <w:rPr>
                      <w:rFonts w:hint="default" w:ascii="Times New Roman" w:hAnsi="Times New Roman" w:cs="Times New Roman"/>
                      <w:color w:val="auto"/>
                      <w:lang w:val="en-US" w:eastAsia="zh-CN"/>
                    </w:rPr>
                    <w:t>3</w:t>
                  </w:r>
                </w:p>
              </w:tc>
              <w:tc>
                <w:tcPr>
                  <w:tcW w:w="1708" w:type="dxa"/>
                  <w:tcBorders>
                    <w:tl2br w:val="nil"/>
                    <w:tr2bl w:val="nil"/>
                  </w:tcBorders>
                  <w:shd w:val="clear" w:color="000000" w:fill="FFFFFF"/>
                  <w:tcMar>
                    <w:left w:w="14" w:type="dxa"/>
                    <w:right w:w="14" w:type="dxa"/>
                  </w:tcMar>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w:t>
                  </w:r>
                </w:p>
              </w:tc>
              <w:tc>
                <w:tcPr>
                  <w:tcW w:w="2148" w:type="dxa"/>
                  <w:tcBorders>
                    <w:tl2br w:val="nil"/>
                    <w:tr2bl w:val="nil"/>
                  </w:tcBorders>
                  <w:shd w:val="clear" w:color="000000" w:fill="FFFFFF"/>
                  <w:tcMar>
                    <w:left w:w="14" w:type="dxa"/>
                    <w:right w:w="14" w:type="dxa"/>
                  </w:tcMar>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清洗</w:t>
                  </w:r>
                </w:p>
              </w:tc>
              <w:tc>
                <w:tcPr>
                  <w:tcW w:w="1202" w:type="dxa"/>
                  <w:vMerge w:val="continue"/>
                  <w:tcBorders>
                    <w:tl2br w:val="nil"/>
                    <w:tr2bl w:val="nil"/>
                  </w:tcBorders>
                  <w:shd w:val="clear" w:color="000000" w:fill="FFFFFF"/>
                  <w:vAlign w:val="center"/>
                </w:tcPr>
                <w:p>
                  <w:pPr>
                    <w:pStyle w:val="11"/>
                    <w:jc w:val="center"/>
                    <w:rPr>
                      <w:rFonts w:hint="default" w:ascii="Times New Roman" w:hAnsi="Times New Roman" w:cs="Times New Roman"/>
                      <w:color w:val="auto"/>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 w:type="dxa"/>
                  <w:bottom w:w="0" w:type="dxa"/>
                  <w:right w:w="10" w:type="dxa"/>
                </w:tblCellMar>
              </w:tblPrEx>
              <w:trPr>
                <w:trHeight w:val="340" w:hRule="atLeast"/>
                <w:jc w:val="center"/>
              </w:trPr>
              <w:tc>
                <w:tcPr>
                  <w:tcW w:w="1693" w:type="dxa"/>
                  <w:tcBorders>
                    <w:tl2br w:val="nil"/>
                    <w:tr2bl w:val="nil"/>
                  </w:tcBorders>
                  <w:shd w:val="clear" w:color="000000" w:fill="FFFFFF"/>
                  <w:tcMar>
                    <w:left w:w="14" w:type="dxa"/>
                    <w:right w:w="14" w:type="dxa"/>
                  </w:tcMar>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提料机</w:t>
                  </w:r>
                </w:p>
              </w:tc>
              <w:tc>
                <w:tcPr>
                  <w:tcW w:w="700" w:type="dxa"/>
                  <w:tcBorders>
                    <w:tl2br w:val="nil"/>
                    <w:tr2bl w:val="nil"/>
                  </w:tcBorders>
                  <w:shd w:val="clear" w:color="000000" w:fill="FFFFFF"/>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台</w:t>
                  </w:r>
                </w:p>
              </w:tc>
              <w:tc>
                <w:tcPr>
                  <w:tcW w:w="784" w:type="dxa"/>
                  <w:tcBorders>
                    <w:tl2br w:val="nil"/>
                    <w:tr2bl w:val="nil"/>
                  </w:tcBorders>
                  <w:shd w:val="clear" w:color="000000" w:fill="FFFFFF"/>
                  <w:tcMar>
                    <w:left w:w="14" w:type="dxa"/>
                    <w:right w:w="14" w:type="dxa"/>
                  </w:tcMar>
                  <w:vAlign w:val="center"/>
                </w:tcPr>
                <w:p>
                  <w:pPr>
                    <w:pStyle w:val="11"/>
                    <w:jc w:val="center"/>
                    <w:rPr>
                      <w:rFonts w:hint="default" w:ascii="Times New Roman" w:hAnsi="Times New Roman" w:eastAsia="宋体" w:cs="Times New Roman"/>
                      <w:color w:val="auto"/>
                      <w:lang w:eastAsia="zh-CN"/>
                    </w:rPr>
                  </w:pPr>
                  <w:r>
                    <w:rPr>
                      <w:rFonts w:hint="default" w:ascii="Times New Roman" w:hAnsi="Times New Roman" w:cs="Times New Roman"/>
                      <w:color w:val="auto"/>
                      <w:lang w:val="en-US" w:eastAsia="zh-CN"/>
                    </w:rPr>
                    <w:t>3</w:t>
                  </w:r>
                </w:p>
              </w:tc>
              <w:tc>
                <w:tcPr>
                  <w:tcW w:w="1708" w:type="dxa"/>
                  <w:tcBorders>
                    <w:tl2br w:val="nil"/>
                    <w:tr2bl w:val="nil"/>
                  </w:tcBorders>
                  <w:shd w:val="clear" w:color="000000" w:fill="FFFFFF"/>
                  <w:tcMar>
                    <w:left w:w="14" w:type="dxa"/>
                    <w:right w:w="14" w:type="dxa"/>
                  </w:tcMar>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w:t>
                  </w:r>
                </w:p>
              </w:tc>
              <w:tc>
                <w:tcPr>
                  <w:tcW w:w="2148" w:type="dxa"/>
                  <w:tcBorders>
                    <w:tl2br w:val="nil"/>
                    <w:tr2bl w:val="nil"/>
                  </w:tcBorders>
                  <w:shd w:val="clear" w:color="000000" w:fill="FFFFFF"/>
                  <w:tcMar>
                    <w:left w:w="14" w:type="dxa"/>
                    <w:right w:w="14" w:type="dxa"/>
                  </w:tcMar>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辅助生产</w:t>
                  </w:r>
                </w:p>
                <w:p>
                  <w:pPr>
                    <w:pStyle w:val="11"/>
                    <w:jc w:val="center"/>
                    <w:rPr>
                      <w:rFonts w:hint="default" w:ascii="Times New Roman" w:hAnsi="Times New Roman" w:cs="Times New Roman"/>
                      <w:color w:val="auto"/>
                    </w:rPr>
                  </w:pPr>
                  <w:r>
                    <w:rPr>
                      <w:rFonts w:hint="default" w:ascii="Times New Roman" w:hAnsi="Times New Roman" w:cs="Times New Roman"/>
                      <w:color w:val="auto"/>
                    </w:rPr>
                    <w:t>（上料、甩干）</w:t>
                  </w:r>
                </w:p>
              </w:tc>
              <w:tc>
                <w:tcPr>
                  <w:tcW w:w="1202" w:type="dxa"/>
                  <w:vMerge w:val="continue"/>
                  <w:tcBorders>
                    <w:tl2br w:val="nil"/>
                    <w:tr2bl w:val="nil"/>
                  </w:tcBorders>
                  <w:shd w:val="clear" w:color="000000" w:fill="FFFFFF"/>
                  <w:vAlign w:val="center"/>
                </w:tcPr>
                <w:p>
                  <w:pPr>
                    <w:pStyle w:val="11"/>
                    <w:jc w:val="center"/>
                    <w:rPr>
                      <w:rFonts w:hint="default" w:ascii="Times New Roman" w:hAnsi="Times New Roman" w:cs="Times New Roman"/>
                      <w:color w:val="auto"/>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 w:type="dxa"/>
                  <w:bottom w:w="0" w:type="dxa"/>
                  <w:right w:w="10" w:type="dxa"/>
                </w:tblCellMar>
              </w:tblPrEx>
              <w:trPr>
                <w:trHeight w:val="340" w:hRule="atLeast"/>
                <w:jc w:val="center"/>
              </w:trPr>
              <w:tc>
                <w:tcPr>
                  <w:tcW w:w="1693" w:type="dxa"/>
                  <w:tcBorders>
                    <w:tl2br w:val="nil"/>
                    <w:tr2bl w:val="nil"/>
                  </w:tcBorders>
                  <w:shd w:val="clear" w:color="000000" w:fill="FFFFFF"/>
                  <w:tcMar>
                    <w:left w:w="14" w:type="dxa"/>
                    <w:right w:w="14" w:type="dxa"/>
                  </w:tcMar>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熔融造粒机</w:t>
                  </w:r>
                </w:p>
              </w:tc>
              <w:tc>
                <w:tcPr>
                  <w:tcW w:w="700" w:type="dxa"/>
                  <w:tcBorders>
                    <w:tl2br w:val="nil"/>
                    <w:tr2bl w:val="nil"/>
                  </w:tcBorders>
                  <w:shd w:val="clear" w:color="000000" w:fill="FFFFFF"/>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套</w:t>
                  </w:r>
                </w:p>
              </w:tc>
              <w:tc>
                <w:tcPr>
                  <w:tcW w:w="784" w:type="dxa"/>
                  <w:tcBorders>
                    <w:tl2br w:val="nil"/>
                    <w:tr2bl w:val="nil"/>
                  </w:tcBorders>
                  <w:shd w:val="clear" w:color="000000" w:fill="FFFFFF"/>
                  <w:tcMar>
                    <w:left w:w="14" w:type="dxa"/>
                    <w:right w:w="14" w:type="dxa"/>
                  </w:tcMar>
                  <w:vAlign w:val="center"/>
                </w:tcPr>
                <w:p>
                  <w:pPr>
                    <w:pStyle w:val="11"/>
                    <w:jc w:val="center"/>
                    <w:rPr>
                      <w:rFonts w:hint="default" w:ascii="Times New Roman" w:hAnsi="Times New Roman" w:eastAsia="宋体" w:cs="Times New Roman"/>
                      <w:color w:val="auto"/>
                      <w:lang w:eastAsia="zh-CN"/>
                    </w:rPr>
                  </w:pPr>
                  <w:r>
                    <w:rPr>
                      <w:rFonts w:hint="default" w:ascii="Times New Roman" w:hAnsi="Times New Roman" w:cs="Times New Roman"/>
                      <w:color w:val="auto"/>
                      <w:lang w:val="en-US" w:eastAsia="zh-CN"/>
                    </w:rPr>
                    <w:t>3</w:t>
                  </w:r>
                </w:p>
              </w:tc>
              <w:tc>
                <w:tcPr>
                  <w:tcW w:w="1708" w:type="dxa"/>
                  <w:tcBorders>
                    <w:tl2br w:val="nil"/>
                    <w:tr2bl w:val="nil"/>
                  </w:tcBorders>
                  <w:shd w:val="clear" w:color="000000" w:fill="FFFFFF"/>
                  <w:tcMar>
                    <w:left w:w="14" w:type="dxa"/>
                    <w:right w:w="14" w:type="dxa"/>
                  </w:tcMar>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A2</w:t>
                  </w:r>
                  <w:r>
                    <w:rPr>
                      <w:rFonts w:hint="default" w:ascii="Times New Roman" w:hAnsi="Times New Roman" w:cs="Times New Roman"/>
                      <w:color w:val="auto"/>
                      <w:lang w:val="en-US" w:eastAsia="zh-CN"/>
                    </w:rPr>
                    <w:t>5</w:t>
                  </w:r>
                  <w:r>
                    <w:rPr>
                      <w:rFonts w:hint="default" w:ascii="Times New Roman" w:hAnsi="Times New Roman" w:cs="Times New Roman"/>
                      <w:color w:val="auto"/>
                    </w:rPr>
                    <w:t>0（</w:t>
                  </w:r>
                  <w:r>
                    <w:rPr>
                      <w:rFonts w:hint="default" w:ascii="Times New Roman" w:hAnsi="Times New Roman" w:cs="Times New Roman"/>
                      <w:color w:val="auto"/>
                      <w:lang w:val="en-US" w:eastAsia="zh-CN"/>
                    </w:rPr>
                    <w:t>1</w:t>
                  </w:r>
                  <w:r>
                    <w:rPr>
                      <w:rFonts w:hint="default" w:ascii="Times New Roman" w:hAnsi="Times New Roman" w:cs="Times New Roman"/>
                      <w:color w:val="auto"/>
                    </w:rPr>
                    <w:t>主</w:t>
                  </w:r>
                  <w:r>
                    <w:rPr>
                      <w:rFonts w:hint="default" w:ascii="Times New Roman" w:hAnsi="Times New Roman" w:cs="Times New Roman"/>
                      <w:color w:val="auto"/>
                      <w:lang w:val="en-US" w:eastAsia="zh-CN"/>
                    </w:rPr>
                    <w:t>2副</w:t>
                  </w:r>
                  <w:r>
                    <w:rPr>
                      <w:rFonts w:hint="default" w:ascii="Times New Roman" w:hAnsi="Times New Roman" w:cs="Times New Roman"/>
                      <w:color w:val="auto"/>
                    </w:rPr>
                    <w:t>）</w:t>
                  </w:r>
                </w:p>
              </w:tc>
              <w:tc>
                <w:tcPr>
                  <w:tcW w:w="2148" w:type="dxa"/>
                  <w:tcBorders>
                    <w:tl2br w:val="nil"/>
                    <w:tr2bl w:val="nil"/>
                  </w:tcBorders>
                  <w:shd w:val="clear" w:color="000000" w:fill="FFFFFF"/>
                  <w:tcMar>
                    <w:left w:w="14" w:type="dxa"/>
                    <w:right w:w="14" w:type="dxa"/>
                  </w:tcMar>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造粒</w:t>
                  </w:r>
                </w:p>
              </w:tc>
              <w:tc>
                <w:tcPr>
                  <w:tcW w:w="1202" w:type="dxa"/>
                  <w:vMerge w:val="continue"/>
                  <w:tcBorders>
                    <w:tl2br w:val="nil"/>
                    <w:tr2bl w:val="nil"/>
                  </w:tcBorders>
                  <w:shd w:val="clear" w:color="000000" w:fill="FFFFFF"/>
                  <w:vAlign w:val="center"/>
                </w:tcPr>
                <w:p>
                  <w:pPr>
                    <w:pStyle w:val="11"/>
                    <w:jc w:val="center"/>
                    <w:rPr>
                      <w:rFonts w:hint="default" w:ascii="Times New Roman" w:hAnsi="Times New Roman" w:cs="Times New Roman"/>
                      <w:color w:val="auto"/>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 w:type="dxa"/>
                  <w:bottom w:w="0" w:type="dxa"/>
                  <w:right w:w="10" w:type="dxa"/>
                </w:tblCellMar>
              </w:tblPrEx>
              <w:trPr>
                <w:trHeight w:val="340" w:hRule="atLeast"/>
                <w:jc w:val="center"/>
              </w:trPr>
              <w:tc>
                <w:tcPr>
                  <w:tcW w:w="1693" w:type="dxa"/>
                  <w:tcBorders>
                    <w:tl2br w:val="nil"/>
                    <w:tr2bl w:val="nil"/>
                  </w:tcBorders>
                  <w:shd w:val="clear" w:color="000000" w:fill="FFFFFF"/>
                  <w:tcMar>
                    <w:left w:w="14" w:type="dxa"/>
                    <w:right w:w="14" w:type="dxa"/>
                  </w:tcMar>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切粒机</w:t>
                  </w:r>
                </w:p>
              </w:tc>
              <w:tc>
                <w:tcPr>
                  <w:tcW w:w="700" w:type="dxa"/>
                  <w:tcBorders>
                    <w:tl2br w:val="nil"/>
                    <w:tr2bl w:val="nil"/>
                  </w:tcBorders>
                  <w:shd w:val="clear" w:color="000000" w:fill="FFFFFF"/>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台</w:t>
                  </w:r>
                </w:p>
              </w:tc>
              <w:tc>
                <w:tcPr>
                  <w:tcW w:w="784" w:type="dxa"/>
                  <w:tcBorders>
                    <w:tl2br w:val="nil"/>
                    <w:tr2bl w:val="nil"/>
                  </w:tcBorders>
                  <w:shd w:val="clear" w:color="000000" w:fill="FFFFFF"/>
                  <w:tcMar>
                    <w:left w:w="14" w:type="dxa"/>
                    <w:right w:w="14" w:type="dxa"/>
                  </w:tcMar>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3</w:t>
                  </w:r>
                </w:p>
              </w:tc>
              <w:tc>
                <w:tcPr>
                  <w:tcW w:w="1708" w:type="dxa"/>
                  <w:tcBorders>
                    <w:tl2br w:val="nil"/>
                    <w:tr2bl w:val="nil"/>
                  </w:tcBorders>
                  <w:shd w:val="clear" w:color="000000" w:fill="FFFFFF"/>
                  <w:tcMar>
                    <w:left w:w="14" w:type="dxa"/>
                    <w:right w:w="14" w:type="dxa"/>
                  </w:tcMar>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滚刀型</w:t>
                  </w:r>
                </w:p>
              </w:tc>
              <w:tc>
                <w:tcPr>
                  <w:tcW w:w="2148" w:type="dxa"/>
                  <w:tcBorders>
                    <w:tl2br w:val="nil"/>
                    <w:tr2bl w:val="nil"/>
                  </w:tcBorders>
                  <w:shd w:val="clear" w:color="000000" w:fill="FFFFFF"/>
                  <w:tcMar>
                    <w:left w:w="14" w:type="dxa"/>
                    <w:right w:w="14" w:type="dxa"/>
                  </w:tcMar>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切粒</w:t>
                  </w:r>
                </w:p>
              </w:tc>
              <w:tc>
                <w:tcPr>
                  <w:tcW w:w="1202" w:type="dxa"/>
                  <w:vMerge w:val="continue"/>
                  <w:tcBorders>
                    <w:tl2br w:val="nil"/>
                    <w:tr2bl w:val="nil"/>
                  </w:tcBorders>
                  <w:shd w:val="clear" w:color="000000" w:fill="FFFFFF"/>
                  <w:vAlign w:val="center"/>
                </w:tcPr>
                <w:p>
                  <w:pPr>
                    <w:pStyle w:val="11"/>
                    <w:jc w:val="center"/>
                    <w:rPr>
                      <w:rFonts w:hint="default" w:ascii="Times New Roman" w:hAnsi="Times New Roman" w:cs="Times New Roman"/>
                      <w:color w:val="auto"/>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 w:type="dxa"/>
                  <w:bottom w:w="0" w:type="dxa"/>
                  <w:right w:w="10" w:type="dxa"/>
                </w:tblCellMar>
              </w:tblPrEx>
              <w:trPr>
                <w:trHeight w:val="340" w:hRule="atLeast"/>
                <w:jc w:val="center"/>
              </w:trPr>
              <w:tc>
                <w:tcPr>
                  <w:tcW w:w="1693" w:type="dxa"/>
                  <w:tcBorders>
                    <w:tl2br w:val="nil"/>
                    <w:tr2bl w:val="nil"/>
                  </w:tcBorders>
                  <w:shd w:val="clear" w:color="000000" w:fill="FFFFFF"/>
                  <w:tcMar>
                    <w:left w:w="14" w:type="dxa"/>
                    <w:right w:w="14" w:type="dxa"/>
                  </w:tcMar>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抽粒机</w:t>
                  </w:r>
                </w:p>
              </w:tc>
              <w:tc>
                <w:tcPr>
                  <w:tcW w:w="700" w:type="dxa"/>
                  <w:tcBorders>
                    <w:tl2br w:val="nil"/>
                    <w:tr2bl w:val="nil"/>
                  </w:tcBorders>
                  <w:shd w:val="clear" w:color="000000" w:fill="FFFFFF"/>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台</w:t>
                  </w:r>
                </w:p>
              </w:tc>
              <w:tc>
                <w:tcPr>
                  <w:tcW w:w="784" w:type="dxa"/>
                  <w:tcBorders>
                    <w:tl2br w:val="nil"/>
                    <w:tr2bl w:val="nil"/>
                  </w:tcBorders>
                  <w:shd w:val="clear" w:color="000000" w:fill="FFFFFF"/>
                  <w:tcMar>
                    <w:left w:w="14" w:type="dxa"/>
                    <w:right w:w="14" w:type="dxa"/>
                  </w:tcMar>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3</w:t>
                  </w:r>
                </w:p>
              </w:tc>
              <w:tc>
                <w:tcPr>
                  <w:tcW w:w="1708" w:type="dxa"/>
                  <w:tcBorders>
                    <w:tl2br w:val="nil"/>
                    <w:tr2bl w:val="nil"/>
                  </w:tcBorders>
                  <w:shd w:val="clear" w:color="000000" w:fill="FFFFFF"/>
                  <w:tcMar>
                    <w:left w:w="14" w:type="dxa"/>
                    <w:right w:w="14" w:type="dxa"/>
                  </w:tcMar>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w:t>
                  </w:r>
                </w:p>
              </w:tc>
              <w:tc>
                <w:tcPr>
                  <w:tcW w:w="2148" w:type="dxa"/>
                  <w:tcBorders>
                    <w:tl2br w:val="nil"/>
                    <w:tr2bl w:val="nil"/>
                  </w:tcBorders>
                  <w:shd w:val="clear" w:color="000000" w:fill="FFFFFF"/>
                  <w:tcMar>
                    <w:left w:w="14" w:type="dxa"/>
                    <w:right w:w="14" w:type="dxa"/>
                  </w:tcMar>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辅助生产</w:t>
                  </w:r>
                </w:p>
                <w:p>
                  <w:pPr>
                    <w:pStyle w:val="11"/>
                    <w:jc w:val="center"/>
                    <w:rPr>
                      <w:rFonts w:hint="default" w:ascii="Times New Roman" w:hAnsi="Times New Roman" w:cs="Times New Roman"/>
                      <w:color w:val="auto"/>
                    </w:rPr>
                  </w:pPr>
                  <w:r>
                    <w:rPr>
                      <w:rFonts w:hint="default" w:ascii="Times New Roman" w:hAnsi="Times New Roman" w:cs="Times New Roman"/>
                      <w:color w:val="auto"/>
                    </w:rPr>
                    <w:t>（包装）</w:t>
                  </w:r>
                </w:p>
              </w:tc>
              <w:tc>
                <w:tcPr>
                  <w:tcW w:w="1202" w:type="dxa"/>
                  <w:vMerge w:val="continue"/>
                  <w:tcBorders>
                    <w:tl2br w:val="nil"/>
                    <w:tr2bl w:val="nil"/>
                  </w:tcBorders>
                  <w:shd w:val="clear" w:color="000000" w:fill="FFFFFF"/>
                  <w:vAlign w:val="center"/>
                </w:tcPr>
                <w:p>
                  <w:pPr>
                    <w:pStyle w:val="11"/>
                    <w:jc w:val="center"/>
                    <w:rPr>
                      <w:rFonts w:hint="default" w:ascii="Times New Roman" w:hAnsi="Times New Roman" w:cs="Times New Roman"/>
                      <w:color w:val="auto"/>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 w:type="dxa"/>
                  <w:bottom w:w="0" w:type="dxa"/>
                  <w:right w:w="10" w:type="dxa"/>
                </w:tblCellMar>
              </w:tblPrEx>
              <w:trPr>
                <w:trHeight w:val="340" w:hRule="atLeast"/>
                <w:jc w:val="center"/>
              </w:trPr>
              <w:tc>
                <w:tcPr>
                  <w:tcW w:w="1693" w:type="dxa"/>
                  <w:tcBorders>
                    <w:tl2br w:val="nil"/>
                    <w:tr2bl w:val="nil"/>
                  </w:tcBorders>
                  <w:shd w:val="clear" w:color="000000" w:fill="FFFFFF"/>
                  <w:tcMar>
                    <w:left w:w="14" w:type="dxa"/>
                    <w:right w:w="14" w:type="dxa"/>
                  </w:tcMar>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清洗废水</w:t>
                  </w:r>
                </w:p>
                <w:p>
                  <w:pPr>
                    <w:pStyle w:val="11"/>
                    <w:jc w:val="center"/>
                    <w:rPr>
                      <w:rFonts w:hint="default" w:ascii="Times New Roman" w:hAnsi="Times New Roman" w:cs="Times New Roman"/>
                      <w:color w:val="auto"/>
                    </w:rPr>
                  </w:pPr>
                  <w:r>
                    <w:rPr>
                      <w:rFonts w:hint="default" w:ascii="Times New Roman" w:hAnsi="Times New Roman" w:cs="Times New Roman"/>
                      <w:color w:val="auto"/>
                    </w:rPr>
                    <w:t>回用系统</w:t>
                  </w:r>
                </w:p>
              </w:tc>
              <w:tc>
                <w:tcPr>
                  <w:tcW w:w="700" w:type="dxa"/>
                  <w:tcBorders>
                    <w:tl2br w:val="nil"/>
                    <w:tr2bl w:val="nil"/>
                  </w:tcBorders>
                  <w:shd w:val="clear" w:color="000000" w:fill="FFFFFF"/>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套</w:t>
                  </w:r>
                </w:p>
              </w:tc>
              <w:tc>
                <w:tcPr>
                  <w:tcW w:w="784" w:type="dxa"/>
                  <w:tcBorders>
                    <w:tl2br w:val="nil"/>
                    <w:tr2bl w:val="nil"/>
                  </w:tcBorders>
                  <w:shd w:val="clear" w:color="000000" w:fill="FFFFFF"/>
                  <w:tcMar>
                    <w:left w:w="14" w:type="dxa"/>
                    <w:right w:w="14" w:type="dxa"/>
                  </w:tcMar>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1</w:t>
                  </w:r>
                </w:p>
              </w:tc>
              <w:tc>
                <w:tcPr>
                  <w:tcW w:w="1708" w:type="dxa"/>
                  <w:tcBorders>
                    <w:tl2br w:val="nil"/>
                    <w:tr2bl w:val="nil"/>
                  </w:tcBorders>
                  <w:shd w:val="clear" w:color="000000" w:fill="FFFFFF"/>
                  <w:tcMar>
                    <w:left w:w="14" w:type="dxa"/>
                    <w:right w:w="14" w:type="dxa"/>
                  </w:tcMar>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非标</w:t>
                  </w:r>
                </w:p>
              </w:tc>
              <w:tc>
                <w:tcPr>
                  <w:tcW w:w="2148" w:type="dxa"/>
                  <w:tcBorders>
                    <w:tl2br w:val="nil"/>
                    <w:tr2bl w:val="nil"/>
                  </w:tcBorders>
                  <w:shd w:val="clear" w:color="000000" w:fill="FFFFFF"/>
                  <w:tcMar>
                    <w:left w:w="14" w:type="dxa"/>
                    <w:right w:w="14" w:type="dxa"/>
                  </w:tcMar>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环保治理</w:t>
                  </w:r>
                </w:p>
              </w:tc>
              <w:tc>
                <w:tcPr>
                  <w:tcW w:w="1202" w:type="dxa"/>
                  <w:vMerge w:val="continue"/>
                  <w:tcBorders>
                    <w:tl2br w:val="nil"/>
                    <w:tr2bl w:val="nil"/>
                  </w:tcBorders>
                  <w:shd w:val="clear" w:color="000000" w:fill="FFFFFF"/>
                  <w:vAlign w:val="center"/>
                </w:tcPr>
                <w:p>
                  <w:pPr>
                    <w:pStyle w:val="11"/>
                    <w:jc w:val="center"/>
                    <w:rPr>
                      <w:rFonts w:hint="default" w:ascii="Times New Roman" w:hAnsi="Times New Roman" w:cs="Times New Roman"/>
                      <w:color w:val="auto"/>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 w:type="dxa"/>
                  <w:bottom w:w="0" w:type="dxa"/>
                  <w:right w:w="10" w:type="dxa"/>
                </w:tblCellMar>
              </w:tblPrEx>
              <w:trPr>
                <w:trHeight w:val="340" w:hRule="atLeast"/>
                <w:jc w:val="center"/>
              </w:trPr>
              <w:tc>
                <w:tcPr>
                  <w:tcW w:w="1693" w:type="dxa"/>
                  <w:tcBorders>
                    <w:tl2br w:val="nil"/>
                    <w:tr2bl w:val="nil"/>
                  </w:tcBorders>
                  <w:shd w:val="clear" w:color="000000" w:fill="FFFFFF"/>
                  <w:tcMar>
                    <w:left w:w="14" w:type="dxa"/>
                    <w:right w:w="14" w:type="dxa"/>
                  </w:tcMar>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两级活性</w:t>
                  </w:r>
                </w:p>
                <w:p>
                  <w:pPr>
                    <w:pStyle w:val="11"/>
                    <w:jc w:val="center"/>
                    <w:rPr>
                      <w:rFonts w:hint="default" w:ascii="Times New Roman" w:hAnsi="Times New Roman" w:cs="Times New Roman"/>
                      <w:color w:val="auto"/>
                    </w:rPr>
                  </w:pPr>
                  <w:r>
                    <w:rPr>
                      <w:rFonts w:hint="default" w:ascii="Times New Roman" w:hAnsi="Times New Roman" w:cs="Times New Roman"/>
                      <w:color w:val="auto"/>
                    </w:rPr>
                    <w:t>炭吸附装置</w:t>
                  </w:r>
                </w:p>
              </w:tc>
              <w:tc>
                <w:tcPr>
                  <w:tcW w:w="700" w:type="dxa"/>
                  <w:tcBorders>
                    <w:tl2br w:val="nil"/>
                    <w:tr2bl w:val="nil"/>
                  </w:tcBorders>
                  <w:shd w:val="clear" w:color="000000" w:fill="FFFFFF"/>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套</w:t>
                  </w:r>
                </w:p>
              </w:tc>
              <w:tc>
                <w:tcPr>
                  <w:tcW w:w="784" w:type="dxa"/>
                  <w:tcBorders>
                    <w:tl2br w:val="nil"/>
                    <w:tr2bl w:val="nil"/>
                  </w:tcBorders>
                  <w:shd w:val="clear" w:color="000000" w:fill="FFFFFF"/>
                  <w:tcMar>
                    <w:left w:w="14" w:type="dxa"/>
                    <w:right w:w="14" w:type="dxa"/>
                  </w:tcMar>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1</w:t>
                  </w:r>
                </w:p>
              </w:tc>
              <w:tc>
                <w:tcPr>
                  <w:tcW w:w="1708" w:type="dxa"/>
                  <w:tcBorders>
                    <w:tl2br w:val="nil"/>
                    <w:tr2bl w:val="nil"/>
                  </w:tcBorders>
                  <w:shd w:val="clear" w:color="000000" w:fill="FFFFFF"/>
                  <w:tcMar>
                    <w:left w:w="14" w:type="dxa"/>
                    <w:right w:w="14" w:type="dxa"/>
                  </w:tcMar>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非标，设计风量</w:t>
                  </w:r>
                  <w:r>
                    <w:rPr>
                      <w:rFonts w:hint="default" w:ascii="Times New Roman" w:hAnsi="Times New Roman" w:cs="Times New Roman"/>
                      <w:color w:val="auto"/>
                      <w:lang w:eastAsia="zh-CN"/>
                    </w:rPr>
                    <w:t>10800m</w:t>
                  </w:r>
                  <w:r>
                    <w:rPr>
                      <w:rFonts w:hint="default" w:ascii="Times New Roman" w:hAnsi="Times New Roman" w:cs="Times New Roman"/>
                      <w:color w:val="auto"/>
                      <w:vertAlign w:val="superscript"/>
                    </w:rPr>
                    <w:t>3</w:t>
                  </w:r>
                  <w:r>
                    <w:rPr>
                      <w:rFonts w:hint="default" w:ascii="Times New Roman" w:hAnsi="Times New Roman" w:cs="Times New Roman"/>
                      <w:color w:val="auto"/>
                    </w:rPr>
                    <w:t>/h</w:t>
                  </w:r>
                </w:p>
              </w:tc>
              <w:tc>
                <w:tcPr>
                  <w:tcW w:w="2148" w:type="dxa"/>
                  <w:tcBorders>
                    <w:tl2br w:val="nil"/>
                    <w:tr2bl w:val="nil"/>
                  </w:tcBorders>
                  <w:shd w:val="clear" w:color="000000" w:fill="FFFFFF"/>
                  <w:tcMar>
                    <w:left w:w="14" w:type="dxa"/>
                    <w:right w:w="14" w:type="dxa"/>
                  </w:tcMar>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环保治理</w:t>
                  </w:r>
                </w:p>
              </w:tc>
              <w:tc>
                <w:tcPr>
                  <w:tcW w:w="1202" w:type="dxa"/>
                  <w:vMerge w:val="continue"/>
                  <w:tcBorders>
                    <w:tl2br w:val="nil"/>
                    <w:tr2bl w:val="nil"/>
                  </w:tcBorders>
                  <w:shd w:val="clear" w:color="000000" w:fill="FFFFFF"/>
                  <w:vAlign w:val="center"/>
                </w:tcPr>
                <w:p>
                  <w:pPr>
                    <w:pStyle w:val="11"/>
                    <w:jc w:val="center"/>
                    <w:rPr>
                      <w:rFonts w:hint="default" w:ascii="Times New Roman" w:hAnsi="Times New Roman" w:cs="Times New Roman"/>
                      <w:color w:val="auto"/>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 w:type="dxa"/>
                  <w:bottom w:w="0" w:type="dxa"/>
                  <w:right w:w="10" w:type="dxa"/>
                </w:tblCellMar>
              </w:tblPrEx>
              <w:trPr>
                <w:trHeight w:val="340" w:hRule="atLeast"/>
                <w:jc w:val="center"/>
              </w:trPr>
              <w:tc>
                <w:tcPr>
                  <w:tcW w:w="8235" w:type="dxa"/>
                  <w:gridSpan w:val="6"/>
                  <w:tcBorders>
                    <w:tl2br w:val="nil"/>
                    <w:tr2bl w:val="nil"/>
                  </w:tcBorders>
                  <w:shd w:val="clear" w:color="000000" w:fill="FFFFFF"/>
                  <w:tcMar>
                    <w:left w:w="14" w:type="dxa"/>
                    <w:right w:w="14" w:type="dxa"/>
                  </w:tcMar>
                  <w:vAlign w:val="center"/>
                </w:tcPr>
                <w:p>
                  <w:pPr>
                    <w:pStyle w:val="11"/>
                    <w:jc w:val="both"/>
                    <w:rPr>
                      <w:rFonts w:hint="default" w:ascii="Times New Roman" w:hAnsi="Times New Roman" w:cs="Times New Roman"/>
                      <w:color w:val="auto"/>
                    </w:rPr>
                  </w:pPr>
                  <w:r>
                    <w:rPr>
                      <w:rFonts w:hint="default" w:ascii="Times New Roman" w:hAnsi="Times New Roman" w:cs="Times New Roman"/>
                      <w:color w:val="auto"/>
                    </w:rPr>
                    <w:t xml:space="preserve"> 注：部分设备尚未确定具体型号；</w:t>
                  </w:r>
                </w:p>
              </w:tc>
            </w:tr>
          </w:tbl>
          <w:p>
            <w:pPr>
              <w:adjustRightInd w:val="0"/>
              <w:snapToGrid w:val="0"/>
              <w:ind w:firstLine="482"/>
              <w:rPr>
                <w:rFonts w:hint="default" w:ascii="Times New Roman" w:hAnsi="Times New Roman" w:cs="Times New Roman"/>
                <w:b/>
                <w:color w:val="auto"/>
                <w:szCs w:val="21"/>
              </w:rPr>
            </w:pPr>
            <w:r>
              <w:rPr>
                <w:rFonts w:hint="default" w:ascii="Times New Roman" w:hAnsi="Times New Roman" w:cs="Times New Roman"/>
                <w:b/>
                <w:color w:val="auto"/>
                <w:szCs w:val="21"/>
              </w:rPr>
              <w:t>6、给排水、供电情况</w:t>
            </w:r>
          </w:p>
          <w:p>
            <w:pPr>
              <w:adjustRightInd w:val="0"/>
              <w:snapToGrid w:val="0"/>
              <w:ind w:firstLine="480"/>
              <w:rPr>
                <w:rFonts w:hint="default" w:ascii="Times New Roman" w:hAnsi="Times New Roman" w:cs="Times New Roman"/>
                <w:bCs/>
                <w:color w:val="auto"/>
                <w:szCs w:val="21"/>
              </w:rPr>
            </w:pPr>
            <w:r>
              <w:rPr>
                <w:rFonts w:hint="default" w:ascii="Times New Roman" w:hAnsi="Times New Roman" w:cs="Times New Roman"/>
                <w:bCs/>
                <w:color w:val="auto"/>
                <w:szCs w:val="21"/>
              </w:rPr>
              <w:t>（1）给排水</w:t>
            </w:r>
          </w:p>
          <w:p>
            <w:pPr>
              <w:adjustRightInd w:val="0"/>
              <w:snapToGrid w:val="0"/>
              <w:ind w:firstLine="480"/>
              <w:rPr>
                <w:rFonts w:hint="default" w:ascii="Times New Roman" w:hAnsi="Times New Roman" w:cs="Times New Roman"/>
                <w:bCs/>
                <w:color w:val="auto"/>
                <w:szCs w:val="21"/>
              </w:rPr>
            </w:pPr>
            <w:r>
              <w:rPr>
                <w:rFonts w:hint="default" w:ascii="Times New Roman" w:hAnsi="Times New Roman" w:cs="Times New Roman"/>
                <w:bCs/>
                <w:color w:val="auto"/>
                <w:szCs w:val="21"/>
              </w:rPr>
              <w:t>项目用水主要由市政自来水公司供给，项目实行雨污分流。项目生产废水回用，不外排；生活污水经预处理池处理后达《污水综合排放标准》（GB8978-1996）三级排放标准，经厂区污水管网汇入市政污水管网，纳入园区污水处理厂处理，处理达标后排放，雨水</w:t>
            </w:r>
            <w:r>
              <w:rPr>
                <w:rFonts w:hint="default" w:ascii="Times New Roman" w:hAnsi="Times New Roman" w:cs="Times New Roman"/>
                <w:bCs/>
                <w:color w:val="auto"/>
                <w:szCs w:val="21"/>
                <w:lang w:val="fr-FR"/>
              </w:rPr>
              <w:t>进入市政</w:t>
            </w:r>
            <w:r>
              <w:rPr>
                <w:rFonts w:hint="default" w:ascii="Times New Roman" w:hAnsi="Times New Roman" w:cs="Times New Roman"/>
                <w:bCs/>
                <w:color w:val="auto"/>
                <w:szCs w:val="21"/>
              </w:rPr>
              <w:t>雨</w:t>
            </w:r>
            <w:r>
              <w:rPr>
                <w:rFonts w:hint="default" w:ascii="Times New Roman" w:hAnsi="Times New Roman" w:cs="Times New Roman"/>
                <w:bCs/>
                <w:color w:val="auto"/>
                <w:szCs w:val="21"/>
                <w:lang w:val="fr-FR"/>
              </w:rPr>
              <w:t>水管道</w:t>
            </w:r>
            <w:r>
              <w:rPr>
                <w:rFonts w:hint="default" w:ascii="Times New Roman" w:hAnsi="Times New Roman" w:cs="Times New Roman"/>
                <w:bCs/>
                <w:color w:val="auto"/>
                <w:szCs w:val="21"/>
              </w:rPr>
              <w:t>。</w:t>
            </w:r>
          </w:p>
          <w:p>
            <w:pPr>
              <w:adjustRightInd w:val="0"/>
              <w:snapToGrid w:val="0"/>
              <w:ind w:firstLine="480"/>
              <w:rPr>
                <w:rFonts w:hint="default" w:ascii="Times New Roman" w:hAnsi="Times New Roman" w:cs="Times New Roman"/>
                <w:bCs/>
                <w:color w:val="auto"/>
                <w:szCs w:val="21"/>
              </w:rPr>
            </w:pPr>
            <w:r>
              <w:rPr>
                <w:rFonts w:hint="default" w:ascii="Times New Roman" w:hAnsi="Times New Roman" w:cs="Times New Roman"/>
                <w:bCs/>
                <w:color w:val="auto"/>
                <w:szCs w:val="21"/>
              </w:rPr>
              <w:t>（2）供配电</w:t>
            </w:r>
          </w:p>
          <w:p>
            <w:pPr>
              <w:adjustRightInd w:val="0"/>
              <w:snapToGrid w:val="0"/>
              <w:ind w:firstLine="480"/>
              <w:rPr>
                <w:rFonts w:hint="default" w:ascii="Times New Roman" w:hAnsi="Times New Roman" w:cs="Times New Roman"/>
                <w:bCs/>
                <w:color w:val="auto"/>
                <w:szCs w:val="21"/>
              </w:rPr>
            </w:pPr>
            <w:r>
              <w:rPr>
                <w:rFonts w:hint="default" w:ascii="Times New Roman" w:hAnsi="Times New Roman" w:cs="Times New Roman"/>
                <w:bCs/>
                <w:color w:val="auto"/>
                <w:szCs w:val="21"/>
              </w:rPr>
              <w:t>本项目用电市政供应，供电电压为10kV，配电电压为380V，照明电压为220V。</w:t>
            </w:r>
          </w:p>
          <w:p>
            <w:pPr>
              <w:adjustRightInd w:val="0"/>
              <w:snapToGrid w:val="0"/>
              <w:ind w:firstLine="482"/>
              <w:rPr>
                <w:rFonts w:hint="default" w:ascii="Times New Roman" w:hAnsi="Times New Roman" w:cs="Times New Roman"/>
                <w:b/>
                <w:color w:val="auto"/>
                <w:szCs w:val="21"/>
              </w:rPr>
            </w:pPr>
            <w:r>
              <w:rPr>
                <w:rFonts w:hint="default" w:ascii="Times New Roman" w:hAnsi="Times New Roman" w:cs="Times New Roman"/>
                <w:b/>
                <w:color w:val="auto"/>
                <w:szCs w:val="21"/>
              </w:rPr>
              <w:t>7、劳动定员与工作制度</w:t>
            </w:r>
          </w:p>
          <w:p>
            <w:pPr>
              <w:adjustRightInd w:val="0"/>
              <w:snapToGrid w:val="0"/>
              <w:ind w:firstLine="480"/>
              <w:rPr>
                <w:rFonts w:hint="default" w:ascii="Times New Roman" w:hAnsi="Times New Roman" w:cs="Times New Roman"/>
                <w:bCs/>
                <w:color w:val="auto"/>
                <w:szCs w:val="21"/>
              </w:rPr>
            </w:pPr>
            <w:r>
              <w:rPr>
                <w:rFonts w:hint="default" w:ascii="Times New Roman" w:hAnsi="Times New Roman" w:cs="Times New Roman"/>
                <w:bCs/>
                <w:color w:val="auto"/>
                <w:szCs w:val="21"/>
              </w:rPr>
              <w:t>工作制度：年工作日300天，每天工作时间为8h。劳动定员：项目劳动定员60人。</w:t>
            </w:r>
          </w:p>
          <w:p>
            <w:pPr>
              <w:adjustRightInd w:val="0"/>
              <w:snapToGrid w:val="0"/>
              <w:ind w:firstLine="482"/>
              <w:rPr>
                <w:rFonts w:hint="default" w:ascii="Times New Roman" w:hAnsi="Times New Roman" w:cs="Times New Roman"/>
                <w:b/>
                <w:color w:val="auto"/>
                <w:szCs w:val="21"/>
              </w:rPr>
            </w:pPr>
            <w:r>
              <w:rPr>
                <w:rFonts w:hint="default" w:ascii="Times New Roman" w:hAnsi="Times New Roman" w:cs="Times New Roman"/>
                <w:b/>
                <w:color w:val="auto"/>
                <w:szCs w:val="21"/>
              </w:rPr>
              <w:t>8、公辅设施依托情况</w:t>
            </w:r>
          </w:p>
          <w:p>
            <w:pPr>
              <w:adjustRightInd w:val="0"/>
              <w:snapToGrid w:val="0"/>
              <w:ind w:firstLine="480"/>
              <w:rPr>
                <w:rFonts w:hint="default" w:ascii="Times New Roman" w:hAnsi="Times New Roman" w:cs="Times New Roman"/>
                <w:bCs/>
                <w:color w:val="auto"/>
                <w:szCs w:val="21"/>
              </w:rPr>
            </w:pPr>
            <w:r>
              <w:rPr>
                <w:rFonts w:hint="default" w:ascii="Times New Roman" w:hAnsi="Times New Roman" w:cs="Times New Roman"/>
                <w:bCs/>
                <w:color w:val="auto"/>
                <w:szCs w:val="21"/>
              </w:rPr>
              <w:t>本项目部分公辅设施依托原有项目，见下表。</w:t>
            </w:r>
          </w:p>
          <w:p>
            <w:pPr>
              <w:pStyle w:val="11"/>
              <w:jc w:val="center"/>
              <w:rPr>
                <w:rFonts w:hint="default" w:ascii="Times New Roman" w:hAnsi="Times New Roman" w:cs="Times New Roman"/>
                <w:b/>
                <w:bCs/>
                <w:color w:val="auto"/>
              </w:rPr>
            </w:pPr>
            <w:r>
              <w:rPr>
                <w:rFonts w:hint="default" w:ascii="Times New Roman" w:hAnsi="Times New Roman" w:cs="Times New Roman"/>
                <w:b/>
                <w:bCs/>
                <w:color w:val="auto"/>
              </w:rPr>
              <w:t>表2-5   项目依托规模和能力</w:t>
            </w:r>
          </w:p>
          <w:tbl>
            <w:tblPr>
              <w:tblStyle w:val="5"/>
              <w:tblW w:w="8209"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190"/>
              <w:gridCol w:w="3814"/>
              <w:gridCol w:w="3205"/>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190" w:type="dxa"/>
                  <w:vAlign w:val="center"/>
                </w:tcPr>
                <w:p>
                  <w:pPr>
                    <w:pStyle w:val="11"/>
                    <w:jc w:val="center"/>
                    <w:rPr>
                      <w:rFonts w:hint="default" w:ascii="Times New Roman" w:hAnsi="Times New Roman" w:cs="Times New Roman"/>
                      <w:b/>
                      <w:bCs/>
                      <w:color w:val="auto"/>
                    </w:rPr>
                  </w:pPr>
                  <w:r>
                    <w:rPr>
                      <w:rFonts w:hint="default" w:ascii="Times New Roman" w:hAnsi="Times New Roman" w:cs="Times New Roman"/>
                      <w:b/>
                      <w:bCs/>
                      <w:color w:val="auto"/>
                    </w:rPr>
                    <w:t>依托设施</w:t>
                  </w:r>
                </w:p>
              </w:tc>
              <w:tc>
                <w:tcPr>
                  <w:tcW w:w="3814" w:type="dxa"/>
                  <w:vAlign w:val="center"/>
                </w:tcPr>
                <w:p>
                  <w:pPr>
                    <w:pStyle w:val="11"/>
                    <w:jc w:val="center"/>
                    <w:rPr>
                      <w:rFonts w:hint="default" w:ascii="Times New Roman" w:hAnsi="Times New Roman" w:cs="Times New Roman"/>
                      <w:b/>
                      <w:bCs/>
                      <w:color w:val="auto"/>
                    </w:rPr>
                  </w:pPr>
                  <w:r>
                    <w:rPr>
                      <w:rFonts w:hint="default" w:ascii="Times New Roman" w:hAnsi="Times New Roman" w:cs="Times New Roman"/>
                      <w:b/>
                      <w:bCs/>
                      <w:color w:val="auto"/>
                    </w:rPr>
                    <w:t>规模</w:t>
                  </w:r>
                </w:p>
              </w:tc>
              <w:tc>
                <w:tcPr>
                  <w:tcW w:w="3205" w:type="dxa"/>
                  <w:vAlign w:val="center"/>
                </w:tcPr>
                <w:p>
                  <w:pPr>
                    <w:pStyle w:val="11"/>
                    <w:jc w:val="center"/>
                    <w:rPr>
                      <w:rFonts w:hint="default" w:ascii="Times New Roman" w:hAnsi="Times New Roman" w:cs="Times New Roman"/>
                      <w:b/>
                      <w:bCs/>
                      <w:color w:val="auto"/>
                    </w:rPr>
                  </w:pPr>
                  <w:r>
                    <w:rPr>
                      <w:rFonts w:hint="default" w:ascii="Times New Roman" w:hAnsi="Times New Roman" w:cs="Times New Roman"/>
                      <w:b/>
                      <w:bCs/>
                      <w:color w:val="auto"/>
                    </w:rPr>
                    <w:t>能否满足本项目要求</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1190"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供电工程</w:t>
                  </w:r>
                </w:p>
              </w:tc>
              <w:tc>
                <w:tcPr>
                  <w:tcW w:w="3814"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依托市政电网</w:t>
                  </w:r>
                </w:p>
              </w:tc>
              <w:tc>
                <w:tcPr>
                  <w:tcW w:w="3205"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能满足本项目要求</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1190"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供水工程</w:t>
                  </w:r>
                </w:p>
              </w:tc>
              <w:tc>
                <w:tcPr>
                  <w:tcW w:w="3814"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依托园区管网</w:t>
                  </w:r>
                </w:p>
              </w:tc>
              <w:tc>
                <w:tcPr>
                  <w:tcW w:w="3205"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能满足本项目要求</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1190"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排水工程</w:t>
                  </w:r>
                </w:p>
              </w:tc>
              <w:tc>
                <w:tcPr>
                  <w:tcW w:w="3814"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排水采用雨污分流制，生活污水收集经预处理池处理后进入园区管网，然后由</w:t>
                  </w:r>
                  <w:r>
                    <w:rPr>
                      <w:rFonts w:hint="default" w:ascii="Times New Roman" w:hAnsi="Times New Roman" w:cs="Times New Roman"/>
                      <w:color w:val="auto"/>
                      <w:lang w:eastAsia="zh-CN"/>
                    </w:rPr>
                    <w:t>柳池园区工业污水处理厂处理后达标排入州河（后河）</w:t>
                  </w:r>
                  <w:r>
                    <w:rPr>
                      <w:rFonts w:hint="default" w:ascii="Times New Roman" w:hAnsi="Times New Roman" w:cs="Times New Roman"/>
                      <w:color w:val="auto"/>
                    </w:rPr>
                    <w:t>。</w:t>
                  </w:r>
                </w:p>
              </w:tc>
              <w:tc>
                <w:tcPr>
                  <w:tcW w:w="3205"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能满足本项目要求</w:t>
                  </w:r>
                </w:p>
              </w:tc>
            </w:tr>
          </w:tbl>
          <w:p>
            <w:pPr>
              <w:adjustRightInd w:val="0"/>
              <w:snapToGrid w:val="0"/>
              <w:ind w:firstLine="482"/>
              <w:rPr>
                <w:rFonts w:hint="default" w:ascii="Times New Roman" w:hAnsi="Times New Roman" w:cs="Times New Roman"/>
                <w:b/>
                <w:color w:val="auto"/>
                <w:szCs w:val="21"/>
              </w:rPr>
            </w:pPr>
            <w:r>
              <w:rPr>
                <w:rFonts w:hint="default" w:ascii="Times New Roman" w:hAnsi="Times New Roman" w:cs="Times New Roman"/>
                <w:b/>
                <w:color w:val="auto"/>
                <w:szCs w:val="21"/>
              </w:rPr>
              <w:t>9、项目平面布置合理性</w:t>
            </w:r>
          </w:p>
          <w:p>
            <w:pPr>
              <w:adjustRightInd w:val="0"/>
              <w:snapToGrid w:val="0"/>
              <w:ind w:firstLine="480"/>
              <w:rPr>
                <w:rFonts w:hint="default" w:ascii="Times New Roman" w:hAnsi="Times New Roman" w:eastAsia="宋体" w:cs="Times New Roman"/>
                <w:color w:val="auto"/>
                <w:lang w:val="en-US" w:eastAsia="zh-CN"/>
              </w:rPr>
            </w:pPr>
            <w:r>
              <w:rPr>
                <w:rFonts w:hint="default" w:ascii="Times New Roman" w:hAnsi="Times New Roman" w:cs="Times New Roman"/>
                <w:color w:val="auto"/>
              </w:rPr>
              <w:t>本项目根据厂区“分区合理、工艺流畅、物流短捷、突出环保与安全”的原则，结合场地的用地条件及生产工艺，综合考虑环保、劳动卫生等要求，对选址进行了统筹安排</w:t>
            </w:r>
            <w:r>
              <w:rPr>
                <w:rFonts w:hint="default" w:ascii="Times New Roman" w:hAnsi="Times New Roman" w:cs="Times New Roman"/>
                <w:color w:val="auto"/>
                <w:lang w:eastAsia="zh-CN"/>
              </w:rPr>
              <w:t>，</w:t>
            </w:r>
            <w:r>
              <w:rPr>
                <w:rFonts w:hint="default" w:ascii="Times New Roman" w:hAnsi="Times New Roman" w:cs="Times New Roman"/>
                <w:color w:val="auto"/>
              </w:rPr>
              <w:t>项目</w:t>
            </w:r>
            <w:r>
              <w:rPr>
                <w:rFonts w:hint="default" w:ascii="Times New Roman" w:hAnsi="Times New Roman" w:cs="Times New Roman"/>
                <w:color w:val="auto"/>
                <w:lang w:val="en-US" w:eastAsia="zh-CN"/>
              </w:rPr>
              <w:t>生产车间平面布置图见附图5。</w:t>
            </w:r>
          </w:p>
          <w:p>
            <w:pPr>
              <w:adjustRightInd w:val="0"/>
              <w:snapToGrid w:val="0"/>
              <w:ind w:firstLine="480"/>
              <w:rPr>
                <w:rFonts w:hint="default" w:ascii="Times New Roman" w:hAnsi="Times New Roman" w:cs="Times New Roman"/>
                <w:bCs/>
                <w:color w:val="auto"/>
                <w:szCs w:val="21"/>
              </w:rPr>
            </w:pPr>
            <w:r>
              <w:rPr>
                <w:rFonts w:hint="default" w:ascii="Times New Roman" w:hAnsi="Times New Roman" w:cs="Times New Roman"/>
                <w:color w:val="auto"/>
              </w:rPr>
              <w:t>本项目</w:t>
            </w:r>
            <w:r>
              <w:rPr>
                <w:rFonts w:hint="default" w:ascii="Times New Roman" w:hAnsi="Times New Roman" w:cs="Times New Roman"/>
                <w:bCs/>
                <w:color w:val="auto"/>
                <w:szCs w:val="21"/>
              </w:rPr>
              <w:t>各功能区划比较明确。生产区内生产设备按生产工序的先后顺序依次布置，缩短了物料运输距离，便于物料运输，人员通行。</w:t>
            </w:r>
          </w:p>
          <w:p>
            <w:pPr>
              <w:adjustRightInd w:val="0"/>
              <w:snapToGrid w:val="0"/>
              <w:ind w:firstLine="480"/>
              <w:rPr>
                <w:rFonts w:hint="default" w:ascii="Times New Roman" w:hAnsi="Times New Roman" w:cs="Times New Roman"/>
                <w:color w:val="auto"/>
              </w:rPr>
            </w:pPr>
            <w:r>
              <w:rPr>
                <w:rFonts w:hint="default" w:ascii="Times New Roman" w:hAnsi="Times New Roman" w:cs="Times New Roman"/>
                <w:color w:val="auto"/>
              </w:rPr>
              <w:t>本项目主要产污为废气、废水</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噪声等</w:t>
            </w:r>
            <w:r>
              <w:rPr>
                <w:rFonts w:hint="default" w:ascii="Times New Roman" w:hAnsi="Times New Roman" w:cs="Times New Roman"/>
                <w:color w:val="auto"/>
              </w:rPr>
              <w:t>，项目厂房进行了全封闭，且于车间内部设置了“两级活性炭吸附”的废气处理设施和“预沉淀+气浮+沉淀”的废水处理设施，对外环境影响较小。</w:t>
            </w:r>
          </w:p>
          <w:p>
            <w:pPr>
              <w:adjustRightInd w:val="0"/>
              <w:snapToGrid w:val="0"/>
              <w:ind w:firstLine="480"/>
              <w:rPr>
                <w:rFonts w:hint="default" w:ascii="Times New Roman" w:hAnsi="Times New Roman" w:cs="Times New Roman"/>
                <w:color w:val="auto"/>
              </w:rPr>
            </w:pPr>
            <w:r>
              <w:rPr>
                <w:rFonts w:hint="default" w:ascii="Times New Roman" w:hAnsi="Times New Roman" w:cs="Times New Roman"/>
                <w:color w:val="auto"/>
              </w:rPr>
              <w:t>综上，本项目总平面布置功能分区清晰，工艺流程顺畅，物流短捷，人流、物流互不交叉干扰，有利的协调了投入与产出的关系，建设与保护的关系，故本项目总图布置从环保角度而言合理可行。</w:t>
            </w:r>
          </w:p>
          <w:p>
            <w:pPr>
              <w:adjustRightInd w:val="0"/>
              <w:snapToGrid w:val="0"/>
              <w:ind w:firstLine="480"/>
              <w:rPr>
                <w:rFonts w:hint="default" w:ascii="Times New Roman" w:hAnsi="Times New Roman" w:cs="Times New Roman"/>
                <w:bCs/>
                <w:color w:val="auto"/>
                <w:szCs w:val="21"/>
                <w:highlight w:val="yellow"/>
              </w:rPr>
            </w:pPr>
          </w:p>
          <w:p>
            <w:pPr>
              <w:adjustRightInd w:val="0"/>
              <w:snapToGrid w:val="0"/>
              <w:ind w:firstLine="480"/>
              <w:rPr>
                <w:rFonts w:hint="default" w:ascii="Times New Roman" w:hAnsi="Times New Roman" w:cs="Times New Roman"/>
                <w:bCs/>
                <w:color w:val="auto"/>
                <w:szCs w:val="21"/>
                <w:highlight w:val="yellow"/>
              </w:rPr>
            </w:pPr>
          </w:p>
          <w:p>
            <w:pPr>
              <w:adjustRightInd w:val="0"/>
              <w:snapToGrid w:val="0"/>
              <w:ind w:firstLine="480"/>
              <w:rPr>
                <w:rFonts w:hint="default" w:ascii="Times New Roman" w:hAnsi="Times New Roman" w:cs="Times New Roman"/>
                <w:bCs/>
                <w:color w:val="auto"/>
                <w:szCs w:val="21"/>
                <w:highlight w:val="yellow"/>
              </w:rPr>
            </w:pPr>
          </w:p>
          <w:p>
            <w:pPr>
              <w:adjustRightInd w:val="0"/>
              <w:snapToGrid w:val="0"/>
              <w:ind w:firstLine="480"/>
              <w:rPr>
                <w:rFonts w:hint="default" w:ascii="Times New Roman" w:hAnsi="Times New Roman" w:cs="Times New Roman"/>
                <w:bCs/>
                <w:color w:val="auto"/>
                <w:szCs w:val="21"/>
                <w:highlight w:val="yellow"/>
              </w:rPr>
            </w:pPr>
          </w:p>
          <w:p>
            <w:pPr>
              <w:adjustRightInd w:val="0"/>
              <w:snapToGrid w:val="0"/>
              <w:ind w:firstLine="480"/>
              <w:rPr>
                <w:rFonts w:hint="default" w:ascii="Times New Roman" w:hAnsi="Times New Roman" w:cs="Times New Roman"/>
                <w:bCs/>
                <w:color w:val="auto"/>
                <w:szCs w:val="21"/>
                <w:highlight w:val="yellow"/>
              </w:rPr>
            </w:pPr>
          </w:p>
          <w:p>
            <w:pPr>
              <w:adjustRightInd w:val="0"/>
              <w:snapToGrid w:val="0"/>
              <w:ind w:firstLine="480"/>
              <w:rPr>
                <w:rFonts w:hint="default" w:ascii="Times New Roman" w:hAnsi="Times New Roman" w:cs="Times New Roman"/>
                <w:bCs/>
                <w:color w:val="auto"/>
                <w:szCs w:val="21"/>
                <w:highlight w:val="yellow"/>
              </w:rPr>
            </w:pPr>
          </w:p>
          <w:p>
            <w:pPr>
              <w:adjustRightInd w:val="0"/>
              <w:snapToGrid w:val="0"/>
              <w:ind w:firstLine="480"/>
              <w:rPr>
                <w:rFonts w:hint="default" w:ascii="Times New Roman" w:hAnsi="Times New Roman" w:cs="Times New Roman"/>
                <w:bCs/>
                <w:color w:val="auto"/>
                <w:szCs w:val="21"/>
                <w:highlight w:val="yellow"/>
              </w:rPr>
            </w:pPr>
          </w:p>
          <w:p>
            <w:pPr>
              <w:adjustRightInd w:val="0"/>
              <w:snapToGrid w:val="0"/>
              <w:ind w:firstLine="480"/>
              <w:rPr>
                <w:rFonts w:hint="default" w:ascii="Times New Roman" w:hAnsi="Times New Roman" w:cs="Times New Roman"/>
                <w:bCs/>
                <w:color w:val="auto"/>
                <w:szCs w:val="21"/>
                <w:highlight w:val="yellow"/>
              </w:rPr>
            </w:pPr>
          </w:p>
          <w:p>
            <w:pPr>
              <w:adjustRightInd w:val="0"/>
              <w:snapToGrid w:val="0"/>
              <w:ind w:firstLine="480"/>
              <w:rPr>
                <w:rFonts w:hint="default" w:ascii="Times New Roman" w:hAnsi="Times New Roman" w:cs="Times New Roman"/>
                <w:bCs/>
                <w:color w:val="auto"/>
                <w:szCs w:val="21"/>
                <w:highlight w:val="yellow"/>
              </w:rPr>
            </w:pPr>
          </w:p>
          <w:p>
            <w:pPr>
              <w:adjustRightInd w:val="0"/>
              <w:snapToGrid w:val="0"/>
              <w:ind w:firstLine="480"/>
              <w:rPr>
                <w:rFonts w:hint="default" w:ascii="Times New Roman" w:hAnsi="Times New Roman" w:cs="Times New Roman"/>
                <w:bCs/>
                <w:color w:val="auto"/>
                <w:szCs w:val="21"/>
                <w:highlight w:val="yellow"/>
              </w:rPr>
            </w:pPr>
          </w:p>
          <w:p>
            <w:pPr>
              <w:adjustRightInd w:val="0"/>
              <w:snapToGrid w:val="0"/>
              <w:ind w:firstLine="480"/>
              <w:rPr>
                <w:rFonts w:hint="default" w:ascii="Times New Roman" w:hAnsi="Times New Roman" w:cs="Times New Roman"/>
                <w:bCs/>
                <w:color w:val="auto"/>
                <w:szCs w:val="21"/>
                <w:highlight w:val="yellow"/>
              </w:rPr>
            </w:pPr>
          </w:p>
          <w:p>
            <w:pPr>
              <w:adjustRightInd w:val="0"/>
              <w:snapToGrid w:val="0"/>
              <w:ind w:firstLine="480"/>
              <w:rPr>
                <w:rFonts w:hint="default" w:ascii="Times New Roman" w:hAnsi="Times New Roman" w:cs="Times New Roman"/>
                <w:bCs/>
                <w:color w:val="auto"/>
                <w:szCs w:val="21"/>
                <w:highlight w:val="yellow"/>
              </w:rPr>
            </w:pPr>
          </w:p>
          <w:p>
            <w:pPr>
              <w:adjustRightInd w:val="0"/>
              <w:snapToGrid w:val="0"/>
              <w:ind w:firstLine="480"/>
              <w:rPr>
                <w:rFonts w:hint="default" w:ascii="Times New Roman" w:hAnsi="Times New Roman" w:cs="Times New Roman"/>
                <w:bCs/>
                <w:color w:val="auto"/>
                <w:szCs w:val="21"/>
                <w:highlight w:val="yellow"/>
              </w:rPr>
            </w:pPr>
          </w:p>
          <w:p>
            <w:pPr>
              <w:adjustRightInd w:val="0"/>
              <w:snapToGrid w:val="0"/>
              <w:ind w:firstLine="480"/>
              <w:rPr>
                <w:rFonts w:hint="default" w:ascii="Times New Roman" w:hAnsi="Times New Roman" w:cs="Times New Roman"/>
                <w:bCs/>
                <w:color w:val="auto"/>
                <w:szCs w:val="21"/>
                <w:highlight w:val="yellow"/>
              </w:rPr>
            </w:pPr>
          </w:p>
          <w:p>
            <w:pPr>
              <w:adjustRightInd w:val="0"/>
              <w:snapToGrid w:val="0"/>
              <w:ind w:firstLine="480"/>
              <w:rPr>
                <w:rFonts w:hint="default" w:ascii="Times New Roman" w:hAnsi="Times New Roman" w:cs="Times New Roman"/>
                <w:bCs/>
                <w:color w:val="auto"/>
                <w:szCs w:val="21"/>
                <w:highlight w:val="yellow"/>
              </w:rPr>
            </w:pPr>
          </w:p>
          <w:p>
            <w:pPr>
              <w:adjustRightInd w:val="0"/>
              <w:snapToGrid w:val="0"/>
              <w:ind w:firstLine="480"/>
              <w:rPr>
                <w:rFonts w:hint="default" w:ascii="Times New Roman" w:hAnsi="Times New Roman" w:cs="Times New Roman"/>
                <w:bCs/>
                <w:color w:val="auto"/>
                <w:szCs w:val="21"/>
                <w:highlight w:val="yellow"/>
              </w:rPr>
            </w:pPr>
          </w:p>
          <w:p>
            <w:pPr>
              <w:adjustRightInd w:val="0"/>
              <w:snapToGrid w:val="0"/>
              <w:ind w:firstLine="480"/>
              <w:rPr>
                <w:rFonts w:hint="default" w:ascii="Times New Roman" w:hAnsi="Times New Roman" w:cs="Times New Roman"/>
                <w:bCs/>
                <w:color w:val="auto"/>
                <w:szCs w:val="21"/>
                <w:highlight w:val="yellow"/>
              </w:rPr>
            </w:pPr>
          </w:p>
          <w:p>
            <w:pPr>
              <w:adjustRightInd w:val="0"/>
              <w:snapToGrid w:val="0"/>
              <w:ind w:firstLine="480"/>
              <w:rPr>
                <w:rFonts w:hint="default" w:ascii="Times New Roman" w:hAnsi="Times New Roman" w:cs="Times New Roman"/>
                <w:bCs/>
                <w:color w:val="auto"/>
                <w:szCs w:val="21"/>
                <w:highlight w:val="yellow"/>
              </w:rPr>
            </w:pPr>
          </w:p>
          <w:p>
            <w:pPr>
              <w:adjustRightInd w:val="0"/>
              <w:snapToGrid w:val="0"/>
              <w:ind w:firstLine="480"/>
              <w:rPr>
                <w:rFonts w:hint="default" w:ascii="Times New Roman" w:hAnsi="Times New Roman" w:cs="Times New Roman"/>
                <w:bCs/>
                <w:color w:val="auto"/>
                <w:szCs w:val="21"/>
                <w:highlight w:val="yellow"/>
              </w:rPr>
            </w:pPr>
          </w:p>
          <w:p>
            <w:pPr>
              <w:adjustRightInd w:val="0"/>
              <w:snapToGrid w:val="0"/>
              <w:ind w:firstLine="480"/>
              <w:rPr>
                <w:rFonts w:hint="default" w:ascii="Times New Roman" w:hAnsi="Times New Roman" w:cs="Times New Roman"/>
                <w:bCs/>
                <w:color w:val="auto"/>
                <w:szCs w:val="21"/>
                <w:highlight w:val="yellow"/>
              </w:rPr>
            </w:pPr>
          </w:p>
          <w:p>
            <w:pPr>
              <w:adjustRightInd w:val="0"/>
              <w:snapToGrid w:val="0"/>
              <w:ind w:firstLine="480"/>
              <w:rPr>
                <w:rFonts w:hint="default" w:ascii="Times New Roman" w:hAnsi="Times New Roman" w:cs="Times New Roman"/>
                <w:bCs/>
                <w:color w:val="auto"/>
                <w:szCs w:val="21"/>
                <w:highlight w:val="yellow"/>
              </w:rPr>
            </w:pPr>
          </w:p>
          <w:p>
            <w:pPr>
              <w:adjustRightInd w:val="0"/>
              <w:snapToGrid w:val="0"/>
              <w:ind w:firstLine="480"/>
              <w:rPr>
                <w:rFonts w:hint="default" w:ascii="Times New Roman" w:hAnsi="Times New Roman" w:cs="Times New Roman"/>
                <w:bCs/>
                <w:color w:val="auto"/>
                <w:szCs w:val="21"/>
                <w:highlight w:val="yellow"/>
              </w:rPr>
            </w:pPr>
          </w:p>
          <w:p>
            <w:pPr>
              <w:adjustRightInd w:val="0"/>
              <w:snapToGrid w:val="0"/>
              <w:ind w:firstLine="480"/>
              <w:rPr>
                <w:rFonts w:hint="default" w:ascii="Times New Roman" w:hAnsi="Times New Roman" w:cs="Times New Roman"/>
                <w:bCs/>
                <w:color w:val="auto"/>
                <w:szCs w:val="21"/>
                <w:highlight w:val="yellow"/>
              </w:rPr>
            </w:pPr>
          </w:p>
          <w:p>
            <w:pPr>
              <w:adjustRightInd w:val="0"/>
              <w:snapToGrid w:val="0"/>
              <w:ind w:left="0" w:leftChars="0" w:firstLine="0" w:firstLineChars="0"/>
              <w:rPr>
                <w:rFonts w:hint="default" w:ascii="Times New Roman" w:hAnsi="Times New Roman" w:cs="Times New Roman"/>
                <w:bCs/>
                <w:color w:val="auto"/>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785" w:hRule="atLeast"/>
          <w:jc w:val="center"/>
        </w:trPr>
        <w:tc>
          <w:tcPr>
            <w:tcW w:w="1131" w:type="dxa"/>
            <w:vAlign w:val="center"/>
          </w:tcPr>
          <w:p>
            <w:pPr>
              <w:pStyle w:val="11"/>
              <w:jc w:val="center"/>
              <w:rPr>
                <w:rFonts w:hint="default" w:ascii="Times New Roman" w:hAnsi="Times New Roman" w:cs="Times New Roman"/>
                <w:b/>
                <w:bCs/>
                <w:color w:val="auto"/>
              </w:rPr>
            </w:pPr>
            <w:r>
              <w:rPr>
                <w:rFonts w:hint="default" w:ascii="Times New Roman" w:hAnsi="Times New Roman" w:cs="Times New Roman"/>
                <w:b/>
                <w:bCs/>
                <w:color w:val="auto"/>
                <w:sz w:val="24"/>
                <w:szCs w:val="24"/>
              </w:rPr>
              <w:t>工艺流程和产排污环节</w:t>
            </w:r>
          </w:p>
        </w:tc>
        <w:tc>
          <w:tcPr>
            <w:tcW w:w="8719" w:type="dxa"/>
          </w:tcPr>
          <w:p>
            <w:pPr>
              <w:adjustRightInd w:val="0"/>
              <w:snapToGrid w:val="0"/>
              <w:ind w:firstLine="482"/>
              <w:rPr>
                <w:rFonts w:hint="default" w:ascii="Times New Roman" w:hAnsi="Times New Roman" w:cs="Times New Roman"/>
                <w:b/>
                <w:color w:val="auto"/>
                <w:szCs w:val="21"/>
              </w:rPr>
            </w:pPr>
            <w:r>
              <w:rPr>
                <w:rFonts w:hint="default" w:ascii="Times New Roman" w:hAnsi="Times New Roman" w:cs="Times New Roman"/>
                <w:b/>
                <w:color w:val="auto"/>
                <w:szCs w:val="21"/>
              </w:rPr>
              <w:t>工艺流程</w:t>
            </w:r>
          </w:p>
          <w:p>
            <w:pPr>
              <w:adjustRightInd w:val="0"/>
              <w:snapToGrid w:val="0"/>
              <w:ind w:firstLine="482"/>
              <w:rPr>
                <w:rFonts w:hint="default" w:ascii="Times New Roman" w:hAnsi="Times New Roman" w:cs="Times New Roman"/>
                <w:b/>
                <w:color w:val="auto"/>
                <w:szCs w:val="21"/>
              </w:rPr>
            </w:pPr>
            <w:r>
              <w:rPr>
                <w:rFonts w:hint="default" w:ascii="Times New Roman" w:hAnsi="Times New Roman" w:cs="Times New Roman"/>
                <w:b/>
                <w:color w:val="auto"/>
                <w:szCs w:val="21"/>
              </w:rPr>
              <w:t>（一）再生塑料颗粒产品工艺流程</w:t>
            </w:r>
          </w:p>
          <w:p>
            <w:pPr>
              <w:adjustRightInd w:val="0"/>
              <w:snapToGrid w:val="0"/>
              <w:ind w:firstLine="482"/>
              <w:rPr>
                <w:rFonts w:hint="default" w:ascii="Times New Roman" w:hAnsi="Times New Roman" w:cs="Times New Roman"/>
                <w:bCs/>
                <w:color w:val="auto"/>
                <w:szCs w:val="21"/>
              </w:rPr>
            </w:pPr>
            <w:r>
              <w:rPr>
                <w:rFonts w:hint="default" w:ascii="Times New Roman" w:hAnsi="Times New Roman" w:cs="Times New Roman"/>
              </w:rPr>
              <w:drawing>
                <wp:inline distT="0" distB="0" distL="114300" distR="114300">
                  <wp:extent cx="5177155" cy="6302375"/>
                  <wp:effectExtent l="0" t="0" r="0" b="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9"/>
                          <a:srcRect b="3378"/>
                          <a:stretch>
                            <a:fillRect/>
                          </a:stretch>
                        </pic:blipFill>
                        <pic:spPr>
                          <a:xfrm>
                            <a:off x="0" y="0"/>
                            <a:ext cx="5177155" cy="6302375"/>
                          </a:xfrm>
                          <a:prstGeom prst="rect">
                            <a:avLst/>
                          </a:prstGeom>
                          <a:noFill/>
                          <a:ln>
                            <a:noFill/>
                          </a:ln>
                        </pic:spPr>
                      </pic:pic>
                    </a:graphicData>
                  </a:graphic>
                </wp:inline>
              </w:drawing>
            </w:r>
          </w:p>
          <w:p>
            <w:pPr>
              <w:pStyle w:val="11"/>
              <w:jc w:val="center"/>
              <w:rPr>
                <w:rFonts w:hint="default" w:ascii="Times New Roman" w:hAnsi="Times New Roman" w:cs="Times New Roman"/>
                <w:b/>
                <w:bCs/>
                <w:color w:val="auto"/>
              </w:rPr>
            </w:pPr>
            <w:r>
              <w:rPr>
                <w:rFonts w:hint="default" w:ascii="Times New Roman" w:hAnsi="Times New Roman" w:cs="Times New Roman"/>
                <w:b/>
                <w:bCs/>
                <w:color w:val="auto"/>
              </w:rPr>
              <w:t>图2-</w:t>
            </w:r>
            <w:r>
              <w:rPr>
                <w:rFonts w:hint="default" w:ascii="Times New Roman" w:hAnsi="Times New Roman" w:cs="Times New Roman"/>
                <w:b/>
                <w:bCs/>
                <w:color w:val="auto"/>
                <w:lang w:val="en-US" w:eastAsia="zh-CN"/>
              </w:rPr>
              <w:t>1</w:t>
            </w:r>
            <w:r>
              <w:rPr>
                <w:rFonts w:hint="default" w:ascii="Times New Roman" w:hAnsi="Times New Roman" w:cs="Times New Roman"/>
                <w:b/>
                <w:bCs/>
                <w:color w:val="auto"/>
              </w:rPr>
              <w:t xml:space="preserve"> 再生塑料颗粒生产工艺流程及产污环节图</w:t>
            </w:r>
          </w:p>
          <w:p>
            <w:pPr>
              <w:ind w:firstLine="480"/>
              <w:rPr>
                <w:rFonts w:hint="default" w:ascii="Times New Roman" w:hAnsi="Times New Roman" w:cs="Times New Roman"/>
                <w:color w:val="auto"/>
              </w:rPr>
            </w:pPr>
            <w:r>
              <w:rPr>
                <w:rFonts w:hint="default" w:ascii="Times New Roman" w:hAnsi="Times New Roman" w:cs="Times New Roman"/>
                <w:color w:val="auto"/>
              </w:rPr>
              <w:t>工艺流程简介：</w:t>
            </w:r>
          </w:p>
          <w:p>
            <w:pPr>
              <w:ind w:firstLine="480"/>
              <w:rPr>
                <w:rFonts w:hint="default" w:ascii="Times New Roman" w:hAnsi="Times New Roman" w:cs="Times New Roman"/>
                <w:color w:val="auto"/>
              </w:rPr>
            </w:pPr>
            <w:r>
              <w:rPr>
                <w:rFonts w:hint="default" w:ascii="Times New Roman" w:hAnsi="Times New Roman" w:cs="Times New Roman"/>
                <w:color w:val="auto"/>
              </w:rPr>
              <w:t>本项目产品为塑料颗粒产品。所用原料主要为</w:t>
            </w:r>
            <w:r>
              <w:rPr>
                <w:rFonts w:hint="default" w:ascii="Times New Roman" w:hAnsi="Times New Roman" w:cs="Times New Roman"/>
                <w:color w:val="auto"/>
                <w:lang w:val="en-US" w:eastAsia="zh-CN"/>
              </w:rPr>
              <w:t>塑料薄膜</w:t>
            </w:r>
            <w:r>
              <w:rPr>
                <w:rFonts w:hint="default" w:ascii="Times New Roman" w:hAnsi="Times New Roman" w:cs="Times New Roman"/>
                <w:color w:val="auto"/>
              </w:rPr>
              <w:t>，进行造粒前需进行人工分拣、破碎、清洗、脱水甩干等工序。</w:t>
            </w:r>
          </w:p>
          <w:p>
            <w:pPr>
              <w:ind w:firstLine="482"/>
              <w:rPr>
                <w:rFonts w:hint="default" w:ascii="Times New Roman" w:hAnsi="Times New Roman" w:cs="Times New Roman"/>
                <w:b/>
                <w:bCs/>
                <w:color w:val="auto"/>
              </w:rPr>
            </w:pPr>
            <w:r>
              <w:rPr>
                <w:rFonts w:hint="default" w:ascii="Times New Roman" w:hAnsi="Times New Roman" w:cs="Times New Roman"/>
                <w:b/>
                <w:bCs/>
                <w:color w:val="auto"/>
              </w:rPr>
              <w:t>1、人工分拣</w:t>
            </w:r>
          </w:p>
          <w:p>
            <w:pPr>
              <w:ind w:firstLine="480"/>
              <w:rPr>
                <w:rFonts w:hint="default" w:ascii="Times New Roman" w:hAnsi="Times New Roman" w:cs="Times New Roman"/>
                <w:color w:val="auto"/>
              </w:rPr>
            </w:pPr>
            <w:r>
              <w:rPr>
                <w:rFonts w:hint="default" w:ascii="Times New Roman" w:hAnsi="Times New Roman" w:cs="Times New Roman"/>
                <w:color w:val="auto"/>
                <w:lang w:val="en-US" w:eastAsia="zh-CN"/>
              </w:rPr>
              <w:t>废旧塑料在进厂之前已经进行了简单的分拣打包，所含杂质较少，进厂后，建设单位</w:t>
            </w:r>
            <w:r>
              <w:rPr>
                <w:rFonts w:hint="default" w:ascii="Times New Roman" w:hAnsi="Times New Roman" w:cs="Times New Roman"/>
                <w:color w:val="auto"/>
              </w:rPr>
              <w:t>将回收的废旧塑料进行人工分拣，此工段会产生分拣</w:t>
            </w:r>
            <w:r>
              <w:rPr>
                <w:rFonts w:hint="default" w:ascii="Times New Roman" w:hAnsi="Times New Roman" w:cs="Times New Roman"/>
                <w:color w:val="auto"/>
                <w:lang w:val="en-US" w:eastAsia="zh-CN"/>
              </w:rPr>
              <w:t>夹杂着小块泥沙的废旧片料杂质</w:t>
            </w:r>
            <w:r>
              <w:rPr>
                <w:rFonts w:hint="default" w:ascii="Times New Roman" w:hAnsi="Times New Roman" w:cs="Times New Roman"/>
                <w:color w:val="auto"/>
              </w:rPr>
              <w:t>S</w:t>
            </w:r>
            <w:r>
              <w:rPr>
                <w:rFonts w:hint="default" w:ascii="Times New Roman" w:hAnsi="Times New Roman" w:cs="Times New Roman"/>
                <w:color w:val="auto"/>
                <w:vertAlign w:val="subscript"/>
              </w:rPr>
              <w:t>1</w:t>
            </w:r>
            <w:r>
              <w:rPr>
                <w:rFonts w:hint="default" w:ascii="Times New Roman" w:hAnsi="Times New Roman" w:cs="Times New Roman"/>
                <w:color w:val="auto"/>
              </w:rPr>
              <w:t>，</w:t>
            </w:r>
            <w:r>
              <w:rPr>
                <w:rFonts w:hint="default" w:ascii="Times New Roman" w:hAnsi="Times New Roman" w:cs="Times New Roman"/>
                <w:color w:val="auto"/>
                <w:lang w:val="en-US" w:eastAsia="zh-CN"/>
              </w:rPr>
              <w:t>其中</w:t>
            </w:r>
            <w:r>
              <w:rPr>
                <w:rFonts w:hint="default" w:ascii="Times New Roman" w:hAnsi="Times New Roman" w:cs="Times New Roman"/>
                <w:color w:val="auto"/>
                <w:lang w:eastAsia="zh-CN"/>
              </w:rPr>
              <w:t>，</w:t>
            </w:r>
            <w:r>
              <w:rPr>
                <w:rFonts w:hint="default" w:ascii="Times New Roman" w:hAnsi="Times New Roman" w:cs="Times New Roman"/>
                <w:color w:val="auto"/>
              </w:rPr>
              <w:t>项目不涉及除铁消磁工段。</w:t>
            </w:r>
          </w:p>
          <w:p>
            <w:pPr>
              <w:ind w:firstLine="482"/>
              <w:rPr>
                <w:rFonts w:hint="default" w:ascii="Times New Roman" w:hAnsi="Times New Roman" w:eastAsia="宋体" w:cs="Times New Roman"/>
                <w:b/>
                <w:bCs/>
                <w:color w:val="auto"/>
                <w:lang w:eastAsia="zh-CN"/>
              </w:rPr>
            </w:pPr>
            <w:r>
              <w:rPr>
                <w:rFonts w:hint="default" w:ascii="Times New Roman" w:hAnsi="Times New Roman" w:cs="Times New Roman"/>
                <w:b/>
                <w:bCs/>
                <w:color w:val="auto"/>
              </w:rPr>
              <w:t>2、湿式</w:t>
            </w:r>
            <w:r>
              <w:rPr>
                <w:rFonts w:hint="default" w:ascii="Times New Roman" w:hAnsi="Times New Roman" w:cs="Times New Roman"/>
                <w:b/>
                <w:bCs/>
                <w:color w:val="auto"/>
                <w:lang w:val="en-US" w:eastAsia="zh-CN"/>
              </w:rPr>
              <w:t>粉碎</w:t>
            </w:r>
          </w:p>
          <w:p>
            <w:pPr>
              <w:ind w:firstLine="480"/>
              <w:rPr>
                <w:rFonts w:hint="default" w:ascii="Times New Roman" w:hAnsi="Times New Roman" w:cs="Times New Roman"/>
                <w:color w:val="auto"/>
              </w:rPr>
            </w:pPr>
            <w:r>
              <w:rPr>
                <w:rFonts w:hint="default" w:ascii="Times New Roman" w:hAnsi="Times New Roman" w:cs="Times New Roman"/>
                <w:color w:val="auto"/>
              </w:rPr>
              <w:t>采用人工投料方式将分拣后的废旧塑料送入破碎机中进行湿式</w:t>
            </w:r>
            <w:r>
              <w:rPr>
                <w:rFonts w:hint="default" w:ascii="Times New Roman" w:hAnsi="Times New Roman" w:cs="Times New Roman"/>
                <w:color w:val="auto"/>
                <w:lang w:val="en-US" w:eastAsia="zh-CN"/>
              </w:rPr>
              <w:t>粉碎</w:t>
            </w:r>
            <w:r>
              <w:rPr>
                <w:rFonts w:hint="default" w:ascii="Times New Roman" w:hAnsi="Times New Roman" w:cs="Times New Roman"/>
                <w:color w:val="auto"/>
              </w:rPr>
              <w:t>，不会产生破碎粉尘。</w:t>
            </w:r>
          </w:p>
          <w:p>
            <w:pPr>
              <w:ind w:firstLine="482"/>
              <w:rPr>
                <w:rFonts w:hint="default" w:ascii="Times New Roman" w:hAnsi="Times New Roman" w:cs="Times New Roman"/>
                <w:b/>
                <w:bCs/>
                <w:color w:val="auto"/>
              </w:rPr>
            </w:pPr>
            <w:r>
              <w:rPr>
                <w:rFonts w:hint="default" w:ascii="Times New Roman" w:hAnsi="Times New Roman" w:cs="Times New Roman"/>
                <w:b/>
                <w:bCs/>
                <w:color w:val="auto"/>
              </w:rPr>
              <w:t>3、清洗</w:t>
            </w:r>
          </w:p>
          <w:p>
            <w:pPr>
              <w:ind w:firstLine="480"/>
              <w:rPr>
                <w:rFonts w:hint="default" w:ascii="Times New Roman" w:hAnsi="Times New Roman" w:cs="Times New Roman"/>
                <w:color w:val="auto"/>
              </w:rPr>
            </w:pPr>
            <w:r>
              <w:rPr>
                <w:rFonts w:hint="default" w:ascii="Times New Roman" w:hAnsi="Times New Roman" w:cs="Times New Roman"/>
                <w:color w:val="auto"/>
              </w:rPr>
              <w:t>塑料经分拣</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湿式粉碎</w:t>
            </w:r>
            <w:r>
              <w:rPr>
                <w:rFonts w:hint="default" w:ascii="Times New Roman" w:hAnsi="Times New Roman" w:cs="Times New Roman"/>
                <w:color w:val="auto"/>
              </w:rPr>
              <w:t>后</w:t>
            </w:r>
            <w:r>
              <w:rPr>
                <w:rFonts w:hint="default" w:ascii="Times New Roman" w:hAnsi="Times New Roman" w:cs="Times New Roman"/>
                <w:color w:val="auto"/>
                <w:lang w:val="en-US" w:eastAsia="zh-CN"/>
              </w:rPr>
              <w:t>进入滚筒机</w:t>
            </w:r>
            <w:r>
              <w:rPr>
                <w:rFonts w:hint="default" w:ascii="Times New Roman" w:hAnsi="Times New Roman" w:cs="Times New Roman"/>
                <w:color w:val="auto"/>
              </w:rPr>
              <w:t>进行</w:t>
            </w:r>
            <w:r>
              <w:rPr>
                <w:rFonts w:hint="default" w:ascii="Times New Roman" w:hAnsi="Times New Roman" w:cs="Times New Roman"/>
                <w:color w:val="auto"/>
                <w:lang w:val="en-US" w:eastAsia="zh-CN"/>
              </w:rPr>
              <w:t>机械清洗</w:t>
            </w:r>
            <w:r>
              <w:rPr>
                <w:rFonts w:hint="default" w:ascii="Times New Roman" w:hAnsi="Times New Roman" w:cs="Times New Roman"/>
                <w:color w:val="auto"/>
              </w:rPr>
              <w:t>，</w:t>
            </w:r>
            <w:r>
              <w:rPr>
                <w:rFonts w:hint="default" w:ascii="Times New Roman" w:hAnsi="Times New Roman" w:cs="Times New Roman"/>
                <w:color w:val="auto"/>
                <w:lang w:val="en-US" w:eastAsia="zh-CN"/>
              </w:rPr>
              <w:t>主要是通过滚筒机在导轨上的往复转动</w:t>
            </w:r>
            <w:r>
              <w:rPr>
                <w:rFonts w:hint="default" w:ascii="Times New Roman" w:hAnsi="Times New Roman" w:cs="Times New Roman"/>
                <w:color w:val="auto"/>
                <w:lang w:eastAsia="zh-CN"/>
              </w:rPr>
              <w:t>，</w:t>
            </w:r>
            <w:r>
              <w:rPr>
                <w:rFonts w:hint="default" w:ascii="Times New Roman" w:hAnsi="Times New Roman" w:cs="Times New Roman"/>
                <w:color w:val="auto"/>
              </w:rPr>
              <w:t>此</w:t>
            </w:r>
            <w:r>
              <w:rPr>
                <w:rFonts w:hint="default" w:ascii="Times New Roman" w:hAnsi="Times New Roman" w:cs="Times New Roman"/>
                <w:color w:val="auto"/>
                <w:lang w:val="en-US" w:eastAsia="zh-CN"/>
              </w:rPr>
              <w:t>清洗</w:t>
            </w:r>
            <w:r>
              <w:rPr>
                <w:rFonts w:hint="default" w:ascii="Times New Roman" w:hAnsi="Times New Roman" w:cs="Times New Roman"/>
                <w:color w:val="auto"/>
              </w:rPr>
              <w:t>过程会产生W</w:t>
            </w:r>
            <w:r>
              <w:rPr>
                <w:rFonts w:hint="default" w:ascii="Times New Roman" w:hAnsi="Times New Roman" w:cs="Times New Roman"/>
                <w:color w:val="auto"/>
                <w:vertAlign w:val="subscript"/>
              </w:rPr>
              <w:t>1</w:t>
            </w:r>
            <w:r>
              <w:rPr>
                <w:rFonts w:hint="default" w:ascii="Times New Roman" w:hAnsi="Times New Roman" w:cs="Times New Roman"/>
                <w:color w:val="auto"/>
              </w:rPr>
              <w:t>清洗废水，经过滤沉淀处理后回用，本项目清洗工段均不使用热水、不使用化学品（清洗液）清洗。</w:t>
            </w:r>
          </w:p>
          <w:p>
            <w:pPr>
              <w:ind w:firstLine="482"/>
              <w:rPr>
                <w:rFonts w:hint="default" w:ascii="Times New Roman" w:hAnsi="Times New Roman" w:cs="Times New Roman"/>
                <w:b/>
                <w:bCs/>
                <w:color w:val="auto"/>
              </w:rPr>
            </w:pPr>
            <w:r>
              <w:rPr>
                <w:rFonts w:hint="default" w:ascii="Times New Roman" w:hAnsi="Times New Roman" w:cs="Times New Roman"/>
                <w:b/>
                <w:bCs/>
                <w:color w:val="auto"/>
              </w:rPr>
              <w:t>4、脱水甩干</w:t>
            </w:r>
          </w:p>
          <w:p>
            <w:pPr>
              <w:ind w:firstLine="480"/>
              <w:rPr>
                <w:rFonts w:hint="default" w:ascii="Times New Roman" w:hAnsi="Times New Roman" w:cs="Times New Roman"/>
                <w:color w:val="auto"/>
              </w:rPr>
            </w:pPr>
            <w:r>
              <w:rPr>
                <w:rFonts w:hint="default" w:ascii="Times New Roman" w:hAnsi="Times New Roman" w:cs="Times New Roman"/>
                <w:color w:val="auto"/>
              </w:rPr>
              <w:t>清洗后塑料进入提料机进行脱水甩干，此过程会产生W</w:t>
            </w:r>
            <w:r>
              <w:rPr>
                <w:rFonts w:hint="default" w:ascii="Times New Roman" w:hAnsi="Times New Roman" w:cs="Times New Roman"/>
                <w:color w:val="auto"/>
                <w:vertAlign w:val="subscript"/>
              </w:rPr>
              <w:t>2</w:t>
            </w:r>
            <w:r>
              <w:rPr>
                <w:rFonts w:hint="default" w:ascii="Times New Roman" w:hAnsi="Times New Roman" w:cs="Times New Roman"/>
                <w:color w:val="auto"/>
              </w:rPr>
              <w:t>甩干废水，产生量较少，经收集后进入清洗池回用；</w:t>
            </w:r>
          </w:p>
          <w:p>
            <w:pPr>
              <w:ind w:firstLine="482"/>
              <w:rPr>
                <w:rFonts w:hint="default" w:ascii="Times New Roman" w:hAnsi="Times New Roman" w:cs="Times New Roman"/>
                <w:b/>
                <w:bCs/>
                <w:color w:val="auto"/>
              </w:rPr>
            </w:pPr>
            <w:r>
              <w:rPr>
                <w:rFonts w:hint="default" w:ascii="Times New Roman" w:hAnsi="Times New Roman" w:cs="Times New Roman"/>
                <w:b/>
                <w:bCs/>
                <w:color w:val="auto"/>
              </w:rPr>
              <w:t>5、一次造粒</w:t>
            </w:r>
          </w:p>
          <w:p>
            <w:pPr>
              <w:ind w:firstLine="480"/>
              <w:rPr>
                <w:rFonts w:hint="default" w:ascii="Times New Roman" w:hAnsi="Times New Roman" w:cs="Times New Roman"/>
                <w:color w:val="auto"/>
              </w:rPr>
            </w:pPr>
            <w:r>
              <w:rPr>
                <w:rFonts w:hint="default" w:ascii="Times New Roman" w:hAnsi="Times New Roman" w:cs="Times New Roman"/>
                <w:color w:val="auto"/>
              </w:rPr>
              <w:t>将前述工序所得破碎料作为塑料颗粒生产的原料，经造粒机（主机）进行造粒挤出，在挤出机中塑料融化后利用螺杆的推力连续不断地将熔融料从模口挤出进行挤出加工，采用电加热方式供热</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熔融温度范围为150℃~200℃</w:t>
            </w:r>
            <w:r>
              <w:rPr>
                <w:rFonts w:hint="default" w:ascii="Times New Roman" w:hAnsi="Times New Roman" w:cs="Times New Roman"/>
                <w:color w:val="auto"/>
              </w:rPr>
              <w:t>，在</w:t>
            </w:r>
            <w:r>
              <w:rPr>
                <w:rFonts w:hint="default" w:ascii="Times New Roman" w:hAnsi="Times New Roman" w:cs="Times New Roman"/>
                <w:color w:val="auto"/>
                <w:lang w:val="en-US" w:eastAsia="zh-CN"/>
              </w:rPr>
              <w:t>加热</w:t>
            </w:r>
            <w:r>
              <w:rPr>
                <w:rFonts w:hint="default" w:ascii="Times New Roman" w:hAnsi="Times New Roman" w:cs="Times New Roman"/>
                <w:color w:val="auto"/>
              </w:rPr>
              <w:t>挤出过程中</w:t>
            </w:r>
            <w:r>
              <w:rPr>
                <w:rFonts w:hint="default" w:ascii="Times New Roman" w:hAnsi="Times New Roman" w:cs="Times New Roman"/>
                <w:color w:val="auto"/>
                <w:lang w:val="en-US" w:eastAsia="zh-CN"/>
              </w:rPr>
              <w:t>会</w:t>
            </w:r>
            <w:r>
              <w:rPr>
                <w:rFonts w:hint="default" w:ascii="Times New Roman" w:hAnsi="Times New Roman" w:cs="Times New Roman"/>
                <w:color w:val="auto"/>
              </w:rPr>
              <w:t>产生少量G</w:t>
            </w:r>
            <w:r>
              <w:rPr>
                <w:rFonts w:hint="default" w:ascii="Times New Roman" w:hAnsi="Times New Roman" w:cs="Times New Roman"/>
                <w:color w:val="auto"/>
                <w:vertAlign w:val="subscript"/>
              </w:rPr>
              <w:t>1</w:t>
            </w:r>
            <w:r>
              <w:rPr>
                <w:rFonts w:hint="default" w:ascii="Times New Roman" w:hAnsi="Times New Roman" w:cs="Times New Roman"/>
                <w:color w:val="auto"/>
              </w:rPr>
              <w:t>有机废气</w:t>
            </w:r>
            <w:r>
              <w:rPr>
                <w:rFonts w:hint="default" w:ascii="Times New Roman" w:hAnsi="Times New Roman" w:cs="Times New Roman"/>
                <w:color w:val="auto"/>
                <w:lang w:eastAsia="zh-CN"/>
              </w:rPr>
              <w:t>，</w:t>
            </w:r>
            <w:r>
              <w:rPr>
                <w:rFonts w:hint="default" w:ascii="Times New Roman" w:hAnsi="Times New Roman" w:cs="Times New Roman"/>
                <w:color w:val="auto"/>
              </w:rPr>
              <w:t>挤出工段为保证产品质量，项目挤出口使用过滤网进行过滤处理，会产生S</w:t>
            </w:r>
            <w:r>
              <w:rPr>
                <w:rFonts w:hint="default" w:ascii="Times New Roman" w:hAnsi="Times New Roman" w:cs="Times New Roman"/>
                <w:color w:val="auto"/>
                <w:vertAlign w:val="subscript"/>
              </w:rPr>
              <w:t>2</w:t>
            </w:r>
            <w:r>
              <w:rPr>
                <w:rFonts w:hint="default" w:ascii="Times New Roman" w:hAnsi="Times New Roman" w:cs="Times New Roman"/>
                <w:color w:val="auto"/>
              </w:rPr>
              <w:t>废过滤网。</w:t>
            </w:r>
          </w:p>
          <w:p>
            <w:pPr>
              <w:ind w:firstLine="482"/>
              <w:rPr>
                <w:rFonts w:hint="default" w:ascii="Times New Roman" w:hAnsi="Times New Roman" w:cs="Times New Roman"/>
                <w:b/>
                <w:bCs/>
                <w:color w:val="auto"/>
              </w:rPr>
            </w:pPr>
            <w:r>
              <w:rPr>
                <w:rFonts w:hint="default" w:ascii="Times New Roman" w:hAnsi="Times New Roman" w:cs="Times New Roman"/>
                <w:b/>
                <w:bCs/>
                <w:color w:val="auto"/>
              </w:rPr>
              <w:t>6、二次造粒</w:t>
            </w:r>
          </w:p>
          <w:p>
            <w:pPr>
              <w:ind w:firstLine="480"/>
              <w:rPr>
                <w:rFonts w:hint="default" w:ascii="Times New Roman" w:hAnsi="Times New Roman" w:cs="Times New Roman"/>
                <w:color w:val="auto"/>
              </w:rPr>
            </w:pPr>
            <w:r>
              <w:rPr>
                <w:rFonts w:hint="default" w:ascii="Times New Roman" w:hAnsi="Times New Roman" w:cs="Times New Roman"/>
                <w:color w:val="auto"/>
              </w:rPr>
              <w:t>将前述工序所得挤出料作为塑料颗粒生产的原料经造粒机（副机）进行造粒挤出，在挤出机中塑料融化后利用螺杆的推力连续不断地将熔融料从模口挤出进行挤出加工，采用电加热方式供热</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熔融温度范围为150℃~200℃</w:t>
            </w:r>
            <w:r>
              <w:rPr>
                <w:rFonts w:hint="default" w:ascii="Times New Roman" w:hAnsi="Times New Roman" w:cs="Times New Roman"/>
                <w:color w:val="auto"/>
              </w:rPr>
              <w:t>，在</w:t>
            </w:r>
            <w:r>
              <w:rPr>
                <w:rFonts w:hint="default" w:ascii="Times New Roman" w:hAnsi="Times New Roman" w:cs="Times New Roman"/>
                <w:color w:val="auto"/>
                <w:lang w:val="en-US" w:eastAsia="zh-CN"/>
              </w:rPr>
              <w:t>加热</w:t>
            </w:r>
            <w:r>
              <w:rPr>
                <w:rFonts w:hint="default" w:ascii="Times New Roman" w:hAnsi="Times New Roman" w:cs="Times New Roman"/>
                <w:color w:val="auto"/>
              </w:rPr>
              <w:t>挤出过程中</w:t>
            </w:r>
            <w:r>
              <w:rPr>
                <w:rFonts w:hint="default" w:ascii="Times New Roman" w:hAnsi="Times New Roman" w:cs="Times New Roman"/>
                <w:color w:val="auto"/>
                <w:lang w:val="en-US" w:eastAsia="zh-CN"/>
              </w:rPr>
              <w:t>会</w:t>
            </w:r>
            <w:r>
              <w:rPr>
                <w:rFonts w:hint="default" w:ascii="Times New Roman" w:hAnsi="Times New Roman" w:cs="Times New Roman"/>
                <w:color w:val="auto"/>
              </w:rPr>
              <w:t>产生少量G</w:t>
            </w:r>
            <w:r>
              <w:rPr>
                <w:rFonts w:hint="default" w:ascii="Times New Roman" w:hAnsi="Times New Roman" w:cs="Times New Roman"/>
                <w:color w:val="auto"/>
                <w:vertAlign w:val="subscript"/>
              </w:rPr>
              <w:t>1</w:t>
            </w:r>
            <w:r>
              <w:rPr>
                <w:rFonts w:hint="default" w:ascii="Times New Roman" w:hAnsi="Times New Roman" w:cs="Times New Roman"/>
                <w:color w:val="auto"/>
              </w:rPr>
              <w:t>有机废气；挤出工段为保证产品质量，项目挤出口使用过滤网进行过滤处理，会产生S</w:t>
            </w:r>
            <w:r>
              <w:rPr>
                <w:rFonts w:hint="default" w:ascii="Times New Roman" w:hAnsi="Times New Roman" w:cs="Times New Roman"/>
                <w:color w:val="auto"/>
                <w:vertAlign w:val="subscript"/>
              </w:rPr>
              <w:t>2</w:t>
            </w:r>
            <w:r>
              <w:rPr>
                <w:rFonts w:hint="default" w:ascii="Times New Roman" w:hAnsi="Times New Roman" w:cs="Times New Roman"/>
                <w:color w:val="auto"/>
              </w:rPr>
              <w:t>废过滤网。</w:t>
            </w:r>
          </w:p>
          <w:p>
            <w:pPr>
              <w:ind w:firstLine="482"/>
              <w:rPr>
                <w:rFonts w:hint="default" w:ascii="Times New Roman" w:hAnsi="Times New Roman" w:cs="Times New Roman"/>
                <w:b/>
                <w:bCs/>
                <w:color w:val="auto"/>
              </w:rPr>
            </w:pPr>
            <w:r>
              <w:rPr>
                <w:rFonts w:hint="default" w:ascii="Times New Roman" w:hAnsi="Times New Roman" w:cs="Times New Roman"/>
                <w:b/>
                <w:bCs/>
                <w:color w:val="auto"/>
              </w:rPr>
              <w:t>7、冷却</w:t>
            </w:r>
          </w:p>
          <w:p>
            <w:pPr>
              <w:ind w:firstLine="480"/>
              <w:rPr>
                <w:rFonts w:hint="default" w:ascii="Times New Roman" w:hAnsi="Times New Roman" w:cs="Times New Roman"/>
                <w:color w:val="auto"/>
              </w:rPr>
            </w:pPr>
            <w:r>
              <w:rPr>
                <w:rFonts w:hint="default" w:ascii="Times New Roman" w:hAnsi="Times New Roman" w:cs="Times New Roman"/>
                <w:color w:val="auto"/>
              </w:rPr>
              <w:t>将挤出的塑料条在冷却水槽中进行冷却后自然风干，冷却水可循环利用，需定期补充。</w:t>
            </w:r>
          </w:p>
          <w:p>
            <w:pPr>
              <w:ind w:firstLine="482"/>
              <w:rPr>
                <w:rFonts w:hint="default" w:ascii="Times New Roman" w:hAnsi="Times New Roman" w:cs="Times New Roman"/>
                <w:b/>
                <w:bCs/>
                <w:color w:val="auto"/>
              </w:rPr>
            </w:pPr>
            <w:r>
              <w:rPr>
                <w:rFonts w:hint="default" w:ascii="Times New Roman" w:hAnsi="Times New Roman" w:cs="Times New Roman"/>
                <w:b/>
                <w:bCs/>
                <w:color w:val="auto"/>
              </w:rPr>
              <w:t>8、切粒</w:t>
            </w:r>
          </w:p>
          <w:p>
            <w:pPr>
              <w:ind w:firstLine="480"/>
              <w:rPr>
                <w:rFonts w:hint="default" w:ascii="Times New Roman" w:hAnsi="Times New Roman" w:cs="Times New Roman"/>
                <w:color w:val="auto"/>
              </w:rPr>
            </w:pPr>
            <w:r>
              <w:rPr>
                <w:rFonts w:hint="default" w:ascii="Times New Roman" w:hAnsi="Times New Roman" w:cs="Times New Roman"/>
                <w:color w:val="auto"/>
              </w:rPr>
              <w:t>冷却后的塑料条通过切粒机切成粒状，即得到塑料颗粒成品。若产生部分不合格产品，可直接回用于高温熔化工序。</w:t>
            </w:r>
          </w:p>
          <w:p>
            <w:pPr>
              <w:ind w:firstLine="482"/>
              <w:rPr>
                <w:rFonts w:hint="default" w:ascii="Times New Roman" w:hAnsi="Times New Roman" w:cs="Times New Roman"/>
                <w:b/>
                <w:bCs/>
                <w:color w:val="auto"/>
              </w:rPr>
            </w:pPr>
            <w:r>
              <w:rPr>
                <w:rFonts w:hint="default" w:ascii="Times New Roman" w:hAnsi="Times New Roman" w:cs="Times New Roman"/>
                <w:b/>
                <w:bCs/>
                <w:color w:val="auto"/>
              </w:rPr>
              <w:t>9、包装入库</w:t>
            </w:r>
          </w:p>
          <w:p>
            <w:pPr>
              <w:ind w:firstLine="480"/>
              <w:rPr>
                <w:rFonts w:hint="default" w:ascii="Times New Roman" w:hAnsi="Times New Roman" w:cs="Times New Roman"/>
                <w:color w:val="auto"/>
              </w:rPr>
            </w:pPr>
            <w:r>
              <w:rPr>
                <w:rFonts w:hint="default" w:ascii="Times New Roman" w:hAnsi="Times New Roman" w:cs="Times New Roman"/>
                <w:color w:val="auto"/>
              </w:rPr>
              <w:t>项目生产的塑料颗粒经抽粒机收集包装后于成品仓库暂存。</w:t>
            </w:r>
          </w:p>
          <w:p>
            <w:pPr>
              <w:adjustRightInd w:val="0"/>
              <w:snapToGrid w:val="0"/>
              <w:ind w:firstLine="482"/>
              <w:rPr>
                <w:rFonts w:hint="default" w:ascii="Times New Roman" w:hAnsi="Times New Roman" w:cs="Times New Roman"/>
                <w:b/>
                <w:color w:val="auto"/>
                <w:szCs w:val="21"/>
              </w:rPr>
            </w:pPr>
            <w:r>
              <w:rPr>
                <w:rFonts w:hint="default" w:ascii="Times New Roman" w:hAnsi="Times New Roman" w:cs="Times New Roman"/>
                <w:b/>
                <w:color w:val="auto"/>
                <w:szCs w:val="21"/>
              </w:rPr>
              <w:t>（三）水平衡</w:t>
            </w:r>
          </w:p>
          <w:p>
            <w:pPr>
              <w:adjustRightInd w:val="0"/>
              <w:snapToGrid w:val="0"/>
              <w:ind w:firstLine="480"/>
              <w:rPr>
                <w:rFonts w:hint="default" w:ascii="Times New Roman" w:hAnsi="Times New Roman" w:cs="Times New Roman"/>
                <w:bCs/>
                <w:color w:val="auto"/>
                <w:szCs w:val="21"/>
              </w:rPr>
            </w:pPr>
            <w:r>
              <w:rPr>
                <w:rFonts w:hint="default" w:ascii="Times New Roman" w:hAnsi="Times New Roman" w:cs="Times New Roman"/>
                <w:bCs/>
                <w:color w:val="auto"/>
                <w:szCs w:val="21"/>
              </w:rPr>
              <w:t>本项目用水主要包括生活用水、生产用水。</w:t>
            </w:r>
          </w:p>
          <w:p>
            <w:pPr>
              <w:adjustRightInd w:val="0"/>
              <w:snapToGrid w:val="0"/>
              <w:ind w:firstLine="482"/>
              <w:rPr>
                <w:rFonts w:hint="default" w:ascii="Times New Roman" w:hAnsi="Times New Roman" w:cs="Times New Roman"/>
                <w:b/>
                <w:color w:val="auto"/>
                <w:szCs w:val="21"/>
              </w:rPr>
            </w:pPr>
            <w:r>
              <w:rPr>
                <w:rFonts w:hint="default" w:ascii="Times New Roman" w:hAnsi="Times New Roman" w:cs="Times New Roman"/>
                <w:b/>
                <w:color w:val="auto"/>
                <w:szCs w:val="21"/>
              </w:rPr>
              <w:t>1、生活用水</w:t>
            </w:r>
          </w:p>
          <w:p>
            <w:pPr>
              <w:adjustRightInd w:val="0"/>
              <w:snapToGrid w:val="0"/>
              <w:ind w:firstLine="480"/>
              <w:rPr>
                <w:rFonts w:hint="default" w:ascii="Times New Roman" w:hAnsi="Times New Roman" w:cs="Times New Roman"/>
                <w:bCs/>
                <w:color w:val="auto"/>
                <w:szCs w:val="21"/>
              </w:rPr>
            </w:pPr>
            <w:r>
              <w:rPr>
                <w:rFonts w:hint="default" w:ascii="Times New Roman" w:hAnsi="Times New Roman" w:cs="Times New Roman"/>
                <w:bCs/>
                <w:color w:val="auto"/>
                <w:szCs w:val="21"/>
              </w:rPr>
              <w:t>本项目劳动定员60人，参考四川省用水定额标准（2021）中“表35-公共管理-通用值”的相关数据，生产人员用水定额取19m</w:t>
            </w:r>
            <w:r>
              <w:rPr>
                <w:rFonts w:hint="default" w:ascii="Times New Roman" w:hAnsi="Times New Roman" w:cs="Times New Roman"/>
                <w:bCs/>
                <w:color w:val="auto"/>
                <w:szCs w:val="21"/>
                <w:vertAlign w:val="superscript"/>
              </w:rPr>
              <w:t>3</w:t>
            </w:r>
            <w:r>
              <w:rPr>
                <w:rFonts w:hint="default" w:ascii="Times New Roman" w:hAnsi="Times New Roman" w:cs="Times New Roman"/>
                <w:bCs/>
                <w:color w:val="auto"/>
                <w:szCs w:val="21"/>
              </w:rPr>
              <w:t>/人·a（不设食宿），年工作日为300天，则职工生活用水3.8m</w:t>
            </w:r>
            <w:r>
              <w:rPr>
                <w:rFonts w:hint="default" w:ascii="Times New Roman" w:hAnsi="Times New Roman" w:cs="Times New Roman"/>
                <w:bCs/>
                <w:color w:val="auto"/>
                <w:szCs w:val="21"/>
                <w:vertAlign w:val="superscript"/>
              </w:rPr>
              <w:t>3</w:t>
            </w:r>
            <w:r>
              <w:rPr>
                <w:rFonts w:hint="default" w:ascii="Times New Roman" w:hAnsi="Times New Roman" w:cs="Times New Roman"/>
                <w:bCs/>
                <w:color w:val="auto"/>
                <w:szCs w:val="21"/>
              </w:rPr>
              <w:t>/d （1140m</w:t>
            </w:r>
            <w:r>
              <w:rPr>
                <w:rFonts w:hint="default" w:ascii="Times New Roman" w:hAnsi="Times New Roman" w:cs="Times New Roman"/>
                <w:bCs/>
                <w:color w:val="auto"/>
                <w:szCs w:val="21"/>
                <w:vertAlign w:val="superscript"/>
              </w:rPr>
              <w:t>3</w:t>
            </w:r>
            <w:r>
              <w:rPr>
                <w:rFonts w:hint="default" w:ascii="Times New Roman" w:hAnsi="Times New Roman" w:cs="Times New Roman"/>
                <w:bCs/>
                <w:color w:val="auto"/>
                <w:szCs w:val="21"/>
              </w:rPr>
              <w:t>/a），排水量按用水量的85%计，则日排生活废水约3.23m</w:t>
            </w:r>
            <w:r>
              <w:rPr>
                <w:rFonts w:hint="default" w:ascii="Times New Roman" w:hAnsi="Times New Roman" w:cs="Times New Roman"/>
                <w:bCs/>
                <w:color w:val="auto"/>
                <w:szCs w:val="21"/>
                <w:vertAlign w:val="superscript"/>
              </w:rPr>
              <w:t>3</w:t>
            </w:r>
            <w:r>
              <w:rPr>
                <w:rFonts w:hint="default" w:ascii="Times New Roman" w:hAnsi="Times New Roman" w:cs="Times New Roman"/>
                <w:bCs/>
                <w:color w:val="auto"/>
                <w:szCs w:val="21"/>
              </w:rPr>
              <w:t>/d（969m</w:t>
            </w:r>
            <w:r>
              <w:rPr>
                <w:rFonts w:hint="default" w:ascii="Times New Roman" w:hAnsi="Times New Roman" w:cs="Times New Roman"/>
                <w:bCs/>
                <w:color w:val="auto"/>
                <w:szCs w:val="21"/>
                <w:vertAlign w:val="superscript"/>
              </w:rPr>
              <w:t>3</w:t>
            </w:r>
            <w:r>
              <w:rPr>
                <w:rFonts w:hint="default" w:ascii="Times New Roman" w:hAnsi="Times New Roman" w:cs="Times New Roman"/>
                <w:bCs/>
                <w:color w:val="auto"/>
                <w:szCs w:val="21"/>
              </w:rPr>
              <w:t>/a），生活污水经预处理池处理后排入园区管网，经厂区预处理池处理后通过园区污水管网进入污水处理厂。</w:t>
            </w:r>
          </w:p>
          <w:p>
            <w:pPr>
              <w:adjustRightInd w:val="0"/>
              <w:snapToGrid w:val="0"/>
              <w:ind w:firstLine="482"/>
              <w:rPr>
                <w:rFonts w:hint="default" w:ascii="Times New Roman" w:hAnsi="Times New Roman" w:cs="Times New Roman"/>
                <w:b/>
                <w:color w:val="auto"/>
                <w:szCs w:val="21"/>
              </w:rPr>
            </w:pPr>
            <w:r>
              <w:rPr>
                <w:rFonts w:hint="default" w:ascii="Times New Roman" w:hAnsi="Times New Roman" w:cs="Times New Roman"/>
                <w:b/>
                <w:color w:val="auto"/>
                <w:szCs w:val="21"/>
              </w:rPr>
              <w:t>2、生产用水</w:t>
            </w:r>
          </w:p>
          <w:p>
            <w:pPr>
              <w:adjustRightInd w:val="0"/>
              <w:snapToGrid w:val="0"/>
              <w:ind w:firstLine="480"/>
              <w:rPr>
                <w:rFonts w:hint="default" w:ascii="Times New Roman" w:hAnsi="Times New Roman" w:cs="Times New Roman"/>
                <w:bCs/>
                <w:color w:val="auto"/>
                <w:szCs w:val="21"/>
              </w:rPr>
            </w:pPr>
            <w:r>
              <w:rPr>
                <w:rFonts w:hint="default" w:ascii="Times New Roman" w:hAnsi="Times New Roman" w:cs="Times New Roman"/>
                <w:bCs/>
                <w:color w:val="auto"/>
                <w:szCs w:val="21"/>
              </w:rPr>
              <w:t>①、循环冷却用水</w:t>
            </w:r>
          </w:p>
          <w:p>
            <w:pPr>
              <w:adjustRightInd w:val="0"/>
              <w:snapToGrid w:val="0"/>
              <w:ind w:firstLine="480"/>
              <w:rPr>
                <w:rFonts w:hint="default" w:ascii="Times New Roman" w:hAnsi="Times New Roman" w:cs="Times New Roman"/>
                <w:color w:val="auto"/>
              </w:rPr>
            </w:pPr>
            <w:r>
              <w:rPr>
                <w:rFonts w:hint="default" w:ascii="Times New Roman" w:hAnsi="Times New Roman" w:cs="Times New Roman"/>
                <w:color w:val="auto"/>
                <w:lang w:val="en-US" w:eastAsia="zh-CN"/>
              </w:rPr>
              <w:t>经业主单位提供资料，</w:t>
            </w:r>
            <w:r>
              <w:rPr>
                <w:rFonts w:hint="default" w:ascii="Times New Roman" w:hAnsi="Times New Roman" w:cs="Times New Roman"/>
                <w:color w:val="auto"/>
              </w:rPr>
              <w:t>本项目生产车间的再生塑料颗粒生产过程，需要对挤出的再生颗粒条（未切粒、连续面条状）在冷却水槽进行冷却，项目使用的冷却用水将循环使用</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由于蒸发、损耗等原因，每套造粒机需要补充</w:t>
            </w:r>
            <w:r>
              <w:rPr>
                <w:rFonts w:hint="default" w:ascii="Times New Roman" w:hAnsi="Times New Roman" w:cs="Times New Roman"/>
                <w:color w:val="auto"/>
              </w:rPr>
              <w:t>新鲜水数量约为</w:t>
            </w:r>
            <w:r>
              <w:rPr>
                <w:rFonts w:hint="default" w:ascii="Times New Roman" w:hAnsi="Times New Roman" w:cs="Times New Roman"/>
                <w:color w:val="auto"/>
                <w:lang w:val="en-US" w:eastAsia="zh-CN"/>
              </w:rPr>
              <w:t>1</w:t>
            </w:r>
            <w:r>
              <w:rPr>
                <w:rFonts w:hint="default" w:ascii="Times New Roman" w:hAnsi="Times New Roman" w:cs="Times New Roman"/>
                <w:color w:val="auto"/>
              </w:rPr>
              <w:t>.0m3/d</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项目共计3套造粒机生产线，需要补充的水量为3</w:t>
            </w:r>
            <w:r>
              <w:rPr>
                <w:rFonts w:hint="default" w:ascii="Times New Roman" w:hAnsi="Times New Roman" w:cs="Times New Roman"/>
                <w:color w:val="auto"/>
              </w:rPr>
              <w:t>.0m3/d（</w:t>
            </w:r>
            <w:r>
              <w:rPr>
                <w:rFonts w:hint="default" w:ascii="Times New Roman" w:hAnsi="Times New Roman" w:cs="Times New Roman"/>
                <w:color w:val="auto"/>
                <w:lang w:val="en-US" w:eastAsia="zh-CN"/>
              </w:rPr>
              <w:t>9</w:t>
            </w:r>
            <w:r>
              <w:rPr>
                <w:rFonts w:hint="default" w:ascii="Times New Roman" w:hAnsi="Times New Roman" w:cs="Times New Roman"/>
                <w:color w:val="auto"/>
              </w:rPr>
              <w:t>00m3/a）。</w:t>
            </w:r>
          </w:p>
          <w:p>
            <w:pPr>
              <w:adjustRightInd w:val="0"/>
              <w:snapToGrid w:val="0"/>
              <w:ind w:firstLine="480"/>
              <w:rPr>
                <w:rFonts w:hint="default" w:ascii="Times New Roman" w:hAnsi="Times New Roman" w:cs="Times New Roman"/>
                <w:bCs/>
                <w:color w:val="auto"/>
                <w:szCs w:val="21"/>
              </w:rPr>
            </w:pPr>
            <w:r>
              <w:rPr>
                <w:rFonts w:hint="default" w:ascii="Times New Roman" w:hAnsi="Times New Roman" w:cs="Times New Roman"/>
                <w:bCs/>
                <w:color w:val="auto"/>
                <w:szCs w:val="21"/>
                <w:lang w:val="en-US" w:eastAsia="zh-CN"/>
              </w:rPr>
              <w:t>②</w:t>
            </w:r>
            <w:r>
              <w:rPr>
                <w:rFonts w:hint="default" w:ascii="Times New Roman" w:hAnsi="Times New Roman" w:cs="Times New Roman"/>
                <w:bCs/>
                <w:color w:val="auto"/>
                <w:szCs w:val="21"/>
              </w:rPr>
              <w:t>、清洗用水</w:t>
            </w:r>
          </w:p>
          <w:p>
            <w:pPr>
              <w:adjustRightInd w:val="0"/>
              <w:snapToGrid w:val="0"/>
              <w:ind w:firstLine="480"/>
              <w:rPr>
                <w:rFonts w:hint="default" w:ascii="Times New Roman" w:hAnsi="Times New Roman" w:cs="Times New Roman"/>
                <w:bCs/>
                <w:color w:val="auto"/>
                <w:szCs w:val="21"/>
                <w:lang w:val="en-US" w:eastAsia="zh-CN"/>
              </w:rPr>
            </w:pPr>
            <w:r>
              <w:rPr>
                <w:rFonts w:hint="default" w:ascii="Times New Roman" w:hAnsi="Times New Roman" w:cs="Times New Roman"/>
                <w:bCs/>
                <w:color w:val="auto"/>
                <w:szCs w:val="21"/>
                <w:lang w:val="en-US" w:eastAsia="zh-CN"/>
              </w:rPr>
              <w:t>经业主单位提供资料，项目日常生产时需要清洗的原材料约为7550t，则项目清洗用水量约为11325t/a（清洗用水量与废旧塑料的比值一般为1.5~2，本项目取1.5），即清洗用水约为37.8m3/d，排水量按用水量的85%计，则日排清洗废水约32.1m3/d，本次项目原材料清洗过程中产生的废水经“格栅过滤+三级沉淀+气浮+压滤”处理后循环回用，不外排，因损耗、蒸发等原因，需定期补充消耗水量约5.7m3/d。</w:t>
            </w:r>
          </w:p>
          <w:p>
            <w:pPr>
              <w:adjustRightInd w:val="0"/>
              <w:snapToGrid w:val="0"/>
              <w:ind w:firstLine="480"/>
              <w:rPr>
                <w:rFonts w:hint="default" w:ascii="Times New Roman" w:hAnsi="Times New Roman" w:cs="Times New Roman"/>
                <w:bCs/>
                <w:color w:val="auto"/>
                <w:szCs w:val="21"/>
                <w:u w:val="single"/>
              </w:rPr>
            </w:pPr>
            <w:r>
              <w:rPr>
                <w:rFonts w:hint="default" w:ascii="Times New Roman" w:hAnsi="Times New Roman" w:cs="Times New Roman"/>
                <w:bCs/>
                <w:color w:val="auto"/>
                <w:szCs w:val="21"/>
                <w:u w:val="single"/>
              </w:rPr>
              <w:t>注：本项目生产车间使用塑料制品原料不含水泥包装、危废品包装</w:t>
            </w:r>
            <w:r>
              <w:rPr>
                <w:rFonts w:hint="default" w:ascii="Times New Roman" w:hAnsi="Times New Roman" w:cs="Times New Roman"/>
                <w:color w:val="auto"/>
                <w:u w:val="single"/>
                <w:lang w:val="en-US" w:eastAsia="zh-CN"/>
              </w:rPr>
              <w:t>塑料</w:t>
            </w:r>
            <w:r>
              <w:rPr>
                <w:rFonts w:hint="default" w:ascii="Times New Roman" w:hAnsi="Times New Roman" w:cs="Times New Roman"/>
                <w:bCs/>
                <w:color w:val="auto"/>
                <w:szCs w:val="21"/>
                <w:u w:val="single"/>
              </w:rPr>
              <w:t>；</w:t>
            </w:r>
          </w:p>
          <w:p>
            <w:pPr>
              <w:adjustRightInd w:val="0"/>
              <w:snapToGrid w:val="0"/>
              <w:ind w:firstLine="480"/>
              <w:rPr>
                <w:rFonts w:hint="default" w:ascii="Times New Roman" w:hAnsi="Times New Roman" w:cs="Times New Roman"/>
                <w:bCs/>
                <w:color w:val="auto"/>
                <w:szCs w:val="21"/>
              </w:rPr>
            </w:pPr>
            <w:r>
              <w:rPr>
                <w:rFonts w:hint="default" w:ascii="Times New Roman" w:hAnsi="Times New Roman" w:cs="Times New Roman"/>
                <w:bCs/>
                <w:color w:val="auto"/>
                <w:szCs w:val="21"/>
              </w:rPr>
              <w:t>本项目每天用水量估算见表2-6。</w:t>
            </w:r>
          </w:p>
          <w:p>
            <w:pPr>
              <w:pStyle w:val="11"/>
              <w:jc w:val="center"/>
              <w:rPr>
                <w:rFonts w:hint="default" w:ascii="Times New Roman" w:hAnsi="Times New Roman" w:cs="Times New Roman"/>
                <w:b/>
                <w:bCs/>
                <w:color w:val="auto"/>
              </w:rPr>
            </w:pPr>
            <w:r>
              <w:rPr>
                <w:rFonts w:hint="default" w:ascii="Times New Roman" w:hAnsi="Times New Roman" w:cs="Times New Roman"/>
                <w:b/>
                <w:bCs/>
                <w:color w:val="auto"/>
              </w:rPr>
              <w:t>表2-6    本项目用水情况汇总    单位：m</w:t>
            </w:r>
            <w:r>
              <w:rPr>
                <w:rFonts w:hint="default" w:ascii="Times New Roman" w:hAnsi="Times New Roman" w:cs="Times New Roman"/>
                <w:b/>
                <w:bCs/>
                <w:color w:val="auto"/>
                <w:vertAlign w:val="superscript"/>
              </w:rPr>
              <w:t>3</w:t>
            </w:r>
            <w:r>
              <w:rPr>
                <w:rFonts w:hint="default" w:ascii="Times New Roman" w:hAnsi="Times New Roman" w:cs="Times New Roman"/>
                <w:b/>
                <w:bCs/>
                <w:color w:val="auto"/>
              </w:rPr>
              <w:t>/d</w:t>
            </w:r>
          </w:p>
          <w:tbl>
            <w:tblPr>
              <w:tblStyle w:val="5"/>
              <w:tblW w:w="859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84"/>
              <w:gridCol w:w="1409"/>
              <w:gridCol w:w="1212"/>
              <w:gridCol w:w="1239"/>
              <w:gridCol w:w="1052"/>
              <w:gridCol w:w="1343"/>
              <w:gridCol w:w="175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93" w:type="dxa"/>
                  <w:gridSpan w:val="2"/>
                  <w:vAlign w:val="center"/>
                </w:tcPr>
                <w:p>
                  <w:pPr>
                    <w:pStyle w:val="11"/>
                    <w:jc w:val="center"/>
                    <w:rPr>
                      <w:rFonts w:hint="default" w:ascii="Times New Roman" w:hAnsi="Times New Roman" w:cs="Times New Roman"/>
                      <w:b/>
                      <w:bCs/>
                      <w:color w:val="auto"/>
                    </w:rPr>
                  </w:pPr>
                  <w:r>
                    <w:rPr>
                      <w:rFonts w:hint="default" w:ascii="Times New Roman" w:hAnsi="Times New Roman" w:cs="Times New Roman"/>
                      <w:b/>
                      <w:bCs/>
                      <w:color w:val="auto"/>
                    </w:rPr>
                    <w:t>用水种类</w:t>
                  </w:r>
                </w:p>
              </w:tc>
              <w:tc>
                <w:tcPr>
                  <w:tcW w:w="1212" w:type="dxa"/>
                  <w:vAlign w:val="center"/>
                </w:tcPr>
                <w:p>
                  <w:pPr>
                    <w:pStyle w:val="11"/>
                    <w:jc w:val="center"/>
                    <w:rPr>
                      <w:rFonts w:hint="default" w:ascii="Times New Roman" w:hAnsi="Times New Roman" w:cs="Times New Roman"/>
                      <w:b/>
                      <w:bCs/>
                      <w:color w:val="auto"/>
                    </w:rPr>
                  </w:pPr>
                  <w:r>
                    <w:rPr>
                      <w:rFonts w:hint="default" w:ascii="Times New Roman" w:hAnsi="Times New Roman" w:cs="Times New Roman"/>
                      <w:b/>
                      <w:bCs/>
                      <w:color w:val="auto"/>
                    </w:rPr>
                    <w:t>用水规模</w:t>
                  </w:r>
                </w:p>
              </w:tc>
              <w:tc>
                <w:tcPr>
                  <w:tcW w:w="1239" w:type="dxa"/>
                  <w:vAlign w:val="center"/>
                </w:tcPr>
                <w:p>
                  <w:pPr>
                    <w:pStyle w:val="11"/>
                    <w:jc w:val="center"/>
                    <w:rPr>
                      <w:rFonts w:hint="default" w:ascii="Times New Roman" w:hAnsi="Times New Roman" w:cs="Times New Roman"/>
                      <w:b/>
                      <w:bCs/>
                      <w:color w:val="auto"/>
                    </w:rPr>
                  </w:pPr>
                  <w:r>
                    <w:rPr>
                      <w:rFonts w:hint="default" w:ascii="Times New Roman" w:hAnsi="Times New Roman" w:cs="Times New Roman"/>
                      <w:b/>
                      <w:bCs/>
                      <w:color w:val="auto"/>
                    </w:rPr>
                    <w:t>用水标准</w:t>
                  </w:r>
                </w:p>
              </w:tc>
              <w:tc>
                <w:tcPr>
                  <w:tcW w:w="1052" w:type="dxa"/>
                  <w:vAlign w:val="center"/>
                </w:tcPr>
                <w:p>
                  <w:pPr>
                    <w:pStyle w:val="11"/>
                    <w:jc w:val="center"/>
                    <w:rPr>
                      <w:rFonts w:hint="default" w:ascii="Times New Roman" w:hAnsi="Times New Roman" w:cs="Times New Roman"/>
                      <w:b/>
                      <w:bCs/>
                      <w:color w:val="auto"/>
                    </w:rPr>
                  </w:pPr>
                  <w:r>
                    <w:rPr>
                      <w:rFonts w:hint="default" w:ascii="Times New Roman" w:hAnsi="Times New Roman" w:cs="Times New Roman"/>
                      <w:b/>
                      <w:bCs/>
                      <w:color w:val="auto"/>
                    </w:rPr>
                    <w:t>用水量</w:t>
                  </w:r>
                </w:p>
              </w:tc>
              <w:tc>
                <w:tcPr>
                  <w:tcW w:w="1343" w:type="dxa"/>
                  <w:vAlign w:val="center"/>
                </w:tcPr>
                <w:p>
                  <w:pPr>
                    <w:pStyle w:val="11"/>
                    <w:jc w:val="center"/>
                    <w:rPr>
                      <w:rFonts w:hint="default" w:ascii="Times New Roman" w:hAnsi="Times New Roman" w:cs="Times New Roman"/>
                      <w:b/>
                      <w:bCs/>
                      <w:color w:val="auto"/>
                    </w:rPr>
                  </w:pPr>
                  <w:r>
                    <w:rPr>
                      <w:rFonts w:hint="default" w:ascii="Times New Roman" w:hAnsi="Times New Roman" w:cs="Times New Roman"/>
                      <w:b/>
                      <w:bCs/>
                      <w:color w:val="auto"/>
                    </w:rPr>
                    <w:t>污水产生量</w:t>
                  </w:r>
                </w:p>
              </w:tc>
              <w:tc>
                <w:tcPr>
                  <w:tcW w:w="1753" w:type="dxa"/>
                  <w:vAlign w:val="center"/>
                </w:tcPr>
                <w:p>
                  <w:pPr>
                    <w:pStyle w:val="11"/>
                    <w:jc w:val="center"/>
                    <w:rPr>
                      <w:rFonts w:hint="default" w:ascii="Times New Roman" w:hAnsi="Times New Roman" w:cs="Times New Roman"/>
                      <w:b/>
                      <w:bCs/>
                      <w:color w:val="auto"/>
                    </w:rPr>
                  </w:pPr>
                  <w:r>
                    <w:rPr>
                      <w:rFonts w:hint="default" w:ascii="Times New Roman" w:hAnsi="Times New Roman" w:cs="Times New Roman"/>
                      <w:b/>
                      <w:bCs/>
                      <w:color w:val="auto"/>
                    </w:rPr>
                    <w:t>污水去向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98" w:hRule="atLeast"/>
                <w:jc w:val="center"/>
              </w:trPr>
              <w:tc>
                <w:tcPr>
                  <w:tcW w:w="584" w:type="dxa"/>
                  <w:vAlign w:val="center"/>
                </w:tcPr>
                <w:p>
                  <w:pPr>
                    <w:adjustRightInd w:val="0"/>
                    <w:snapToGrid w:val="0"/>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生活用水</w:t>
                  </w:r>
                </w:p>
              </w:tc>
              <w:tc>
                <w:tcPr>
                  <w:tcW w:w="1409" w:type="dxa"/>
                  <w:vAlign w:val="center"/>
                </w:tcPr>
                <w:p>
                  <w:pPr>
                    <w:adjustRightInd w:val="0"/>
                    <w:snapToGrid w:val="0"/>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办公用水</w:t>
                  </w:r>
                </w:p>
              </w:tc>
              <w:tc>
                <w:tcPr>
                  <w:tcW w:w="1212" w:type="dxa"/>
                  <w:vAlign w:val="center"/>
                </w:tcPr>
                <w:p>
                  <w:pPr>
                    <w:adjustRightInd w:val="0"/>
                    <w:snapToGrid w:val="0"/>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60人</w:t>
                  </w:r>
                </w:p>
              </w:tc>
              <w:tc>
                <w:tcPr>
                  <w:tcW w:w="1239" w:type="dxa"/>
                  <w:vAlign w:val="center"/>
                </w:tcPr>
                <w:p>
                  <w:pPr>
                    <w:adjustRightInd w:val="0"/>
                    <w:snapToGrid w:val="0"/>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19m</w:t>
                  </w:r>
                  <w:r>
                    <w:rPr>
                      <w:rFonts w:hint="default" w:ascii="Times New Roman" w:hAnsi="Times New Roman" w:cs="Times New Roman"/>
                      <w:bCs/>
                      <w:color w:val="auto"/>
                      <w:sz w:val="21"/>
                      <w:szCs w:val="21"/>
                      <w:vertAlign w:val="superscript"/>
                    </w:rPr>
                    <w:t>3</w:t>
                  </w:r>
                  <w:r>
                    <w:rPr>
                      <w:rFonts w:hint="default" w:ascii="Times New Roman" w:hAnsi="Times New Roman" w:cs="Times New Roman"/>
                      <w:bCs/>
                      <w:color w:val="auto"/>
                      <w:sz w:val="21"/>
                      <w:szCs w:val="21"/>
                    </w:rPr>
                    <w:t>/a</w:t>
                  </w:r>
                </w:p>
              </w:tc>
              <w:tc>
                <w:tcPr>
                  <w:tcW w:w="1052" w:type="dxa"/>
                  <w:vAlign w:val="center"/>
                </w:tcPr>
                <w:p>
                  <w:pPr>
                    <w:adjustRightInd w:val="0"/>
                    <w:snapToGrid w:val="0"/>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3.8m</w:t>
                  </w:r>
                  <w:r>
                    <w:rPr>
                      <w:rFonts w:hint="default" w:ascii="Times New Roman" w:hAnsi="Times New Roman" w:cs="Times New Roman"/>
                      <w:bCs/>
                      <w:color w:val="auto"/>
                      <w:sz w:val="21"/>
                      <w:szCs w:val="21"/>
                      <w:vertAlign w:val="superscript"/>
                    </w:rPr>
                    <w:t>3</w:t>
                  </w:r>
                  <w:r>
                    <w:rPr>
                      <w:rFonts w:hint="default" w:ascii="Times New Roman" w:hAnsi="Times New Roman" w:cs="Times New Roman"/>
                      <w:bCs/>
                      <w:color w:val="auto"/>
                      <w:sz w:val="21"/>
                      <w:szCs w:val="21"/>
                    </w:rPr>
                    <w:t>/d</w:t>
                  </w:r>
                </w:p>
              </w:tc>
              <w:tc>
                <w:tcPr>
                  <w:tcW w:w="1343" w:type="dxa"/>
                  <w:vAlign w:val="center"/>
                </w:tcPr>
                <w:p>
                  <w:pPr>
                    <w:adjustRightInd w:val="0"/>
                    <w:snapToGrid w:val="0"/>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3.23m</w:t>
                  </w:r>
                  <w:r>
                    <w:rPr>
                      <w:rFonts w:hint="default" w:ascii="Times New Roman" w:hAnsi="Times New Roman" w:cs="Times New Roman"/>
                      <w:bCs/>
                      <w:color w:val="auto"/>
                      <w:sz w:val="21"/>
                      <w:szCs w:val="21"/>
                      <w:vertAlign w:val="superscript"/>
                    </w:rPr>
                    <w:t>3</w:t>
                  </w:r>
                  <w:r>
                    <w:rPr>
                      <w:rFonts w:hint="default" w:ascii="Times New Roman" w:hAnsi="Times New Roman" w:cs="Times New Roman"/>
                      <w:bCs/>
                      <w:color w:val="auto"/>
                      <w:sz w:val="21"/>
                      <w:szCs w:val="21"/>
                    </w:rPr>
                    <w:t>/d</w:t>
                  </w:r>
                </w:p>
              </w:tc>
              <w:tc>
                <w:tcPr>
                  <w:tcW w:w="1753" w:type="dxa"/>
                  <w:vAlign w:val="center"/>
                </w:tcPr>
                <w:p>
                  <w:pPr>
                    <w:adjustRightInd w:val="0"/>
                    <w:snapToGrid w:val="0"/>
                    <w:spacing w:line="240" w:lineRule="auto"/>
                    <w:ind w:firstLine="0" w:firstLineChars="0"/>
                    <w:jc w:val="left"/>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经预处理池处理后排入园区污水管网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4" w:type="dxa"/>
                  <w:vMerge w:val="restart"/>
                  <w:vAlign w:val="center"/>
                </w:tcPr>
                <w:p>
                  <w:pPr>
                    <w:adjustRightInd w:val="0"/>
                    <w:snapToGrid w:val="0"/>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生产用水</w:t>
                  </w:r>
                </w:p>
              </w:tc>
              <w:tc>
                <w:tcPr>
                  <w:tcW w:w="1409" w:type="dxa"/>
                  <w:vAlign w:val="center"/>
                </w:tcPr>
                <w:p>
                  <w:pPr>
                    <w:adjustRightInd w:val="0"/>
                    <w:snapToGrid w:val="0"/>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冷却用水</w:t>
                  </w:r>
                </w:p>
                <w:p>
                  <w:pPr>
                    <w:adjustRightInd w:val="0"/>
                    <w:snapToGrid w:val="0"/>
                    <w:spacing w:line="240" w:lineRule="auto"/>
                    <w:ind w:firstLine="0" w:firstLineChars="0"/>
                    <w:jc w:val="center"/>
                    <w:rPr>
                      <w:rFonts w:hint="default" w:ascii="Times New Roman" w:hAnsi="Times New Roman" w:cs="Times New Roman"/>
                      <w:bCs/>
                      <w:color w:val="auto"/>
                      <w:sz w:val="21"/>
                      <w:szCs w:val="21"/>
                    </w:rPr>
                  </w:pPr>
                </w:p>
              </w:tc>
              <w:tc>
                <w:tcPr>
                  <w:tcW w:w="1212" w:type="dxa"/>
                  <w:vAlign w:val="center"/>
                </w:tcPr>
                <w:p>
                  <w:pPr>
                    <w:adjustRightInd w:val="0"/>
                    <w:snapToGrid w:val="0"/>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w:t>
                  </w:r>
                </w:p>
              </w:tc>
              <w:tc>
                <w:tcPr>
                  <w:tcW w:w="1239" w:type="dxa"/>
                  <w:vAlign w:val="center"/>
                </w:tcPr>
                <w:p>
                  <w:pPr>
                    <w:adjustRightInd w:val="0"/>
                    <w:snapToGrid w:val="0"/>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w:t>
                  </w:r>
                </w:p>
              </w:tc>
              <w:tc>
                <w:tcPr>
                  <w:tcW w:w="1052" w:type="dxa"/>
                  <w:vAlign w:val="center"/>
                </w:tcPr>
                <w:p>
                  <w:pPr>
                    <w:adjustRightInd w:val="0"/>
                    <w:snapToGrid w:val="0"/>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lang w:val="en-US" w:eastAsia="zh-CN"/>
                    </w:rPr>
                    <w:t>3</w:t>
                  </w:r>
                  <w:r>
                    <w:rPr>
                      <w:rFonts w:hint="default" w:ascii="Times New Roman" w:hAnsi="Times New Roman" w:cs="Times New Roman"/>
                      <w:bCs/>
                      <w:color w:val="auto"/>
                      <w:sz w:val="21"/>
                      <w:szCs w:val="21"/>
                    </w:rPr>
                    <w:t>.0m</w:t>
                  </w:r>
                  <w:r>
                    <w:rPr>
                      <w:rFonts w:hint="default" w:ascii="Times New Roman" w:hAnsi="Times New Roman" w:cs="Times New Roman"/>
                      <w:bCs/>
                      <w:color w:val="auto"/>
                      <w:sz w:val="21"/>
                      <w:szCs w:val="21"/>
                      <w:vertAlign w:val="superscript"/>
                    </w:rPr>
                    <w:t>3</w:t>
                  </w:r>
                  <w:r>
                    <w:rPr>
                      <w:rFonts w:hint="default" w:ascii="Times New Roman" w:hAnsi="Times New Roman" w:cs="Times New Roman"/>
                      <w:bCs/>
                      <w:color w:val="auto"/>
                      <w:sz w:val="21"/>
                      <w:szCs w:val="21"/>
                    </w:rPr>
                    <w:t>/d</w:t>
                  </w:r>
                </w:p>
              </w:tc>
              <w:tc>
                <w:tcPr>
                  <w:tcW w:w="1343" w:type="dxa"/>
                  <w:vAlign w:val="center"/>
                </w:tcPr>
                <w:p>
                  <w:pPr>
                    <w:adjustRightInd w:val="0"/>
                    <w:snapToGrid w:val="0"/>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0</w:t>
                  </w:r>
                </w:p>
              </w:tc>
              <w:tc>
                <w:tcPr>
                  <w:tcW w:w="1753" w:type="dxa"/>
                  <w:vAlign w:val="center"/>
                </w:tcPr>
                <w:p>
                  <w:pPr>
                    <w:adjustRightInd w:val="0"/>
                    <w:snapToGrid w:val="0"/>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蒸发、损耗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4" w:type="dxa"/>
                  <w:vMerge w:val="continue"/>
                  <w:vAlign w:val="center"/>
                </w:tcPr>
                <w:p>
                  <w:pPr>
                    <w:adjustRightInd w:val="0"/>
                    <w:snapToGrid w:val="0"/>
                    <w:spacing w:line="240" w:lineRule="auto"/>
                    <w:ind w:firstLine="0" w:firstLineChars="0"/>
                    <w:jc w:val="center"/>
                    <w:rPr>
                      <w:rFonts w:hint="default" w:ascii="Times New Roman" w:hAnsi="Times New Roman" w:cs="Times New Roman"/>
                      <w:bCs/>
                      <w:color w:val="auto"/>
                      <w:sz w:val="21"/>
                      <w:szCs w:val="21"/>
                    </w:rPr>
                  </w:pPr>
                </w:p>
              </w:tc>
              <w:tc>
                <w:tcPr>
                  <w:tcW w:w="1409" w:type="dxa"/>
                  <w:vAlign w:val="center"/>
                </w:tcPr>
                <w:p>
                  <w:pPr>
                    <w:adjustRightInd w:val="0"/>
                    <w:snapToGrid w:val="0"/>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清洗用水</w:t>
                  </w:r>
                </w:p>
              </w:tc>
              <w:tc>
                <w:tcPr>
                  <w:tcW w:w="1212" w:type="dxa"/>
                  <w:vAlign w:val="center"/>
                </w:tcPr>
                <w:p>
                  <w:pPr>
                    <w:adjustRightInd w:val="0"/>
                    <w:snapToGrid w:val="0"/>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w:t>
                  </w:r>
                </w:p>
              </w:tc>
              <w:tc>
                <w:tcPr>
                  <w:tcW w:w="1239" w:type="dxa"/>
                  <w:vAlign w:val="center"/>
                </w:tcPr>
                <w:p>
                  <w:pPr>
                    <w:adjustRightInd w:val="0"/>
                    <w:snapToGrid w:val="0"/>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w:t>
                  </w:r>
                </w:p>
              </w:tc>
              <w:tc>
                <w:tcPr>
                  <w:tcW w:w="1052" w:type="dxa"/>
                  <w:vAlign w:val="center"/>
                </w:tcPr>
                <w:p>
                  <w:pPr>
                    <w:adjustRightInd w:val="0"/>
                    <w:snapToGrid w:val="0"/>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lang w:val="en-US" w:eastAsia="zh-CN"/>
                    </w:rPr>
                    <w:t>5.7</w:t>
                  </w:r>
                  <w:r>
                    <w:rPr>
                      <w:rFonts w:hint="default" w:ascii="Times New Roman" w:hAnsi="Times New Roman" w:cs="Times New Roman"/>
                      <w:bCs/>
                      <w:color w:val="auto"/>
                      <w:sz w:val="21"/>
                      <w:szCs w:val="21"/>
                    </w:rPr>
                    <w:t>m</w:t>
                  </w:r>
                  <w:r>
                    <w:rPr>
                      <w:rFonts w:hint="default" w:ascii="Times New Roman" w:hAnsi="Times New Roman" w:cs="Times New Roman"/>
                      <w:bCs/>
                      <w:color w:val="auto"/>
                      <w:sz w:val="21"/>
                      <w:szCs w:val="21"/>
                      <w:vertAlign w:val="superscript"/>
                    </w:rPr>
                    <w:t>3</w:t>
                  </w:r>
                  <w:r>
                    <w:rPr>
                      <w:rFonts w:hint="default" w:ascii="Times New Roman" w:hAnsi="Times New Roman" w:cs="Times New Roman"/>
                      <w:bCs/>
                      <w:color w:val="auto"/>
                      <w:sz w:val="21"/>
                      <w:szCs w:val="21"/>
                    </w:rPr>
                    <w:t>/d</w:t>
                  </w:r>
                </w:p>
                <w:p>
                  <w:pPr>
                    <w:adjustRightInd w:val="0"/>
                    <w:snapToGrid w:val="0"/>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lang w:eastAsia="zh-CN"/>
                    </w:rPr>
                    <w:t>（</w:t>
                  </w:r>
                  <w:r>
                    <w:rPr>
                      <w:rFonts w:hint="default" w:ascii="Times New Roman" w:hAnsi="Times New Roman" w:cs="Times New Roman"/>
                      <w:bCs/>
                      <w:color w:val="auto"/>
                      <w:sz w:val="21"/>
                      <w:szCs w:val="21"/>
                      <w:lang w:val="en-US" w:eastAsia="zh-CN"/>
                    </w:rPr>
                    <w:t>循环水量32.1</w:t>
                  </w:r>
                  <w:r>
                    <w:rPr>
                      <w:rFonts w:hint="default" w:ascii="Times New Roman" w:hAnsi="Times New Roman" w:cs="Times New Roman"/>
                      <w:bCs/>
                      <w:color w:val="auto"/>
                      <w:sz w:val="21"/>
                      <w:szCs w:val="21"/>
                      <w:lang w:eastAsia="zh-CN"/>
                    </w:rPr>
                    <w:t>m</w:t>
                  </w:r>
                  <w:r>
                    <w:rPr>
                      <w:rFonts w:hint="default" w:ascii="Times New Roman" w:hAnsi="Times New Roman" w:cs="Times New Roman"/>
                      <w:bCs/>
                      <w:color w:val="auto"/>
                      <w:sz w:val="21"/>
                      <w:szCs w:val="21"/>
                      <w:vertAlign w:val="superscript"/>
                      <w:lang w:eastAsia="zh-CN"/>
                    </w:rPr>
                    <w:t>3</w:t>
                  </w:r>
                  <w:r>
                    <w:rPr>
                      <w:rFonts w:hint="default" w:ascii="Times New Roman" w:hAnsi="Times New Roman" w:cs="Times New Roman"/>
                      <w:bCs/>
                      <w:color w:val="auto"/>
                      <w:sz w:val="21"/>
                      <w:szCs w:val="21"/>
                      <w:lang w:eastAsia="zh-CN"/>
                    </w:rPr>
                    <w:t>/d）</w:t>
                  </w:r>
                </w:p>
              </w:tc>
              <w:tc>
                <w:tcPr>
                  <w:tcW w:w="1343" w:type="dxa"/>
                  <w:vAlign w:val="center"/>
                </w:tcPr>
                <w:p>
                  <w:pPr>
                    <w:adjustRightInd w:val="0"/>
                    <w:snapToGrid w:val="0"/>
                    <w:spacing w:line="240" w:lineRule="auto"/>
                    <w:ind w:firstLine="0" w:firstLineChars="0"/>
                    <w:jc w:val="center"/>
                    <w:rPr>
                      <w:rFonts w:hint="default" w:ascii="Times New Roman" w:hAnsi="Times New Roman" w:eastAsia="宋体" w:cs="Times New Roman"/>
                      <w:bCs/>
                      <w:color w:val="auto"/>
                      <w:sz w:val="21"/>
                      <w:szCs w:val="21"/>
                      <w:lang w:eastAsia="zh-CN"/>
                    </w:rPr>
                  </w:pPr>
                  <w:r>
                    <w:rPr>
                      <w:rFonts w:hint="default" w:ascii="Times New Roman" w:hAnsi="Times New Roman" w:cs="Times New Roman"/>
                      <w:bCs/>
                      <w:color w:val="auto"/>
                      <w:sz w:val="21"/>
                      <w:szCs w:val="21"/>
                      <w:lang w:val="en-US" w:eastAsia="zh-CN"/>
                    </w:rPr>
                    <w:t>0</w:t>
                  </w:r>
                </w:p>
              </w:tc>
              <w:tc>
                <w:tcPr>
                  <w:tcW w:w="1753" w:type="dxa"/>
                  <w:vAlign w:val="center"/>
                </w:tcPr>
                <w:p>
                  <w:pPr>
                    <w:adjustRightInd w:val="0"/>
                    <w:snapToGrid w:val="0"/>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lang w:val="en-US" w:eastAsia="zh-CN"/>
                    </w:rPr>
                    <w:t>经“格栅过滤+三级沉淀+气浮+压滤”处理后循环回用，不外排</w:t>
                  </w:r>
                </w:p>
              </w:tc>
            </w:tr>
          </w:tbl>
          <w:p>
            <w:pPr>
              <w:pStyle w:val="11"/>
              <w:bidi w:val="0"/>
              <w:rPr>
                <w:rFonts w:hint="default" w:ascii="Times New Roman" w:hAnsi="Times New Roman" w:cs="Times New Roman"/>
                <w:color w:val="auto"/>
              </w:rPr>
            </w:pPr>
          </w:p>
          <w:p>
            <w:pPr>
              <w:ind w:left="0" w:leftChars="0" w:firstLine="0" w:firstLineChars="0"/>
              <w:rPr>
                <w:rFonts w:hint="default" w:ascii="Times New Roman" w:hAnsi="Times New Roman" w:cs="Times New Roman"/>
                <w:b/>
                <w:bCs/>
                <w:color w:val="auto"/>
              </w:rPr>
            </w:pPr>
            <w:r>
              <w:rPr>
                <w:rFonts w:hint="default" w:ascii="Times New Roman" w:hAnsi="Times New Roman" w:cs="Times New Roman"/>
                <w:b/>
                <w:bCs/>
                <w:color w:val="auto"/>
              </w:rPr>
              <w:drawing>
                <wp:inline distT="0" distB="0" distL="114300" distR="114300">
                  <wp:extent cx="5399405" cy="3870960"/>
                  <wp:effectExtent l="0" t="0" r="10795" b="15240"/>
                  <wp:docPr id="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
                          <pic:cNvPicPr>
                            <a:picLocks noChangeAspect="1"/>
                          </pic:cNvPicPr>
                        </pic:nvPicPr>
                        <pic:blipFill>
                          <a:blip r:embed="rId20"/>
                          <a:stretch>
                            <a:fillRect/>
                          </a:stretch>
                        </pic:blipFill>
                        <pic:spPr>
                          <a:xfrm>
                            <a:off x="0" y="0"/>
                            <a:ext cx="5399405" cy="3870960"/>
                          </a:xfrm>
                          <a:prstGeom prst="rect">
                            <a:avLst/>
                          </a:prstGeom>
                          <a:noFill/>
                          <a:ln>
                            <a:noFill/>
                          </a:ln>
                        </pic:spPr>
                      </pic:pic>
                    </a:graphicData>
                  </a:graphic>
                </wp:inline>
              </w:drawing>
            </w:r>
          </w:p>
          <w:p>
            <w:pPr>
              <w:pStyle w:val="11"/>
              <w:bidi w:val="0"/>
              <w:jc w:val="center"/>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图 2-3     水平衡图</w:t>
            </w:r>
          </w:p>
          <w:p>
            <w:pPr>
              <w:ind w:firstLine="482"/>
              <w:rPr>
                <w:rFonts w:hint="default" w:ascii="Times New Roman" w:hAnsi="Times New Roman" w:cs="Times New Roman"/>
                <w:b/>
                <w:bCs/>
                <w:color w:val="auto"/>
              </w:rPr>
            </w:pPr>
          </w:p>
          <w:p>
            <w:pPr>
              <w:ind w:firstLine="482"/>
              <w:rPr>
                <w:rFonts w:hint="default" w:ascii="Times New Roman" w:hAnsi="Times New Roman" w:cs="Times New Roman"/>
                <w:b/>
                <w:bCs/>
                <w:color w:val="auto"/>
              </w:rPr>
            </w:pPr>
            <w:r>
              <w:rPr>
                <w:rFonts w:hint="default" w:ascii="Times New Roman" w:hAnsi="Times New Roman" w:cs="Times New Roman"/>
                <w:b/>
                <w:bCs/>
                <w:color w:val="auto"/>
              </w:rPr>
              <w:t>（三）物料平衡</w:t>
            </w:r>
          </w:p>
          <w:p>
            <w:pPr>
              <w:ind w:firstLine="480"/>
              <w:rPr>
                <w:rFonts w:hint="default" w:ascii="Times New Roman" w:hAnsi="Times New Roman" w:cs="Times New Roman"/>
                <w:color w:val="auto"/>
              </w:rPr>
            </w:pPr>
            <w:r>
              <w:rPr>
                <w:rFonts w:hint="default" w:ascii="Times New Roman" w:hAnsi="Times New Roman" w:cs="Times New Roman"/>
                <w:color w:val="auto"/>
              </w:rPr>
              <w:t>本项目的物料平衡表如下：</w:t>
            </w:r>
          </w:p>
          <w:p>
            <w:pPr>
              <w:pStyle w:val="11"/>
              <w:jc w:val="center"/>
              <w:rPr>
                <w:rFonts w:hint="default" w:ascii="Times New Roman" w:hAnsi="Times New Roman" w:cs="Times New Roman"/>
                <w:b/>
                <w:bCs/>
                <w:color w:val="auto"/>
              </w:rPr>
            </w:pPr>
            <w:r>
              <w:rPr>
                <w:rFonts w:hint="default" w:ascii="Times New Roman" w:hAnsi="Times New Roman" w:cs="Times New Roman"/>
                <w:b/>
                <w:bCs/>
                <w:color w:val="auto"/>
              </w:rPr>
              <w:t xml:space="preserve">表2-7   本项目物料平衡表 </w:t>
            </w:r>
          </w:p>
          <w:tbl>
            <w:tblPr>
              <w:tblStyle w:val="5"/>
              <w:tblW w:w="829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970"/>
              <w:gridCol w:w="1121"/>
              <w:gridCol w:w="3079"/>
              <w:gridCol w:w="1026"/>
              <w:gridCol w:w="1421"/>
              <w:gridCol w:w="68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2091" w:type="dxa"/>
                  <w:gridSpan w:val="2"/>
                  <w:vMerge w:val="restart"/>
                  <w:vAlign w:val="center"/>
                </w:tcPr>
                <w:p>
                  <w:pPr>
                    <w:pStyle w:val="11"/>
                    <w:jc w:val="center"/>
                    <w:rPr>
                      <w:rFonts w:hint="default" w:ascii="Times New Roman" w:hAnsi="Times New Roman" w:cs="Times New Roman"/>
                      <w:b/>
                      <w:bCs/>
                      <w:color w:val="auto"/>
                    </w:rPr>
                  </w:pPr>
                  <w:r>
                    <w:rPr>
                      <w:rFonts w:hint="default" w:ascii="Times New Roman" w:hAnsi="Times New Roman" w:cs="Times New Roman"/>
                      <w:b/>
                      <w:bCs/>
                      <w:color w:val="auto"/>
                    </w:rPr>
                    <w:t>投入</w:t>
                  </w:r>
                </w:p>
              </w:tc>
              <w:tc>
                <w:tcPr>
                  <w:tcW w:w="6206" w:type="dxa"/>
                  <w:gridSpan w:val="4"/>
                  <w:vAlign w:val="center"/>
                </w:tcPr>
                <w:p>
                  <w:pPr>
                    <w:pStyle w:val="11"/>
                    <w:jc w:val="center"/>
                    <w:rPr>
                      <w:rFonts w:hint="default" w:ascii="Times New Roman" w:hAnsi="Times New Roman" w:cs="Times New Roman"/>
                      <w:b/>
                      <w:bCs/>
                      <w:color w:val="auto"/>
                    </w:rPr>
                  </w:pPr>
                  <w:r>
                    <w:rPr>
                      <w:rFonts w:hint="default" w:ascii="Times New Roman" w:hAnsi="Times New Roman" w:cs="Times New Roman"/>
                      <w:b/>
                      <w:bCs/>
                      <w:color w:val="auto"/>
                    </w:rPr>
                    <w:t>产出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2091" w:type="dxa"/>
                  <w:gridSpan w:val="2"/>
                  <w:vMerge w:val="continue"/>
                  <w:vAlign w:val="center"/>
                </w:tcPr>
                <w:p>
                  <w:pPr>
                    <w:pStyle w:val="11"/>
                    <w:jc w:val="center"/>
                    <w:rPr>
                      <w:rFonts w:hint="default" w:ascii="Times New Roman" w:hAnsi="Times New Roman" w:cs="Times New Roman"/>
                      <w:b/>
                      <w:bCs/>
                      <w:color w:val="auto"/>
                    </w:rPr>
                  </w:pPr>
                </w:p>
              </w:tc>
              <w:tc>
                <w:tcPr>
                  <w:tcW w:w="3079" w:type="dxa"/>
                  <w:vMerge w:val="restart"/>
                  <w:vAlign w:val="center"/>
                </w:tcPr>
                <w:p>
                  <w:pPr>
                    <w:pStyle w:val="11"/>
                    <w:jc w:val="center"/>
                    <w:rPr>
                      <w:rFonts w:hint="default" w:ascii="Times New Roman" w:hAnsi="Times New Roman" w:cs="Times New Roman"/>
                      <w:b/>
                      <w:bCs/>
                      <w:color w:val="auto"/>
                    </w:rPr>
                  </w:pPr>
                  <w:r>
                    <w:rPr>
                      <w:rFonts w:hint="default" w:ascii="Times New Roman" w:hAnsi="Times New Roman" w:cs="Times New Roman"/>
                      <w:b/>
                      <w:bCs/>
                      <w:color w:val="auto"/>
                    </w:rPr>
                    <w:t>产品</w:t>
                  </w:r>
                </w:p>
              </w:tc>
              <w:tc>
                <w:tcPr>
                  <w:tcW w:w="3127" w:type="dxa"/>
                  <w:gridSpan w:val="3"/>
                  <w:vAlign w:val="center"/>
                </w:tcPr>
                <w:p>
                  <w:pPr>
                    <w:pStyle w:val="11"/>
                    <w:jc w:val="center"/>
                    <w:rPr>
                      <w:rFonts w:hint="default" w:ascii="Times New Roman" w:hAnsi="Times New Roman" w:cs="Times New Roman"/>
                      <w:b/>
                      <w:bCs/>
                      <w:color w:val="auto"/>
                    </w:rPr>
                  </w:pPr>
                  <w:r>
                    <w:rPr>
                      <w:rFonts w:hint="default" w:ascii="Times New Roman" w:hAnsi="Times New Roman" w:cs="Times New Roman"/>
                      <w:b/>
                      <w:bCs/>
                      <w:color w:val="auto"/>
                    </w:rPr>
                    <w:t>副产物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970" w:type="dxa"/>
                  <w:vAlign w:val="center"/>
                </w:tcPr>
                <w:p>
                  <w:pPr>
                    <w:pStyle w:val="11"/>
                    <w:tabs>
                      <w:tab w:val="left" w:pos="564"/>
                      <w:tab w:val="center" w:pos="1042"/>
                    </w:tabs>
                    <w:jc w:val="center"/>
                    <w:rPr>
                      <w:rFonts w:hint="default" w:ascii="Times New Roman" w:hAnsi="Times New Roman" w:cs="Times New Roman"/>
                      <w:b/>
                      <w:bCs/>
                      <w:color w:val="auto"/>
                    </w:rPr>
                  </w:pPr>
                  <w:r>
                    <w:rPr>
                      <w:rFonts w:hint="default" w:ascii="Times New Roman" w:hAnsi="Times New Roman" w:cs="Times New Roman"/>
                      <w:b/>
                      <w:bCs/>
                      <w:color w:val="auto"/>
                    </w:rPr>
                    <w:t>名称</w:t>
                  </w:r>
                </w:p>
              </w:tc>
              <w:tc>
                <w:tcPr>
                  <w:tcW w:w="1121" w:type="dxa"/>
                  <w:vAlign w:val="center"/>
                </w:tcPr>
                <w:p>
                  <w:pPr>
                    <w:pStyle w:val="11"/>
                    <w:jc w:val="center"/>
                    <w:rPr>
                      <w:rFonts w:hint="default" w:ascii="Times New Roman" w:hAnsi="Times New Roman" w:cs="Times New Roman"/>
                      <w:b/>
                      <w:bCs/>
                      <w:color w:val="auto"/>
                    </w:rPr>
                  </w:pPr>
                  <w:r>
                    <w:rPr>
                      <w:rFonts w:hint="default" w:ascii="Times New Roman" w:hAnsi="Times New Roman" w:cs="Times New Roman"/>
                      <w:b/>
                      <w:bCs/>
                      <w:color w:val="auto"/>
                    </w:rPr>
                    <w:t>用量</w:t>
                  </w:r>
                </w:p>
              </w:tc>
              <w:tc>
                <w:tcPr>
                  <w:tcW w:w="3079" w:type="dxa"/>
                  <w:vMerge w:val="continue"/>
                  <w:vAlign w:val="center"/>
                </w:tcPr>
                <w:p>
                  <w:pPr>
                    <w:pStyle w:val="11"/>
                    <w:jc w:val="center"/>
                    <w:rPr>
                      <w:rFonts w:hint="default" w:ascii="Times New Roman" w:hAnsi="Times New Roman" w:cs="Times New Roman"/>
                      <w:color w:val="auto"/>
                    </w:rPr>
                  </w:pPr>
                </w:p>
              </w:tc>
              <w:tc>
                <w:tcPr>
                  <w:tcW w:w="1026" w:type="dxa"/>
                  <w:vAlign w:val="center"/>
                </w:tcPr>
                <w:p>
                  <w:pPr>
                    <w:pStyle w:val="11"/>
                    <w:jc w:val="center"/>
                    <w:rPr>
                      <w:rFonts w:hint="default" w:ascii="Times New Roman" w:hAnsi="Times New Roman" w:cs="Times New Roman"/>
                      <w:b/>
                      <w:bCs/>
                      <w:color w:val="auto"/>
                    </w:rPr>
                  </w:pPr>
                  <w:r>
                    <w:rPr>
                      <w:rFonts w:hint="default" w:ascii="Times New Roman" w:hAnsi="Times New Roman" w:cs="Times New Roman"/>
                      <w:b/>
                      <w:bCs/>
                      <w:color w:val="auto"/>
                    </w:rPr>
                    <w:t>气态</w:t>
                  </w:r>
                </w:p>
              </w:tc>
              <w:tc>
                <w:tcPr>
                  <w:tcW w:w="1421" w:type="dxa"/>
                  <w:vAlign w:val="center"/>
                </w:tcPr>
                <w:p>
                  <w:pPr>
                    <w:pStyle w:val="11"/>
                    <w:jc w:val="center"/>
                    <w:rPr>
                      <w:rFonts w:hint="default" w:ascii="Times New Roman" w:hAnsi="Times New Roman" w:cs="Times New Roman"/>
                      <w:b/>
                      <w:bCs/>
                      <w:color w:val="auto"/>
                    </w:rPr>
                  </w:pPr>
                  <w:r>
                    <w:rPr>
                      <w:rFonts w:hint="default" w:ascii="Times New Roman" w:hAnsi="Times New Roman" w:cs="Times New Roman"/>
                      <w:b/>
                      <w:bCs/>
                      <w:color w:val="auto"/>
                    </w:rPr>
                    <w:t>固态</w:t>
                  </w:r>
                </w:p>
              </w:tc>
              <w:tc>
                <w:tcPr>
                  <w:tcW w:w="680" w:type="dxa"/>
                  <w:vAlign w:val="center"/>
                </w:tcPr>
                <w:p>
                  <w:pPr>
                    <w:pStyle w:val="11"/>
                    <w:jc w:val="center"/>
                    <w:rPr>
                      <w:rFonts w:hint="default" w:ascii="Times New Roman" w:hAnsi="Times New Roman" w:cs="Times New Roman"/>
                      <w:b/>
                      <w:bCs/>
                      <w:color w:val="auto"/>
                    </w:rPr>
                  </w:pPr>
                  <w:r>
                    <w:rPr>
                      <w:rFonts w:hint="default" w:ascii="Times New Roman" w:hAnsi="Times New Roman" w:cs="Times New Roman"/>
                      <w:b/>
                      <w:bCs/>
                      <w:color w:val="auto"/>
                    </w:rPr>
                    <w:t>液态</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51" w:hRule="atLeast"/>
                <w:jc w:val="center"/>
              </w:trPr>
              <w:tc>
                <w:tcPr>
                  <w:tcW w:w="970" w:type="dxa"/>
                  <w:vMerge w:val="restart"/>
                  <w:vAlign w:val="center"/>
                </w:tcPr>
                <w:p>
                  <w:pPr>
                    <w:pStyle w:val="11"/>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sz w:val="21"/>
                      <w:szCs w:val="21"/>
                      <w:lang w:val="en-US" w:eastAsia="zh-CN"/>
                    </w:rPr>
                    <w:t>PE农膜</w:t>
                  </w:r>
                </w:p>
              </w:tc>
              <w:tc>
                <w:tcPr>
                  <w:tcW w:w="1121" w:type="dxa"/>
                  <w:vMerge w:val="restart"/>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lang w:val="en-US" w:eastAsia="zh-CN"/>
                    </w:rPr>
                    <w:t>503</w:t>
                  </w:r>
                  <w:r>
                    <w:rPr>
                      <w:rFonts w:hint="default" w:ascii="Times New Roman" w:hAnsi="Times New Roman" w:cs="Times New Roman"/>
                      <w:color w:val="auto"/>
                    </w:rPr>
                    <w:t>0t/a</w:t>
                  </w:r>
                </w:p>
              </w:tc>
              <w:tc>
                <w:tcPr>
                  <w:tcW w:w="3079" w:type="dxa"/>
                  <w:vAlign w:val="center"/>
                </w:tcPr>
                <w:p>
                  <w:pPr>
                    <w:pStyle w:val="11"/>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PE</w:t>
                  </w:r>
                  <w:r>
                    <w:rPr>
                      <w:rFonts w:hint="default" w:ascii="Times New Roman" w:hAnsi="Times New Roman" w:cs="Times New Roman"/>
                      <w:color w:val="auto"/>
                    </w:rPr>
                    <w:t>再生料</w:t>
                  </w:r>
                  <w:r>
                    <w:rPr>
                      <w:rFonts w:hint="default" w:ascii="Times New Roman" w:hAnsi="Times New Roman" w:cs="Times New Roman"/>
                      <w:color w:val="auto"/>
                      <w:lang w:val="en-US" w:eastAsia="zh-CN"/>
                    </w:rPr>
                    <w:t>(一级)：4000</w:t>
                  </w:r>
                  <w:r>
                    <w:rPr>
                      <w:rFonts w:hint="default" w:ascii="Times New Roman" w:hAnsi="Times New Roman" w:cs="Times New Roman"/>
                      <w:color w:val="auto"/>
                    </w:rPr>
                    <w:t>t/a</w:t>
                  </w:r>
                </w:p>
              </w:tc>
              <w:tc>
                <w:tcPr>
                  <w:tcW w:w="1026" w:type="dxa"/>
                  <w:vMerge w:val="restart"/>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约</w:t>
                  </w:r>
                  <w:r>
                    <w:rPr>
                      <w:rFonts w:hint="default" w:ascii="Times New Roman" w:hAnsi="Times New Roman" w:cs="Times New Roman"/>
                      <w:color w:val="auto"/>
                      <w:lang w:val="en-US" w:eastAsia="zh-CN"/>
                    </w:rPr>
                    <w:t>2.64</w:t>
                  </w:r>
                  <w:r>
                    <w:rPr>
                      <w:rFonts w:hint="default" w:ascii="Times New Roman" w:hAnsi="Times New Roman" w:cs="Times New Roman"/>
                      <w:color w:val="auto"/>
                    </w:rPr>
                    <w:t>t/a</w:t>
                  </w:r>
                </w:p>
              </w:tc>
              <w:tc>
                <w:tcPr>
                  <w:tcW w:w="1421" w:type="dxa"/>
                  <w:vMerge w:val="restart"/>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不合格产品：</w:t>
                  </w:r>
                  <w:r>
                    <w:rPr>
                      <w:rFonts w:hint="default" w:ascii="Times New Roman" w:hAnsi="Times New Roman" w:cs="Times New Roman"/>
                      <w:color w:val="auto"/>
                      <w:lang w:val="en-US" w:eastAsia="zh-CN"/>
                    </w:rPr>
                    <w:t>7.36</w:t>
                  </w:r>
                  <w:r>
                    <w:rPr>
                      <w:rFonts w:hint="default" w:ascii="Times New Roman" w:hAnsi="Times New Roman" w:cs="Times New Roman"/>
                      <w:color w:val="auto"/>
                    </w:rPr>
                    <w:t>t/a</w:t>
                  </w:r>
                </w:p>
              </w:tc>
              <w:tc>
                <w:tcPr>
                  <w:tcW w:w="680" w:type="dxa"/>
                  <w:vMerge w:val="restart"/>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51" w:hRule="atLeast"/>
                <w:jc w:val="center"/>
              </w:trPr>
              <w:tc>
                <w:tcPr>
                  <w:tcW w:w="970" w:type="dxa"/>
                  <w:vMerge w:val="continue"/>
                  <w:vAlign w:val="center"/>
                </w:tcPr>
                <w:p>
                  <w:pPr>
                    <w:pStyle w:val="11"/>
                    <w:jc w:val="center"/>
                    <w:rPr>
                      <w:rFonts w:hint="default" w:ascii="Times New Roman" w:hAnsi="Times New Roman" w:cs="Times New Roman"/>
                    </w:rPr>
                  </w:pPr>
                </w:p>
              </w:tc>
              <w:tc>
                <w:tcPr>
                  <w:tcW w:w="1121" w:type="dxa"/>
                  <w:vMerge w:val="continue"/>
                  <w:vAlign w:val="center"/>
                </w:tcPr>
                <w:p>
                  <w:pPr>
                    <w:pStyle w:val="11"/>
                    <w:jc w:val="center"/>
                    <w:rPr>
                      <w:rFonts w:hint="default" w:ascii="Times New Roman" w:hAnsi="Times New Roman" w:cs="Times New Roman"/>
                    </w:rPr>
                  </w:pPr>
                </w:p>
              </w:tc>
              <w:tc>
                <w:tcPr>
                  <w:tcW w:w="3079"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lang w:val="en-US" w:eastAsia="zh-CN"/>
                    </w:rPr>
                    <w:t>PE</w:t>
                  </w:r>
                  <w:r>
                    <w:rPr>
                      <w:rFonts w:hint="default" w:ascii="Times New Roman" w:hAnsi="Times New Roman" w:cs="Times New Roman"/>
                      <w:color w:val="auto"/>
                    </w:rPr>
                    <w:t>再生料</w:t>
                  </w:r>
                  <w:r>
                    <w:rPr>
                      <w:rFonts w:hint="default" w:ascii="Times New Roman" w:hAnsi="Times New Roman" w:cs="Times New Roman"/>
                      <w:color w:val="auto"/>
                      <w:lang w:val="en-US" w:eastAsia="zh-CN"/>
                    </w:rPr>
                    <w:t>(二级)：1000</w:t>
                  </w:r>
                  <w:r>
                    <w:rPr>
                      <w:rFonts w:hint="default" w:ascii="Times New Roman" w:hAnsi="Times New Roman" w:cs="Times New Roman"/>
                      <w:color w:val="auto"/>
                    </w:rPr>
                    <w:t>t/a</w:t>
                  </w:r>
                </w:p>
              </w:tc>
              <w:tc>
                <w:tcPr>
                  <w:tcW w:w="1026" w:type="dxa"/>
                  <w:vMerge w:val="continue"/>
                  <w:vAlign w:val="center"/>
                </w:tcPr>
                <w:p>
                  <w:pPr>
                    <w:pStyle w:val="11"/>
                    <w:jc w:val="center"/>
                    <w:rPr>
                      <w:rFonts w:hint="default" w:ascii="Times New Roman" w:hAnsi="Times New Roman" w:cs="Times New Roman"/>
                      <w:color w:val="auto"/>
                    </w:rPr>
                  </w:pPr>
                </w:p>
              </w:tc>
              <w:tc>
                <w:tcPr>
                  <w:tcW w:w="1421" w:type="dxa"/>
                  <w:vMerge w:val="continue"/>
                  <w:vAlign w:val="center"/>
                </w:tcPr>
                <w:p>
                  <w:pPr>
                    <w:pStyle w:val="11"/>
                    <w:jc w:val="center"/>
                    <w:rPr>
                      <w:rFonts w:hint="default" w:ascii="Times New Roman" w:hAnsi="Times New Roman" w:cs="Times New Roman"/>
                      <w:color w:val="auto"/>
                    </w:rPr>
                  </w:pPr>
                </w:p>
              </w:tc>
              <w:tc>
                <w:tcPr>
                  <w:tcW w:w="680" w:type="dxa"/>
                  <w:vMerge w:val="continue"/>
                  <w:vAlign w:val="center"/>
                </w:tcPr>
                <w:p>
                  <w:pPr>
                    <w:pStyle w:val="11"/>
                    <w:jc w:val="center"/>
                    <w:rPr>
                      <w:rFonts w:hint="default" w:ascii="Times New Roman" w:hAnsi="Times New Roman" w:cs="Times New Roman"/>
                      <w:color w:va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67" w:hRule="atLeast"/>
                <w:jc w:val="center"/>
              </w:trPr>
              <w:tc>
                <w:tcPr>
                  <w:tcW w:w="970" w:type="dxa"/>
                  <w:vMerge w:val="restart"/>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sz w:val="21"/>
                      <w:szCs w:val="21"/>
                      <w:lang w:val="en-US" w:eastAsia="zh-CN"/>
                    </w:rPr>
                    <w:t>PP农膜</w:t>
                  </w:r>
                </w:p>
              </w:tc>
              <w:tc>
                <w:tcPr>
                  <w:tcW w:w="1121" w:type="dxa"/>
                  <w:vMerge w:val="restart"/>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lang w:val="en-US" w:eastAsia="zh-CN"/>
                    </w:rPr>
                    <w:t>252</w:t>
                  </w:r>
                  <w:r>
                    <w:rPr>
                      <w:rFonts w:hint="default" w:ascii="Times New Roman" w:hAnsi="Times New Roman" w:cs="Times New Roman"/>
                      <w:color w:val="auto"/>
                    </w:rPr>
                    <w:t>0t/a</w:t>
                  </w:r>
                </w:p>
              </w:tc>
              <w:tc>
                <w:tcPr>
                  <w:tcW w:w="3079"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lang w:val="en-US" w:eastAsia="zh-CN"/>
                    </w:rPr>
                    <w:t>PP</w:t>
                  </w:r>
                  <w:r>
                    <w:rPr>
                      <w:rFonts w:hint="default" w:ascii="Times New Roman" w:hAnsi="Times New Roman" w:cs="Times New Roman"/>
                      <w:color w:val="auto"/>
                    </w:rPr>
                    <w:t>再生料</w:t>
                  </w:r>
                  <w:r>
                    <w:rPr>
                      <w:rFonts w:hint="default" w:ascii="Times New Roman" w:hAnsi="Times New Roman" w:cs="Times New Roman"/>
                      <w:color w:val="auto"/>
                      <w:lang w:val="en-US" w:eastAsia="zh-CN"/>
                    </w:rPr>
                    <w:t>(一级)：2000</w:t>
                  </w:r>
                  <w:r>
                    <w:rPr>
                      <w:rFonts w:hint="default" w:ascii="Times New Roman" w:hAnsi="Times New Roman" w:cs="Times New Roman"/>
                      <w:color w:val="auto"/>
                    </w:rPr>
                    <w:t>t/a</w:t>
                  </w:r>
                </w:p>
              </w:tc>
              <w:tc>
                <w:tcPr>
                  <w:tcW w:w="1026" w:type="dxa"/>
                  <w:vMerge w:val="restart"/>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w:t>
                  </w:r>
                </w:p>
              </w:tc>
              <w:tc>
                <w:tcPr>
                  <w:tcW w:w="1421" w:type="dxa"/>
                  <w:vMerge w:val="restart"/>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含泥沙杂质：约</w:t>
                  </w:r>
                  <w:r>
                    <w:rPr>
                      <w:rFonts w:hint="default" w:ascii="Times New Roman" w:hAnsi="Times New Roman" w:cs="Times New Roman"/>
                      <w:color w:val="auto"/>
                      <w:lang w:val="en-US" w:eastAsia="zh-CN"/>
                    </w:rPr>
                    <w:t>40</w:t>
                  </w:r>
                  <w:r>
                    <w:rPr>
                      <w:rFonts w:hint="default" w:ascii="Times New Roman" w:hAnsi="Times New Roman" w:cs="Times New Roman"/>
                      <w:color w:val="auto"/>
                    </w:rPr>
                    <w:t>t/a</w:t>
                  </w:r>
                </w:p>
              </w:tc>
              <w:tc>
                <w:tcPr>
                  <w:tcW w:w="680" w:type="dxa"/>
                  <w:vMerge w:val="restart"/>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67" w:hRule="atLeast"/>
                <w:jc w:val="center"/>
              </w:trPr>
              <w:tc>
                <w:tcPr>
                  <w:tcW w:w="970" w:type="dxa"/>
                  <w:vMerge w:val="continue"/>
                  <w:vAlign w:val="center"/>
                </w:tcPr>
                <w:p>
                  <w:pPr>
                    <w:pStyle w:val="11"/>
                    <w:jc w:val="center"/>
                    <w:rPr>
                      <w:rFonts w:hint="default" w:ascii="Times New Roman" w:hAnsi="Times New Roman" w:cs="Times New Roman"/>
                    </w:rPr>
                  </w:pPr>
                </w:p>
              </w:tc>
              <w:tc>
                <w:tcPr>
                  <w:tcW w:w="1121" w:type="dxa"/>
                  <w:vMerge w:val="continue"/>
                  <w:vAlign w:val="center"/>
                </w:tcPr>
                <w:p>
                  <w:pPr>
                    <w:pStyle w:val="11"/>
                    <w:jc w:val="center"/>
                    <w:rPr>
                      <w:rFonts w:hint="default" w:ascii="Times New Roman" w:hAnsi="Times New Roman" w:cs="Times New Roman"/>
                    </w:rPr>
                  </w:pPr>
                </w:p>
              </w:tc>
              <w:tc>
                <w:tcPr>
                  <w:tcW w:w="3079"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lang w:val="en-US" w:eastAsia="zh-CN"/>
                    </w:rPr>
                    <w:t>PP</w:t>
                  </w:r>
                  <w:r>
                    <w:rPr>
                      <w:rFonts w:hint="default" w:ascii="Times New Roman" w:hAnsi="Times New Roman" w:cs="Times New Roman"/>
                      <w:color w:val="auto"/>
                    </w:rPr>
                    <w:t>再生料</w:t>
                  </w:r>
                  <w:r>
                    <w:rPr>
                      <w:rFonts w:hint="default" w:ascii="Times New Roman" w:hAnsi="Times New Roman" w:cs="Times New Roman"/>
                      <w:color w:val="auto"/>
                      <w:lang w:val="en-US" w:eastAsia="zh-CN"/>
                    </w:rPr>
                    <w:t>(二级)：500</w:t>
                  </w:r>
                  <w:r>
                    <w:rPr>
                      <w:rFonts w:hint="default" w:ascii="Times New Roman" w:hAnsi="Times New Roman" w:cs="Times New Roman"/>
                      <w:color w:val="auto"/>
                    </w:rPr>
                    <w:t>t/a</w:t>
                  </w:r>
                </w:p>
              </w:tc>
              <w:tc>
                <w:tcPr>
                  <w:tcW w:w="1026" w:type="dxa"/>
                  <w:vMerge w:val="continue"/>
                  <w:vAlign w:val="center"/>
                </w:tcPr>
                <w:p>
                  <w:pPr>
                    <w:pStyle w:val="11"/>
                    <w:jc w:val="center"/>
                    <w:rPr>
                      <w:rFonts w:hint="default" w:ascii="Times New Roman" w:hAnsi="Times New Roman" w:cs="Times New Roman"/>
                      <w:color w:val="auto"/>
                    </w:rPr>
                  </w:pPr>
                </w:p>
              </w:tc>
              <w:tc>
                <w:tcPr>
                  <w:tcW w:w="1421" w:type="dxa"/>
                  <w:vMerge w:val="continue"/>
                  <w:vAlign w:val="center"/>
                </w:tcPr>
                <w:p>
                  <w:pPr>
                    <w:pStyle w:val="11"/>
                    <w:jc w:val="center"/>
                    <w:rPr>
                      <w:rFonts w:hint="default" w:ascii="Times New Roman" w:hAnsi="Times New Roman" w:cs="Times New Roman"/>
                      <w:color w:val="auto"/>
                    </w:rPr>
                  </w:pPr>
                </w:p>
              </w:tc>
              <w:tc>
                <w:tcPr>
                  <w:tcW w:w="680" w:type="dxa"/>
                  <w:vMerge w:val="continue"/>
                  <w:vAlign w:val="center"/>
                </w:tcPr>
                <w:p>
                  <w:pPr>
                    <w:pStyle w:val="11"/>
                    <w:jc w:val="center"/>
                    <w:rPr>
                      <w:rFonts w:hint="default" w:ascii="Times New Roman" w:hAnsi="Times New Roman" w:cs="Times New Roman"/>
                      <w:color w:va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2091" w:type="dxa"/>
                  <w:gridSpan w:val="2"/>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合计：</w:t>
                  </w:r>
                  <w:r>
                    <w:rPr>
                      <w:rFonts w:hint="default" w:ascii="Times New Roman" w:hAnsi="Times New Roman" w:cs="Times New Roman"/>
                      <w:color w:val="auto"/>
                      <w:lang w:val="en-US" w:eastAsia="zh-CN"/>
                    </w:rPr>
                    <w:t>7</w:t>
                  </w:r>
                  <w:r>
                    <w:rPr>
                      <w:rFonts w:hint="default" w:ascii="Times New Roman" w:hAnsi="Times New Roman" w:cs="Times New Roman"/>
                      <w:color w:val="auto"/>
                    </w:rPr>
                    <w:t>0</w:t>
                  </w:r>
                  <w:r>
                    <w:rPr>
                      <w:rFonts w:hint="default" w:ascii="Times New Roman" w:hAnsi="Times New Roman" w:cs="Times New Roman"/>
                      <w:color w:val="auto"/>
                      <w:lang w:val="en-US" w:eastAsia="zh-CN"/>
                    </w:rPr>
                    <w:t>5</w:t>
                  </w:r>
                  <w:r>
                    <w:rPr>
                      <w:rFonts w:hint="default" w:ascii="Times New Roman" w:hAnsi="Times New Roman" w:cs="Times New Roman"/>
                      <w:color w:val="auto"/>
                    </w:rPr>
                    <w:t>0t/a</w:t>
                  </w:r>
                </w:p>
              </w:tc>
              <w:tc>
                <w:tcPr>
                  <w:tcW w:w="6206" w:type="dxa"/>
                  <w:gridSpan w:val="4"/>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合计：</w:t>
                  </w:r>
                  <w:r>
                    <w:rPr>
                      <w:rFonts w:hint="default" w:ascii="Times New Roman" w:hAnsi="Times New Roman" w:cs="Times New Roman"/>
                      <w:color w:val="auto"/>
                      <w:lang w:val="en-US" w:eastAsia="zh-CN"/>
                    </w:rPr>
                    <w:t>705</w:t>
                  </w:r>
                  <w:r>
                    <w:rPr>
                      <w:rFonts w:hint="default" w:ascii="Times New Roman" w:hAnsi="Times New Roman" w:cs="Times New Roman"/>
                      <w:color w:val="auto"/>
                    </w:rPr>
                    <w:t>0t/a</w:t>
                  </w:r>
                </w:p>
              </w:tc>
            </w:tr>
          </w:tbl>
          <w:p>
            <w:pPr>
              <w:pStyle w:val="11"/>
              <w:jc w:val="center"/>
              <w:rPr>
                <w:rFonts w:hint="default" w:ascii="Times New Roman" w:hAnsi="Times New Roman" w:cs="Times New Roman"/>
                <w:b/>
                <w:bCs/>
                <w:color w:val="auto"/>
              </w:rPr>
            </w:pPr>
          </w:p>
          <w:p>
            <w:pPr>
              <w:pStyle w:val="11"/>
              <w:jc w:val="center"/>
              <w:rPr>
                <w:rFonts w:hint="default" w:ascii="Times New Roman" w:hAnsi="Times New Roman" w:cs="Times New Roman"/>
                <w:b/>
                <w:bCs/>
                <w:color w:val="auto"/>
              </w:rPr>
            </w:pPr>
          </w:p>
          <w:p>
            <w:pPr>
              <w:pStyle w:val="11"/>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表2-</w:t>
            </w:r>
            <w:r>
              <w:rPr>
                <w:rFonts w:hint="default" w:ascii="Times New Roman" w:hAnsi="Times New Roman" w:cs="Times New Roman"/>
                <w:b/>
                <w:bCs/>
                <w:color w:val="auto"/>
                <w:sz w:val="21"/>
                <w:szCs w:val="21"/>
                <w:lang w:val="en-US" w:eastAsia="zh-CN"/>
              </w:rPr>
              <w:t>8</w:t>
            </w:r>
            <w:r>
              <w:rPr>
                <w:rFonts w:hint="default" w:ascii="Times New Roman" w:hAnsi="Times New Roman" w:cs="Times New Roman"/>
                <w:b/>
                <w:bCs/>
                <w:color w:val="auto"/>
                <w:sz w:val="21"/>
                <w:szCs w:val="21"/>
              </w:rPr>
              <w:t xml:space="preserve">   本项目</w:t>
            </w:r>
            <w:r>
              <w:rPr>
                <w:rFonts w:hint="default" w:ascii="Times New Roman" w:hAnsi="Times New Roman" w:cs="Times New Roman"/>
                <w:b/>
                <w:bCs/>
                <w:color w:val="auto"/>
                <w:sz w:val="21"/>
                <w:szCs w:val="21"/>
                <w:lang w:val="en-US" w:eastAsia="zh-CN"/>
              </w:rPr>
              <w:t>VOC</w:t>
            </w:r>
            <w:r>
              <w:rPr>
                <w:rFonts w:hint="default" w:ascii="Times New Roman" w:hAnsi="Times New Roman" w:cs="Times New Roman"/>
                <w:b/>
                <w:bCs/>
                <w:color w:val="auto"/>
                <w:sz w:val="21"/>
                <w:szCs w:val="21"/>
              </w:rPr>
              <w:t xml:space="preserve">平衡表 </w:t>
            </w:r>
          </w:p>
          <w:tbl>
            <w:tblPr>
              <w:tblStyle w:val="5"/>
              <w:tblW w:w="834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2069"/>
              <w:gridCol w:w="1215"/>
              <w:gridCol w:w="1722"/>
              <w:gridCol w:w="1873"/>
              <w:gridCol w:w="147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3284" w:type="dxa"/>
                  <w:gridSpan w:val="2"/>
                  <w:vMerge w:val="restart"/>
                  <w:vAlign w:val="center"/>
                </w:tcPr>
                <w:p>
                  <w:pPr>
                    <w:pStyle w:val="11"/>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产生量</w:t>
                  </w:r>
                </w:p>
              </w:tc>
              <w:tc>
                <w:tcPr>
                  <w:tcW w:w="5065" w:type="dxa"/>
                  <w:gridSpan w:val="3"/>
                  <w:vAlign w:val="center"/>
                </w:tcPr>
                <w:p>
                  <w:pPr>
                    <w:pStyle w:val="11"/>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产出量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3284" w:type="dxa"/>
                  <w:gridSpan w:val="2"/>
                  <w:vMerge w:val="continue"/>
                  <w:vAlign w:val="center"/>
                </w:tcPr>
                <w:p>
                  <w:pPr>
                    <w:pStyle w:val="11"/>
                    <w:jc w:val="center"/>
                    <w:rPr>
                      <w:rFonts w:hint="default" w:ascii="Times New Roman" w:hAnsi="Times New Roman" w:cs="Times New Roman"/>
                      <w:b/>
                      <w:bCs/>
                      <w:color w:val="auto"/>
                      <w:sz w:val="21"/>
                      <w:szCs w:val="21"/>
                      <w:lang w:val="en-US" w:eastAsia="zh-CN"/>
                    </w:rPr>
                  </w:pPr>
                </w:p>
              </w:tc>
              <w:tc>
                <w:tcPr>
                  <w:tcW w:w="3595" w:type="dxa"/>
                  <w:gridSpan w:val="2"/>
                  <w:vAlign w:val="center"/>
                </w:tcPr>
                <w:p>
                  <w:pPr>
                    <w:pStyle w:val="11"/>
                    <w:jc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rPr>
                    <w:t>有组织</w:t>
                  </w:r>
                </w:p>
              </w:tc>
              <w:tc>
                <w:tcPr>
                  <w:tcW w:w="1470" w:type="dxa"/>
                  <w:vAlign w:val="center"/>
                </w:tcPr>
                <w:p>
                  <w:pPr>
                    <w:pStyle w:val="11"/>
                    <w:jc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rPr>
                    <w:t>无组织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2069" w:type="dxa"/>
                  <w:vAlign w:val="center"/>
                </w:tcPr>
                <w:p>
                  <w:pPr>
                    <w:pStyle w:val="11"/>
                    <w:tabs>
                      <w:tab w:val="left" w:pos="564"/>
                      <w:tab w:val="center" w:pos="1042"/>
                    </w:tabs>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ab/>
                  </w:r>
                  <w:r>
                    <w:rPr>
                      <w:rFonts w:hint="default" w:ascii="Times New Roman" w:hAnsi="Times New Roman" w:cs="Times New Roman"/>
                      <w:b/>
                      <w:bCs/>
                      <w:color w:val="auto"/>
                      <w:sz w:val="21"/>
                      <w:szCs w:val="21"/>
                    </w:rPr>
                    <w:tab/>
                  </w:r>
                  <w:r>
                    <w:rPr>
                      <w:rFonts w:hint="default" w:ascii="Times New Roman" w:hAnsi="Times New Roman" w:cs="Times New Roman"/>
                      <w:b/>
                      <w:bCs/>
                      <w:color w:val="auto"/>
                      <w:sz w:val="21"/>
                      <w:szCs w:val="21"/>
                    </w:rPr>
                    <w:t>名称</w:t>
                  </w:r>
                </w:p>
              </w:tc>
              <w:tc>
                <w:tcPr>
                  <w:tcW w:w="1215" w:type="dxa"/>
                  <w:vAlign w:val="center"/>
                </w:tcPr>
                <w:p>
                  <w:pPr>
                    <w:pStyle w:val="11"/>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用量</w:t>
                  </w:r>
                </w:p>
              </w:tc>
              <w:tc>
                <w:tcPr>
                  <w:tcW w:w="1722" w:type="dxa"/>
                  <w:vAlign w:val="center"/>
                </w:tcPr>
                <w:p>
                  <w:pPr>
                    <w:pStyle w:val="11"/>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活性炭吸附量</w:t>
                  </w:r>
                </w:p>
              </w:tc>
              <w:tc>
                <w:tcPr>
                  <w:tcW w:w="1873" w:type="dxa"/>
                  <w:vAlign w:val="center"/>
                </w:tcPr>
                <w:p>
                  <w:pPr>
                    <w:pStyle w:val="11"/>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有组织排放量</w:t>
                  </w:r>
                </w:p>
              </w:tc>
              <w:tc>
                <w:tcPr>
                  <w:tcW w:w="1470" w:type="dxa"/>
                  <w:vAlign w:val="center"/>
                </w:tcPr>
                <w:p>
                  <w:pPr>
                    <w:pStyle w:val="11"/>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无组织排放量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2069" w:type="dxa"/>
                  <w:vAlign w:val="center"/>
                </w:tcPr>
                <w:p>
                  <w:pPr>
                    <w:pStyle w:val="11"/>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b/>
                      <w:bCs/>
                      <w:color w:val="auto"/>
                      <w:sz w:val="21"/>
                      <w:szCs w:val="21"/>
                    </w:rPr>
                    <w:t>造粒废气（G</w:t>
                  </w:r>
                  <w:r>
                    <w:rPr>
                      <w:rFonts w:hint="default" w:ascii="Times New Roman" w:hAnsi="Times New Roman" w:cs="Times New Roman"/>
                      <w:b/>
                      <w:bCs/>
                      <w:color w:val="auto"/>
                      <w:sz w:val="21"/>
                      <w:szCs w:val="21"/>
                      <w:vertAlign w:val="subscript"/>
                      <w:lang w:val="en-US" w:eastAsia="zh-CN"/>
                    </w:rPr>
                    <w:t>1</w:t>
                  </w:r>
                  <w:r>
                    <w:rPr>
                      <w:rFonts w:hint="default" w:ascii="Times New Roman" w:hAnsi="Times New Roman" w:cs="Times New Roman"/>
                      <w:b/>
                      <w:bCs/>
                      <w:color w:val="auto"/>
                      <w:sz w:val="21"/>
                      <w:szCs w:val="21"/>
                    </w:rPr>
                    <w:t>）</w:t>
                  </w:r>
                </w:p>
              </w:tc>
              <w:tc>
                <w:tcPr>
                  <w:tcW w:w="1215" w:type="dxa"/>
                  <w:vAlign w:val="center"/>
                </w:tcPr>
                <w:p>
                  <w:pPr>
                    <w:pStyle w:val="11"/>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2.64</w:t>
                  </w:r>
                  <w:r>
                    <w:rPr>
                      <w:rFonts w:hint="default" w:ascii="Times New Roman" w:hAnsi="Times New Roman" w:cs="Times New Roman"/>
                      <w:color w:val="auto"/>
                      <w:sz w:val="21"/>
                      <w:szCs w:val="21"/>
                    </w:rPr>
                    <w:t>t/a</w:t>
                  </w:r>
                </w:p>
              </w:tc>
              <w:tc>
                <w:tcPr>
                  <w:tcW w:w="1722" w:type="dxa"/>
                  <w:vAlign w:val="center"/>
                </w:tcPr>
                <w:p>
                  <w:pPr>
                    <w:pStyle w:val="11"/>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1.67</w:t>
                  </w:r>
                  <w:r>
                    <w:rPr>
                      <w:rFonts w:hint="default" w:ascii="Times New Roman" w:hAnsi="Times New Roman" w:cs="Times New Roman"/>
                      <w:color w:val="auto"/>
                      <w:sz w:val="21"/>
                      <w:szCs w:val="21"/>
                    </w:rPr>
                    <w:t>t/a</w:t>
                  </w:r>
                </w:p>
              </w:tc>
              <w:tc>
                <w:tcPr>
                  <w:tcW w:w="1873" w:type="dxa"/>
                  <w:vAlign w:val="center"/>
                </w:tcPr>
                <w:p>
                  <w:pPr>
                    <w:pStyle w:val="11"/>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r>
                    <w:rPr>
                      <w:rFonts w:hint="default" w:ascii="Times New Roman" w:hAnsi="Times New Roman" w:cs="Times New Roman"/>
                      <w:color w:val="auto"/>
                      <w:sz w:val="21"/>
                      <w:szCs w:val="21"/>
                      <w:lang w:val="en-US" w:eastAsia="zh-CN"/>
                    </w:rPr>
                    <w:t>71</w:t>
                  </w:r>
                  <w:r>
                    <w:rPr>
                      <w:rFonts w:hint="default" w:ascii="Times New Roman" w:hAnsi="Times New Roman" w:cs="Times New Roman"/>
                      <w:color w:val="auto"/>
                      <w:sz w:val="21"/>
                      <w:szCs w:val="21"/>
                    </w:rPr>
                    <w:t>t/a</w:t>
                  </w:r>
                </w:p>
              </w:tc>
              <w:tc>
                <w:tcPr>
                  <w:tcW w:w="1470" w:type="dxa"/>
                  <w:vAlign w:val="center"/>
                </w:tcPr>
                <w:p>
                  <w:pPr>
                    <w:pStyle w:val="11"/>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r>
                    <w:rPr>
                      <w:rFonts w:hint="default" w:ascii="Times New Roman" w:hAnsi="Times New Roman" w:cs="Times New Roman"/>
                      <w:color w:val="auto"/>
                      <w:sz w:val="21"/>
                      <w:szCs w:val="21"/>
                      <w:lang w:val="en-US" w:eastAsia="zh-CN"/>
                    </w:rPr>
                    <w:t>26</w:t>
                  </w:r>
                  <w:r>
                    <w:rPr>
                      <w:rFonts w:hint="default" w:ascii="Times New Roman" w:hAnsi="Times New Roman" w:cs="Times New Roman"/>
                      <w:color w:val="auto"/>
                      <w:sz w:val="21"/>
                      <w:szCs w:val="21"/>
                    </w:rPr>
                    <w:t>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3284" w:type="dxa"/>
                  <w:gridSpan w:val="2"/>
                  <w:vAlign w:val="center"/>
                </w:tcPr>
                <w:p>
                  <w:pPr>
                    <w:pStyle w:val="11"/>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合计：</w:t>
                  </w:r>
                  <w:r>
                    <w:rPr>
                      <w:rFonts w:hint="default" w:ascii="Times New Roman" w:hAnsi="Times New Roman" w:cs="Times New Roman"/>
                      <w:color w:val="auto"/>
                      <w:sz w:val="21"/>
                      <w:szCs w:val="21"/>
                      <w:lang w:val="en-US" w:eastAsia="zh-CN"/>
                    </w:rPr>
                    <w:t>2.64</w:t>
                  </w:r>
                  <w:r>
                    <w:rPr>
                      <w:rFonts w:hint="default" w:ascii="Times New Roman" w:hAnsi="Times New Roman" w:cs="Times New Roman"/>
                      <w:color w:val="auto"/>
                      <w:sz w:val="21"/>
                      <w:szCs w:val="21"/>
                    </w:rPr>
                    <w:t>t/a</w:t>
                  </w:r>
                </w:p>
              </w:tc>
              <w:tc>
                <w:tcPr>
                  <w:tcW w:w="5065" w:type="dxa"/>
                  <w:gridSpan w:val="3"/>
                  <w:vAlign w:val="center"/>
                </w:tcPr>
                <w:p>
                  <w:pPr>
                    <w:pStyle w:val="11"/>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合计：1.77t/a</w:t>
                  </w:r>
                </w:p>
              </w:tc>
            </w:tr>
          </w:tbl>
          <w:p>
            <w:pPr>
              <w:spacing w:line="240" w:lineRule="auto"/>
              <w:ind w:firstLine="480"/>
              <w:rPr>
                <w:rFonts w:hint="default" w:ascii="Times New Roman" w:hAnsi="Times New Roman" w:cs="Times New Roman"/>
                <w:color w:val="auto"/>
              </w:rPr>
            </w:pPr>
          </w:p>
          <w:p>
            <w:pPr>
              <w:bidi w:val="0"/>
              <w:rPr>
                <w:rFonts w:hint="default" w:ascii="Times New Roman" w:hAnsi="Times New Roman" w:cs="Times New Roman"/>
                <w:color w:val="auto"/>
              </w:rPr>
            </w:pPr>
          </w:p>
          <w:p>
            <w:pPr>
              <w:bidi w:val="0"/>
              <w:rPr>
                <w:rFonts w:hint="default" w:ascii="Times New Roman" w:hAnsi="Times New Roman" w:cs="Times New Roman"/>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19" w:hRule="atLeast"/>
          <w:jc w:val="center"/>
        </w:trPr>
        <w:tc>
          <w:tcPr>
            <w:tcW w:w="1131" w:type="dxa"/>
            <w:vAlign w:val="center"/>
          </w:tcPr>
          <w:p>
            <w:pPr>
              <w:pStyle w:val="11"/>
              <w:spacing w:line="360" w:lineRule="auto"/>
              <w:jc w:val="center"/>
              <w:rPr>
                <w:rFonts w:hint="default" w:ascii="Times New Roman" w:hAnsi="Times New Roman" w:cs="Times New Roman"/>
                <w:b/>
                <w:bCs/>
                <w:color w:val="auto"/>
              </w:rPr>
            </w:pPr>
            <w:r>
              <w:rPr>
                <w:rFonts w:hint="default" w:ascii="Times New Roman" w:hAnsi="Times New Roman" w:cs="Times New Roman"/>
                <w:b/>
                <w:bCs/>
                <w:color w:val="auto"/>
                <w:sz w:val="24"/>
                <w:szCs w:val="24"/>
              </w:rPr>
              <w:t>与项目有关的原有环境污染问题</w:t>
            </w:r>
          </w:p>
        </w:tc>
        <w:tc>
          <w:tcPr>
            <w:tcW w:w="8719" w:type="dxa"/>
          </w:tcPr>
          <w:p>
            <w:pPr>
              <w:adjustRightInd w:val="0"/>
              <w:snapToGrid w:val="0"/>
              <w:ind w:firstLine="482"/>
              <w:rPr>
                <w:rFonts w:hint="default" w:ascii="Times New Roman" w:hAnsi="Times New Roman" w:cs="Times New Roman"/>
                <w:b/>
                <w:color w:val="auto"/>
                <w:szCs w:val="21"/>
              </w:rPr>
            </w:pPr>
            <w:r>
              <w:rPr>
                <w:rFonts w:hint="default" w:ascii="Times New Roman" w:hAnsi="Times New Roman" w:cs="Times New Roman"/>
                <w:b/>
                <w:color w:val="auto"/>
                <w:szCs w:val="21"/>
              </w:rPr>
              <w:t>与本项目有关的有污染情况及主要环境问题</w:t>
            </w:r>
          </w:p>
          <w:p>
            <w:pPr>
              <w:ind w:firstLine="480"/>
              <w:rPr>
                <w:rFonts w:hint="default" w:ascii="Times New Roman" w:hAnsi="Times New Roman" w:cs="Times New Roman"/>
                <w:color w:val="auto"/>
              </w:rPr>
            </w:pPr>
            <w:r>
              <w:rPr>
                <w:rFonts w:hint="default" w:ascii="Times New Roman" w:hAnsi="Times New Roman" w:cs="Times New Roman"/>
                <w:color w:val="auto"/>
              </w:rPr>
              <w:t>经现场探勘，项目所在场地内无任何生产设施，项目为新建项目，因此不存与本项目有关的原有环境环境遗留问题。</w:t>
            </w:r>
          </w:p>
          <w:tbl>
            <w:tblPr>
              <w:tblStyle w:val="6"/>
              <w:tblW w:w="832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972"/>
              <w:gridCol w:w="435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jc w:val="center"/>
              </w:trPr>
              <w:tc>
                <w:tcPr>
                  <w:tcW w:w="3972" w:type="dxa"/>
                  <w:tcBorders>
                    <w:tl2br w:val="nil"/>
                    <w:tr2bl w:val="nil"/>
                  </w:tcBorders>
                </w:tcPr>
                <w:p>
                  <w:pPr>
                    <w:ind w:firstLine="0" w:firstLineChars="0"/>
                    <w:jc w:val="center"/>
                    <w:rPr>
                      <w:rFonts w:hint="default" w:ascii="Times New Roman" w:hAnsi="Times New Roman" w:cs="Times New Roman"/>
                      <w:color w:val="auto"/>
                    </w:rPr>
                  </w:pPr>
                  <w:r>
                    <w:rPr>
                      <w:rFonts w:hint="default" w:ascii="Times New Roman" w:hAnsi="Times New Roman" w:cs="Times New Roman"/>
                    </w:rPr>
                    <w:drawing>
                      <wp:inline distT="0" distB="0" distL="114300" distR="114300">
                        <wp:extent cx="2381885" cy="2172335"/>
                        <wp:effectExtent l="0" t="0" r="10795" b="6985"/>
                        <wp:docPr id="1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
                                <pic:cNvPicPr>
                                  <a:picLocks noChangeAspect="1"/>
                                </pic:cNvPicPr>
                              </pic:nvPicPr>
                              <pic:blipFill>
                                <a:blip r:embed="rId21"/>
                                <a:stretch>
                                  <a:fillRect/>
                                </a:stretch>
                              </pic:blipFill>
                              <pic:spPr>
                                <a:xfrm>
                                  <a:off x="0" y="0"/>
                                  <a:ext cx="2381885" cy="2172335"/>
                                </a:xfrm>
                                <a:prstGeom prst="rect">
                                  <a:avLst/>
                                </a:prstGeom>
                                <a:noFill/>
                                <a:ln>
                                  <a:noFill/>
                                </a:ln>
                              </pic:spPr>
                            </pic:pic>
                          </a:graphicData>
                        </a:graphic>
                      </wp:inline>
                    </w:drawing>
                  </w:r>
                </w:p>
              </w:tc>
              <w:tc>
                <w:tcPr>
                  <w:tcW w:w="4352" w:type="dxa"/>
                  <w:tcBorders>
                    <w:tl2br w:val="nil"/>
                    <w:tr2bl w:val="nil"/>
                  </w:tcBorders>
                </w:tcPr>
                <w:p>
                  <w:pPr>
                    <w:ind w:firstLine="0" w:firstLineChars="0"/>
                    <w:rPr>
                      <w:rFonts w:hint="default" w:ascii="Times New Roman" w:hAnsi="Times New Roman" w:cs="Times New Roman"/>
                      <w:color w:val="auto"/>
                    </w:rPr>
                  </w:pPr>
                  <w:r>
                    <w:rPr>
                      <w:rFonts w:hint="default" w:ascii="Times New Roman" w:hAnsi="Times New Roman" w:cs="Times New Roman"/>
                    </w:rPr>
                    <w:drawing>
                      <wp:inline distT="0" distB="0" distL="114300" distR="114300">
                        <wp:extent cx="2623185" cy="2162175"/>
                        <wp:effectExtent l="0" t="0" r="13335" b="1905"/>
                        <wp:docPr id="2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7"/>
                                <pic:cNvPicPr>
                                  <a:picLocks noChangeAspect="1"/>
                                </pic:cNvPicPr>
                              </pic:nvPicPr>
                              <pic:blipFill>
                                <a:blip r:embed="rId22"/>
                                <a:stretch>
                                  <a:fillRect/>
                                </a:stretch>
                              </pic:blipFill>
                              <pic:spPr>
                                <a:xfrm>
                                  <a:off x="0" y="0"/>
                                  <a:ext cx="2623185" cy="216217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24" w:type="dxa"/>
                  <w:gridSpan w:val="2"/>
                  <w:tcBorders>
                    <w:tl2br w:val="nil"/>
                    <w:tr2bl w:val="nil"/>
                  </w:tcBorders>
                </w:tcPr>
                <w:p>
                  <w:pPr>
                    <w:pStyle w:val="11"/>
                    <w:jc w:val="center"/>
                    <w:rPr>
                      <w:rFonts w:hint="default" w:ascii="Times New Roman" w:hAnsi="Times New Roman" w:cs="Times New Roman"/>
                      <w:color w:val="auto"/>
                    </w:rPr>
                  </w:pPr>
                  <w:r>
                    <w:rPr>
                      <w:rFonts w:hint="default" w:ascii="Times New Roman" w:hAnsi="Times New Roman" w:cs="Times New Roman"/>
                      <w:b/>
                      <w:bCs/>
                      <w:color w:val="auto"/>
                    </w:rPr>
                    <w:t>图 2-</w:t>
                  </w:r>
                  <w:r>
                    <w:rPr>
                      <w:rFonts w:hint="default" w:ascii="Times New Roman" w:hAnsi="Times New Roman" w:cs="Times New Roman"/>
                      <w:b/>
                      <w:bCs/>
                      <w:color w:val="auto"/>
                      <w:lang w:val="en-US" w:eastAsia="zh-CN"/>
                    </w:rPr>
                    <w:t>4</w:t>
                  </w:r>
                  <w:r>
                    <w:rPr>
                      <w:rFonts w:hint="default" w:ascii="Times New Roman" w:hAnsi="Times New Roman" w:cs="Times New Roman"/>
                      <w:b/>
                      <w:bCs/>
                      <w:color w:val="auto"/>
                    </w:rPr>
                    <w:t xml:space="preserve">  项目所在地现状照片</w:t>
                  </w:r>
                </w:p>
              </w:tc>
            </w:tr>
          </w:tbl>
          <w:p>
            <w:pPr>
              <w:ind w:firstLine="480"/>
              <w:rPr>
                <w:rFonts w:hint="default" w:ascii="Times New Roman" w:hAnsi="Times New Roman" w:cs="Times New Roman"/>
                <w:color w:val="auto"/>
              </w:rPr>
            </w:pPr>
          </w:p>
          <w:p>
            <w:pPr>
              <w:adjustRightInd w:val="0"/>
              <w:snapToGrid w:val="0"/>
              <w:ind w:firstLine="480"/>
              <w:rPr>
                <w:rFonts w:hint="default" w:ascii="Times New Roman" w:hAnsi="Times New Roman" w:cs="Times New Roman"/>
                <w:bCs/>
                <w:color w:val="auto"/>
                <w:szCs w:val="21"/>
              </w:rPr>
            </w:pPr>
          </w:p>
          <w:p>
            <w:pPr>
              <w:adjustRightInd w:val="0"/>
              <w:snapToGrid w:val="0"/>
              <w:ind w:firstLine="480"/>
              <w:rPr>
                <w:rFonts w:hint="default" w:ascii="Times New Roman" w:hAnsi="Times New Roman" w:cs="Times New Roman"/>
                <w:bCs/>
                <w:color w:val="auto"/>
                <w:szCs w:val="21"/>
              </w:rPr>
            </w:pPr>
          </w:p>
          <w:p>
            <w:pPr>
              <w:adjustRightInd w:val="0"/>
              <w:snapToGrid w:val="0"/>
              <w:ind w:firstLine="480"/>
              <w:rPr>
                <w:rFonts w:hint="default" w:ascii="Times New Roman" w:hAnsi="Times New Roman" w:cs="Times New Roman"/>
                <w:bCs/>
                <w:color w:val="auto"/>
                <w:szCs w:val="21"/>
              </w:rPr>
            </w:pPr>
          </w:p>
          <w:p>
            <w:pPr>
              <w:adjustRightInd w:val="0"/>
              <w:snapToGrid w:val="0"/>
              <w:ind w:firstLine="480"/>
              <w:rPr>
                <w:rFonts w:hint="default" w:ascii="Times New Roman" w:hAnsi="Times New Roman" w:cs="Times New Roman"/>
                <w:bCs/>
                <w:color w:val="auto"/>
                <w:szCs w:val="21"/>
              </w:rPr>
            </w:pPr>
          </w:p>
          <w:p>
            <w:pPr>
              <w:adjustRightInd w:val="0"/>
              <w:snapToGrid w:val="0"/>
              <w:ind w:firstLine="480"/>
              <w:rPr>
                <w:rFonts w:hint="default" w:ascii="Times New Roman" w:hAnsi="Times New Roman" w:cs="Times New Roman"/>
                <w:bCs/>
                <w:color w:val="auto"/>
                <w:szCs w:val="21"/>
              </w:rPr>
            </w:pPr>
          </w:p>
          <w:p>
            <w:pPr>
              <w:adjustRightInd w:val="0"/>
              <w:snapToGrid w:val="0"/>
              <w:ind w:firstLine="480"/>
              <w:rPr>
                <w:rFonts w:hint="default" w:ascii="Times New Roman" w:hAnsi="Times New Roman" w:cs="Times New Roman"/>
                <w:bCs/>
                <w:color w:val="auto"/>
                <w:szCs w:val="21"/>
              </w:rPr>
            </w:pPr>
          </w:p>
          <w:p>
            <w:pPr>
              <w:adjustRightInd w:val="0"/>
              <w:snapToGrid w:val="0"/>
              <w:ind w:firstLine="480"/>
              <w:rPr>
                <w:rFonts w:hint="default" w:ascii="Times New Roman" w:hAnsi="Times New Roman" w:cs="Times New Roman"/>
                <w:bCs/>
                <w:color w:val="auto"/>
                <w:szCs w:val="21"/>
              </w:rPr>
            </w:pPr>
          </w:p>
          <w:p>
            <w:pPr>
              <w:adjustRightInd w:val="0"/>
              <w:snapToGrid w:val="0"/>
              <w:ind w:firstLine="480"/>
              <w:rPr>
                <w:rFonts w:hint="default" w:ascii="Times New Roman" w:hAnsi="Times New Roman" w:cs="Times New Roman"/>
                <w:bCs/>
                <w:color w:val="auto"/>
                <w:szCs w:val="21"/>
              </w:rPr>
            </w:pPr>
          </w:p>
          <w:p>
            <w:pPr>
              <w:adjustRightInd w:val="0"/>
              <w:snapToGrid w:val="0"/>
              <w:ind w:firstLine="480"/>
              <w:rPr>
                <w:rFonts w:hint="default" w:ascii="Times New Roman" w:hAnsi="Times New Roman" w:cs="Times New Roman"/>
                <w:bCs/>
                <w:color w:val="auto"/>
                <w:szCs w:val="21"/>
              </w:rPr>
            </w:pPr>
          </w:p>
          <w:p>
            <w:pPr>
              <w:adjustRightInd w:val="0"/>
              <w:snapToGrid w:val="0"/>
              <w:ind w:firstLine="480"/>
              <w:rPr>
                <w:rFonts w:hint="default" w:ascii="Times New Roman" w:hAnsi="Times New Roman" w:cs="Times New Roman"/>
                <w:bCs/>
                <w:color w:val="auto"/>
                <w:szCs w:val="21"/>
              </w:rPr>
            </w:pPr>
          </w:p>
          <w:p>
            <w:pPr>
              <w:adjustRightInd w:val="0"/>
              <w:snapToGrid w:val="0"/>
              <w:ind w:firstLine="480"/>
              <w:rPr>
                <w:rFonts w:hint="default" w:ascii="Times New Roman" w:hAnsi="Times New Roman" w:cs="Times New Roman"/>
                <w:bCs/>
                <w:color w:val="auto"/>
                <w:szCs w:val="21"/>
              </w:rPr>
            </w:pPr>
          </w:p>
          <w:p>
            <w:pPr>
              <w:adjustRightInd w:val="0"/>
              <w:snapToGrid w:val="0"/>
              <w:ind w:firstLine="480"/>
              <w:rPr>
                <w:rFonts w:hint="default" w:ascii="Times New Roman" w:hAnsi="Times New Roman" w:cs="Times New Roman"/>
                <w:bCs/>
                <w:color w:val="auto"/>
                <w:szCs w:val="21"/>
              </w:rPr>
            </w:pPr>
          </w:p>
          <w:p>
            <w:pPr>
              <w:adjustRightInd w:val="0"/>
              <w:snapToGrid w:val="0"/>
              <w:ind w:firstLine="480"/>
              <w:rPr>
                <w:rFonts w:hint="default" w:ascii="Times New Roman" w:hAnsi="Times New Roman" w:cs="Times New Roman"/>
                <w:bCs/>
                <w:color w:val="auto"/>
                <w:szCs w:val="21"/>
              </w:rPr>
            </w:pPr>
          </w:p>
          <w:p>
            <w:pPr>
              <w:adjustRightInd w:val="0"/>
              <w:snapToGrid w:val="0"/>
              <w:ind w:firstLine="480"/>
              <w:rPr>
                <w:rFonts w:hint="default" w:ascii="Times New Roman" w:hAnsi="Times New Roman" w:cs="Times New Roman"/>
                <w:bCs/>
                <w:color w:val="auto"/>
                <w:szCs w:val="21"/>
              </w:rPr>
            </w:pPr>
          </w:p>
          <w:p>
            <w:pPr>
              <w:adjustRightInd w:val="0"/>
              <w:snapToGrid w:val="0"/>
              <w:ind w:firstLine="480"/>
              <w:rPr>
                <w:rFonts w:hint="default" w:ascii="Times New Roman" w:hAnsi="Times New Roman" w:cs="Times New Roman"/>
                <w:bCs/>
                <w:color w:val="auto"/>
                <w:szCs w:val="21"/>
              </w:rPr>
            </w:pPr>
          </w:p>
          <w:p>
            <w:pPr>
              <w:adjustRightInd w:val="0"/>
              <w:snapToGrid w:val="0"/>
              <w:ind w:firstLine="480"/>
              <w:rPr>
                <w:rFonts w:hint="default" w:ascii="Times New Roman" w:hAnsi="Times New Roman" w:cs="Times New Roman"/>
                <w:bCs/>
                <w:color w:val="auto"/>
                <w:szCs w:val="21"/>
              </w:rPr>
            </w:pPr>
          </w:p>
          <w:p>
            <w:pPr>
              <w:adjustRightInd w:val="0"/>
              <w:snapToGrid w:val="0"/>
              <w:ind w:firstLine="480"/>
              <w:rPr>
                <w:rFonts w:hint="default" w:ascii="Times New Roman" w:hAnsi="Times New Roman" w:cs="Times New Roman"/>
                <w:bCs/>
                <w:color w:val="auto"/>
                <w:szCs w:val="21"/>
              </w:rPr>
            </w:pPr>
          </w:p>
          <w:p>
            <w:pPr>
              <w:adjustRightInd w:val="0"/>
              <w:snapToGrid w:val="0"/>
              <w:ind w:firstLine="480"/>
              <w:rPr>
                <w:rFonts w:hint="default" w:ascii="Times New Roman" w:hAnsi="Times New Roman" w:cs="Times New Roman"/>
                <w:bCs/>
                <w:color w:val="auto"/>
                <w:szCs w:val="21"/>
              </w:rPr>
            </w:pPr>
          </w:p>
        </w:tc>
      </w:tr>
    </w:tbl>
    <w:p>
      <w:pPr>
        <w:ind w:firstLine="480"/>
        <w:rPr>
          <w:color w:val="auto"/>
        </w:rPr>
        <w:sectPr>
          <w:pgSz w:w="11906" w:h="16838"/>
          <w:pgMar w:top="1440" w:right="1080" w:bottom="1440" w:left="1080" w:header="851" w:footer="851" w:gutter="0"/>
          <w:pgBorders>
            <w:top w:val="none" w:sz="0" w:space="0"/>
            <w:left w:val="none" w:sz="0" w:space="0"/>
            <w:bottom w:val="none" w:sz="0" w:space="0"/>
            <w:right w:val="none" w:sz="0" w:space="0"/>
          </w:pgBorders>
          <w:cols w:space="720" w:num="1"/>
          <w:docGrid w:linePitch="312" w:charSpace="0"/>
        </w:sectPr>
      </w:pPr>
    </w:p>
    <w:p>
      <w:pPr>
        <w:pStyle w:val="2"/>
        <w:ind w:firstLine="602"/>
        <w:rPr>
          <w:color w:val="auto"/>
        </w:rPr>
      </w:pPr>
      <w:bookmarkStart w:id="34" w:name="_Toc22134"/>
      <w:r>
        <w:rPr>
          <w:color w:val="auto"/>
        </w:rPr>
        <w:t>三、区域环境质量现状、环境保护目标及评价标准</w:t>
      </w:r>
      <w:bookmarkEnd w:id="34"/>
    </w:p>
    <w:tbl>
      <w:tblPr>
        <w:tblStyle w:val="5"/>
        <w:tblW w:w="980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00"/>
        <w:gridCol w:w="900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26" w:hRule="atLeast"/>
          <w:jc w:val="center"/>
        </w:trPr>
        <w:tc>
          <w:tcPr>
            <w:tcW w:w="800" w:type="dxa"/>
            <w:vAlign w:val="center"/>
          </w:tcPr>
          <w:p>
            <w:pPr>
              <w:pStyle w:val="11"/>
              <w:spacing w:line="360" w:lineRule="auto"/>
              <w:jc w:val="center"/>
              <w:rPr>
                <w:b/>
                <w:bCs/>
                <w:color w:val="auto"/>
                <w:sz w:val="24"/>
                <w:szCs w:val="24"/>
              </w:rPr>
            </w:pPr>
            <w:r>
              <w:rPr>
                <w:b/>
                <w:bCs/>
                <w:color w:val="auto"/>
                <w:sz w:val="24"/>
                <w:szCs w:val="24"/>
              </w:rPr>
              <w:t>区域</w:t>
            </w:r>
          </w:p>
          <w:p>
            <w:pPr>
              <w:pStyle w:val="11"/>
              <w:spacing w:line="360" w:lineRule="auto"/>
              <w:jc w:val="center"/>
              <w:rPr>
                <w:b/>
                <w:bCs/>
                <w:color w:val="auto"/>
                <w:sz w:val="24"/>
                <w:szCs w:val="24"/>
              </w:rPr>
            </w:pPr>
            <w:r>
              <w:rPr>
                <w:b/>
                <w:bCs/>
                <w:color w:val="auto"/>
                <w:sz w:val="24"/>
                <w:szCs w:val="24"/>
              </w:rPr>
              <w:t>环境</w:t>
            </w:r>
          </w:p>
          <w:p>
            <w:pPr>
              <w:pStyle w:val="11"/>
              <w:spacing w:line="360" w:lineRule="auto"/>
              <w:jc w:val="center"/>
              <w:rPr>
                <w:b/>
                <w:bCs/>
                <w:color w:val="auto"/>
                <w:sz w:val="24"/>
                <w:szCs w:val="24"/>
              </w:rPr>
            </w:pPr>
            <w:r>
              <w:rPr>
                <w:b/>
                <w:bCs/>
                <w:color w:val="auto"/>
                <w:sz w:val="24"/>
                <w:szCs w:val="24"/>
              </w:rPr>
              <w:t>质量</w:t>
            </w:r>
          </w:p>
          <w:p>
            <w:pPr>
              <w:pStyle w:val="11"/>
              <w:spacing w:line="360" w:lineRule="auto"/>
              <w:jc w:val="center"/>
              <w:rPr>
                <w:color w:val="auto"/>
              </w:rPr>
            </w:pPr>
            <w:r>
              <w:rPr>
                <w:b/>
                <w:bCs/>
                <w:color w:val="auto"/>
                <w:sz w:val="24"/>
                <w:szCs w:val="24"/>
              </w:rPr>
              <w:t>现状</w:t>
            </w:r>
          </w:p>
        </w:tc>
        <w:tc>
          <w:tcPr>
            <w:tcW w:w="9001" w:type="dxa"/>
            <w:vAlign w:val="center"/>
          </w:tcPr>
          <w:p>
            <w:pPr>
              <w:adjustRightInd w:val="0"/>
              <w:snapToGrid w:val="0"/>
              <w:ind w:firstLine="482"/>
              <w:jc w:val="left"/>
              <w:rPr>
                <w:b/>
                <w:bCs/>
                <w:color w:val="auto"/>
              </w:rPr>
            </w:pPr>
            <w:r>
              <w:rPr>
                <w:b/>
                <w:bCs/>
                <w:color w:val="auto"/>
              </w:rPr>
              <w:t>1、环境空气质量现状</w:t>
            </w:r>
          </w:p>
          <w:p>
            <w:pPr>
              <w:adjustRightInd w:val="0"/>
              <w:snapToGrid w:val="0"/>
              <w:ind w:firstLine="480"/>
              <w:rPr>
                <w:color w:val="auto"/>
              </w:rPr>
            </w:pPr>
            <w:r>
              <w:rPr>
                <w:color w:val="auto"/>
              </w:rPr>
              <w:t>本项目位于四川省</w:t>
            </w:r>
            <w:r>
              <w:rPr>
                <w:rFonts w:hint="eastAsia"/>
                <w:color w:val="auto"/>
                <w:lang w:val="en-US" w:eastAsia="zh-CN"/>
              </w:rPr>
              <w:t>达州市宣汉县</w:t>
            </w:r>
            <w:r>
              <w:rPr>
                <w:color w:val="auto"/>
              </w:rPr>
              <w:t>，根据《环境影响评价技术导则-大气环境》（HJ2.2-2018），本项目基本污染物环境质量现状数据引用来源为</w:t>
            </w:r>
            <w:r>
              <w:rPr>
                <w:rFonts w:hint="eastAsia"/>
                <w:color w:val="auto"/>
                <w:lang w:val="en-US" w:eastAsia="zh-CN"/>
              </w:rPr>
              <w:t>达州市</w:t>
            </w:r>
            <w:r>
              <w:rPr>
                <w:color w:val="auto"/>
              </w:rPr>
              <w:t>生态环境局</w:t>
            </w:r>
            <w:r>
              <w:rPr>
                <w:rFonts w:hint="eastAsia"/>
                <w:color w:val="auto"/>
              </w:rPr>
              <w:t>202</w:t>
            </w:r>
            <w:r>
              <w:rPr>
                <w:rFonts w:hint="eastAsia"/>
                <w:color w:val="auto"/>
                <w:lang w:val="en-US" w:eastAsia="zh-CN"/>
              </w:rPr>
              <w:t>3</w:t>
            </w:r>
            <w:r>
              <w:rPr>
                <w:rFonts w:hint="eastAsia"/>
                <w:color w:val="auto"/>
              </w:rPr>
              <w:t>年</w:t>
            </w:r>
            <w:r>
              <w:rPr>
                <w:rFonts w:hint="eastAsia"/>
                <w:color w:val="auto"/>
                <w:lang w:val="en-US" w:eastAsia="zh-CN"/>
              </w:rPr>
              <w:t>1</w:t>
            </w:r>
            <w:r>
              <w:rPr>
                <w:rFonts w:hint="eastAsia"/>
                <w:color w:val="auto"/>
              </w:rPr>
              <w:t>月</w:t>
            </w:r>
            <w:r>
              <w:rPr>
                <w:rFonts w:hint="eastAsia"/>
                <w:color w:val="auto"/>
                <w:lang w:val="en-US" w:eastAsia="zh-CN"/>
              </w:rPr>
              <w:t>18</w:t>
            </w:r>
            <w:r>
              <w:rPr>
                <w:rFonts w:hint="eastAsia"/>
                <w:color w:val="auto"/>
              </w:rPr>
              <w:t>日发布的《达州市2022年环境空气质量状况》</w:t>
            </w:r>
            <w:r>
              <w:rPr>
                <w:color w:val="auto"/>
              </w:rPr>
              <w:t>。</w:t>
            </w:r>
          </w:p>
          <w:p>
            <w:pPr>
              <w:adjustRightInd w:val="0"/>
              <w:snapToGrid w:val="0"/>
              <w:ind w:firstLine="480"/>
              <w:rPr>
                <w:rFonts w:hint="eastAsia"/>
                <w:color w:val="auto"/>
              </w:rPr>
            </w:pPr>
            <w:r>
              <w:rPr>
                <w:rFonts w:hint="eastAsia"/>
                <w:color w:val="auto"/>
              </w:rPr>
              <w:t>根据公报中环境空气结论如下：202</w:t>
            </w:r>
            <w:r>
              <w:rPr>
                <w:rFonts w:hint="eastAsia"/>
                <w:color w:val="auto"/>
                <w:lang w:val="en-US" w:eastAsia="zh-CN"/>
              </w:rPr>
              <w:t>2</w:t>
            </w:r>
            <w:r>
              <w:rPr>
                <w:rFonts w:hint="eastAsia"/>
                <w:color w:val="auto"/>
              </w:rPr>
              <w:t>年</w:t>
            </w:r>
            <w:r>
              <w:rPr>
                <w:rFonts w:hint="eastAsia"/>
                <w:color w:val="auto"/>
                <w:lang w:val="en-US" w:eastAsia="zh-CN"/>
              </w:rPr>
              <w:t>达州市宣汉县</w:t>
            </w:r>
            <w:r>
              <w:rPr>
                <w:rFonts w:hint="eastAsia"/>
                <w:color w:val="auto"/>
              </w:rPr>
              <w:t>环境空气质量有效监测天数365天，优良天数287天，占</w:t>
            </w:r>
            <w:r>
              <w:rPr>
                <w:rFonts w:hint="eastAsia"/>
                <w:color w:val="auto"/>
                <w:lang w:val="en-US" w:eastAsia="zh-CN"/>
              </w:rPr>
              <w:t>97.3</w:t>
            </w:r>
            <w:r>
              <w:rPr>
                <w:rFonts w:hint="eastAsia"/>
                <w:color w:val="auto"/>
              </w:rPr>
              <w:t>%，其中优</w:t>
            </w:r>
            <w:r>
              <w:rPr>
                <w:rFonts w:hint="eastAsia"/>
                <w:color w:val="auto"/>
                <w:lang w:val="en-US" w:eastAsia="zh-CN"/>
              </w:rPr>
              <w:t>194</w:t>
            </w:r>
            <w:r>
              <w:rPr>
                <w:rFonts w:hint="eastAsia"/>
                <w:color w:val="auto"/>
              </w:rPr>
              <w:t>天，良</w:t>
            </w:r>
            <w:r>
              <w:rPr>
                <w:rFonts w:hint="eastAsia"/>
                <w:color w:val="auto"/>
                <w:lang w:val="en-US" w:eastAsia="zh-CN"/>
              </w:rPr>
              <w:t>161</w:t>
            </w:r>
            <w:r>
              <w:rPr>
                <w:rFonts w:hint="eastAsia"/>
                <w:color w:val="auto"/>
              </w:rPr>
              <w:t>天；污染天数</w:t>
            </w:r>
            <w:r>
              <w:rPr>
                <w:rFonts w:hint="eastAsia"/>
                <w:color w:val="auto"/>
                <w:lang w:val="en-US" w:eastAsia="zh-CN"/>
              </w:rPr>
              <w:t>10</w:t>
            </w:r>
            <w:r>
              <w:rPr>
                <w:rFonts w:hint="eastAsia"/>
                <w:color w:val="auto"/>
              </w:rPr>
              <w:t>天，占21.4%，其中轻度污染</w:t>
            </w:r>
            <w:r>
              <w:rPr>
                <w:rFonts w:hint="eastAsia"/>
                <w:color w:val="auto"/>
                <w:lang w:val="en-US" w:eastAsia="zh-CN"/>
              </w:rPr>
              <w:t>9</w:t>
            </w:r>
            <w:r>
              <w:rPr>
                <w:rFonts w:hint="eastAsia"/>
                <w:color w:val="auto"/>
              </w:rPr>
              <w:t>天，中度污染</w:t>
            </w:r>
            <w:r>
              <w:rPr>
                <w:rFonts w:hint="eastAsia"/>
                <w:color w:val="auto"/>
                <w:lang w:val="en-US" w:eastAsia="zh-CN"/>
              </w:rPr>
              <w:t>1</w:t>
            </w:r>
            <w:r>
              <w:rPr>
                <w:rFonts w:hint="eastAsia"/>
                <w:color w:val="auto"/>
              </w:rPr>
              <w:t>天，无重度污染</w:t>
            </w:r>
            <w:r>
              <w:rPr>
                <w:rFonts w:hint="eastAsia"/>
                <w:color w:val="auto"/>
                <w:lang w:eastAsia="zh-CN"/>
              </w:rPr>
              <w:t>、</w:t>
            </w:r>
            <w:r>
              <w:rPr>
                <w:rFonts w:hint="eastAsia"/>
                <w:color w:val="auto"/>
              </w:rPr>
              <w:t>严重污染。</w:t>
            </w:r>
          </w:p>
          <w:p>
            <w:pPr>
              <w:adjustRightInd w:val="0"/>
              <w:snapToGrid w:val="0"/>
              <w:ind w:firstLine="480"/>
              <w:rPr>
                <w:color w:val="auto"/>
              </w:rPr>
            </w:pPr>
            <w:r>
              <w:rPr>
                <w:rFonts w:hint="eastAsia"/>
                <w:color w:val="auto"/>
              </w:rPr>
              <w:t>细颗粒物年均值为</w:t>
            </w:r>
            <w:r>
              <w:rPr>
                <w:rFonts w:hint="eastAsia"/>
                <w:color w:val="auto"/>
                <w:lang w:val="en-US" w:eastAsia="zh-CN"/>
              </w:rPr>
              <w:t>27</w:t>
            </w:r>
            <w:r>
              <w:rPr>
                <w:rFonts w:hint="eastAsia"/>
                <w:color w:val="auto"/>
              </w:rPr>
              <w:t>微克/立方米；可吸入颗粒物年均值为</w:t>
            </w:r>
            <w:r>
              <w:rPr>
                <w:rFonts w:hint="eastAsia"/>
                <w:color w:val="auto"/>
                <w:lang w:val="en-US" w:eastAsia="zh-CN"/>
              </w:rPr>
              <w:t>50</w:t>
            </w:r>
            <w:r>
              <w:rPr>
                <w:rFonts w:hint="eastAsia"/>
                <w:color w:val="auto"/>
              </w:rPr>
              <w:t>微克/立方米；臭氧日最大8小时滑动平均值的第90百分位数为</w:t>
            </w:r>
            <w:r>
              <w:rPr>
                <w:rFonts w:hint="eastAsia"/>
                <w:color w:val="auto"/>
                <w:lang w:val="en-US" w:eastAsia="zh-CN"/>
              </w:rPr>
              <w:t>99</w:t>
            </w:r>
            <w:r>
              <w:rPr>
                <w:rFonts w:hint="eastAsia"/>
                <w:color w:val="auto"/>
              </w:rPr>
              <w:t>微克/立方米；一氧化碳24小时平均第95百分位数为0.9毫克/立方米；二氧化硫年均值为</w:t>
            </w:r>
            <w:r>
              <w:rPr>
                <w:rFonts w:hint="eastAsia"/>
                <w:color w:val="auto"/>
                <w:lang w:val="en-US" w:eastAsia="zh-CN"/>
              </w:rPr>
              <w:t>5</w:t>
            </w:r>
            <w:r>
              <w:rPr>
                <w:rFonts w:hint="eastAsia"/>
                <w:color w:val="auto"/>
              </w:rPr>
              <w:t>微克/立方米；二氧化氮年均值为</w:t>
            </w:r>
            <w:r>
              <w:rPr>
                <w:rFonts w:hint="eastAsia"/>
                <w:color w:val="auto"/>
                <w:lang w:val="en-US" w:eastAsia="zh-CN"/>
              </w:rPr>
              <w:t>19</w:t>
            </w:r>
            <w:r>
              <w:rPr>
                <w:rFonts w:hint="eastAsia"/>
                <w:color w:val="auto"/>
              </w:rPr>
              <w:t>微克/立方米。</w:t>
            </w:r>
          </w:p>
          <w:p>
            <w:pPr>
              <w:pStyle w:val="11"/>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表3-1  202</w:t>
            </w:r>
            <w:r>
              <w:rPr>
                <w:rFonts w:hint="eastAsia" w:cs="Times New Roman"/>
                <w:b/>
                <w:bCs/>
                <w:color w:val="auto"/>
                <w:sz w:val="21"/>
                <w:szCs w:val="21"/>
                <w:lang w:val="en-US" w:eastAsia="zh-CN"/>
              </w:rPr>
              <w:t>2</w:t>
            </w:r>
            <w:r>
              <w:rPr>
                <w:rFonts w:hint="default" w:ascii="Times New Roman" w:hAnsi="Times New Roman" w:cs="Times New Roman"/>
                <w:b/>
                <w:bCs/>
                <w:color w:val="auto"/>
                <w:sz w:val="21"/>
                <w:szCs w:val="21"/>
              </w:rPr>
              <w:t>年</w:t>
            </w:r>
            <w:r>
              <w:rPr>
                <w:rFonts w:hint="eastAsia" w:cs="Times New Roman"/>
                <w:b/>
                <w:bCs/>
                <w:color w:val="auto"/>
                <w:sz w:val="21"/>
                <w:szCs w:val="21"/>
                <w:lang w:val="en-US" w:eastAsia="zh-CN"/>
              </w:rPr>
              <w:t>宣汉县</w:t>
            </w:r>
            <w:r>
              <w:rPr>
                <w:rFonts w:hint="default" w:ascii="Times New Roman" w:hAnsi="Times New Roman" w:cs="Times New Roman"/>
                <w:b/>
                <w:bCs/>
                <w:color w:val="auto"/>
                <w:sz w:val="21"/>
                <w:szCs w:val="21"/>
              </w:rPr>
              <w:t>基本污染物空气质量现状评价表</w:t>
            </w:r>
            <w:r>
              <w:rPr>
                <w:rFonts w:hint="default" w:ascii="Times New Roman" w:hAnsi="Times New Roman" w:cs="Times New Roman"/>
                <w:b/>
                <w:bCs/>
                <w:color w:val="auto"/>
                <w:sz w:val="21"/>
                <w:szCs w:val="21"/>
                <w:lang w:val="en-US" w:eastAsia="zh-CN"/>
              </w:rPr>
              <w:t xml:space="preserve">  </w:t>
            </w:r>
            <w:r>
              <w:rPr>
                <w:rFonts w:hint="default" w:ascii="Times New Roman" w:hAnsi="Times New Roman" w:cs="Times New Roman"/>
                <w:b/>
                <w:bCs/>
                <w:color w:val="auto"/>
                <w:sz w:val="21"/>
                <w:szCs w:val="21"/>
              </w:rPr>
              <w:t>单位：μg/m</w:t>
            </w:r>
            <w:r>
              <w:rPr>
                <w:rFonts w:hint="default" w:ascii="Times New Roman" w:hAnsi="Times New Roman" w:cs="Times New Roman"/>
                <w:b/>
                <w:bCs/>
                <w:color w:val="auto"/>
                <w:sz w:val="21"/>
                <w:szCs w:val="21"/>
                <w:vertAlign w:val="superscript"/>
              </w:rPr>
              <w:t>3</w:t>
            </w:r>
          </w:p>
          <w:tbl>
            <w:tblPr>
              <w:tblStyle w:val="5"/>
              <w:tblW w:w="8510" w:type="dxa"/>
              <w:jc w:val="center"/>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918"/>
              <w:gridCol w:w="1304"/>
              <w:gridCol w:w="1087"/>
              <w:gridCol w:w="1025"/>
              <w:gridCol w:w="975"/>
              <w:gridCol w:w="1063"/>
              <w:gridCol w:w="1138"/>
            </w:tblGrid>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918" w:type="dxa"/>
                  <w:tcBorders>
                    <w:tl2br w:val="nil"/>
                    <w:tr2bl w:val="nil"/>
                  </w:tcBorders>
                  <w:vAlign w:val="center"/>
                </w:tcPr>
                <w:p>
                  <w:pPr>
                    <w:pStyle w:val="11"/>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监测指标</w:t>
                  </w:r>
                </w:p>
              </w:tc>
              <w:tc>
                <w:tcPr>
                  <w:tcW w:w="1304" w:type="dxa"/>
                  <w:tcBorders>
                    <w:tl2br w:val="nil"/>
                    <w:tr2bl w:val="nil"/>
                  </w:tcBorders>
                  <w:vAlign w:val="center"/>
                </w:tcPr>
                <w:p>
                  <w:pPr>
                    <w:pStyle w:val="11"/>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PM</w:t>
                  </w:r>
                  <w:r>
                    <w:rPr>
                      <w:rFonts w:hint="default" w:ascii="Times New Roman" w:hAnsi="Times New Roman" w:cs="Times New Roman"/>
                      <w:b/>
                      <w:bCs/>
                      <w:color w:val="auto"/>
                      <w:sz w:val="21"/>
                      <w:szCs w:val="21"/>
                      <w:vertAlign w:val="subscript"/>
                    </w:rPr>
                    <w:t>2.5</w:t>
                  </w:r>
                </w:p>
              </w:tc>
              <w:tc>
                <w:tcPr>
                  <w:tcW w:w="1087" w:type="dxa"/>
                  <w:tcBorders>
                    <w:tl2br w:val="nil"/>
                    <w:tr2bl w:val="nil"/>
                  </w:tcBorders>
                  <w:vAlign w:val="center"/>
                </w:tcPr>
                <w:p>
                  <w:pPr>
                    <w:pStyle w:val="11"/>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PM</w:t>
                  </w:r>
                  <w:r>
                    <w:rPr>
                      <w:rFonts w:hint="default" w:ascii="Times New Roman" w:hAnsi="Times New Roman" w:cs="Times New Roman"/>
                      <w:b/>
                      <w:bCs/>
                      <w:color w:val="auto"/>
                      <w:sz w:val="21"/>
                      <w:szCs w:val="21"/>
                      <w:vertAlign w:val="subscript"/>
                    </w:rPr>
                    <w:t>10</w:t>
                  </w:r>
                </w:p>
              </w:tc>
              <w:tc>
                <w:tcPr>
                  <w:tcW w:w="1025" w:type="dxa"/>
                  <w:tcBorders>
                    <w:tl2br w:val="nil"/>
                    <w:tr2bl w:val="nil"/>
                  </w:tcBorders>
                  <w:vAlign w:val="center"/>
                </w:tcPr>
                <w:p>
                  <w:pPr>
                    <w:pStyle w:val="11"/>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SO</w:t>
                  </w:r>
                  <w:r>
                    <w:rPr>
                      <w:rFonts w:hint="default" w:ascii="Times New Roman" w:hAnsi="Times New Roman" w:cs="Times New Roman"/>
                      <w:b/>
                      <w:bCs/>
                      <w:color w:val="auto"/>
                      <w:sz w:val="21"/>
                      <w:szCs w:val="21"/>
                      <w:vertAlign w:val="subscript"/>
                    </w:rPr>
                    <w:t>2</w:t>
                  </w:r>
                </w:p>
              </w:tc>
              <w:tc>
                <w:tcPr>
                  <w:tcW w:w="975" w:type="dxa"/>
                  <w:tcBorders>
                    <w:tl2br w:val="nil"/>
                    <w:tr2bl w:val="nil"/>
                  </w:tcBorders>
                  <w:vAlign w:val="center"/>
                </w:tcPr>
                <w:p>
                  <w:pPr>
                    <w:pStyle w:val="11"/>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NO</w:t>
                  </w:r>
                  <w:r>
                    <w:rPr>
                      <w:rFonts w:hint="default" w:ascii="Times New Roman" w:hAnsi="Times New Roman" w:cs="Times New Roman"/>
                      <w:b/>
                      <w:bCs/>
                      <w:color w:val="auto"/>
                      <w:sz w:val="21"/>
                      <w:szCs w:val="21"/>
                      <w:vertAlign w:val="subscript"/>
                    </w:rPr>
                    <w:t>2</w:t>
                  </w:r>
                </w:p>
              </w:tc>
              <w:tc>
                <w:tcPr>
                  <w:tcW w:w="1063" w:type="dxa"/>
                  <w:tcBorders>
                    <w:tl2br w:val="nil"/>
                    <w:tr2bl w:val="nil"/>
                  </w:tcBorders>
                  <w:vAlign w:val="center"/>
                </w:tcPr>
                <w:p>
                  <w:pPr>
                    <w:pStyle w:val="11"/>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CO</w:t>
                  </w:r>
                </w:p>
              </w:tc>
              <w:tc>
                <w:tcPr>
                  <w:tcW w:w="1138" w:type="dxa"/>
                  <w:tcBorders>
                    <w:tl2br w:val="nil"/>
                    <w:tr2bl w:val="nil"/>
                  </w:tcBorders>
                  <w:vAlign w:val="center"/>
                </w:tcPr>
                <w:p>
                  <w:pPr>
                    <w:pStyle w:val="11"/>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O</w:t>
                  </w:r>
                  <w:r>
                    <w:rPr>
                      <w:rFonts w:hint="default" w:ascii="Times New Roman" w:hAnsi="Times New Roman" w:cs="Times New Roman"/>
                      <w:b/>
                      <w:bCs/>
                      <w:color w:val="auto"/>
                      <w:sz w:val="21"/>
                      <w:szCs w:val="21"/>
                      <w:vertAlign w:val="subscript"/>
                    </w:rPr>
                    <w:t>3</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918" w:type="dxa"/>
                  <w:tcBorders>
                    <w:tl2br w:val="nil"/>
                    <w:tr2bl w:val="nil"/>
                  </w:tcBorders>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年平均</w:t>
                  </w:r>
                </w:p>
              </w:tc>
              <w:tc>
                <w:tcPr>
                  <w:tcW w:w="1304" w:type="dxa"/>
                  <w:tcBorders>
                    <w:tl2br w:val="nil"/>
                    <w:tr2bl w:val="nil"/>
                  </w:tcBorders>
                  <w:vAlign w:val="center"/>
                </w:tcPr>
                <w:p>
                  <w:pPr>
                    <w:pStyle w:val="11"/>
                    <w:jc w:val="center"/>
                    <w:rPr>
                      <w:rFonts w:hint="default" w:ascii="Times New Roman" w:hAnsi="Times New Roman" w:eastAsia="宋体" w:cs="Times New Roman"/>
                      <w:color w:val="auto"/>
                      <w:lang w:val="en-US" w:eastAsia="zh-CN"/>
                    </w:rPr>
                  </w:pPr>
                  <w:r>
                    <w:rPr>
                      <w:rFonts w:hint="eastAsia" w:cs="Times New Roman"/>
                      <w:color w:val="auto"/>
                      <w:lang w:val="en-US" w:eastAsia="zh-CN"/>
                    </w:rPr>
                    <w:t>27</w:t>
                  </w:r>
                </w:p>
              </w:tc>
              <w:tc>
                <w:tcPr>
                  <w:tcW w:w="1087" w:type="dxa"/>
                  <w:tcBorders>
                    <w:tl2br w:val="nil"/>
                    <w:tr2bl w:val="nil"/>
                  </w:tcBorders>
                  <w:vAlign w:val="center"/>
                </w:tcPr>
                <w:p>
                  <w:pPr>
                    <w:pStyle w:val="11"/>
                    <w:jc w:val="center"/>
                    <w:rPr>
                      <w:rFonts w:hint="default" w:ascii="Times New Roman" w:hAnsi="Times New Roman" w:eastAsia="宋体" w:cs="Times New Roman"/>
                      <w:color w:val="auto"/>
                      <w:lang w:val="en-US" w:eastAsia="zh-CN"/>
                    </w:rPr>
                  </w:pPr>
                  <w:r>
                    <w:rPr>
                      <w:rFonts w:hint="eastAsia" w:cs="Times New Roman"/>
                      <w:color w:val="auto"/>
                      <w:lang w:val="en-US" w:eastAsia="zh-CN"/>
                    </w:rPr>
                    <w:t>50</w:t>
                  </w:r>
                </w:p>
              </w:tc>
              <w:tc>
                <w:tcPr>
                  <w:tcW w:w="1025" w:type="dxa"/>
                  <w:tcBorders>
                    <w:tl2br w:val="nil"/>
                    <w:tr2bl w:val="nil"/>
                  </w:tcBorders>
                  <w:vAlign w:val="center"/>
                </w:tcPr>
                <w:p>
                  <w:pPr>
                    <w:pStyle w:val="11"/>
                    <w:jc w:val="center"/>
                    <w:rPr>
                      <w:rFonts w:hint="eastAsia" w:ascii="Times New Roman" w:hAnsi="Times New Roman" w:eastAsia="宋体" w:cs="Times New Roman"/>
                      <w:color w:val="auto"/>
                      <w:lang w:eastAsia="zh-CN"/>
                    </w:rPr>
                  </w:pPr>
                  <w:r>
                    <w:rPr>
                      <w:rFonts w:hint="eastAsia" w:cs="Times New Roman"/>
                      <w:color w:val="auto"/>
                      <w:lang w:val="en-US" w:eastAsia="zh-CN"/>
                    </w:rPr>
                    <w:t>5</w:t>
                  </w:r>
                </w:p>
              </w:tc>
              <w:tc>
                <w:tcPr>
                  <w:tcW w:w="975" w:type="dxa"/>
                  <w:tcBorders>
                    <w:tl2br w:val="nil"/>
                    <w:tr2bl w:val="nil"/>
                  </w:tcBorders>
                  <w:vAlign w:val="center"/>
                </w:tcPr>
                <w:p>
                  <w:pPr>
                    <w:pStyle w:val="11"/>
                    <w:jc w:val="center"/>
                    <w:rPr>
                      <w:rFonts w:hint="default" w:ascii="Times New Roman" w:hAnsi="Times New Roman" w:eastAsia="宋体" w:cs="Times New Roman"/>
                      <w:color w:val="auto"/>
                      <w:lang w:val="en-US" w:eastAsia="zh-CN"/>
                    </w:rPr>
                  </w:pPr>
                  <w:r>
                    <w:rPr>
                      <w:rFonts w:hint="eastAsia" w:cs="Times New Roman"/>
                      <w:color w:val="auto"/>
                      <w:lang w:val="en-US" w:eastAsia="zh-CN"/>
                    </w:rPr>
                    <w:t>19</w:t>
                  </w:r>
                </w:p>
              </w:tc>
              <w:tc>
                <w:tcPr>
                  <w:tcW w:w="1063" w:type="dxa"/>
                  <w:tcBorders>
                    <w:tl2br w:val="nil"/>
                    <w:tr2bl w:val="nil"/>
                  </w:tcBorders>
                  <w:vAlign w:val="center"/>
                </w:tcPr>
                <w:p>
                  <w:pPr>
                    <w:pStyle w:val="11"/>
                    <w:jc w:val="center"/>
                    <w:rPr>
                      <w:rFonts w:hint="default" w:ascii="Times New Roman" w:hAnsi="Times New Roman" w:eastAsia="宋体" w:cs="Times New Roman"/>
                      <w:color w:val="auto"/>
                      <w:lang w:val="en-US" w:eastAsia="zh-CN"/>
                    </w:rPr>
                  </w:pPr>
                  <w:r>
                    <w:rPr>
                      <w:rFonts w:hint="eastAsia" w:cs="Times New Roman"/>
                      <w:color w:val="auto"/>
                      <w:lang w:val="en-US" w:eastAsia="zh-CN"/>
                    </w:rPr>
                    <w:t>900</w:t>
                  </w:r>
                </w:p>
              </w:tc>
              <w:tc>
                <w:tcPr>
                  <w:tcW w:w="1138" w:type="dxa"/>
                  <w:tcBorders>
                    <w:tl2br w:val="nil"/>
                    <w:tr2bl w:val="nil"/>
                  </w:tcBorders>
                  <w:vAlign w:val="center"/>
                </w:tcPr>
                <w:p>
                  <w:pPr>
                    <w:pStyle w:val="11"/>
                    <w:jc w:val="center"/>
                    <w:rPr>
                      <w:rFonts w:hint="default" w:ascii="Times New Roman" w:hAnsi="Times New Roman" w:eastAsia="宋体" w:cs="Times New Roman"/>
                      <w:color w:val="auto"/>
                      <w:lang w:val="en-US" w:eastAsia="zh-CN"/>
                    </w:rPr>
                  </w:pPr>
                  <w:r>
                    <w:rPr>
                      <w:rFonts w:hint="eastAsia" w:cs="Times New Roman"/>
                      <w:color w:val="auto"/>
                      <w:lang w:val="en-US" w:eastAsia="zh-CN"/>
                    </w:rPr>
                    <w:t>99</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918" w:type="dxa"/>
                  <w:tcBorders>
                    <w:tl2br w:val="nil"/>
                    <w:tr2bl w:val="nil"/>
                  </w:tcBorders>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标准值</w:t>
                  </w:r>
                </w:p>
              </w:tc>
              <w:tc>
                <w:tcPr>
                  <w:tcW w:w="1304" w:type="dxa"/>
                  <w:tcBorders>
                    <w:tl2br w:val="nil"/>
                    <w:tr2bl w:val="nil"/>
                  </w:tcBorders>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35</w:t>
                  </w:r>
                </w:p>
              </w:tc>
              <w:tc>
                <w:tcPr>
                  <w:tcW w:w="1087" w:type="dxa"/>
                  <w:tcBorders>
                    <w:tl2br w:val="nil"/>
                    <w:tr2bl w:val="nil"/>
                  </w:tcBorders>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70</w:t>
                  </w:r>
                </w:p>
              </w:tc>
              <w:tc>
                <w:tcPr>
                  <w:tcW w:w="1025" w:type="dxa"/>
                  <w:tcBorders>
                    <w:tl2br w:val="nil"/>
                    <w:tr2bl w:val="nil"/>
                  </w:tcBorders>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60</w:t>
                  </w:r>
                </w:p>
              </w:tc>
              <w:tc>
                <w:tcPr>
                  <w:tcW w:w="975" w:type="dxa"/>
                  <w:tcBorders>
                    <w:tl2br w:val="nil"/>
                    <w:tr2bl w:val="nil"/>
                  </w:tcBorders>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40</w:t>
                  </w:r>
                </w:p>
              </w:tc>
              <w:tc>
                <w:tcPr>
                  <w:tcW w:w="1063" w:type="dxa"/>
                  <w:tcBorders>
                    <w:tl2br w:val="nil"/>
                    <w:tr2bl w:val="nil"/>
                  </w:tcBorders>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4000</w:t>
                  </w:r>
                </w:p>
              </w:tc>
              <w:tc>
                <w:tcPr>
                  <w:tcW w:w="1138" w:type="dxa"/>
                  <w:tcBorders>
                    <w:tl2br w:val="nil"/>
                    <w:tr2bl w:val="nil"/>
                  </w:tcBorders>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160</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918" w:type="dxa"/>
                  <w:tcBorders>
                    <w:tl2br w:val="nil"/>
                    <w:tr2bl w:val="nil"/>
                  </w:tcBorders>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达标情况</w:t>
                  </w:r>
                </w:p>
              </w:tc>
              <w:tc>
                <w:tcPr>
                  <w:tcW w:w="1304" w:type="dxa"/>
                  <w:tcBorders>
                    <w:tl2br w:val="nil"/>
                    <w:tr2bl w:val="nil"/>
                  </w:tcBorders>
                  <w:vAlign w:val="center"/>
                </w:tcPr>
                <w:p>
                  <w:pPr>
                    <w:pStyle w:val="11"/>
                    <w:jc w:val="center"/>
                    <w:rPr>
                      <w:rFonts w:hint="eastAsia" w:ascii="Times New Roman" w:hAnsi="Times New Roman" w:eastAsia="宋体" w:cs="Times New Roman"/>
                      <w:color w:val="auto"/>
                      <w:lang w:eastAsia="zh-CN"/>
                    </w:rPr>
                  </w:pPr>
                  <w:r>
                    <w:rPr>
                      <w:rFonts w:hint="eastAsia" w:cs="Times New Roman"/>
                      <w:color w:val="auto"/>
                      <w:lang w:val="en-US" w:eastAsia="zh-CN"/>
                    </w:rPr>
                    <w:t>达标</w:t>
                  </w:r>
                </w:p>
              </w:tc>
              <w:tc>
                <w:tcPr>
                  <w:tcW w:w="1087" w:type="dxa"/>
                  <w:tcBorders>
                    <w:tl2br w:val="nil"/>
                    <w:tr2bl w:val="nil"/>
                  </w:tcBorders>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达标</w:t>
                  </w:r>
                </w:p>
              </w:tc>
              <w:tc>
                <w:tcPr>
                  <w:tcW w:w="1025" w:type="dxa"/>
                  <w:tcBorders>
                    <w:tl2br w:val="nil"/>
                    <w:tr2bl w:val="nil"/>
                  </w:tcBorders>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达标</w:t>
                  </w:r>
                </w:p>
              </w:tc>
              <w:tc>
                <w:tcPr>
                  <w:tcW w:w="975" w:type="dxa"/>
                  <w:tcBorders>
                    <w:tl2br w:val="nil"/>
                    <w:tr2bl w:val="nil"/>
                  </w:tcBorders>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达标</w:t>
                  </w:r>
                </w:p>
              </w:tc>
              <w:tc>
                <w:tcPr>
                  <w:tcW w:w="1063" w:type="dxa"/>
                  <w:tcBorders>
                    <w:tl2br w:val="nil"/>
                    <w:tr2bl w:val="nil"/>
                  </w:tcBorders>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达标</w:t>
                  </w:r>
                </w:p>
              </w:tc>
              <w:tc>
                <w:tcPr>
                  <w:tcW w:w="1138" w:type="dxa"/>
                  <w:tcBorders>
                    <w:tl2br w:val="nil"/>
                    <w:tr2bl w:val="nil"/>
                  </w:tcBorders>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达标</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8510" w:type="dxa"/>
                  <w:gridSpan w:val="7"/>
                  <w:tcBorders>
                    <w:tl2br w:val="nil"/>
                    <w:tr2bl w:val="nil"/>
                  </w:tcBorders>
                  <w:vAlign w:val="center"/>
                </w:tcPr>
                <w:p>
                  <w:pPr>
                    <w:pStyle w:val="11"/>
                    <w:rPr>
                      <w:rFonts w:hint="default" w:ascii="Times New Roman" w:hAnsi="Times New Roman" w:cs="Times New Roman"/>
                      <w:color w:val="auto"/>
                    </w:rPr>
                  </w:pPr>
                  <w:r>
                    <w:rPr>
                      <w:rFonts w:hint="default" w:ascii="Times New Roman" w:hAnsi="Times New Roman" w:cs="Times New Roman"/>
                      <w:color w:val="auto"/>
                    </w:rPr>
                    <w:t>注：监测数值中PM</w:t>
                  </w:r>
                  <w:r>
                    <w:rPr>
                      <w:rFonts w:hint="default" w:ascii="Times New Roman" w:hAnsi="Times New Roman" w:cs="Times New Roman"/>
                      <w:color w:val="auto"/>
                      <w:vertAlign w:val="subscript"/>
                    </w:rPr>
                    <w:t>2.5</w:t>
                  </w:r>
                  <w:r>
                    <w:rPr>
                      <w:rFonts w:hint="default" w:ascii="Times New Roman" w:hAnsi="Times New Roman" w:cs="Times New Roman"/>
                      <w:color w:val="auto"/>
                    </w:rPr>
                    <w:t>、PM</w:t>
                  </w:r>
                  <w:r>
                    <w:rPr>
                      <w:rFonts w:hint="default" w:ascii="Times New Roman" w:hAnsi="Times New Roman" w:cs="Times New Roman"/>
                      <w:color w:val="auto"/>
                      <w:vertAlign w:val="subscript"/>
                    </w:rPr>
                    <w:t>10</w:t>
                  </w:r>
                  <w:r>
                    <w:rPr>
                      <w:rFonts w:hint="default" w:ascii="Times New Roman" w:hAnsi="Times New Roman" w:cs="Times New Roman"/>
                      <w:color w:val="auto"/>
                    </w:rPr>
                    <w:t>、SO</w:t>
                  </w:r>
                  <w:r>
                    <w:rPr>
                      <w:rFonts w:hint="default" w:ascii="Times New Roman" w:hAnsi="Times New Roman" w:cs="Times New Roman"/>
                      <w:color w:val="auto"/>
                      <w:vertAlign w:val="subscript"/>
                    </w:rPr>
                    <w:t>2</w:t>
                  </w:r>
                  <w:r>
                    <w:rPr>
                      <w:rFonts w:hint="default" w:ascii="Times New Roman" w:hAnsi="Times New Roman" w:cs="Times New Roman"/>
                      <w:color w:val="auto"/>
                    </w:rPr>
                    <w:t>、NO</w:t>
                  </w:r>
                  <w:r>
                    <w:rPr>
                      <w:rFonts w:hint="default" w:ascii="Times New Roman" w:hAnsi="Times New Roman" w:cs="Times New Roman"/>
                      <w:color w:val="auto"/>
                      <w:vertAlign w:val="subscript"/>
                    </w:rPr>
                    <w:t>2</w:t>
                  </w:r>
                  <w:r>
                    <w:rPr>
                      <w:rFonts w:hint="default" w:ascii="Times New Roman" w:hAnsi="Times New Roman" w:cs="Times New Roman"/>
                      <w:color w:val="auto"/>
                    </w:rPr>
                    <w:t>、CO、O</w:t>
                  </w:r>
                  <w:r>
                    <w:rPr>
                      <w:rFonts w:hint="default" w:ascii="Times New Roman" w:hAnsi="Times New Roman" w:cs="Times New Roman"/>
                      <w:color w:val="auto"/>
                      <w:vertAlign w:val="subscript"/>
                    </w:rPr>
                    <w:t>3</w:t>
                  </w:r>
                  <w:r>
                    <w:rPr>
                      <w:rFonts w:hint="default" w:ascii="Times New Roman" w:hAnsi="Times New Roman" w:cs="Times New Roman"/>
                      <w:color w:val="auto"/>
                    </w:rPr>
                    <w:t>这几项为浓度均值。</w:t>
                  </w:r>
                </w:p>
              </w:tc>
            </w:tr>
          </w:tbl>
          <w:p>
            <w:pPr>
              <w:autoSpaceDE w:val="0"/>
              <w:autoSpaceDN w:val="0"/>
              <w:adjustRightInd w:val="0"/>
              <w:snapToGrid w:val="0"/>
              <w:ind w:firstLine="480"/>
              <w:rPr>
                <w:color w:val="auto"/>
              </w:rPr>
            </w:pPr>
            <w:r>
              <w:rPr>
                <w:rFonts w:ascii="Times New Roman" w:hAnsi="Times New Roman" w:cs="Times New Roman"/>
                <w:color w:val="auto"/>
                <w:lang w:val="zh-TW" w:eastAsia="zh-TW"/>
              </w:rPr>
              <w:t>综上可知，项目</w:t>
            </w:r>
            <w:r>
              <w:rPr>
                <w:rFonts w:hint="eastAsia" w:ascii="Times New Roman" w:hAnsi="Times New Roman" w:cs="Times New Roman"/>
                <w:color w:val="auto"/>
                <w:lang w:val="en-US" w:eastAsia="zh-CN"/>
              </w:rPr>
              <w:t>所在区域为环境空气质量达标区</w:t>
            </w:r>
            <w:r>
              <w:rPr>
                <w:color w:val="auto"/>
              </w:rPr>
              <w:t>。</w:t>
            </w:r>
          </w:p>
          <w:p>
            <w:pPr>
              <w:adjustRightInd w:val="0"/>
              <w:snapToGrid w:val="0"/>
              <w:ind w:firstLine="482"/>
              <w:jc w:val="left"/>
              <w:rPr>
                <w:b/>
                <w:bCs/>
                <w:color w:val="auto"/>
              </w:rPr>
            </w:pPr>
            <w:r>
              <w:rPr>
                <w:rFonts w:hint="eastAsia"/>
                <w:b/>
                <w:bCs/>
                <w:color w:val="auto"/>
              </w:rPr>
              <w:t>2、</w:t>
            </w:r>
            <w:r>
              <w:rPr>
                <w:b/>
                <w:bCs/>
                <w:color w:val="auto"/>
              </w:rPr>
              <w:t>VOC</w:t>
            </w:r>
            <w:r>
              <w:rPr>
                <w:rFonts w:hint="eastAsia"/>
                <w:b/>
                <w:bCs/>
                <w:color w:val="auto"/>
                <w:lang w:val="en-US" w:eastAsia="zh-CN"/>
              </w:rPr>
              <w:t>s</w:t>
            </w:r>
            <w:r>
              <w:rPr>
                <w:rFonts w:hint="eastAsia"/>
                <w:b/>
                <w:bCs/>
                <w:color w:val="auto"/>
              </w:rPr>
              <w:t>特征污染物质量现状情况</w:t>
            </w:r>
          </w:p>
          <w:p>
            <w:pPr>
              <w:adjustRightInd w:val="0"/>
              <w:snapToGrid w:val="0"/>
              <w:ind w:firstLine="480"/>
              <w:jc w:val="left"/>
              <w:rPr>
                <w:color w:val="auto"/>
              </w:rPr>
            </w:pPr>
            <w:r>
              <w:rPr>
                <w:color w:val="auto"/>
              </w:rPr>
              <w:t>根据《建设项目环境影响报告表编制技术指南（污染影响类）（试行）》中有关特征污染物环境质量现状数据的规定：</w:t>
            </w:r>
            <w:r>
              <w:rPr>
                <w:color w:val="auto"/>
                <w:lang w:val="en-US" w:eastAsia="zh-CN"/>
              </w:rPr>
              <w:t>排放</w:t>
            </w:r>
            <w:r>
              <w:rPr>
                <w:rFonts w:hint="eastAsia"/>
                <w:color w:val="auto"/>
                <w:lang w:val="en-US" w:eastAsia="zh-CN"/>
              </w:rPr>
              <w:t>国家、地方环境空气质量标准中有标准限值要求的特征污染物时，引用建设项目周边 5 千米范围内近 3 年的现有监测数据，无相关数据的选择当季主导风向下风向 1 个点位补充不少于 3 天的监测数据。</w:t>
            </w:r>
          </w:p>
          <w:p>
            <w:pPr>
              <w:bidi w:val="0"/>
              <w:rPr>
                <w:rFonts w:hint="eastAsia"/>
                <w:color w:val="auto"/>
                <w:lang w:val="en-US" w:eastAsia="zh-CN"/>
              </w:rPr>
            </w:pPr>
            <w:r>
              <w:rPr>
                <w:color w:val="auto"/>
              </w:rPr>
              <w:t>本次</w:t>
            </w:r>
            <w:r>
              <w:rPr>
                <w:rFonts w:hint="eastAsia"/>
                <w:color w:val="auto"/>
                <w:lang w:val="en-US" w:eastAsia="zh-CN"/>
              </w:rPr>
              <w:t>数据来源于达州恒福环境监测服务有限公司于2023年06月03日-2023年06月05日对该项目的环境空气进行现场采样，见附件9，监测数据满足《建设项目环境影响报告表编制技术指南（污染影响类）（试行）》中有关特征污染物环境质量现状数据的规定。</w:t>
            </w:r>
          </w:p>
          <w:p>
            <w:pPr>
              <w:bidi w:val="0"/>
              <w:rPr>
                <w:rFonts w:hint="eastAsia"/>
                <w:color w:val="auto"/>
              </w:rPr>
            </w:pPr>
            <w:r>
              <w:rPr>
                <w:color w:val="auto"/>
              </w:rPr>
              <w:t>（1）监测点位设置</w:t>
            </w:r>
          </w:p>
          <w:p>
            <w:pPr>
              <w:bidi w:val="0"/>
              <w:rPr>
                <w:rFonts w:hint="eastAsia"/>
                <w:color w:val="auto"/>
              </w:rPr>
            </w:pPr>
            <w:r>
              <w:rPr>
                <w:color w:val="auto"/>
              </w:rPr>
              <w:t>本项目共</w:t>
            </w:r>
            <w:r>
              <w:rPr>
                <w:rFonts w:hint="eastAsia"/>
                <w:color w:val="auto"/>
              </w:rPr>
              <w:t>设置</w:t>
            </w:r>
            <w:r>
              <w:rPr>
                <w:color w:val="auto"/>
              </w:rPr>
              <w:t>1个监测点位，监测点</w:t>
            </w:r>
            <w:r>
              <w:rPr>
                <w:rFonts w:hint="eastAsia"/>
                <w:color w:val="auto"/>
                <w:lang w:val="en-US" w:eastAsia="zh-CN"/>
              </w:rPr>
              <w:t>项目所在地厂址中心位置处</w:t>
            </w:r>
            <w:r>
              <w:rPr>
                <w:rFonts w:hint="eastAsia"/>
                <w:color w:val="auto"/>
              </w:rPr>
              <w:t>。</w:t>
            </w:r>
          </w:p>
          <w:p>
            <w:pPr>
              <w:bidi w:val="0"/>
              <w:rPr>
                <w:rFonts w:hint="eastAsia"/>
                <w:color w:val="auto"/>
              </w:rPr>
            </w:pPr>
          </w:p>
          <w:p>
            <w:pPr>
              <w:bidi w:val="0"/>
              <w:rPr>
                <w:rFonts w:hint="eastAsia"/>
                <w:color w:val="auto"/>
              </w:rPr>
            </w:pPr>
          </w:p>
          <w:tbl>
            <w:tblPr>
              <w:tblStyle w:val="6"/>
              <w:tblW w:w="0" w:type="auto"/>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78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785" w:type="dxa"/>
                  <w:tcBorders>
                    <w:tl2br w:val="nil"/>
                    <w:tr2bl w:val="nil"/>
                  </w:tcBorders>
                </w:tcPr>
                <w:p>
                  <w:pPr>
                    <w:autoSpaceDE w:val="0"/>
                    <w:autoSpaceDN w:val="0"/>
                    <w:adjustRightInd w:val="0"/>
                    <w:spacing w:line="360" w:lineRule="auto"/>
                    <w:ind w:left="0" w:leftChars="0" w:firstLine="0" w:firstLineChars="0"/>
                    <w:rPr>
                      <w:rFonts w:hint="eastAsia" w:hAnsi="宋体"/>
                      <w:color w:val="auto"/>
                      <w:kern w:val="0"/>
                      <w:sz w:val="24"/>
                      <w:highlight w:val="cyan"/>
                      <w:vertAlign w:val="baseline"/>
                    </w:rPr>
                  </w:pPr>
                  <w:r>
                    <w:rPr>
                      <w:rFonts w:hint="eastAsia" w:hAnsi="宋体"/>
                      <w:color w:val="auto"/>
                      <w:kern w:val="0"/>
                      <w:sz w:val="24"/>
                      <w:highlight w:val="cyan"/>
                      <w:vertAlign w:val="baseline"/>
                    </w:rPr>
                    <w:drawing>
                      <wp:inline distT="0" distB="0" distL="114300" distR="114300">
                        <wp:extent cx="5439410" cy="4925060"/>
                        <wp:effectExtent l="0" t="0" r="8890" b="889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23"/>
                                <a:stretch>
                                  <a:fillRect/>
                                </a:stretch>
                              </pic:blipFill>
                              <pic:spPr>
                                <a:xfrm>
                                  <a:off x="0" y="0"/>
                                  <a:ext cx="5439410" cy="492506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785" w:type="dxa"/>
                  <w:tcBorders>
                    <w:tl2br w:val="nil"/>
                    <w:tr2bl w:val="nil"/>
                  </w:tcBorders>
                </w:tcPr>
                <w:p>
                  <w:pPr>
                    <w:pStyle w:val="11"/>
                    <w:bidi w:val="0"/>
                    <w:jc w:val="center"/>
                    <w:rPr>
                      <w:rFonts w:hint="default" w:hAnsi="宋体" w:eastAsia="宋体"/>
                      <w:color w:val="auto"/>
                      <w:kern w:val="0"/>
                      <w:sz w:val="24"/>
                      <w:highlight w:val="cyan"/>
                      <w:vertAlign w:val="baseline"/>
                      <w:lang w:val="en-US" w:eastAsia="zh-CN"/>
                    </w:rPr>
                  </w:pPr>
                  <w:r>
                    <w:rPr>
                      <w:rFonts w:hint="eastAsia"/>
                      <w:b/>
                      <w:bCs/>
                      <w:color w:val="auto"/>
                    </w:rPr>
                    <w:t>图3-1 监测</w:t>
                  </w:r>
                  <w:r>
                    <w:rPr>
                      <w:rFonts w:hint="eastAsia"/>
                      <w:b/>
                      <w:bCs/>
                      <w:color w:val="auto"/>
                      <w:lang w:val="en-US" w:eastAsia="zh-CN"/>
                    </w:rPr>
                    <w:t>点位示意图</w:t>
                  </w:r>
                </w:p>
              </w:tc>
            </w:tr>
          </w:tbl>
          <w:p>
            <w:pPr>
              <w:autoSpaceDE w:val="0"/>
              <w:autoSpaceDN w:val="0"/>
              <w:adjustRightInd w:val="0"/>
              <w:spacing w:line="360" w:lineRule="auto"/>
              <w:ind w:firstLine="480"/>
              <w:rPr>
                <w:rFonts w:hint="eastAsia" w:hAnsi="宋体"/>
                <w:color w:val="auto"/>
                <w:kern w:val="0"/>
                <w:sz w:val="24"/>
              </w:rPr>
            </w:pPr>
            <w:r>
              <w:rPr>
                <w:rFonts w:hAnsi="宋体"/>
                <w:color w:val="auto"/>
                <w:kern w:val="0"/>
                <w:sz w:val="24"/>
              </w:rPr>
              <w:t>（</w:t>
            </w:r>
            <w:r>
              <w:rPr>
                <w:color w:val="auto"/>
                <w:kern w:val="0"/>
                <w:sz w:val="24"/>
              </w:rPr>
              <w:t>2</w:t>
            </w:r>
            <w:r>
              <w:rPr>
                <w:rFonts w:hAnsi="宋体"/>
                <w:color w:val="auto"/>
                <w:kern w:val="0"/>
                <w:sz w:val="24"/>
              </w:rPr>
              <w:t>）监测项目</w:t>
            </w:r>
          </w:p>
          <w:p>
            <w:pPr>
              <w:autoSpaceDE w:val="0"/>
              <w:autoSpaceDN w:val="0"/>
              <w:adjustRightInd w:val="0"/>
              <w:spacing w:line="360" w:lineRule="auto"/>
              <w:ind w:firstLine="480"/>
              <w:rPr>
                <w:rFonts w:hint="eastAsia" w:eastAsia="宋体"/>
                <w:color w:val="auto"/>
                <w:kern w:val="0"/>
                <w:sz w:val="24"/>
                <w:lang w:eastAsia="zh-CN"/>
              </w:rPr>
            </w:pPr>
            <w:r>
              <w:rPr>
                <w:rFonts w:hAnsi="宋体"/>
                <w:color w:val="auto"/>
                <w:kern w:val="0"/>
                <w:sz w:val="24"/>
              </w:rPr>
              <w:t>监测</w:t>
            </w:r>
            <w:r>
              <w:rPr>
                <w:rFonts w:hint="eastAsia" w:hAnsi="宋体"/>
                <w:color w:val="auto"/>
                <w:kern w:val="0"/>
                <w:sz w:val="24"/>
              </w:rPr>
              <w:t>项目</w:t>
            </w:r>
            <w:r>
              <w:rPr>
                <w:rFonts w:hAnsi="宋体"/>
                <w:color w:val="auto"/>
                <w:kern w:val="0"/>
                <w:sz w:val="24"/>
              </w:rPr>
              <w:t>：</w:t>
            </w:r>
            <w:r>
              <w:rPr>
                <w:rFonts w:hint="eastAsia"/>
                <w:color w:val="auto"/>
                <w:kern w:val="0"/>
                <w:sz w:val="24"/>
                <w:lang w:val="en-US" w:eastAsia="zh-CN"/>
              </w:rPr>
              <w:t>TVOC</w:t>
            </w:r>
            <w:r>
              <w:rPr>
                <w:rFonts w:hint="eastAsia"/>
                <w:color w:val="auto"/>
                <w:kern w:val="0"/>
                <w:sz w:val="24"/>
                <w:lang w:eastAsia="zh-CN"/>
              </w:rPr>
              <w:t>。</w:t>
            </w:r>
          </w:p>
          <w:p>
            <w:pPr>
              <w:autoSpaceDE w:val="0"/>
              <w:autoSpaceDN w:val="0"/>
              <w:adjustRightInd w:val="0"/>
              <w:spacing w:line="360" w:lineRule="auto"/>
              <w:ind w:firstLine="480"/>
              <w:rPr>
                <w:rFonts w:hint="eastAsia" w:hAnsi="宋体"/>
                <w:color w:val="auto"/>
                <w:kern w:val="0"/>
                <w:sz w:val="24"/>
              </w:rPr>
            </w:pPr>
            <w:r>
              <w:rPr>
                <w:rFonts w:hAnsi="宋体"/>
                <w:color w:val="auto"/>
                <w:kern w:val="0"/>
                <w:sz w:val="24"/>
              </w:rPr>
              <w:t>（</w:t>
            </w:r>
            <w:r>
              <w:rPr>
                <w:color w:val="auto"/>
                <w:kern w:val="0"/>
                <w:sz w:val="24"/>
              </w:rPr>
              <w:t>3</w:t>
            </w:r>
            <w:r>
              <w:rPr>
                <w:rFonts w:hAnsi="宋体"/>
                <w:color w:val="auto"/>
                <w:kern w:val="0"/>
                <w:sz w:val="24"/>
              </w:rPr>
              <w:t>）监测时间及采样频率</w:t>
            </w:r>
          </w:p>
          <w:p>
            <w:pPr>
              <w:autoSpaceDE w:val="0"/>
              <w:autoSpaceDN w:val="0"/>
              <w:adjustRightInd w:val="0"/>
              <w:spacing w:line="360" w:lineRule="auto"/>
              <w:ind w:firstLine="480"/>
              <w:rPr>
                <w:rFonts w:hint="eastAsia" w:hAnsi="宋体" w:eastAsia="宋体"/>
                <w:color w:val="auto"/>
                <w:kern w:val="0"/>
                <w:sz w:val="24"/>
                <w:lang w:eastAsia="zh-CN"/>
              </w:rPr>
            </w:pPr>
            <w:r>
              <w:rPr>
                <w:rFonts w:hint="eastAsia" w:hAnsi="宋体"/>
                <w:color w:val="auto"/>
                <w:kern w:val="0"/>
                <w:sz w:val="24"/>
              </w:rPr>
              <w:t>监测时间为</w:t>
            </w:r>
            <w:r>
              <w:rPr>
                <w:rFonts w:hint="default"/>
                <w:color w:val="auto"/>
                <w:kern w:val="0"/>
                <w:sz w:val="24"/>
                <w:lang w:val="en-US" w:eastAsia="zh-CN"/>
              </w:rPr>
              <w:t>202</w:t>
            </w:r>
            <w:r>
              <w:rPr>
                <w:rFonts w:hint="eastAsia"/>
                <w:color w:val="auto"/>
                <w:kern w:val="0"/>
                <w:sz w:val="24"/>
                <w:lang w:val="en-US" w:eastAsia="zh-CN"/>
              </w:rPr>
              <w:t>3</w:t>
            </w:r>
            <w:r>
              <w:rPr>
                <w:rFonts w:hint="default"/>
                <w:color w:val="auto"/>
                <w:kern w:val="0"/>
                <w:sz w:val="24"/>
                <w:lang w:val="en-US" w:eastAsia="zh-CN"/>
              </w:rPr>
              <w:t>年</w:t>
            </w:r>
            <w:r>
              <w:rPr>
                <w:rFonts w:hint="eastAsia"/>
                <w:color w:val="auto"/>
                <w:kern w:val="0"/>
                <w:sz w:val="24"/>
                <w:lang w:val="en-US" w:eastAsia="zh-CN"/>
              </w:rPr>
              <w:t>06</w:t>
            </w:r>
            <w:r>
              <w:rPr>
                <w:rFonts w:hint="default"/>
                <w:color w:val="auto"/>
                <w:kern w:val="0"/>
                <w:sz w:val="24"/>
                <w:lang w:val="en-US" w:eastAsia="zh-CN"/>
              </w:rPr>
              <w:t>月</w:t>
            </w:r>
            <w:r>
              <w:rPr>
                <w:rFonts w:hint="eastAsia"/>
                <w:color w:val="auto"/>
                <w:kern w:val="0"/>
                <w:sz w:val="24"/>
                <w:lang w:val="en-US" w:eastAsia="zh-CN"/>
              </w:rPr>
              <w:t>03</w:t>
            </w:r>
            <w:r>
              <w:rPr>
                <w:rFonts w:hint="default"/>
                <w:color w:val="auto"/>
                <w:kern w:val="0"/>
                <w:sz w:val="24"/>
                <w:lang w:val="en-US" w:eastAsia="zh-CN"/>
              </w:rPr>
              <w:t>日-202</w:t>
            </w:r>
            <w:r>
              <w:rPr>
                <w:rFonts w:hint="eastAsia"/>
                <w:color w:val="auto"/>
                <w:kern w:val="0"/>
                <w:sz w:val="24"/>
                <w:lang w:val="en-US" w:eastAsia="zh-CN"/>
              </w:rPr>
              <w:t>3</w:t>
            </w:r>
            <w:r>
              <w:rPr>
                <w:rFonts w:hint="default"/>
                <w:color w:val="auto"/>
                <w:kern w:val="0"/>
                <w:sz w:val="24"/>
                <w:lang w:val="en-US" w:eastAsia="zh-CN"/>
              </w:rPr>
              <w:t>年</w:t>
            </w:r>
            <w:r>
              <w:rPr>
                <w:rFonts w:hint="eastAsia"/>
                <w:color w:val="auto"/>
                <w:kern w:val="0"/>
                <w:sz w:val="24"/>
                <w:lang w:val="en-US" w:eastAsia="zh-CN"/>
              </w:rPr>
              <w:t>06</w:t>
            </w:r>
            <w:r>
              <w:rPr>
                <w:rFonts w:hint="default"/>
                <w:color w:val="auto"/>
                <w:kern w:val="0"/>
                <w:sz w:val="24"/>
                <w:lang w:val="en-US" w:eastAsia="zh-CN"/>
              </w:rPr>
              <w:t>月</w:t>
            </w:r>
            <w:r>
              <w:rPr>
                <w:rFonts w:hint="eastAsia"/>
                <w:color w:val="auto"/>
                <w:kern w:val="0"/>
                <w:sz w:val="24"/>
                <w:lang w:val="en-US" w:eastAsia="zh-CN"/>
              </w:rPr>
              <w:t>05</w:t>
            </w:r>
            <w:r>
              <w:rPr>
                <w:rFonts w:hint="default"/>
                <w:color w:val="auto"/>
                <w:kern w:val="0"/>
                <w:sz w:val="24"/>
                <w:lang w:val="en-US" w:eastAsia="zh-CN"/>
              </w:rPr>
              <w:t>日</w:t>
            </w:r>
            <w:r>
              <w:rPr>
                <w:rFonts w:hint="eastAsia" w:hAnsi="宋体"/>
                <w:color w:val="auto"/>
                <w:kern w:val="0"/>
                <w:sz w:val="24"/>
              </w:rPr>
              <w:t>，</w:t>
            </w:r>
            <w:r>
              <w:rPr>
                <w:rFonts w:hAnsi="宋体"/>
                <w:color w:val="auto"/>
                <w:kern w:val="0"/>
                <w:sz w:val="24"/>
              </w:rPr>
              <w:t>连续检测</w:t>
            </w:r>
            <w:r>
              <w:rPr>
                <w:rFonts w:hint="eastAsia"/>
                <w:color w:val="auto"/>
                <w:kern w:val="0"/>
                <w:sz w:val="24"/>
                <w:lang w:val="en-US" w:eastAsia="zh-CN"/>
              </w:rPr>
              <w:t>3</w:t>
            </w:r>
            <w:r>
              <w:rPr>
                <w:rFonts w:hAnsi="宋体"/>
                <w:color w:val="auto"/>
                <w:kern w:val="0"/>
                <w:sz w:val="24"/>
              </w:rPr>
              <w:t>天，每天</w:t>
            </w:r>
            <w:r>
              <w:rPr>
                <w:rFonts w:hint="eastAsia"/>
                <w:color w:val="auto"/>
                <w:kern w:val="0"/>
                <w:sz w:val="24"/>
              </w:rPr>
              <w:t>1</w:t>
            </w:r>
            <w:r>
              <w:rPr>
                <w:rFonts w:hAnsi="宋体"/>
                <w:color w:val="auto"/>
                <w:kern w:val="0"/>
                <w:sz w:val="24"/>
              </w:rPr>
              <w:t>次</w:t>
            </w:r>
            <w:r>
              <w:rPr>
                <w:rFonts w:hint="eastAsia" w:hAnsi="宋体"/>
                <w:color w:val="auto"/>
                <w:kern w:val="0"/>
                <w:sz w:val="24"/>
                <w:lang w:eastAsia="zh-CN"/>
              </w:rPr>
              <w:t>。</w:t>
            </w:r>
          </w:p>
          <w:p>
            <w:pPr>
              <w:autoSpaceDE w:val="0"/>
              <w:autoSpaceDN w:val="0"/>
              <w:adjustRightInd w:val="0"/>
              <w:spacing w:line="360" w:lineRule="auto"/>
              <w:ind w:firstLine="480"/>
              <w:rPr>
                <w:rFonts w:hint="eastAsia" w:hAnsi="宋体"/>
                <w:color w:val="auto"/>
                <w:kern w:val="0"/>
                <w:sz w:val="24"/>
              </w:rPr>
            </w:pPr>
            <w:r>
              <w:rPr>
                <w:rFonts w:hAnsi="宋体"/>
                <w:color w:val="auto"/>
                <w:kern w:val="0"/>
                <w:sz w:val="24"/>
              </w:rPr>
              <w:t>（</w:t>
            </w:r>
            <w:r>
              <w:rPr>
                <w:color w:val="auto"/>
                <w:kern w:val="0"/>
                <w:sz w:val="24"/>
              </w:rPr>
              <w:t>4</w:t>
            </w:r>
            <w:r>
              <w:rPr>
                <w:rFonts w:hAnsi="宋体"/>
                <w:color w:val="auto"/>
                <w:kern w:val="0"/>
                <w:sz w:val="24"/>
              </w:rPr>
              <w:t>）监测结果</w:t>
            </w:r>
          </w:p>
          <w:p>
            <w:pPr>
              <w:autoSpaceDE w:val="0"/>
              <w:autoSpaceDN w:val="0"/>
              <w:adjustRightInd w:val="0"/>
              <w:spacing w:line="360" w:lineRule="auto"/>
              <w:ind w:firstLine="480"/>
              <w:rPr>
                <w:rFonts w:hint="eastAsia" w:hAnsi="宋体"/>
                <w:color w:val="auto"/>
                <w:kern w:val="0"/>
                <w:sz w:val="24"/>
              </w:rPr>
            </w:pPr>
            <w:r>
              <w:rPr>
                <w:rFonts w:hAnsi="宋体"/>
                <w:color w:val="auto"/>
                <w:kern w:val="0"/>
                <w:sz w:val="24"/>
              </w:rPr>
              <w:t>环境空气质量现状监测及评价结果见下表。</w:t>
            </w:r>
          </w:p>
          <w:p>
            <w:pPr>
              <w:pStyle w:val="11"/>
              <w:bidi w:val="0"/>
              <w:jc w:val="center"/>
              <w:rPr>
                <w:rFonts w:hint="default" w:eastAsia="宋体"/>
                <w:b/>
                <w:bCs/>
                <w:color w:val="auto"/>
                <w:sz w:val="21"/>
                <w:szCs w:val="21"/>
                <w:lang w:val="en-US" w:eastAsia="zh-CN"/>
              </w:rPr>
            </w:pPr>
            <w:r>
              <w:rPr>
                <w:b/>
                <w:bCs/>
                <w:color w:val="auto"/>
                <w:sz w:val="21"/>
                <w:szCs w:val="21"/>
              </w:rPr>
              <w:t>表3-</w:t>
            </w:r>
            <w:r>
              <w:rPr>
                <w:rFonts w:hint="eastAsia"/>
                <w:b/>
                <w:bCs/>
                <w:color w:val="auto"/>
                <w:sz w:val="21"/>
                <w:szCs w:val="21"/>
                <w:lang w:val="en-US" w:eastAsia="zh-CN"/>
              </w:rPr>
              <w:t>2</w:t>
            </w:r>
            <w:r>
              <w:rPr>
                <w:b/>
                <w:bCs/>
                <w:color w:val="auto"/>
                <w:sz w:val="21"/>
                <w:szCs w:val="21"/>
              </w:rPr>
              <w:t xml:space="preserve"> </w:t>
            </w:r>
            <w:r>
              <w:rPr>
                <w:rFonts w:hint="eastAsia"/>
                <w:b/>
                <w:bCs/>
                <w:color w:val="auto"/>
                <w:sz w:val="21"/>
                <w:szCs w:val="21"/>
                <w:lang w:val="en-US" w:eastAsia="zh-CN"/>
              </w:rPr>
              <w:t xml:space="preserve">  </w:t>
            </w:r>
            <w:r>
              <w:rPr>
                <w:b/>
                <w:bCs/>
                <w:color w:val="auto"/>
                <w:sz w:val="21"/>
                <w:szCs w:val="21"/>
              </w:rPr>
              <w:t>环境空气质量现状监测及评价结果</w:t>
            </w:r>
            <w:r>
              <w:rPr>
                <w:rFonts w:hint="eastAsia"/>
                <w:b/>
                <w:bCs/>
                <w:color w:val="auto"/>
                <w:sz w:val="21"/>
                <w:szCs w:val="21"/>
                <w:lang w:val="en-US" w:eastAsia="zh-CN"/>
              </w:rPr>
              <w:t xml:space="preserve"> 单位：m</w:t>
            </w:r>
            <w:r>
              <w:rPr>
                <w:rFonts w:hint="eastAsia"/>
                <w:b/>
                <w:bCs/>
                <w:color w:val="auto"/>
                <w:sz w:val="21"/>
                <w:szCs w:val="21"/>
              </w:rPr>
              <w:t>g</w:t>
            </w:r>
            <w:r>
              <w:rPr>
                <w:b/>
                <w:bCs/>
                <w:color w:val="auto"/>
                <w:sz w:val="21"/>
                <w:szCs w:val="21"/>
              </w:rPr>
              <w:t>/m</w:t>
            </w:r>
            <w:r>
              <w:rPr>
                <w:b/>
                <w:bCs/>
                <w:color w:val="auto"/>
                <w:sz w:val="21"/>
                <w:szCs w:val="21"/>
                <w:vertAlign w:val="superscript"/>
              </w:rPr>
              <w:t>3</w:t>
            </w:r>
          </w:p>
          <w:tbl>
            <w:tblPr>
              <w:tblStyle w:val="5"/>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16"/>
              <w:gridCol w:w="1345"/>
              <w:gridCol w:w="1496"/>
              <w:gridCol w:w="1643"/>
              <w:gridCol w:w="1407"/>
              <w:gridCol w:w="1678"/>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2" w:type="pct"/>
                  <w:tcBorders>
                    <w:tl2br w:val="nil"/>
                    <w:tr2bl w:val="nil"/>
                  </w:tcBorders>
                  <w:noWrap w:val="0"/>
                  <w:vAlign w:val="center"/>
                </w:tcPr>
                <w:p>
                  <w:pPr>
                    <w:pStyle w:val="11"/>
                    <w:bidi w:val="0"/>
                    <w:jc w:val="center"/>
                    <w:rPr>
                      <w:b/>
                      <w:bCs/>
                      <w:color w:val="auto"/>
                      <w:sz w:val="21"/>
                      <w:szCs w:val="21"/>
                    </w:rPr>
                  </w:pPr>
                  <w:r>
                    <w:rPr>
                      <w:rFonts w:hint="eastAsia"/>
                      <w:b/>
                      <w:bCs/>
                      <w:color w:val="auto"/>
                      <w:sz w:val="21"/>
                      <w:szCs w:val="21"/>
                    </w:rPr>
                    <w:t>监测项目</w:t>
                  </w:r>
                </w:p>
              </w:tc>
              <w:tc>
                <w:tcPr>
                  <w:tcW w:w="765" w:type="pct"/>
                  <w:tcBorders>
                    <w:tl2br w:val="nil"/>
                    <w:tr2bl w:val="nil"/>
                  </w:tcBorders>
                  <w:noWrap w:val="0"/>
                  <w:vAlign w:val="center"/>
                </w:tcPr>
                <w:p>
                  <w:pPr>
                    <w:pStyle w:val="11"/>
                    <w:bidi w:val="0"/>
                    <w:jc w:val="center"/>
                    <w:rPr>
                      <w:b/>
                      <w:bCs/>
                      <w:color w:val="auto"/>
                      <w:sz w:val="21"/>
                      <w:szCs w:val="21"/>
                    </w:rPr>
                  </w:pPr>
                  <w:r>
                    <w:rPr>
                      <w:rFonts w:hint="eastAsia"/>
                      <w:b/>
                      <w:bCs/>
                      <w:color w:val="auto"/>
                      <w:sz w:val="21"/>
                      <w:szCs w:val="21"/>
                    </w:rPr>
                    <w:t>监测日期</w:t>
                  </w:r>
                </w:p>
              </w:tc>
              <w:tc>
                <w:tcPr>
                  <w:tcW w:w="851" w:type="pct"/>
                  <w:tcBorders>
                    <w:tl2br w:val="nil"/>
                    <w:tr2bl w:val="nil"/>
                  </w:tcBorders>
                  <w:noWrap w:val="0"/>
                  <w:vAlign w:val="center"/>
                </w:tcPr>
                <w:p>
                  <w:pPr>
                    <w:pStyle w:val="11"/>
                    <w:bidi w:val="0"/>
                    <w:jc w:val="center"/>
                    <w:rPr>
                      <w:b/>
                      <w:bCs/>
                      <w:color w:val="auto"/>
                      <w:sz w:val="21"/>
                      <w:szCs w:val="21"/>
                    </w:rPr>
                  </w:pPr>
                  <w:r>
                    <w:rPr>
                      <w:rFonts w:hint="eastAsia"/>
                      <w:b/>
                      <w:bCs/>
                      <w:color w:val="auto"/>
                      <w:sz w:val="21"/>
                      <w:szCs w:val="21"/>
                    </w:rPr>
                    <w:t>监测点位</w:t>
                  </w:r>
                </w:p>
              </w:tc>
              <w:tc>
                <w:tcPr>
                  <w:tcW w:w="935" w:type="pct"/>
                  <w:tcBorders>
                    <w:tl2br w:val="nil"/>
                    <w:tr2bl w:val="nil"/>
                  </w:tcBorders>
                  <w:noWrap w:val="0"/>
                  <w:vAlign w:val="center"/>
                </w:tcPr>
                <w:p>
                  <w:pPr>
                    <w:pStyle w:val="11"/>
                    <w:bidi w:val="0"/>
                    <w:jc w:val="center"/>
                    <w:rPr>
                      <w:b/>
                      <w:bCs/>
                      <w:color w:val="auto"/>
                      <w:sz w:val="21"/>
                      <w:szCs w:val="21"/>
                    </w:rPr>
                  </w:pPr>
                  <w:r>
                    <w:rPr>
                      <w:rFonts w:hint="eastAsia"/>
                      <w:b/>
                      <w:bCs/>
                      <w:color w:val="auto"/>
                      <w:sz w:val="21"/>
                      <w:szCs w:val="21"/>
                    </w:rPr>
                    <w:t>监测结果</w:t>
                  </w:r>
                </w:p>
              </w:tc>
              <w:tc>
                <w:tcPr>
                  <w:tcW w:w="800" w:type="pct"/>
                  <w:tcBorders>
                    <w:tl2br w:val="nil"/>
                    <w:tr2bl w:val="nil"/>
                  </w:tcBorders>
                  <w:noWrap w:val="0"/>
                  <w:vAlign w:val="center"/>
                </w:tcPr>
                <w:p>
                  <w:pPr>
                    <w:pStyle w:val="11"/>
                    <w:bidi w:val="0"/>
                    <w:jc w:val="center"/>
                    <w:rPr>
                      <w:b/>
                      <w:bCs/>
                      <w:color w:val="auto"/>
                      <w:sz w:val="21"/>
                      <w:szCs w:val="21"/>
                    </w:rPr>
                  </w:pPr>
                  <w:r>
                    <w:rPr>
                      <w:rFonts w:hint="eastAsia"/>
                      <w:b/>
                      <w:bCs/>
                      <w:color w:val="auto"/>
                      <w:sz w:val="21"/>
                      <w:szCs w:val="21"/>
                    </w:rPr>
                    <w:t>标准限值</w:t>
                  </w:r>
                </w:p>
              </w:tc>
              <w:tc>
                <w:tcPr>
                  <w:tcW w:w="955" w:type="pct"/>
                  <w:tcBorders>
                    <w:tl2br w:val="nil"/>
                    <w:tr2bl w:val="nil"/>
                  </w:tcBorders>
                  <w:noWrap w:val="0"/>
                  <w:vAlign w:val="center"/>
                </w:tcPr>
                <w:p>
                  <w:pPr>
                    <w:pStyle w:val="11"/>
                    <w:bidi w:val="0"/>
                    <w:jc w:val="center"/>
                    <w:rPr>
                      <w:b/>
                      <w:bCs/>
                      <w:color w:val="auto"/>
                      <w:sz w:val="21"/>
                      <w:szCs w:val="21"/>
                    </w:rPr>
                  </w:pPr>
                  <w:r>
                    <w:rPr>
                      <w:rFonts w:hint="eastAsia"/>
                      <w:b/>
                      <w:bCs/>
                      <w:color w:val="auto"/>
                      <w:sz w:val="21"/>
                      <w:szCs w:val="21"/>
                    </w:rPr>
                    <w:t>结果评价</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2" w:type="pct"/>
                  <w:vMerge w:val="restart"/>
                  <w:tcBorders>
                    <w:tl2br w:val="nil"/>
                    <w:tr2bl w:val="nil"/>
                  </w:tcBorders>
                  <w:noWrap w:val="0"/>
                  <w:vAlign w:val="center"/>
                </w:tcPr>
                <w:p>
                  <w:pPr>
                    <w:pStyle w:val="11"/>
                    <w:bidi w:val="0"/>
                    <w:jc w:val="center"/>
                    <w:rPr>
                      <w:rFonts w:hint="default" w:eastAsia="宋体"/>
                      <w:color w:val="auto"/>
                      <w:sz w:val="21"/>
                      <w:szCs w:val="21"/>
                      <w:lang w:val="en-US" w:eastAsia="zh-CN"/>
                    </w:rPr>
                  </w:pPr>
                  <w:r>
                    <w:rPr>
                      <w:rFonts w:hint="eastAsia"/>
                      <w:color w:val="auto"/>
                      <w:sz w:val="21"/>
                      <w:szCs w:val="21"/>
                    </w:rPr>
                    <w:t>T</w:t>
                  </w:r>
                  <w:r>
                    <w:rPr>
                      <w:rFonts w:hint="eastAsia"/>
                      <w:color w:val="auto"/>
                      <w:sz w:val="21"/>
                      <w:szCs w:val="21"/>
                      <w:lang w:val="en-US" w:eastAsia="zh-CN"/>
                    </w:rPr>
                    <w:t>VOC</w:t>
                  </w:r>
                </w:p>
              </w:tc>
              <w:tc>
                <w:tcPr>
                  <w:tcW w:w="1345" w:type="dxa"/>
                  <w:tcBorders>
                    <w:tl2br w:val="nil"/>
                    <w:tr2bl w:val="nil"/>
                  </w:tcBorders>
                  <w:noWrap w:val="0"/>
                  <w:vAlign w:val="center"/>
                </w:tcPr>
                <w:p>
                  <w:pPr>
                    <w:pStyle w:val="11"/>
                    <w:bidi w:val="0"/>
                    <w:jc w:val="center"/>
                    <w:rPr>
                      <w:color w:val="auto"/>
                      <w:sz w:val="21"/>
                      <w:szCs w:val="21"/>
                    </w:rPr>
                  </w:pPr>
                  <w:r>
                    <w:rPr>
                      <w:rFonts w:hint="eastAsia"/>
                      <w:color w:val="auto"/>
                      <w:sz w:val="21"/>
                      <w:szCs w:val="21"/>
                      <w:lang w:val="en-US" w:eastAsia="zh-CN"/>
                    </w:rPr>
                    <w:t>2023.06.03</w:t>
                  </w:r>
                </w:p>
              </w:tc>
              <w:tc>
                <w:tcPr>
                  <w:tcW w:w="851" w:type="pct"/>
                  <w:vMerge w:val="restart"/>
                  <w:tcBorders>
                    <w:tl2br w:val="nil"/>
                    <w:tr2bl w:val="nil"/>
                  </w:tcBorders>
                  <w:noWrap w:val="0"/>
                  <w:vAlign w:val="center"/>
                </w:tcPr>
                <w:p>
                  <w:pPr>
                    <w:pStyle w:val="11"/>
                    <w:bidi w:val="0"/>
                    <w:jc w:val="center"/>
                    <w:rPr>
                      <w:color w:val="auto"/>
                      <w:sz w:val="21"/>
                      <w:szCs w:val="21"/>
                    </w:rPr>
                  </w:pPr>
                  <w:r>
                    <w:rPr>
                      <w:rFonts w:hint="eastAsia"/>
                      <w:color w:val="auto"/>
                      <w:sz w:val="21"/>
                      <w:szCs w:val="21"/>
                      <w:lang w:val="en-US" w:eastAsia="zh-CN"/>
                    </w:rPr>
                    <w:t>项目所在地中心位置处</w:t>
                  </w:r>
                </w:p>
              </w:tc>
              <w:tc>
                <w:tcPr>
                  <w:tcW w:w="1643" w:type="dxa"/>
                  <w:tcBorders>
                    <w:tl2br w:val="nil"/>
                    <w:tr2bl w:val="nil"/>
                  </w:tcBorders>
                  <w:noWrap w:val="0"/>
                  <w:vAlign w:val="center"/>
                </w:tcPr>
                <w:p>
                  <w:pPr>
                    <w:pStyle w:val="11"/>
                    <w:bidi w:val="0"/>
                    <w:jc w:val="center"/>
                    <w:rPr>
                      <w:rFonts w:hint="default"/>
                      <w:color w:val="auto"/>
                      <w:sz w:val="21"/>
                      <w:szCs w:val="21"/>
                      <w:lang w:val="en-US"/>
                    </w:rPr>
                  </w:pPr>
                  <w:r>
                    <w:rPr>
                      <w:rFonts w:hint="eastAsia"/>
                      <w:color w:val="auto"/>
                      <w:sz w:val="21"/>
                      <w:szCs w:val="21"/>
                      <w:lang w:val="en-US" w:eastAsia="zh-CN"/>
                    </w:rPr>
                    <w:t>0.0042</w:t>
                  </w:r>
                </w:p>
              </w:tc>
              <w:tc>
                <w:tcPr>
                  <w:tcW w:w="800" w:type="pct"/>
                  <w:vMerge w:val="restart"/>
                  <w:tcBorders>
                    <w:tl2br w:val="nil"/>
                    <w:tr2bl w:val="nil"/>
                  </w:tcBorders>
                  <w:noWrap w:val="0"/>
                  <w:vAlign w:val="center"/>
                </w:tcPr>
                <w:p>
                  <w:pPr>
                    <w:pStyle w:val="11"/>
                    <w:bidi w:val="0"/>
                    <w:jc w:val="center"/>
                    <w:rPr>
                      <w:rFonts w:hint="default"/>
                      <w:color w:val="auto"/>
                      <w:sz w:val="21"/>
                      <w:szCs w:val="21"/>
                      <w:lang w:val="en-US" w:eastAsia="zh-CN"/>
                    </w:rPr>
                  </w:pPr>
                  <w:r>
                    <w:rPr>
                      <w:rFonts w:hint="eastAsia"/>
                      <w:color w:val="auto"/>
                      <w:sz w:val="21"/>
                      <w:szCs w:val="21"/>
                      <w:lang w:val="en-US" w:eastAsia="zh-CN"/>
                    </w:rPr>
                    <w:t>0.6</w:t>
                  </w:r>
                </w:p>
              </w:tc>
              <w:tc>
                <w:tcPr>
                  <w:tcW w:w="955" w:type="pct"/>
                  <w:tcBorders>
                    <w:tl2br w:val="nil"/>
                    <w:tr2bl w:val="nil"/>
                  </w:tcBorders>
                  <w:noWrap w:val="0"/>
                  <w:vAlign w:val="center"/>
                </w:tcPr>
                <w:p>
                  <w:pPr>
                    <w:pStyle w:val="11"/>
                    <w:bidi w:val="0"/>
                    <w:jc w:val="center"/>
                    <w:rPr>
                      <w:color w:val="auto"/>
                      <w:sz w:val="21"/>
                      <w:szCs w:val="21"/>
                    </w:rPr>
                  </w:pPr>
                  <w:r>
                    <w:rPr>
                      <w:rFonts w:hint="eastAsia"/>
                      <w:color w:val="auto"/>
                      <w:sz w:val="21"/>
                      <w:szCs w:val="21"/>
                    </w:rPr>
                    <w:t>达标</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2" w:type="pct"/>
                  <w:vMerge w:val="continue"/>
                  <w:tcBorders>
                    <w:tl2br w:val="nil"/>
                    <w:tr2bl w:val="nil"/>
                  </w:tcBorders>
                  <w:noWrap w:val="0"/>
                  <w:vAlign w:val="center"/>
                </w:tcPr>
                <w:p>
                  <w:pPr>
                    <w:pStyle w:val="11"/>
                    <w:bidi w:val="0"/>
                    <w:jc w:val="center"/>
                    <w:rPr>
                      <w:color w:val="auto"/>
                      <w:sz w:val="21"/>
                      <w:szCs w:val="21"/>
                    </w:rPr>
                  </w:pPr>
                </w:p>
              </w:tc>
              <w:tc>
                <w:tcPr>
                  <w:tcW w:w="1345" w:type="dxa"/>
                  <w:tcBorders>
                    <w:tl2br w:val="nil"/>
                    <w:tr2bl w:val="nil"/>
                  </w:tcBorders>
                  <w:noWrap w:val="0"/>
                  <w:vAlign w:val="center"/>
                </w:tcPr>
                <w:p>
                  <w:pPr>
                    <w:pStyle w:val="11"/>
                    <w:bidi w:val="0"/>
                    <w:jc w:val="center"/>
                    <w:rPr>
                      <w:rFonts w:hint="default"/>
                      <w:color w:val="auto"/>
                      <w:sz w:val="21"/>
                      <w:szCs w:val="21"/>
                      <w:lang w:val="en-US"/>
                    </w:rPr>
                  </w:pPr>
                  <w:r>
                    <w:rPr>
                      <w:rFonts w:hint="eastAsia"/>
                      <w:color w:val="auto"/>
                      <w:sz w:val="21"/>
                      <w:szCs w:val="21"/>
                      <w:lang w:val="en-US" w:eastAsia="zh-CN"/>
                    </w:rPr>
                    <w:t>2023.06.04</w:t>
                  </w:r>
                </w:p>
              </w:tc>
              <w:tc>
                <w:tcPr>
                  <w:tcW w:w="851" w:type="pct"/>
                  <w:vMerge w:val="continue"/>
                  <w:tcBorders>
                    <w:tl2br w:val="nil"/>
                    <w:tr2bl w:val="nil"/>
                  </w:tcBorders>
                  <w:noWrap w:val="0"/>
                  <w:vAlign w:val="center"/>
                </w:tcPr>
                <w:p>
                  <w:pPr>
                    <w:pStyle w:val="11"/>
                    <w:bidi w:val="0"/>
                    <w:jc w:val="center"/>
                    <w:rPr>
                      <w:color w:val="auto"/>
                      <w:sz w:val="21"/>
                      <w:szCs w:val="21"/>
                    </w:rPr>
                  </w:pPr>
                </w:p>
              </w:tc>
              <w:tc>
                <w:tcPr>
                  <w:tcW w:w="1643" w:type="dxa"/>
                  <w:tcBorders>
                    <w:tl2br w:val="nil"/>
                    <w:tr2bl w:val="nil"/>
                  </w:tcBorders>
                  <w:noWrap w:val="0"/>
                  <w:vAlign w:val="center"/>
                </w:tcPr>
                <w:p>
                  <w:pPr>
                    <w:pStyle w:val="11"/>
                    <w:bidi w:val="0"/>
                    <w:jc w:val="center"/>
                    <w:rPr>
                      <w:rFonts w:hint="default" w:eastAsia="宋体"/>
                      <w:color w:val="auto"/>
                      <w:sz w:val="21"/>
                      <w:szCs w:val="21"/>
                      <w:lang w:val="en-US" w:eastAsia="zh-CN"/>
                    </w:rPr>
                  </w:pPr>
                  <w:r>
                    <w:rPr>
                      <w:rFonts w:hint="eastAsia"/>
                      <w:color w:val="auto"/>
                      <w:sz w:val="21"/>
                      <w:szCs w:val="21"/>
                      <w:lang w:val="en-US" w:eastAsia="zh-CN"/>
                    </w:rPr>
                    <w:t>0.0038</w:t>
                  </w:r>
                </w:p>
              </w:tc>
              <w:tc>
                <w:tcPr>
                  <w:tcW w:w="800" w:type="pct"/>
                  <w:vMerge w:val="continue"/>
                  <w:tcBorders>
                    <w:tl2br w:val="nil"/>
                    <w:tr2bl w:val="nil"/>
                  </w:tcBorders>
                  <w:noWrap w:val="0"/>
                  <w:vAlign w:val="center"/>
                </w:tcPr>
                <w:p>
                  <w:pPr>
                    <w:pStyle w:val="11"/>
                    <w:bidi w:val="0"/>
                    <w:jc w:val="center"/>
                    <w:rPr>
                      <w:color w:val="auto"/>
                      <w:sz w:val="21"/>
                      <w:szCs w:val="21"/>
                    </w:rPr>
                  </w:pPr>
                </w:p>
              </w:tc>
              <w:tc>
                <w:tcPr>
                  <w:tcW w:w="955" w:type="pct"/>
                  <w:tcBorders>
                    <w:tl2br w:val="nil"/>
                    <w:tr2bl w:val="nil"/>
                  </w:tcBorders>
                  <w:noWrap w:val="0"/>
                  <w:vAlign w:val="center"/>
                </w:tcPr>
                <w:p>
                  <w:pPr>
                    <w:pStyle w:val="11"/>
                    <w:bidi w:val="0"/>
                    <w:jc w:val="center"/>
                    <w:rPr>
                      <w:color w:val="auto"/>
                      <w:sz w:val="21"/>
                      <w:szCs w:val="21"/>
                    </w:rPr>
                  </w:pPr>
                  <w:r>
                    <w:rPr>
                      <w:rFonts w:hint="eastAsia"/>
                      <w:color w:val="auto"/>
                      <w:sz w:val="21"/>
                      <w:szCs w:val="21"/>
                    </w:rPr>
                    <w:t>达标</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2" w:type="pct"/>
                  <w:vMerge w:val="continue"/>
                  <w:tcBorders>
                    <w:tl2br w:val="nil"/>
                    <w:tr2bl w:val="nil"/>
                  </w:tcBorders>
                  <w:noWrap w:val="0"/>
                  <w:vAlign w:val="center"/>
                </w:tcPr>
                <w:p>
                  <w:pPr>
                    <w:pStyle w:val="11"/>
                    <w:bidi w:val="0"/>
                    <w:jc w:val="center"/>
                    <w:rPr>
                      <w:color w:val="auto"/>
                      <w:sz w:val="21"/>
                      <w:szCs w:val="21"/>
                    </w:rPr>
                  </w:pPr>
                </w:p>
              </w:tc>
              <w:tc>
                <w:tcPr>
                  <w:tcW w:w="1345" w:type="dxa"/>
                  <w:tcBorders>
                    <w:tl2br w:val="nil"/>
                    <w:tr2bl w:val="nil"/>
                  </w:tcBorders>
                  <w:noWrap w:val="0"/>
                  <w:vAlign w:val="center"/>
                </w:tcPr>
                <w:p>
                  <w:pPr>
                    <w:pStyle w:val="11"/>
                    <w:bidi w:val="0"/>
                    <w:jc w:val="center"/>
                    <w:rPr>
                      <w:rFonts w:hint="default"/>
                      <w:color w:val="auto"/>
                      <w:sz w:val="21"/>
                      <w:szCs w:val="21"/>
                      <w:lang w:val="en-US"/>
                    </w:rPr>
                  </w:pPr>
                  <w:r>
                    <w:rPr>
                      <w:rFonts w:hint="eastAsia"/>
                      <w:color w:val="auto"/>
                      <w:sz w:val="21"/>
                      <w:szCs w:val="21"/>
                      <w:lang w:val="en-US" w:eastAsia="zh-CN"/>
                    </w:rPr>
                    <w:t>2023.06.05</w:t>
                  </w:r>
                </w:p>
              </w:tc>
              <w:tc>
                <w:tcPr>
                  <w:tcW w:w="851" w:type="pct"/>
                  <w:vMerge w:val="continue"/>
                  <w:tcBorders>
                    <w:tl2br w:val="nil"/>
                    <w:tr2bl w:val="nil"/>
                  </w:tcBorders>
                  <w:noWrap w:val="0"/>
                  <w:vAlign w:val="center"/>
                </w:tcPr>
                <w:p>
                  <w:pPr>
                    <w:pStyle w:val="11"/>
                    <w:bidi w:val="0"/>
                    <w:jc w:val="center"/>
                    <w:rPr>
                      <w:color w:val="auto"/>
                      <w:sz w:val="21"/>
                      <w:szCs w:val="21"/>
                    </w:rPr>
                  </w:pPr>
                </w:p>
              </w:tc>
              <w:tc>
                <w:tcPr>
                  <w:tcW w:w="1643" w:type="dxa"/>
                  <w:tcBorders>
                    <w:tl2br w:val="nil"/>
                    <w:tr2bl w:val="nil"/>
                  </w:tcBorders>
                  <w:noWrap w:val="0"/>
                  <w:vAlign w:val="center"/>
                </w:tcPr>
                <w:p>
                  <w:pPr>
                    <w:pStyle w:val="11"/>
                    <w:bidi w:val="0"/>
                    <w:jc w:val="center"/>
                    <w:rPr>
                      <w:rFonts w:hint="default" w:eastAsia="宋体"/>
                      <w:color w:val="auto"/>
                      <w:sz w:val="21"/>
                      <w:szCs w:val="21"/>
                      <w:lang w:val="en-US" w:eastAsia="zh-CN"/>
                    </w:rPr>
                  </w:pPr>
                  <w:r>
                    <w:rPr>
                      <w:rFonts w:hint="eastAsia"/>
                      <w:color w:val="auto"/>
                      <w:sz w:val="21"/>
                      <w:szCs w:val="21"/>
                      <w:lang w:val="en-US" w:eastAsia="zh-CN"/>
                    </w:rPr>
                    <w:t>0.0041</w:t>
                  </w:r>
                </w:p>
              </w:tc>
              <w:tc>
                <w:tcPr>
                  <w:tcW w:w="800" w:type="pct"/>
                  <w:vMerge w:val="continue"/>
                  <w:tcBorders>
                    <w:tl2br w:val="nil"/>
                    <w:tr2bl w:val="nil"/>
                  </w:tcBorders>
                  <w:noWrap w:val="0"/>
                  <w:vAlign w:val="center"/>
                </w:tcPr>
                <w:p>
                  <w:pPr>
                    <w:pStyle w:val="11"/>
                    <w:bidi w:val="0"/>
                    <w:jc w:val="center"/>
                    <w:rPr>
                      <w:color w:val="auto"/>
                      <w:sz w:val="21"/>
                      <w:szCs w:val="21"/>
                    </w:rPr>
                  </w:pPr>
                </w:p>
              </w:tc>
              <w:tc>
                <w:tcPr>
                  <w:tcW w:w="955" w:type="pct"/>
                  <w:tcBorders>
                    <w:tl2br w:val="nil"/>
                    <w:tr2bl w:val="nil"/>
                  </w:tcBorders>
                  <w:noWrap w:val="0"/>
                  <w:vAlign w:val="center"/>
                </w:tcPr>
                <w:p>
                  <w:pPr>
                    <w:pStyle w:val="11"/>
                    <w:bidi w:val="0"/>
                    <w:jc w:val="center"/>
                    <w:rPr>
                      <w:color w:val="auto"/>
                      <w:sz w:val="21"/>
                      <w:szCs w:val="21"/>
                    </w:rPr>
                  </w:pPr>
                  <w:r>
                    <w:rPr>
                      <w:rFonts w:hint="eastAsia"/>
                      <w:color w:val="auto"/>
                      <w:sz w:val="21"/>
                      <w:szCs w:val="21"/>
                    </w:rPr>
                    <w:t>达标</w:t>
                  </w:r>
                </w:p>
              </w:tc>
            </w:tr>
          </w:tbl>
          <w:p>
            <w:pPr>
              <w:spacing w:before="120" w:beforeLines="50"/>
              <w:ind w:firstLine="480"/>
              <w:rPr>
                <w:color w:val="auto"/>
                <w:kern w:val="0"/>
              </w:rPr>
            </w:pPr>
            <w:r>
              <w:rPr>
                <w:color w:val="auto"/>
                <w:kern w:val="0"/>
              </w:rPr>
              <w:t>由上表可知，本项目所在区域</w:t>
            </w:r>
            <w:r>
              <w:rPr>
                <w:rFonts w:hint="eastAsia"/>
                <w:color w:val="auto"/>
                <w:kern w:val="0"/>
                <w:lang w:val="en-US" w:eastAsia="zh-CN"/>
              </w:rPr>
              <w:t>TVOC</w:t>
            </w:r>
            <w:r>
              <w:rPr>
                <w:color w:val="auto"/>
                <w:kern w:val="0"/>
              </w:rPr>
              <w:t>现状值满足</w:t>
            </w:r>
            <w:r>
              <w:rPr>
                <w:rFonts w:hint="eastAsia"/>
                <w:color w:val="auto"/>
                <w:kern w:val="0"/>
              </w:rPr>
              <w:t>《环境影响评价技术导则－大气环境》(HJ2.2-2018)附录D中参考限值（0.6mg/m</w:t>
            </w:r>
            <w:r>
              <w:rPr>
                <w:rFonts w:hint="eastAsia"/>
                <w:color w:val="auto"/>
                <w:kern w:val="0"/>
                <w:vertAlign w:val="superscript"/>
              </w:rPr>
              <w:t>3</w:t>
            </w:r>
            <w:r>
              <w:rPr>
                <w:rFonts w:hint="eastAsia"/>
                <w:color w:val="auto"/>
                <w:kern w:val="0"/>
              </w:rPr>
              <w:t>）规定</w:t>
            </w:r>
            <w:r>
              <w:rPr>
                <w:color w:val="auto"/>
                <w:kern w:val="0"/>
              </w:rPr>
              <w:t>。</w:t>
            </w:r>
          </w:p>
          <w:p>
            <w:pPr>
              <w:adjustRightInd w:val="0"/>
              <w:snapToGrid w:val="0"/>
              <w:ind w:firstLine="482"/>
              <w:jc w:val="left"/>
              <w:rPr>
                <w:b/>
                <w:bCs/>
                <w:color w:val="auto"/>
              </w:rPr>
            </w:pPr>
            <w:r>
              <w:rPr>
                <w:rFonts w:hint="eastAsia"/>
                <w:b/>
                <w:bCs/>
                <w:color w:val="auto"/>
                <w:lang w:val="en-US" w:eastAsia="zh-CN"/>
              </w:rPr>
              <w:t>3</w:t>
            </w:r>
            <w:r>
              <w:rPr>
                <w:b/>
                <w:bCs/>
                <w:color w:val="auto"/>
              </w:rPr>
              <w:t>、地表水环境质量现状监测及评价</w:t>
            </w:r>
          </w:p>
          <w:p>
            <w:pPr>
              <w:ind w:firstLine="480"/>
              <w:rPr>
                <w:color w:val="auto"/>
              </w:rPr>
            </w:pPr>
            <w:r>
              <w:rPr>
                <w:color w:val="auto"/>
              </w:rPr>
              <w:t>与本项目相关的地表水体为</w:t>
            </w:r>
            <w:r>
              <w:rPr>
                <w:rFonts w:hint="eastAsia"/>
                <w:color w:val="auto"/>
                <w:lang w:val="en-US" w:eastAsia="zh-CN"/>
              </w:rPr>
              <w:t>州河，</w:t>
            </w:r>
            <w:r>
              <w:rPr>
                <w:color w:val="auto"/>
              </w:rPr>
              <w:t>地表水环境质量现状引用来源为</w:t>
            </w:r>
            <w:r>
              <w:rPr>
                <w:rFonts w:hint="eastAsia"/>
                <w:color w:val="auto"/>
                <w:lang w:val="en-US" w:eastAsia="zh-CN"/>
              </w:rPr>
              <w:t>达州市</w:t>
            </w:r>
            <w:r>
              <w:rPr>
                <w:color w:val="auto"/>
              </w:rPr>
              <w:t>生态环境局</w:t>
            </w:r>
            <w:r>
              <w:rPr>
                <w:rFonts w:hint="eastAsia"/>
                <w:color w:val="auto"/>
              </w:rPr>
              <w:t>202</w:t>
            </w:r>
            <w:r>
              <w:rPr>
                <w:rFonts w:hint="eastAsia"/>
                <w:color w:val="auto"/>
                <w:lang w:val="en-US" w:eastAsia="zh-CN"/>
              </w:rPr>
              <w:t>3</w:t>
            </w:r>
            <w:r>
              <w:rPr>
                <w:rFonts w:hint="eastAsia"/>
                <w:color w:val="auto"/>
              </w:rPr>
              <w:t>年</w:t>
            </w:r>
            <w:r>
              <w:rPr>
                <w:rFonts w:hint="eastAsia"/>
                <w:color w:val="auto"/>
                <w:lang w:val="en-US" w:eastAsia="zh-CN"/>
              </w:rPr>
              <w:t>4</w:t>
            </w:r>
            <w:r>
              <w:rPr>
                <w:rFonts w:hint="eastAsia"/>
                <w:color w:val="auto"/>
              </w:rPr>
              <w:t>月</w:t>
            </w:r>
            <w:r>
              <w:rPr>
                <w:rFonts w:hint="eastAsia"/>
                <w:color w:val="auto"/>
                <w:lang w:val="en-US" w:eastAsia="zh-CN"/>
              </w:rPr>
              <w:t>14</w:t>
            </w:r>
            <w:r>
              <w:rPr>
                <w:rFonts w:hint="eastAsia"/>
                <w:color w:val="auto"/>
              </w:rPr>
              <w:t>日发布的《</w:t>
            </w:r>
            <w:r>
              <w:rPr>
                <w:rFonts w:hint="eastAsia"/>
                <w:color w:val="auto"/>
                <w:lang w:val="en-US" w:eastAsia="zh-CN"/>
              </w:rPr>
              <w:t>2023年3月达州市地表水水质月报</w:t>
            </w:r>
            <w:r>
              <w:rPr>
                <w:rFonts w:hint="eastAsia"/>
                <w:color w:val="auto"/>
              </w:rPr>
              <w:t>》</w:t>
            </w:r>
            <w:r>
              <w:rPr>
                <w:color w:val="auto"/>
              </w:rPr>
              <w:t>。</w:t>
            </w:r>
          </w:p>
          <w:p>
            <w:pPr>
              <w:ind w:firstLine="480"/>
              <w:rPr>
                <w:rFonts w:hint="eastAsia"/>
                <w:color w:val="auto"/>
                <w:lang w:eastAsia="zh-CN"/>
              </w:rPr>
            </w:pPr>
            <w:r>
              <w:rPr>
                <w:color w:val="auto"/>
              </w:rPr>
              <w:t>根据公报数据</w:t>
            </w:r>
            <w:r>
              <w:rPr>
                <w:rFonts w:hint="eastAsia" w:ascii="Times New Roman" w:hAnsi="Times New Roman" w:cs="Times New Roman"/>
                <w:color w:val="auto"/>
                <w:lang w:eastAsia="zh-CN"/>
              </w:rPr>
              <w:t>，</w:t>
            </w:r>
            <w:r>
              <w:rPr>
                <w:rFonts w:hint="default" w:ascii="Times New Roman" w:hAnsi="Times New Roman" w:eastAsia="宋体" w:cs="Times New Roman"/>
                <w:sz w:val="24"/>
                <w:szCs w:val="24"/>
              </w:rPr>
              <w:t>2</w:t>
            </w:r>
            <w:r>
              <w:rPr>
                <w:rFonts w:hint="default" w:ascii="Times New Roman" w:hAnsi="Times New Roman" w:cs="Times New Roman"/>
                <w:color w:val="auto"/>
              </w:rPr>
              <w:t>023年3月</w:t>
            </w:r>
            <w:r>
              <w:rPr>
                <w:rFonts w:hint="eastAsia" w:cs="Times New Roman"/>
                <w:color w:val="auto"/>
                <w:lang w:val="en-US" w:eastAsia="zh-CN"/>
              </w:rPr>
              <w:t>州河</w:t>
            </w:r>
            <w:r>
              <w:rPr>
                <w:color w:val="auto"/>
              </w:rPr>
              <w:t>干流</w:t>
            </w:r>
            <w:r>
              <w:rPr>
                <w:rFonts w:hint="eastAsia"/>
                <w:color w:val="auto"/>
                <w:lang w:val="en-US" w:eastAsia="zh-CN"/>
              </w:rPr>
              <w:t>宣汉</w:t>
            </w:r>
            <w:r>
              <w:rPr>
                <w:color w:val="auto"/>
              </w:rPr>
              <w:t>段断面</w:t>
            </w:r>
            <w:r>
              <w:rPr>
                <w:rFonts w:hint="eastAsia"/>
                <w:color w:val="auto"/>
                <w:lang w:val="en-US" w:eastAsia="zh-CN"/>
              </w:rPr>
              <w:t>上年同期、上月类别、本月类别水质均</w:t>
            </w:r>
            <w:r>
              <w:rPr>
                <w:color w:val="auto"/>
              </w:rPr>
              <w:t>为</w:t>
            </w:r>
            <w:r>
              <w:rPr>
                <w:rFonts w:hint="eastAsia"/>
                <w:color w:val="auto"/>
                <w:lang w:val="en-US" w:eastAsia="zh-CN"/>
              </w:rPr>
              <w:t>II</w:t>
            </w:r>
            <w:r>
              <w:rPr>
                <w:color w:val="auto"/>
              </w:rPr>
              <w:t>类，同比无变化</w:t>
            </w:r>
            <w:r>
              <w:rPr>
                <w:rFonts w:hint="eastAsia"/>
                <w:color w:val="auto"/>
                <w:lang w:eastAsia="zh-CN"/>
              </w:rPr>
              <w:t>。</w:t>
            </w:r>
          </w:p>
          <w:p>
            <w:pPr>
              <w:adjustRightInd w:val="0"/>
              <w:snapToGrid w:val="0"/>
              <w:ind w:firstLine="482"/>
              <w:jc w:val="left"/>
              <w:rPr>
                <w:rFonts w:hint="eastAsia" w:cs="Times New Roman"/>
                <w:b w:val="0"/>
                <w:bCs w:val="0"/>
                <w:color w:val="auto"/>
                <w:kern w:val="0"/>
                <w:szCs w:val="21"/>
                <w:lang w:val="en-US" w:eastAsia="zh-CN"/>
              </w:rPr>
            </w:pPr>
            <w:r>
              <w:rPr>
                <w:rFonts w:hint="default" w:ascii="Times New Roman" w:hAnsi="Times New Roman" w:cs="Times New Roman"/>
                <w:b w:val="0"/>
                <w:bCs w:val="0"/>
                <w:color w:val="auto"/>
                <w:kern w:val="0"/>
                <w:szCs w:val="21"/>
              </w:rPr>
              <w:t>综上可知，项目所在区</w:t>
            </w:r>
            <w:r>
              <w:rPr>
                <w:rFonts w:hint="eastAsia" w:cs="Times New Roman"/>
                <w:b w:val="0"/>
                <w:bCs w:val="0"/>
                <w:color w:val="auto"/>
                <w:kern w:val="0"/>
                <w:szCs w:val="21"/>
                <w:lang w:val="en-US" w:eastAsia="zh-CN"/>
              </w:rPr>
              <w:t>水质条件满足地表水III类水域标准。</w:t>
            </w:r>
          </w:p>
          <w:p>
            <w:pPr>
              <w:adjustRightInd w:val="0"/>
              <w:snapToGrid w:val="0"/>
              <w:ind w:firstLine="482"/>
              <w:jc w:val="left"/>
              <w:rPr>
                <w:b/>
                <w:bCs/>
                <w:color w:val="auto"/>
              </w:rPr>
            </w:pPr>
            <w:r>
              <w:rPr>
                <w:rFonts w:hint="eastAsia"/>
                <w:b/>
                <w:bCs/>
                <w:color w:val="auto"/>
                <w:lang w:val="en-US" w:eastAsia="zh-CN"/>
              </w:rPr>
              <w:t>4</w:t>
            </w:r>
            <w:r>
              <w:rPr>
                <w:b/>
                <w:bCs/>
                <w:color w:val="auto"/>
              </w:rPr>
              <w:t>、声环境质量现状监测及评价</w:t>
            </w:r>
          </w:p>
          <w:p>
            <w:pPr>
              <w:adjustRightInd w:val="0"/>
              <w:snapToGrid w:val="0"/>
              <w:ind w:firstLine="480"/>
              <w:rPr>
                <w:color w:val="auto"/>
              </w:rPr>
            </w:pPr>
            <w:r>
              <w:rPr>
                <w:color w:val="auto"/>
              </w:rPr>
              <w:t>本项目厂界外</w:t>
            </w:r>
            <w:r>
              <w:rPr>
                <w:rFonts w:hint="eastAsia"/>
                <w:color w:val="auto"/>
              </w:rPr>
              <w:t>5</w:t>
            </w:r>
            <w:r>
              <w:rPr>
                <w:color w:val="auto"/>
              </w:rPr>
              <w:t>0m范围内均为园区</w:t>
            </w:r>
            <w:r>
              <w:rPr>
                <w:rFonts w:hint="eastAsia"/>
                <w:color w:val="auto"/>
              </w:rPr>
              <w:t>规划用地（待建地块）</w:t>
            </w:r>
            <w:r>
              <w:rPr>
                <w:color w:val="auto"/>
              </w:rPr>
              <w:t>，无声环境保护目标</w:t>
            </w:r>
            <w:r>
              <w:rPr>
                <w:rFonts w:hint="eastAsia"/>
                <w:color w:val="auto"/>
              </w:rPr>
              <w:t>，因此，本次评价仅对厂界进行声环境影响现状进行评价。</w:t>
            </w:r>
          </w:p>
          <w:p>
            <w:pPr>
              <w:spacing w:line="240" w:lineRule="auto"/>
              <w:ind w:firstLine="480"/>
              <w:rPr>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47" w:hRule="atLeast"/>
          <w:jc w:val="center"/>
        </w:trPr>
        <w:tc>
          <w:tcPr>
            <w:tcW w:w="800" w:type="dxa"/>
            <w:vAlign w:val="center"/>
          </w:tcPr>
          <w:p>
            <w:pPr>
              <w:pStyle w:val="11"/>
              <w:spacing w:line="360" w:lineRule="auto"/>
              <w:jc w:val="center"/>
              <w:rPr>
                <w:b/>
                <w:bCs/>
                <w:color w:val="auto"/>
                <w:sz w:val="24"/>
                <w:szCs w:val="24"/>
              </w:rPr>
            </w:pPr>
            <w:r>
              <w:rPr>
                <w:b/>
                <w:bCs/>
                <w:color w:val="auto"/>
                <w:sz w:val="24"/>
                <w:szCs w:val="24"/>
              </w:rPr>
              <w:t>环境</w:t>
            </w:r>
          </w:p>
          <w:p>
            <w:pPr>
              <w:pStyle w:val="11"/>
              <w:spacing w:line="360" w:lineRule="auto"/>
              <w:jc w:val="center"/>
              <w:rPr>
                <w:b/>
                <w:bCs/>
                <w:color w:val="auto"/>
                <w:sz w:val="24"/>
                <w:szCs w:val="24"/>
              </w:rPr>
            </w:pPr>
            <w:r>
              <w:rPr>
                <w:b/>
                <w:bCs/>
                <w:color w:val="auto"/>
                <w:sz w:val="24"/>
                <w:szCs w:val="24"/>
              </w:rPr>
              <w:t>保护</w:t>
            </w:r>
          </w:p>
          <w:p>
            <w:pPr>
              <w:pStyle w:val="11"/>
              <w:spacing w:line="360" w:lineRule="auto"/>
              <w:jc w:val="center"/>
              <w:rPr>
                <w:color w:val="auto"/>
              </w:rPr>
            </w:pPr>
            <w:r>
              <w:rPr>
                <w:b/>
                <w:bCs/>
                <w:color w:val="auto"/>
                <w:sz w:val="24"/>
                <w:szCs w:val="24"/>
              </w:rPr>
              <w:t>目标</w:t>
            </w:r>
          </w:p>
        </w:tc>
        <w:tc>
          <w:tcPr>
            <w:tcW w:w="9001" w:type="dxa"/>
            <w:vAlign w:val="center"/>
          </w:tcPr>
          <w:p>
            <w:pPr>
              <w:adjustRightInd w:val="0"/>
              <w:snapToGrid w:val="0"/>
              <w:ind w:left="0" w:leftChars="0" w:firstLine="482" w:firstLineChars="200"/>
              <w:jc w:val="both"/>
              <w:rPr>
                <w:b/>
                <w:bCs/>
                <w:color w:val="auto"/>
                <w:kern w:val="0"/>
                <w:szCs w:val="21"/>
              </w:rPr>
            </w:pPr>
            <w:r>
              <w:rPr>
                <w:b/>
                <w:bCs/>
                <w:color w:val="auto"/>
                <w:kern w:val="0"/>
                <w:szCs w:val="21"/>
              </w:rPr>
              <w:t>主要环境保护目标(列出名单及保护级别)：</w:t>
            </w:r>
          </w:p>
          <w:p>
            <w:pPr>
              <w:adjustRightInd w:val="0"/>
              <w:snapToGrid w:val="0"/>
              <w:ind w:firstLine="480"/>
              <w:rPr>
                <w:color w:val="auto"/>
                <w:kern w:val="0"/>
                <w:szCs w:val="21"/>
              </w:rPr>
            </w:pPr>
            <w:r>
              <w:rPr>
                <w:color w:val="auto"/>
                <w:kern w:val="0"/>
                <w:szCs w:val="21"/>
              </w:rPr>
              <w:t>1、本项目外环境关系</w:t>
            </w:r>
          </w:p>
          <w:p>
            <w:pPr>
              <w:adjustRightInd w:val="0"/>
              <w:snapToGrid w:val="0"/>
              <w:ind w:firstLine="480"/>
              <w:rPr>
                <w:color w:val="auto"/>
                <w:kern w:val="0"/>
                <w:szCs w:val="21"/>
              </w:rPr>
            </w:pPr>
            <w:r>
              <w:rPr>
                <w:color w:val="auto"/>
                <w:kern w:val="0"/>
                <w:szCs w:val="21"/>
                <w:lang w:val="zh-TW" w:eastAsia="zh-TW"/>
              </w:rPr>
              <w:t>本项目位于</w:t>
            </w:r>
            <w:r>
              <w:rPr>
                <w:rFonts w:hint="eastAsia"/>
                <w:color w:val="auto"/>
                <w:kern w:val="0"/>
                <w:szCs w:val="21"/>
                <w:lang w:val="zh-TW" w:eastAsia="zh-CN"/>
              </w:rPr>
              <w:t>四川省达州市宣汉县一号大道和四号大道交叉口东北180米</w:t>
            </w:r>
            <w:r>
              <w:rPr>
                <w:rFonts w:hint="eastAsia"/>
                <w:color w:val="auto"/>
                <w:kern w:val="0"/>
                <w:szCs w:val="21"/>
              </w:rPr>
              <w:t>（</w:t>
            </w:r>
            <w:r>
              <w:rPr>
                <w:color w:val="000000"/>
                <w:sz w:val="24"/>
              </w:rPr>
              <w:t>达州普光经济开发区</w:t>
            </w:r>
            <w:r>
              <w:rPr>
                <w:rFonts w:hint="eastAsia"/>
                <w:color w:val="auto"/>
                <w:kern w:val="0"/>
                <w:szCs w:val="21"/>
              </w:rPr>
              <w:t>），</w:t>
            </w:r>
            <w:r>
              <w:rPr>
                <w:rFonts w:hint="eastAsia"/>
                <w:color w:val="auto"/>
              </w:rPr>
              <w:t>项目主要外环境关系为：南侧100m处为</w:t>
            </w:r>
            <w:r>
              <w:rPr>
                <w:rFonts w:hint="eastAsia"/>
                <w:color w:val="auto"/>
                <w:lang w:val="en-US" w:eastAsia="zh-CN"/>
              </w:rPr>
              <w:t>四川清神金属制造有限公司</w:t>
            </w:r>
            <w:r>
              <w:rPr>
                <w:rFonts w:hint="eastAsia"/>
                <w:color w:val="auto"/>
                <w:lang w:eastAsia="zh-CN"/>
              </w:rPr>
              <w:t>（</w:t>
            </w:r>
            <w:r>
              <w:rPr>
                <w:rFonts w:hint="eastAsia"/>
                <w:color w:val="auto"/>
                <w:lang w:val="en-US" w:eastAsia="zh-CN"/>
              </w:rPr>
              <w:t>从事金属制品生产</w:t>
            </w:r>
            <w:r>
              <w:rPr>
                <w:rFonts w:hint="eastAsia"/>
                <w:color w:val="auto"/>
                <w:lang w:eastAsia="zh-CN"/>
              </w:rPr>
              <w:t>），</w:t>
            </w:r>
            <w:r>
              <w:rPr>
                <w:rFonts w:hint="eastAsia"/>
                <w:color w:val="auto"/>
                <w:lang w:val="en-US" w:eastAsia="zh-CN"/>
              </w:rPr>
              <w:t>西南侧</w:t>
            </w:r>
            <w:r>
              <w:rPr>
                <w:rFonts w:hint="eastAsia"/>
                <w:color w:val="auto"/>
              </w:rPr>
              <w:t>1</w:t>
            </w:r>
            <w:r>
              <w:rPr>
                <w:rFonts w:hint="eastAsia"/>
                <w:color w:val="auto"/>
                <w:lang w:val="en-US" w:eastAsia="zh-CN"/>
              </w:rPr>
              <w:t>5</w:t>
            </w:r>
            <w:r>
              <w:rPr>
                <w:rFonts w:hint="eastAsia"/>
                <w:color w:val="auto"/>
              </w:rPr>
              <w:t>0m处为四川普源玻纤新材料有限公司</w:t>
            </w:r>
            <w:r>
              <w:rPr>
                <w:rFonts w:hint="eastAsia"/>
                <w:color w:val="auto"/>
                <w:lang w:eastAsia="zh-CN"/>
              </w:rPr>
              <w:t>（</w:t>
            </w:r>
            <w:r>
              <w:rPr>
                <w:rFonts w:hint="eastAsia"/>
                <w:color w:val="auto"/>
                <w:lang w:val="en-US" w:eastAsia="zh-CN"/>
              </w:rPr>
              <w:t>从事玻璃制品生产</w:t>
            </w:r>
            <w:r>
              <w:rPr>
                <w:rFonts w:hint="eastAsia"/>
                <w:color w:val="auto"/>
                <w:lang w:eastAsia="zh-CN"/>
              </w:rPr>
              <w:t>）、</w:t>
            </w:r>
            <w:r>
              <w:rPr>
                <w:rFonts w:hint="eastAsia"/>
                <w:color w:val="auto"/>
                <w:lang w:val="en-US" w:eastAsia="zh-CN"/>
              </w:rPr>
              <w:t>2</w:t>
            </w:r>
            <w:r>
              <w:rPr>
                <w:rFonts w:hint="eastAsia"/>
                <w:color w:val="auto"/>
              </w:rPr>
              <w:t>60m处为宣汉普光科睿新材料有限公司</w:t>
            </w:r>
            <w:r>
              <w:rPr>
                <w:rFonts w:hint="eastAsia"/>
                <w:color w:val="auto"/>
                <w:lang w:eastAsia="zh-CN"/>
              </w:rPr>
              <w:t>（</w:t>
            </w:r>
            <w:r>
              <w:rPr>
                <w:rFonts w:hint="eastAsia"/>
                <w:color w:val="auto"/>
                <w:lang w:val="en-US" w:eastAsia="zh-CN"/>
              </w:rPr>
              <w:t>从事玻璃制品生产</w:t>
            </w:r>
            <w:r>
              <w:rPr>
                <w:rFonts w:hint="eastAsia"/>
                <w:color w:val="auto"/>
                <w:lang w:eastAsia="zh-CN"/>
              </w:rPr>
              <w:t>）</w:t>
            </w:r>
            <w:r>
              <w:rPr>
                <w:rFonts w:hint="eastAsia"/>
                <w:color w:val="auto"/>
              </w:rPr>
              <w:t>，</w:t>
            </w:r>
            <w:r>
              <w:rPr>
                <w:rFonts w:hint="eastAsia"/>
                <w:color w:val="auto"/>
                <w:lang w:val="en-US" w:eastAsia="zh-CN"/>
              </w:rPr>
              <w:t>4</w:t>
            </w:r>
            <w:r>
              <w:rPr>
                <w:rFonts w:hint="eastAsia"/>
                <w:color w:val="auto"/>
              </w:rPr>
              <w:t>60m处为四川海洋塑胶有限公司</w:t>
            </w:r>
            <w:r>
              <w:rPr>
                <w:rFonts w:hint="eastAsia"/>
                <w:color w:val="auto"/>
                <w:lang w:eastAsia="zh-CN"/>
              </w:rPr>
              <w:t>（</w:t>
            </w:r>
            <w:r>
              <w:rPr>
                <w:rFonts w:hint="eastAsia"/>
                <w:color w:val="auto"/>
                <w:lang w:val="en-US" w:eastAsia="zh-CN"/>
              </w:rPr>
              <w:t>从事塑料型材生产</w:t>
            </w:r>
            <w:r>
              <w:rPr>
                <w:rFonts w:hint="eastAsia"/>
                <w:color w:val="auto"/>
                <w:lang w:eastAsia="zh-CN"/>
              </w:rPr>
              <w:t>）</w:t>
            </w:r>
            <w:r>
              <w:rPr>
                <w:rFonts w:hint="eastAsia"/>
                <w:color w:val="auto"/>
              </w:rPr>
              <w:t>，</w:t>
            </w:r>
            <w:r>
              <w:rPr>
                <w:rFonts w:hint="eastAsia"/>
                <w:color w:val="auto"/>
                <w:lang w:val="en-US" w:eastAsia="zh-CN"/>
              </w:rPr>
              <w:t>西侧22</w:t>
            </w:r>
            <w:r>
              <w:rPr>
                <w:rFonts w:hint="eastAsia"/>
                <w:color w:val="auto"/>
              </w:rPr>
              <w:t>0m处为四川黔柜电力有限公司</w:t>
            </w:r>
            <w:r>
              <w:rPr>
                <w:rFonts w:hint="eastAsia"/>
                <w:color w:val="auto"/>
                <w:lang w:eastAsia="zh-CN"/>
              </w:rPr>
              <w:t>（</w:t>
            </w:r>
            <w:r>
              <w:rPr>
                <w:rFonts w:hint="eastAsia"/>
                <w:color w:val="auto"/>
                <w:lang w:val="en-US" w:eastAsia="zh-CN"/>
              </w:rPr>
              <w:t>从事电气产品生产</w:t>
            </w:r>
            <w:r>
              <w:rPr>
                <w:rFonts w:hint="eastAsia"/>
                <w:color w:val="auto"/>
                <w:lang w:eastAsia="zh-CN"/>
              </w:rPr>
              <w:t>）</w:t>
            </w:r>
            <w:r>
              <w:rPr>
                <w:rFonts w:hint="eastAsia"/>
                <w:color w:val="auto"/>
                <w:kern w:val="0"/>
                <w:szCs w:val="21"/>
                <w:lang w:eastAsia="zh-CN"/>
              </w:rPr>
              <w:t>，</w:t>
            </w:r>
            <w:r>
              <w:rPr>
                <w:rFonts w:hint="eastAsia"/>
                <w:color w:val="auto"/>
                <w:kern w:val="0"/>
                <w:szCs w:val="21"/>
              </w:rPr>
              <w:t>根据现场实际调查，周边多为</w:t>
            </w:r>
            <w:r>
              <w:rPr>
                <w:rFonts w:hint="eastAsia"/>
                <w:color w:val="auto"/>
                <w:kern w:val="0"/>
                <w:szCs w:val="21"/>
                <w:lang w:val="en-US" w:eastAsia="zh-CN"/>
              </w:rPr>
              <w:t>工业</w:t>
            </w:r>
            <w:r>
              <w:rPr>
                <w:rFonts w:hint="eastAsia"/>
                <w:color w:val="auto"/>
                <w:kern w:val="0"/>
                <w:szCs w:val="21"/>
              </w:rPr>
              <w:t>企业聚集区，</w:t>
            </w:r>
            <w:r>
              <w:rPr>
                <w:color w:val="auto"/>
                <w:kern w:val="0"/>
                <w:szCs w:val="21"/>
              </w:rPr>
              <w:t>其它区域为园区规划用地</w:t>
            </w:r>
            <w:r>
              <w:rPr>
                <w:rFonts w:hint="eastAsia"/>
                <w:color w:val="auto"/>
                <w:kern w:val="0"/>
                <w:szCs w:val="21"/>
              </w:rPr>
              <w:t>（待建空地）</w:t>
            </w:r>
            <w:r>
              <w:rPr>
                <w:color w:val="auto"/>
                <w:kern w:val="0"/>
                <w:szCs w:val="21"/>
              </w:rPr>
              <w:t>，</w:t>
            </w:r>
            <w:r>
              <w:rPr>
                <w:rFonts w:hint="eastAsia"/>
                <w:color w:val="auto"/>
                <w:kern w:val="0"/>
                <w:szCs w:val="21"/>
              </w:rPr>
              <w:t>周边500m范围内无学校、医院、居民区等环境敏感点。</w:t>
            </w:r>
          </w:p>
          <w:tbl>
            <w:tblPr>
              <w:tblStyle w:val="6"/>
              <w:tblW w:w="8785" w:type="dxa"/>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392"/>
              <w:gridCol w:w="4393"/>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c>
                <w:tcPr>
                  <w:tcW w:w="4392" w:type="dxa"/>
                  <w:tcBorders>
                    <w:tl2br w:val="nil"/>
                    <w:tr2bl w:val="nil"/>
                  </w:tcBorders>
                </w:tcPr>
                <w:p>
                  <w:pPr>
                    <w:adjustRightInd w:val="0"/>
                    <w:snapToGrid w:val="0"/>
                    <w:spacing w:line="240" w:lineRule="auto"/>
                    <w:ind w:left="0" w:leftChars="0" w:firstLine="0" w:firstLineChars="0"/>
                    <w:rPr>
                      <w:b/>
                      <w:bCs/>
                      <w:color w:val="auto"/>
                      <w:kern w:val="0"/>
                      <w:szCs w:val="21"/>
                      <w:vertAlign w:val="baseline"/>
                    </w:rPr>
                  </w:pPr>
                  <w:r>
                    <w:rPr>
                      <w:b/>
                      <w:bCs/>
                    </w:rPr>
                    <w:drawing>
                      <wp:inline distT="0" distB="0" distL="114300" distR="114300">
                        <wp:extent cx="2649855" cy="2233930"/>
                        <wp:effectExtent l="0" t="0" r="1905"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4"/>
                                <a:stretch>
                                  <a:fillRect/>
                                </a:stretch>
                              </pic:blipFill>
                              <pic:spPr>
                                <a:xfrm>
                                  <a:off x="0" y="0"/>
                                  <a:ext cx="2649855" cy="2233930"/>
                                </a:xfrm>
                                <a:prstGeom prst="rect">
                                  <a:avLst/>
                                </a:prstGeom>
                                <a:noFill/>
                                <a:ln>
                                  <a:noFill/>
                                </a:ln>
                              </pic:spPr>
                            </pic:pic>
                          </a:graphicData>
                        </a:graphic>
                      </wp:inline>
                    </w:drawing>
                  </w:r>
                </w:p>
              </w:tc>
              <w:tc>
                <w:tcPr>
                  <w:tcW w:w="4393" w:type="dxa"/>
                  <w:tcBorders>
                    <w:tl2br w:val="nil"/>
                    <w:tr2bl w:val="nil"/>
                  </w:tcBorders>
                </w:tcPr>
                <w:p>
                  <w:pPr>
                    <w:adjustRightInd w:val="0"/>
                    <w:snapToGrid w:val="0"/>
                    <w:spacing w:line="240" w:lineRule="auto"/>
                    <w:ind w:left="0" w:leftChars="0" w:firstLine="0" w:firstLineChars="0"/>
                    <w:rPr>
                      <w:b/>
                      <w:bCs/>
                      <w:color w:val="auto"/>
                      <w:kern w:val="0"/>
                      <w:szCs w:val="21"/>
                      <w:vertAlign w:val="baseline"/>
                    </w:rPr>
                  </w:pPr>
                  <w:r>
                    <w:rPr>
                      <w:b/>
                      <w:bCs/>
                    </w:rPr>
                    <w:drawing>
                      <wp:inline distT="0" distB="0" distL="114300" distR="114300">
                        <wp:extent cx="2716530" cy="2302510"/>
                        <wp:effectExtent l="0" t="0" r="11430" b="139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5"/>
                                <a:stretch>
                                  <a:fillRect/>
                                </a:stretch>
                              </pic:blipFill>
                              <pic:spPr>
                                <a:xfrm>
                                  <a:off x="0" y="0"/>
                                  <a:ext cx="2716530" cy="2302510"/>
                                </a:xfrm>
                                <a:prstGeom prst="rect">
                                  <a:avLst/>
                                </a:prstGeom>
                                <a:noFill/>
                                <a:ln>
                                  <a:noFill/>
                                </a:ln>
                              </pic:spPr>
                            </pic:pic>
                          </a:graphicData>
                        </a:graphic>
                      </wp:inline>
                    </w:drawing>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392" w:type="dxa"/>
                  <w:tcBorders>
                    <w:tl2br w:val="nil"/>
                    <w:tr2bl w:val="nil"/>
                  </w:tcBorders>
                </w:tcPr>
                <w:p>
                  <w:pPr>
                    <w:adjustRightInd w:val="0"/>
                    <w:snapToGrid w:val="0"/>
                    <w:spacing w:line="240" w:lineRule="auto"/>
                    <w:ind w:left="0" w:leftChars="0" w:firstLine="0" w:firstLineChars="0"/>
                    <w:jc w:val="center"/>
                    <w:rPr>
                      <w:rFonts w:hint="default" w:eastAsia="宋体"/>
                      <w:b/>
                      <w:bCs/>
                      <w:color w:val="auto"/>
                      <w:kern w:val="0"/>
                      <w:szCs w:val="21"/>
                      <w:vertAlign w:val="baseline"/>
                      <w:lang w:val="en-US" w:eastAsia="zh-CN"/>
                    </w:rPr>
                  </w:pPr>
                  <w:r>
                    <w:rPr>
                      <w:rFonts w:hint="eastAsia"/>
                      <w:b/>
                      <w:bCs/>
                      <w:color w:val="auto"/>
                      <w:kern w:val="0"/>
                      <w:szCs w:val="21"/>
                      <w:vertAlign w:val="baseline"/>
                      <w:lang w:val="en-US" w:eastAsia="zh-CN"/>
                    </w:rPr>
                    <w:t>宣汉骅龙塑料制品有限公司</w:t>
                  </w:r>
                </w:p>
              </w:tc>
              <w:tc>
                <w:tcPr>
                  <w:tcW w:w="4393" w:type="dxa"/>
                  <w:tcBorders>
                    <w:tl2br w:val="nil"/>
                    <w:tr2bl w:val="nil"/>
                  </w:tcBorders>
                </w:tcPr>
                <w:p>
                  <w:pPr>
                    <w:adjustRightInd w:val="0"/>
                    <w:snapToGrid w:val="0"/>
                    <w:spacing w:line="240" w:lineRule="auto"/>
                    <w:ind w:left="0" w:leftChars="0" w:firstLine="0" w:firstLineChars="0"/>
                    <w:jc w:val="center"/>
                    <w:rPr>
                      <w:b/>
                      <w:bCs/>
                      <w:color w:val="auto"/>
                      <w:kern w:val="0"/>
                      <w:szCs w:val="21"/>
                      <w:vertAlign w:val="baseline"/>
                    </w:rPr>
                  </w:pPr>
                  <w:r>
                    <w:rPr>
                      <w:rFonts w:hint="eastAsia"/>
                      <w:b/>
                      <w:bCs/>
                      <w:color w:val="auto"/>
                    </w:rPr>
                    <w:t>四川黔柜电力有限公司</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785" w:type="dxa"/>
                  <w:gridSpan w:val="2"/>
                  <w:tcBorders>
                    <w:tl2br w:val="nil"/>
                    <w:tr2bl w:val="nil"/>
                  </w:tcBorders>
                </w:tcPr>
                <w:p>
                  <w:pPr>
                    <w:adjustRightInd w:val="0"/>
                    <w:snapToGrid w:val="0"/>
                    <w:spacing w:line="240" w:lineRule="auto"/>
                    <w:ind w:left="0" w:leftChars="0" w:firstLine="0" w:firstLineChars="0"/>
                    <w:jc w:val="center"/>
                    <w:rPr>
                      <w:rFonts w:hint="eastAsia" w:eastAsia="宋体"/>
                      <w:color w:val="auto"/>
                      <w:kern w:val="0"/>
                      <w:szCs w:val="21"/>
                      <w:vertAlign w:val="baseline"/>
                      <w:lang w:val="en-US" w:eastAsia="zh-CN"/>
                    </w:rPr>
                  </w:pPr>
                  <w:r>
                    <w:rPr>
                      <w:b/>
                      <w:bCs/>
                      <w:color w:val="auto"/>
                    </w:rPr>
                    <w:t xml:space="preserve">图 </w:t>
                  </w:r>
                  <w:r>
                    <w:rPr>
                      <w:rFonts w:hint="eastAsia"/>
                      <w:b/>
                      <w:bCs/>
                      <w:color w:val="auto"/>
                      <w:lang w:val="en-US" w:eastAsia="zh-CN"/>
                    </w:rPr>
                    <w:t>3</w:t>
                  </w:r>
                  <w:r>
                    <w:rPr>
                      <w:b/>
                      <w:bCs/>
                      <w:color w:val="auto"/>
                    </w:rPr>
                    <w:t>-</w:t>
                  </w:r>
                  <w:r>
                    <w:rPr>
                      <w:rFonts w:hint="eastAsia"/>
                      <w:b/>
                      <w:bCs/>
                      <w:color w:val="auto"/>
                      <w:lang w:val="en-US" w:eastAsia="zh-CN"/>
                    </w:rPr>
                    <w:t>1</w:t>
                  </w:r>
                  <w:r>
                    <w:rPr>
                      <w:b/>
                      <w:bCs/>
                      <w:color w:val="auto"/>
                    </w:rPr>
                    <w:t xml:space="preserve">  项目</w:t>
                  </w:r>
                  <w:r>
                    <w:rPr>
                      <w:rFonts w:hint="eastAsia"/>
                      <w:b/>
                      <w:bCs/>
                      <w:color w:val="auto"/>
                    </w:rPr>
                    <w:t>所在地</w:t>
                  </w:r>
                  <w:r>
                    <w:rPr>
                      <w:rFonts w:hint="eastAsia"/>
                      <w:b/>
                      <w:bCs/>
                      <w:color w:val="auto"/>
                      <w:lang w:val="en-US" w:eastAsia="zh-CN"/>
                    </w:rPr>
                    <w:t>周边</w:t>
                  </w:r>
                  <w:r>
                    <w:rPr>
                      <w:b/>
                      <w:bCs/>
                      <w:color w:val="auto"/>
                    </w:rPr>
                    <w:t>现状</w:t>
                  </w:r>
                  <w:r>
                    <w:rPr>
                      <w:rFonts w:hint="eastAsia"/>
                      <w:b/>
                      <w:bCs/>
                      <w:color w:val="auto"/>
                      <w:lang w:val="en-US" w:eastAsia="zh-CN"/>
                    </w:rPr>
                    <w:t>照片</w:t>
                  </w:r>
                </w:p>
              </w:tc>
            </w:tr>
          </w:tbl>
          <w:p>
            <w:pPr>
              <w:adjustRightInd w:val="0"/>
              <w:snapToGrid w:val="0"/>
              <w:ind w:firstLine="480"/>
              <w:rPr>
                <w:color w:val="auto"/>
                <w:kern w:val="0"/>
                <w:szCs w:val="21"/>
              </w:rPr>
            </w:pPr>
          </w:p>
          <w:p>
            <w:pPr>
              <w:adjustRightInd w:val="0"/>
              <w:snapToGrid w:val="0"/>
              <w:ind w:firstLine="480"/>
              <w:rPr>
                <w:color w:val="auto"/>
                <w:kern w:val="0"/>
                <w:szCs w:val="21"/>
              </w:rPr>
            </w:pPr>
            <w:r>
              <w:rPr>
                <w:color w:val="auto"/>
                <w:kern w:val="0"/>
                <w:szCs w:val="21"/>
              </w:rPr>
              <w:t>2、主要环境保护目标</w:t>
            </w:r>
          </w:p>
          <w:p>
            <w:pPr>
              <w:adjustRightInd w:val="0"/>
              <w:snapToGrid w:val="0"/>
              <w:ind w:firstLine="480"/>
              <w:rPr>
                <w:color w:val="auto"/>
                <w:kern w:val="0"/>
                <w:szCs w:val="21"/>
              </w:rPr>
            </w:pPr>
            <w:r>
              <w:rPr>
                <w:color w:val="auto"/>
                <w:kern w:val="0"/>
                <w:szCs w:val="21"/>
              </w:rPr>
              <w:t>按照水、气、声、固废各环境要素，本项目建设主要的环境保护目标如下：</w:t>
            </w:r>
          </w:p>
          <w:p>
            <w:pPr>
              <w:adjustRightInd w:val="0"/>
              <w:snapToGrid w:val="0"/>
              <w:ind w:firstLine="480"/>
              <w:rPr>
                <w:color w:val="auto"/>
                <w:kern w:val="0"/>
                <w:szCs w:val="21"/>
              </w:rPr>
            </w:pPr>
            <w:r>
              <w:rPr>
                <w:color w:val="auto"/>
                <w:kern w:val="0"/>
                <w:szCs w:val="21"/>
              </w:rPr>
              <w:t>（1）大气环境保护目标</w:t>
            </w:r>
          </w:p>
          <w:p>
            <w:pPr>
              <w:adjustRightInd w:val="0"/>
              <w:snapToGrid w:val="0"/>
              <w:ind w:firstLine="480"/>
              <w:rPr>
                <w:color w:val="auto"/>
                <w:kern w:val="0"/>
                <w:szCs w:val="21"/>
              </w:rPr>
            </w:pPr>
            <w:r>
              <w:rPr>
                <w:color w:val="auto"/>
                <w:kern w:val="0"/>
                <w:szCs w:val="21"/>
              </w:rPr>
              <w:t>本项目大气环境保护目标为保护所在区域空气环境功能维持《环境空气质量标准》（GB3095-2012）中二级标准不变。</w:t>
            </w:r>
          </w:p>
          <w:p>
            <w:pPr>
              <w:adjustRightInd w:val="0"/>
              <w:snapToGrid w:val="0"/>
              <w:ind w:firstLine="480"/>
              <w:rPr>
                <w:color w:val="auto"/>
                <w:kern w:val="0"/>
                <w:szCs w:val="21"/>
              </w:rPr>
            </w:pPr>
            <w:r>
              <w:rPr>
                <w:color w:val="auto"/>
                <w:kern w:val="0"/>
                <w:szCs w:val="21"/>
              </w:rPr>
              <w:t>（2）地表水环境保护目标</w:t>
            </w:r>
          </w:p>
          <w:p>
            <w:pPr>
              <w:adjustRightInd w:val="0"/>
              <w:snapToGrid w:val="0"/>
              <w:ind w:firstLine="480"/>
              <w:rPr>
                <w:color w:val="auto"/>
                <w:kern w:val="0"/>
                <w:szCs w:val="21"/>
              </w:rPr>
            </w:pPr>
            <w:r>
              <w:rPr>
                <w:color w:val="auto"/>
                <w:kern w:val="0"/>
                <w:szCs w:val="21"/>
              </w:rPr>
              <w:t>项目所在区域地表水体为</w:t>
            </w:r>
            <w:r>
              <w:rPr>
                <w:rFonts w:hint="eastAsia"/>
                <w:color w:val="auto"/>
                <w:kern w:val="0"/>
                <w:szCs w:val="21"/>
                <w:lang w:val="en-US" w:eastAsia="zh-CN"/>
              </w:rPr>
              <w:t>州河，州河</w:t>
            </w:r>
            <w:r>
              <w:rPr>
                <w:rFonts w:hint="eastAsia"/>
                <w:color w:val="auto"/>
                <w:kern w:val="0"/>
                <w:szCs w:val="21"/>
              </w:rPr>
              <w:t>断面</w:t>
            </w:r>
            <w:r>
              <w:rPr>
                <w:color w:val="auto"/>
                <w:kern w:val="0"/>
                <w:szCs w:val="21"/>
              </w:rPr>
              <w:t>水质为《地表水环境质量标准》（GB3838-2002）</w:t>
            </w:r>
            <w:r>
              <w:rPr>
                <w:rFonts w:hint="eastAsia"/>
                <w:color w:val="auto"/>
                <w:kern w:val="0"/>
                <w:szCs w:val="21"/>
                <w:lang w:val="en-US" w:eastAsia="zh-CN"/>
              </w:rPr>
              <w:t>满足</w:t>
            </w:r>
            <w:r>
              <w:rPr>
                <w:rFonts w:hint="eastAsia"/>
                <w:color w:val="auto"/>
                <w:kern w:val="0"/>
                <w:szCs w:val="21"/>
              </w:rPr>
              <w:t>III</w:t>
            </w:r>
            <w:r>
              <w:rPr>
                <w:color w:val="auto"/>
                <w:kern w:val="0"/>
                <w:szCs w:val="21"/>
              </w:rPr>
              <w:t>类水域标准，水环境保护目标为维持现有水域功能不变。</w:t>
            </w:r>
          </w:p>
          <w:p>
            <w:pPr>
              <w:adjustRightInd w:val="0"/>
              <w:snapToGrid w:val="0"/>
              <w:ind w:firstLine="480"/>
              <w:rPr>
                <w:color w:val="auto"/>
                <w:kern w:val="0"/>
                <w:szCs w:val="21"/>
              </w:rPr>
            </w:pPr>
            <w:r>
              <w:rPr>
                <w:color w:val="auto"/>
                <w:kern w:val="0"/>
                <w:szCs w:val="21"/>
              </w:rPr>
              <w:t>（3）声环境保护目标</w:t>
            </w:r>
          </w:p>
          <w:p>
            <w:pPr>
              <w:adjustRightInd w:val="0"/>
              <w:snapToGrid w:val="0"/>
              <w:ind w:firstLine="480"/>
              <w:rPr>
                <w:color w:val="auto"/>
                <w:kern w:val="0"/>
                <w:szCs w:val="21"/>
              </w:rPr>
            </w:pPr>
            <w:r>
              <w:rPr>
                <w:color w:val="auto"/>
                <w:kern w:val="0"/>
                <w:szCs w:val="21"/>
              </w:rPr>
              <w:t>本项目声环境保护目标为保护项目所在区域声环境功能维持《声环境质量标准》（GB3096-2008）中3类标准不变。</w:t>
            </w:r>
          </w:p>
          <w:p>
            <w:pPr>
              <w:ind w:firstLine="480"/>
              <w:rPr>
                <w:color w:val="auto"/>
              </w:rPr>
            </w:pPr>
            <w:r>
              <w:rPr>
                <w:color w:val="auto"/>
              </w:rPr>
              <w:t>（4）地下水环境保护目标</w:t>
            </w:r>
          </w:p>
          <w:p>
            <w:pPr>
              <w:ind w:firstLine="480"/>
              <w:rPr>
                <w:color w:val="auto"/>
              </w:rPr>
            </w:pPr>
            <w:r>
              <w:rPr>
                <w:color w:val="auto"/>
              </w:rPr>
              <w:t>本项目主要保护目标为项目用地范围内地下水环境，以不破坏区域内地下水环境完整性为标准。</w:t>
            </w:r>
          </w:p>
          <w:p>
            <w:pPr>
              <w:ind w:firstLine="480"/>
              <w:rPr>
                <w:color w:val="auto"/>
              </w:rPr>
            </w:pPr>
            <w:r>
              <w:rPr>
                <w:color w:val="auto"/>
              </w:rPr>
              <w:t>（5）生态环境保护目标及级别</w:t>
            </w:r>
          </w:p>
          <w:p>
            <w:pPr>
              <w:ind w:firstLine="480"/>
              <w:rPr>
                <w:color w:val="auto"/>
              </w:rPr>
            </w:pPr>
            <w:r>
              <w:rPr>
                <w:color w:val="auto"/>
              </w:rPr>
              <w:t>本项目主要保护目标为项目用地范围内生态环境，以不破坏区域内生态系统完整性为标准，控制和减轻由项目建设对地表植被和土壤的破坏而造成的水土流失，保护地表植被，保护生态环境。</w:t>
            </w:r>
          </w:p>
          <w:p>
            <w:pPr>
              <w:pStyle w:val="11"/>
              <w:jc w:val="center"/>
              <w:rPr>
                <w:b/>
                <w:bCs/>
                <w:color w:val="auto"/>
              </w:rPr>
            </w:pPr>
            <w:r>
              <w:rPr>
                <w:b/>
                <w:bCs/>
                <w:color w:val="auto"/>
              </w:rPr>
              <w:t>表3-</w:t>
            </w:r>
            <w:r>
              <w:rPr>
                <w:rFonts w:hint="eastAsia"/>
                <w:b/>
                <w:bCs/>
                <w:color w:val="auto"/>
                <w:lang w:val="en-US" w:eastAsia="zh-CN"/>
              </w:rPr>
              <w:t>5</w:t>
            </w:r>
            <w:r>
              <w:rPr>
                <w:b/>
                <w:bCs/>
                <w:color w:val="auto"/>
              </w:rPr>
              <w:t xml:space="preserve">  主要环境保护目标一览表</w:t>
            </w:r>
          </w:p>
          <w:tbl>
            <w:tblPr>
              <w:tblStyle w:val="6"/>
              <w:tblW w:w="8806" w:type="dxa"/>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42"/>
              <w:gridCol w:w="667"/>
              <w:gridCol w:w="693"/>
              <w:gridCol w:w="840"/>
              <w:gridCol w:w="773"/>
              <w:gridCol w:w="720"/>
              <w:gridCol w:w="787"/>
              <w:gridCol w:w="1013"/>
              <w:gridCol w:w="237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42" w:type="dxa"/>
                  <w:vMerge w:val="restart"/>
                  <w:tcBorders>
                    <w:tl2br w:val="nil"/>
                    <w:tr2bl w:val="nil"/>
                  </w:tcBorders>
                  <w:vAlign w:val="center"/>
                </w:tcPr>
                <w:p>
                  <w:pPr>
                    <w:pStyle w:val="11"/>
                    <w:jc w:val="center"/>
                    <w:rPr>
                      <w:color w:val="auto"/>
                      <w:kern w:val="2"/>
                    </w:rPr>
                  </w:pPr>
                  <w:r>
                    <w:rPr>
                      <w:b/>
                      <w:bCs/>
                      <w:color w:val="auto"/>
                    </w:rPr>
                    <w:t>项目</w:t>
                  </w:r>
                </w:p>
              </w:tc>
              <w:tc>
                <w:tcPr>
                  <w:tcW w:w="1360" w:type="dxa"/>
                  <w:gridSpan w:val="2"/>
                  <w:tcBorders>
                    <w:tl2br w:val="nil"/>
                    <w:tr2bl w:val="nil"/>
                  </w:tcBorders>
                  <w:vAlign w:val="center"/>
                </w:tcPr>
                <w:p>
                  <w:pPr>
                    <w:pStyle w:val="11"/>
                    <w:jc w:val="center"/>
                    <w:rPr>
                      <w:color w:val="auto"/>
                      <w:kern w:val="2"/>
                    </w:rPr>
                  </w:pPr>
                  <w:r>
                    <w:rPr>
                      <w:b/>
                      <w:bCs/>
                      <w:color w:val="auto"/>
                    </w:rPr>
                    <w:t>坐标</w:t>
                  </w:r>
                </w:p>
              </w:tc>
              <w:tc>
                <w:tcPr>
                  <w:tcW w:w="840" w:type="dxa"/>
                  <w:vMerge w:val="restart"/>
                  <w:tcBorders>
                    <w:tl2br w:val="nil"/>
                    <w:tr2bl w:val="nil"/>
                  </w:tcBorders>
                  <w:vAlign w:val="center"/>
                </w:tcPr>
                <w:p>
                  <w:pPr>
                    <w:pStyle w:val="11"/>
                    <w:jc w:val="center"/>
                    <w:rPr>
                      <w:b/>
                      <w:bCs/>
                      <w:color w:val="auto"/>
                    </w:rPr>
                  </w:pPr>
                  <w:r>
                    <w:rPr>
                      <w:b/>
                      <w:bCs/>
                      <w:color w:val="auto"/>
                    </w:rPr>
                    <w:t>目标</w:t>
                  </w:r>
                </w:p>
                <w:p>
                  <w:pPr>
                    <w:pStyle w:val="11"/>
                    <w:jc w:val="center"/>
                    <w:rPr>
                      <w:color w:val="auto"/>
                      <w:kern w:val="2"/>
                    </w:rPr>
                  </w:pPr>
                  <w:r>
                    <w:rPr>
                      <w:b/>
                      <w:bCs/>
                      <w:color w:val="auto"/>
                    </w:rPr>
                    <w:t>名称</w:t>
                  </w:r>
                </w:p>
              </w:tc>
              <w:tc>
                <w:tcPr>
                  <w:tcW w:w="773" w:type="dxa"/>
                  <w:vMerge w:val="restart"/>
                  <w:tcBorders>
                    <w:tl2br w:val="nil"/>
                    <w:tr2bl w:val="nil"/>
                  </w:tcBorders>
                  <w:vAlign w:val="center"/>
                </w:tcPr>
                <w:p>
                  <w:pPr>
                    <w:pStyle w:val="11"/>
                    <w:jc w:val="center"/>
                    <w:rPr>
                      <w:color w:val="auto"/>
                      <w:kern w:val="2"/>
                    </w:rPr>
                  </w:pPr>
                  <w:r>
                    <w:rPr>
                      <w:b/>
                      <w:bCs/>
                      <w:color w:val="auto"/>
                    </w:rPr>
                    <w:t>功能</w:t>
                  </w:r>
                </w:p>
              </w:tc>
              <w:tc>
                <w:tcPr>
                  <w:tcW w:w="720" w:type="dxa"/>
                  <w:vMerge w:val="restart"/>
                  <w:tcBorders>
                    <w:tl2br w:val="nil"/>
                    <w:tr2bl w:val="nil"/>
                  </w:tcBorders>
                  <w:vAlign w:val="center"/>
                </w:tcPr>
                <w:p>
                  <w:pPr>
                    <w:pStyle w:val="11"/>
                    <w:jc w:val="center"/>
                    <w:rPr>
                      <w:color w:val="auto"/>
                      <w:kern w:val="2"/>
                    </w:rPr>
                  </w:pPr>
                  <w:r>
                    <w:rPr>
                      <w:b/>
                      <w:bCs/>
                      <w:color w:val="auto"/>
                    </w:rPr>
                    <w:t>数量</w:t>
                  </w:r>
                </w:p>
              </w:tc>
              <w:tc>
                <w:tcPr>
                  <w:tcW w:w="1800" w:type="dxa"/>
                  <w:gridSpan w:val="2"/>
                  <w:tcBorders>
                    <w:tl2br w:val="nil"/>
                    <w:tr2bl w:val="nil"/>
                  </w:tcBorders>
                  <w:vAlign w:val="center"/>
                </w:tcPr>
                <w:p>
                  <w:pPr>
                    <w:pStyle w:val="11"/>
                    <w:jc w:val="center"/>
                    <w:rPr>
                      <w:color w:val="auto"/>
                      <w:kern w:val="2"/>
                    </w:rPr>
                  </w:pPr>
                  <w:r>
                    <w:rPr>
                      <w:b/>
                      <w:bCs/>
                      <w:color w:val="auto"/>
                    </w:rPr>
                    <w:t>相对位置</w:t>
                  </w:r>
                </w:p>
              </w:tc>
              <w:tc>
                <w:tcPr>
                  <w:tcW w:w="2371" w:type="dxa"/>
                  <w:vMerge w:val="restart"/>
                  <w:tcBorders>
                    <w:tl2br w:val="nil"/>
                    <w:tr2bl w:val="nil"/>
                  </w:tcBorders>
                  <w:vAlign w:val="center"/>
                </w:tcPr>
                <w:p>
                  <w:pPr>
                    <w:pStyle w:val="11"/>
                    <w:jc w:val="center"/>
                    <w:rPr>
                      <w:color w:val="auto"/>
                      <w:kern w:val="2"/>
                    </w:rPr>
                  </w:pPr>
                  <w:r>
                    <w:rPr>
                      <w:b/>
                      <w:bCs/>
                      <w:color w:val="auto"/>
                    </w:rPr>
                    <w:t>环境保护级别</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42" w:type="dxa"/>
                  <w:vMerge w:val="continue"/>
                  <w:tcBorders>
                    <w:tl2br w:val="nil"/>
                    <w:tr2bl w:val="nil"/>
                  </w:tcBorders>
                  <w:vAlign w:val="center"/>
                </w:tcPr>
                <w:p>
                  <w:pPr>
                    <w:pStyle w:val="11"/>
                    <w:jc w:val="center"/>
                    <w:rPr>
                      <w:color w:val="auto"/>
                      <w:kern w:val="2"/>
                    </w:rPr>
                  </w:pPr>
                </w:p>
              </w:tc>
              <w:tc>
                <w:tcPr>
                  <w:tcW w:w="667" w:type="dxa"/>
                  <w:tcBorders>
                    <w:tl2br w:val="nil"/>
                    <w:tr2bl w:val="nil"/>
                  </w:tcBorders>
                  <w:vAlign w:val="center"/>
                </w:tcPr>
                <w:p>
                  <w:pPr>
                    <w:pStyle w:val="11"/>
                    <w:jc w:val="center"/>
                    <w:rPr>
                      <w:color w:val="auto"/>
                      <w:kern w:val="2"/>
                    </w:rPr>
                  </w:pPr>
                  <w:r>
                    <w:rPr>
                      <w:b/>
                      <w:bCs/>
                      <w:color w:val="auto"/>
                    </w:rPr>
                    <w:t>经度</w:t>
                  </w:r>
                </w:p>
              </w:tc>
              <w:tc>
                <w:tcPr>
                  <w:tcW w:w="693" w:type="dxa"/>
                  <w:tcBorders>
                    <w:tl2br w:val="nil"/>
                    <w:tr2bl w:val="nil"/>
                  </w:tcBorders>
                  <w:vAlign w:val="center"/>
                </w:tcPr>
                <w:p>
                  <w:pPr>
                    <w:pStyle w:val="11"/>
                    <w:jc w:val="center"/>
                    <w:rPr>
                      <w:color w:val="auto"/>
                      <w:kern w:val="2"/>
                    </w:rPr>
                  </w:pPr>
                  <w:r>
                    <w:rPr>
                      <w:b/>
                      <w:bCs/>
                      <w:color w:val="auto"/>
                    </w:rPr>
                    <w:t>纬度</w:t>
                  </w:r>
                </w:p>
              </w:tc>
              <w:tc>
                <w:tcPr>
                  <w:tcW w:w="840" w:type="dxa"/>
                  <w:vMerge w:val="continue"/>
                  <w:tcBorders>
                    <w:tl2br w:val="nil"/>
                    <w:tr2bl w:val="nil"/>
                  </w:tcBorders>
                  <w:vAlign w:val="center"/>
                </w:tcPr>
                <w:p>
                  <w:pPr>
                    <w:pStyle w:val="11"/>
                    <w:jc w:val="center"/>
                    <w:rPr>
                      <w:color w:val="auto"/>
                      <w:kern w:val="2"/>
                    </w:rPr>
                  </w:pPr>
                </w:p>
              </w:tc>
              <w:tc>
                <w:tcPr>
                  <w:tcW w:w="773" w:type="dxa"/>
                  <w:vMerge w:val="continue"/>
                  <w:tcBorders>
                    <w:tl2br w:val="nil"/>
                    <w:tr2bl w:val="nil"/>
                  </w:tcBorders>
                  <w:vAlign w:val="center"/>
                </w:tcPr>
                <w:p>
                  <w:pPr>
                    <w:pStyle w:val="11"/>
                    <w:jc w:val="center"/>
                    <w:rPr>
                      <w:color w:val="auto"/>
                      <w:kern w:val="2"/>
                    </w:rPr>
                  </w:pPr>
                </w:p>
              </w:tc>
              <w:tc>
                <w:tcPr>
                  <w:tcW w:w="720" w:type="dxa"/>
                  <w:vMerge w:val="continue"/>
                  <w:tcBorders>
                    <w:tl2br w:val="nil"/>
                    <w:tr2bl w:val="nil"/>
                  </w:tcBorders>
                  <w:vAlign w:val="center"/>
                </w:tcPr>
                <w:p>
                  <w:pPr>
                    <w:pStyle w:val="11"/>
                    <w:jc w:val="center"/>
                    <w:rPr>
                      <w:color w:val="auto"/>
                      <w:kern w:val="2"/>
                    </w:rPr>
                  </w:pPr>
                </w:p>
              </w:tc>
              <w:tc>
                <w:tcPr>
                  <w:tcW w:w="787" w:type="dxa"/>
                  <w:tcBorders>
                    <w:tl2br w:val="nil"/>
                    <w:tr2bl w:val="nil"/>
                  </w:tcBorders>
                  <w:vAlign w:val="center"/>
                </w:tcPr>
                <w:p>
                  <w:pPr>
                    <w:pStyle w:val="11"/>
                    <w:jc w:val="center"/>
                    <w:rPr>
                      <w:color w:val="auto"/>
                      <w:kern w:val="2"/>
                    </w:rPr>
                  </w:pPr>
                  <w:r>
                    <w:rPr>
                      <w:b/>
                      <w:bCs/>
                      <w:color w:val="auto"/>
                    </w:rPr>
                    <w:t>方位</w:t>
                  </w:r>
                </w:p>
              </w:tc>
              <w:tc>
                <w:tcPr>
                  <w:tcW w:w="1013" w:type="dxa"/>
                  <w:tcBorders>
                    <w:tl2br w:val="nil"/>
                    <w:tr2bl w:val="nil"/>
                  </w:tcBorders>
                  <w:vAlign w:val="center"/>
                </w:tcPr>
                <w:p>
                  <w:pPr>
                    <w:pStyle w:val="11"/>
                    <w:jc w:val="center"/>
                    <w:rPr>
                      <w:color w:val="auto"/>
                      <w:kern w:val="2"/>
                    </w:rPr>
                  </w:pPr>
                  <w:r>
                    <w:rPr>
                      <w:b/>
                      <w:bCs/>
                      <w:color w:val="auto"/>
                    </w:rPr>
                    <w:t>距离(m)</w:t>
                  </w:r>
                </w:p>
              </w:tc>
              <w:tc>
                <w:tcPr>
                  <w:tcW w:w="2371" w:type="dxa"/>
                  <w:vMerge w:val="continue"/>
                  <w:tcBorders>
                    <w:tl2br w:val="nil"/>
                    <w:tr2bl w:val="nil"/>
                  </w:tcBorders>
                  <w:vAlign w:val="center"/>
                </w:tcPr>
                <w:p>
                  <w:pPr>
                    <w:pStyle w:val="11"/>
                    <w:jc w:val="center"/>
                    <w:rPr>
                      <w:color w:val="auto"/>
                      <w:kern w:val="2"/>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42" w:type="dxa"/>
                  <w:tcBorders>
                    <w:tl2br w:val="nil"/>
                    <w:tr2bl w:val="nil"/>
                  </w:tcBorders>
                  <w:vAlign w:val="center"/>
                </w:tcPr>
                <w:p>
                  <w:pPr>
                    <w:pStyle w:val="11"/>
                    <w:jc w:val="center"/>
                    <w:rPr>
                      <w:color w:val="auto"/>
                    </w:rPr>
                  </w:pPr>
                  <w:r>
                    <w:rPr>
                      <w:color w:val="auto"/>
                    </w:rPr>
                    <w:t>地表水环境保护目标</w:t>
                  </w:r>
                </w:p>
              </w:tc>
              <w:tc>
                <w:tcPr>
                  <w:tcW w:w="667" w:type="dxa"/>
                  <w:tcBorders>
                    <w:tl2br w:val="nil"/>
                    <w:tr2bl w:val="nil"/>
                  </w:tcBorders>
                  <w:vAlign w:val="center"/>
                </w:tcPr>
                <w:p>
                  <w:pPr>
                    <w:pStyle w:val="11"/>
                    <w:jc w:val="center"/>
                    <w:rPr>
                      <w:color w:val="auto"/>
                      <w:kern w:val="2"/>
                    </w:rPr>
                  </w:pPr>
                  <w:r>
                    <w:rPr>
                      <w:rFonts w:hint="eastAsia"/>
                      <w:color w:val="auto"/>
                      <w:kern w:val="2"/>
                    </w:rPr>
                    <w:t>/</w:t>
                  </w:r>
                </w:p>
              </w:tc>
              <w:tc>
                <w:tcPr>
                  <w:tcW w:w="693" w:type="dxa"/>
                  <w:tcBorders>
                    <w:tl2br w:val="nil"/>
                    <w:tr2bl w:val="nil"/>
                  </w:tcBorders>
                  <w:vAlign w:val="center"/>
                </w:tcPr>
                <w:p>
                  <w:pPr>
                    <w:pStyle w:val="11"/>
                    <w:jc w:val="center"/>
                    <w:rPr>
                      <w:color w:val="auto"/>
                      <w:kern w:val="2"/>
                    </w:rPr>
                  </w:pPr>
                  <w:r>
                    <w:rPr>
                      <w:rFonts w:hint="eastAsia"/>
                      <w:color w:val="auto"/>
                      <w:kern w:val="2"/>
                    </w:rPr>
                    <w:t>/</w:t>
                  </w:r>
                </w:p>
              </w:tc>
              <w:tc>
                <w:tcPr>
                  <w:tcW w:w="840" w:type="dxa"/>
                  <w:tcBorders>
                    <w:tl2br w:val="nil"/>
                    <w:tr2bl w:val="nil"/>
                  </w:tcBorders>
                  <w:vAlign w:val="center"/>
                </w:tcPr>
                <w:p>
                  <w:pPr>
                    <w:pStyle w:val="11"/>
                    <w:jc w:val="center"/>
                    <w:rPr>
                      <w:rFonts w:hint="eastAsia" w:eastAsia="宋体"/>
                      <w:color w:val="auto"/>
                      <w:lang w:eastAsia="zh-CN"/>
                    </w:rPr>
                  </w:pPr>
                  <w:r>
                    <w:rPr>
                      <w:rFonts w:hint="eastAsia"/>
                      <w:color w:val="auto"/>
                      <w:lang w:val="en-US" w:eastAsia="zh-CN"/>
                    </w:rPr>
                    <w:t>州河</w:t>
                  </w:r>
                </w:p>
              </w:tc>
              <w:tc>
                <w:tcPr>
                  <w:tcW w:w="773" w:type="dxa"/>
                  <w:tcBorders>
                    <w:tl2br w:val="nil"/>
                    <w:tr2bl w:val="nil"/>
                  </w:tcBorders>
                  <w:vAlign w:val="center"/>
                </w:tcPr>
                <w:p>
                  <w:pPr>
                    <w:pStyle w:val="11"/>
                    <w:jc w:val="center"/>
                    <w:rPr>
                      <w:color w:val="auto"/>
                    </w:rPr>
                  </w:pPr>
                  <w:r>
                    <w:rPr>
                      <w:rFonts w:hint="eastAsia"/>
                      <w:color w:val="auto"/>
                    </w:rPr>
                    <w:t>灌溉、行洪等</w:t>
                  </w:r>
                </w:p>
              </w:tc>
              <w:tc>
                <w:tcPr>
                  <w:tcW w:w="720" w:type="dxa"/>
                  <w:tcBorders>
                    <w:tl2br w:val="nil"/>
                    <w:tr2bl w:val="nil"/>
                  </w:tcBorders>
                  <w:vAlign w:val="center"/>
                </w:tcPr>
                <w:p>
                  <w:pPr>
                    <w:pStyle w:val="11"/>
                    <w:jc w:val="center"/>
                    <w:rPr>
                      <w:color w:val="auto"/>
                    </w:rPr>
                  </w:pPr>
                  <w:r>
                    <w:rPr>
                      <w:color w:val="auto"/>
                    </w:rPr>
                    <w:t>/</w:t>
                  </w:r>
                </w:p>
              </w:tc>
              <w:tc>
                <w:tcPr>
                  <w:tcW w:w="787" w:type="dxa"/>
                  <w:tcBorders>
                    <w:tl2br w:val="nil"/>
                    <w:tr2bl w:val="nil"/>
                  </w:tcBorders>
                  <w:vAlign w:val="center"/>
                </w:tcPr>
                <w:p>
                  <w:pPr>
                    <w:pStyle w:val="11"/>
                    <w:jc w:val="center"/>
                    <w:rPr>
                      <w:color w:val="auto"/>
                    </w:rPr>
                  </w:pPr>
                  <w:r>
                    <w:rPr>
                      <w:rFonts w:hint="eastAsia"/>
                      <w:color w:val="auto"/>
                    </w:rPr>
                    <w:t>东南侧</w:t>
                  </w:r>
                </w:p>
              </w:tc>
              <w:tc>
                <w:tcPr>
                  <w:tcW w:w="1013" w:type="dxa"/>
                  <w:tcBorders>
                    <w:tl2br w:val="nil"/>
                    <w:tr2bl w:val="nil"/>
                  </w:tcBorders>
                  <w:vAlign w:val="center"/>
                </w:tcPr>
                <w:p>
                  <w:pPr>
                    <w:pStyle w:val="11"/>
                    <w:jc w:val="center"/>
                    <w:rPr>
                      <w:rFonts w:hint="default" w:eastAsia="宋体"/>
                      <w:color w:val="auto"/>
                      <w:lang w:val="en-US" w:eastAsia="zh-CN"/>
                    </w:rPr>
                  </w:pPr>
                  <w:r>
                    <w:rPr>
                      <w:rFonts w:hint="eastAsia"/>
                      <w:color w:val="auto"/>
                      <w:lang w:val="en-US" w:eastAsia="zh-CN"/>
                    </w:rPr>
                    <w:t>7000</w:t>
                  </w:r>
                </w:p>
              </w:tc>
              <w:tc>
                <w:tcPr>
                  <w:tcW w:w="2371" w:type="dxa"/>
                  <w:tcBorders>
                    <w:tl2br w:val="nil"/>
                    <w:tr2bl w:val="nil"/>
                  </w:tcBorders>
                  <w:vAlign w:val="center"/>
                </w:tcPr>
                <w:p>
                  <w:pPr>
                    <w:pStyle w:val="11"/>
                    <w:jc w:val="center"/>
                    <w:rPr>
                      <w:color w:val="auto"/>
                    </w:rPr>
                  </w:pPr>
                  <w:r>
                    <w:rPr>
                      <w:color w:val="auto"/>
                    </w:rPr>
                    <w:t>《地表水环境质量标准》Ⅲ类水域标准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942" w:type="dxa"/>
                  <w:tcBorders>
                    <w:tl2br w:val="nil"/>
                    <w:tr2bl w:val="nil"/>
                  </w:tcBorders>
                  <w:vAlign w:val="center"/>
                </w:tcPr>
                <w:p>
                  <w:pPr>
                    <w:pStyle w:val="11"/>
                    <w:jc w:val="center"/>
                    <w:rPr>
                      <w:color w:val="auto"/>
                    </w:rPr>
                  </w:pPr>
                  <w:r>
                    <w:rPr>
                      <w:color w:val="auto"/>
                    </w:rPr>
                    <w:t>大气环境保护目标</w:t>
                  </w:r>
                </w:p>
              </w:tc>
              <w:tc>
                <w:tcPr>
                  <w:tcW w:w="667" w:type="dxa"/>
                  <w:tcBorders>
                    <w:tl2br w:val="nil"/>
                    <w:tr2bl w:val="nil"/>
                  </w:tcBorders>
                  <w:vAlign w:val="center"/>
                </w:tcPr>
                <w:p>
                  <w:pPr>
                    <w:pStyle w:val="11"/>
                    <w:jc w:val="center"/>
                    <w:rPr>
                      <w:color w:val="auto"/>
                      <w:kern w:val="2"/>
                    </w:rPr>
                  </w:pPr>
                  <w:r>
                    <w:rPr>
                      <w:rFonts w:hint="eastAsia"/>
                      <w:color w:val="auto"/>
                      <w:kern w:val="2"/>
                    </w:rPr>
                    <w:t>/</w:t>
                  </w:r>
                </w:p>
              </w:tc>
              <w:tc>
                <w:tcPr>
                  <w:tcW w:w="693" w:type="dxa"/>
                  <w:tcBorders>
                    <w:tl2br w:val="nil"/>
                    <w:tr2bl w:val="nil"/>
                  </w:tcBorders>
                  <w:vAlign w:val="center"/>
                </w:tcPr>
                <w:p>
                  <w:pPr>
                    <w:pStyle w:val="11"/>
                    <w:jc w:val="center"/>
                    <w:rPr>
                      <w:color w:val="auto"/>
                      <w:kern w:val="2"/>
                    </w:rPr>
                  </w:pPr>
                  <w:r>
                    <w:rPr>
                      <w:rFonts w:hint="eastAsia"/>
                      <w:color w:val="auto"/>
                      <w:kern w:val="2"/>
                    </w:rPr>
                    <w:t>/</w:t>
                  </w:r>
                </w:p>
              </w:tc>
              <w:tc>
                <w:tcPr>
                  <w:tcW w:w="840" w:type="dxa"/>
                  <w:tcBorders>
                    <w:tl2br w:val="nil"/>
                    <w:tr2bl w:val="nil"/>
                  </w:tcBorders>
                  <w:vAlign w:val="center"/>
                </w:tcPr>
                <w:p>
                  <w:pPr>
                    <w:pStyle w:val="11"/>
                    <w:jc w:val="center"/>
                    <w:rPr>
                      <w:color w:val="auto"/>
                      <w:kern w:val="2"/>
                    </w:rPr>
                  </w:pPr>
                  <w:r>
                    <w:rPr>
                      <w:rFonts w:hint="eastAsia"/>
                      <w:color w:val="auto"/>
                      <w:kern w:val="2"/>
                    </w:rPr>
                    <w:t>/</w:t>
                  </w:r>
                </w:p>
              </w:tc>
              <w:tc>
                <w:tcPr>
                  <w:tcW w:w="773" w:type="dxa"/>
                  <w:tcBorders>
                    <w:tl2br w:val="nil"/>
                    <w:tr2bl w:val="nil"/>
                  </w:tcBorders>
                  <w:vAlign w:val="center"/>
                </w:tcPr>
                <w:p>
                  <w:pPr>
                    <w:pStyle w:val="11"/>
                    <w:jc w:val="center"/>
                    <w:rPr>
                      <w:color w:val="auto"/>
                      <w:kern w:val="2"/>
                    </w:rPr>
                  </w:pPr>
                  <w:r>
                    <w:rPr>
                      <w:rFonts w:hint="eastAsia"/>
                      <w:color w:val="auto"/>
                      <w:kern w:val="2"/>
                    </w:rPr>
                    <w:t>/</w:t>
                  </w:r>
                </w:p>
              </w:tc>
              <w:tc>
                <w:tcPr>
                  <w:tcW w:w="720" w:type="dxa"/>
                  <w:tcBorders>
                    <w:tl2br w:val="nil"/>
                    <w:tr2bl w:val="nil"/>
                  </w:tcBorders>
                  <w:vAlign w:val="center"/>
                </w:tcPr>
                <w:p>
                  <w:pPr>
                    <w:pStyle w:val="11"/>
                    <w:jc w:val="center"/>
                    <w:rPr>
                      <w:color w:val="auto"/>
                      <w:kern w:val="2"/>
                    </w:rPr>
                  </w:pPr>
                  <w:r>
                    <w:rPr>
                      <w:rFonts w:hint="eastAsia"/>
                      <w:color w:val="auto"/>
                      <w:kern w:val="2"/>
                    </w:rPr>
                    <w:t>/</w:t>
                  </w:r>
                </w:p>
              </w:tc>
              <w:tc>
                <w:tcPr>
                  <w:tcW w:w="787" w:type="dxa"/>
                  <w:tcBorders>
                    <w:tl2br w:val="nil"/>
                    <w:tr2bl w:val="nil"/>
                  </w:tcBorders>
                  <w:vAlign w:val="center"/>
                </w:tcPr>
                <w:p>
                  <w:pPr>
                    <w:pStyle w:val="11"/>
                    <w:jc w:val="center"/>
                    <w:rPr>
                      <w:color w:val="auto"/>
                      <w:kern w:val="2"/>
                    </w:rPr>
                  </w:pPr>
                  <w:r>
                    <w:rPr>
                      <w:rFonts w:hint="eastAsia"/>
                      <w:color w:val="auto"/>
                      <w:kern w:val="2"/>
                    </w:rPr>
                    <w:t>/</w:t>
                  </w:r>
                </w:p>
              </w:tc>
              <w:tc>
                <w:tcPr>
                  <w:tcW w:w="1013" w:type="dxa"/>
                  <w:tcBorders>
                    <w:tl2br w:val="nil"/>
                    <w:tr2bl w:val="nil"/>
                  </w:tcBorders>
                  <w:vAlign w:val="center"/>
                </w:tcPr>
                <w:p>
                  <w:pPr>
                    <w:pStyle w:val="11"/>
                    <w:jc w:val="center"/>
                    <w:rPr>
                      <w:color w:val="auto"/>
                      <w:kern w:val="2"/>
                    </w:rPr>
                  </w:pPr>
                  <w:r>
                    <w:rPr>
                      <w:rFonts w:hint="eastAsia"/>
                      <w:color w:val="auto"/>
                      <w:kern w:val="2"/>
                    </w:rPr>
                    <w:t>/</w:t>
                  </w:r>
                </w:p>
              </w:tc>
              <w:tc>
                <w:tcPr>
                  <w:tcW w:w="2371" w:type="dxa"/>
                  <w:tcBorders>
                    <w:tl2br w:val="nil"/>
                    <w:tr2bl w:val="nil"/>
                  </w:tcBorders>
                  <w:vAlign w:val="center"/>
                </w:tcPr>
                <w:p>
                  <w:pPr>
                    <w:pStyle w:val="11"/>
                    <w:jc w:val="center"/>
                    <w:rPr>
                      <w:color w:val="auto"/>
                    </w:rPr>
                  </w:pPr>
                  <w:r>
                    <w:rPr>
                      <w:color w:val="auto"/>
                    </w:rPr>
                    <w:t>《环境空气质量标准》二级标准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942" w:type="dxa"/>
                  <w:tcBorders>
                    <w:tl2br w:val="nil"/>
                    <w:tr2bl w:val="nil"/>
                  </w:tcBorders>
                  <w:vAlign w:val="center"/>
                </w:tcPr>
                <w:p>
                  <w:pPr>
                    <w:pStyle w:val="11"/>
                    <w:jc w:val="center"/>
                    <w:rPr>
                      <w:color w:val="auto"/>
                    </w:rPr>
                  </w:pPr>
                  <w:r>
                    <w:rPr>
                      <w:color w:val="auto"/>
                    </w:rPr>
                    <w:t>声环境</w:t>
                  </w:r>
                </w:p>
                <w:p>
                  <w:pPr>
                    <w:pStyle w:val="11"/>
                    <w:jc w:val="center"/>
                    <w:rPr>
                      <w:color w:val="auto"/>
                    </w:rPr>
                  </w:pPr>
                  <w:r>
                    <w:rPr>
                      <w:color w:val="auto"/>
                    </w:rPr>
                    <w:t>保护目标</w:t>
                  </w:r>
                </w:p>
              </w:tc>
              <w:tc>
                <w:tcPr>
                  <w:tcW w:w="667" w:type="dxa"/>
                  <w:tcBorders>
                    <w:tl2br w:val="nil"/>
                    <w:tr2bl w:val="nil"/>
                  </w:tcBorders>
                  <w:vAlign w:val="center"/>
                </w:tcPr>
                <w:p>
                  <w:pPr>
                    <w:pStyle w:val="11"/>
                    <w:jc w:val="center"/>
                    <w:rPr>
                      <w:color w:val="auto"/>
                      <w:kern w:val="2"/>
                    </w:rPr>
                  </w:pPr>
                  <w:r>
                    <w:rPr>
                      <w:rFonts w:hint="eastAsia"/>
                      <w:color w:val="auto"/>
                      <w:kern w:val="2"/>
                    </w:rPr>
                    <w:t>/</w:t>
                  </w:r>
                </w:p>
              </w:tc>
              <w:tc>
                <w:tcPr>
                  <w:tcW w:w="693" w:type="dxa"/>
                  <w:tcBorders>
                    <w:tl2br w:val="nil"/>
                    <w:tr2bl w:val="nil"/>
                  </w:tcBorders>
                  <w:vAlign w:val="center"/>
                </w:tcPr>
                <w:p>
                  <w:pPr>
                    <w:pStyle w:val="11"/>
                    <w:jc w:val="center"/>
                    <w:rPr>
                      <w:color w:val="auto"/>
                      <w:kern w:val="2"/>
                    </w:rPr>
                  </w:pPr>
                  <w:r>
                    <w:rPr>
                      <w:rFonts w:hint="eastAsia"/>
                      <w:color w:val="auto"/>
                      <w:kern w:val="2"/>
                    </w:rPr>
                    <w:t>/</w:t>
                  </w:r>
                </w:p>
              </w:tc>
              <w:tc>
                <w:tcPr>
                  <w:tcW w:w="840" w:type="dxa"/>
                  <w:tcBorders>
                    <w:tl2br w:val="nil"/>
                    <w:tr2bl w:val="nil"/>
                  </w:tcBorders>
                  <w:vAlign w:val="center"/>
                </w:tcPr>
                <w:p>
                  <w:pPr>
                    <w:pStyle w:val="11"/>
                    <w:jc w:val="center"/>
                    <w:rPr>
                      <w:color w:val="auto"/>
                      <w:kern w:val="2"/>
                    </w:rPr>
                  </w:pPr>
                  <w:r>
                    <w:rPr>
                      <w:rFonts w:hint="eastAsia"/>
                      <w:color w:val="auto"/>
                      <w:kern w:val="2"/>
                    </w:rPr>
                    <w:t>/</w:t>
                  </w:r>
                </w:p>
              </w:tc>
              <w:tc>
                <w:tcPr>
                  <w:tcW w:w="773" w:type="dxa"/>
                  <w:tcBorders>
                    <w:tl2br w:val="nil"/>
                    <w:tr2bl w:val="nil"/>
                  </w:tcBorders>
                  <w:vAlign w:val="center"/>
                </w:tcPr>
                <w:p>
                  <w:pPr>
                    <w:pStyle w:val="11"/>
                    <w:jc w:val="center"/>
                    <w:rPr>
                      <w:color w:val="auto"/>
                      <w:kern w:val="2"/>
                    </w:rPr>
                  </w:pPr>
                  <w:r>
                    <w:rPr>
                      <w:rFonts w:hint="eastAsia"/>
                      <w:color w:val="auto"/>
                      <w:kern w:val="2"/>
                    </w:rPr>
                    <w:t>/</w:t>
                  </w:r>
                </w:p>
              </w:tc>
              <w:tc>
                <w:tcPr>
                  <w:tcW w:w="720" w:type="dxa"/>
                  <w:tcBorders>
                    <w:tl2br w:val="nil"/>
                    <w:tr2bl w:val="nil"/>
                  </w:tcBorders>
                  <w:vAlign w:val="center"/>
                </w:tcPr>
                <w:p>
                  <w:pPr>
                    <w:pStyle w:val="11"/>
                    <w:jc w:val="center"/>
                    <w:rPr>
                      <w:color w:val="auto"/>
                      <w:kern w:val="2"/>
                    </w:rPr>
                  </w:pPr>
                  <w:r>
                    <w:rPr>
                      <w:rFonts w:hint="eastAsia"/>
                      <w:color w:val="auto"/>
                      <w:kern w:val="2"/>
                    </w:rPr>
                    <w:t>/</w:t>
                  </w:r>
                </w:p>
              </w:tc>
              <w:tc>
                <w:tcPr>
                  <w:tcW w:w="787" w:type="dxa"/>
                  <w:tcBorders>
                    <w:tl2br w:val="nil"/>
                    <w:tr2bl w:val="nil"/>
                  </w:tcBorders>
                  <w:vAlign w:val="center"/>
                </w:tcPr>
                <w:p>
                  <w:pPr>
                    <w:pStyle w:val="11"/>
                    <w:jc w:val="center"/>
                    <w:rPr>
                      <w:color w:val="auto"/>
                      <w:kern w:val="2"/>
                    </w:rPr>
                  </w:pPr>
                  <w:r>
                    <w:rPr>
                      <w:rFonts w:hint="eastAsia"/>
                      <w:color w:val="auto"/>
                      <w:kern w:val="2"/>
                    </w:rPr>
                    <w:t>/</w:t>
                  </w:r>
                </w:p>
              </w:tc>
              <w:tc>
                <w:tcPr>
                  <w:tcW w:w="1013" w:type="dxa"/>
                  <w:tcBorders>
                    <w:tl2br w:val="nil"/>
                    <w:tr2bl w:val="nil"/>
                  </w:tcBorders>
                  <w:vAlign w:val="center"/>
                </w:tcPr>
                <w:p>
                  <w:pPr>
                    <w:pStyle w:val="11"/>
                    <w:jc w:val="center"/>
                    <w:rPr>
                      <w:color w:val="auto"/>
                      <w:kern w:val="2"/>
                    </w:rPr>
                  </w:pPr>
                  <w:r>
                    <w:rPr>
                      <w:rFonts w:hint="eastAsia"/>
                      <w:color w:val="auto"/>
                      <w:kern w:val="2"/>
                    </w:rPr>
                    <w:t>/</w:t>
                  </w:r>
                </w:p>
              </w:tc>
              <w:tc>
                <w:tcPr>
                  <w:tcW w:w="2371" w:type="dxa"/>
                  <w:tcBorders>
                    <w:tl2br w:val="nil"/>
                    <w:tr2bl w:val="nil"/>
                  </w:tcBorders>
                  <w:vAlign w:val="center"/>
                </w:tcPr>
                <w:p>
                  <w:pPr>
                    <w:pStyle w:val="11"/>
                    <w:jc w:val="center"/>
                    <w:rPr>
                      <w:color w:val="auto"/>
                    </w:rPr>
                  </w:pPr>
                  <w:r>
                    <w:rPr>
                      <w:color w:val="auto"/>
                    </w:rPr>
                    <w:t>《声环境质量标准》</w:t>
                  </w:r>
                </w:p>
                <w:p>
                  <w:pPr>
                    <w:pStyle w:val="11"/>
                    <w:jc w:val="center"/>
                    <w:rPr>
                      <w:color w:val="auto"/>
                    </w:rPr>
                  </w:pPr>
                  <w:r>
                    <w:rPr>
                      <w:rFonts w:hint="eastAsia"/>
                      <w:color w:val="auto"/>
                    </w:rPr>
                    <w:t>3</w:t>
                  </w:r>
                  <w:r>
                    <w:rPr>
                      <w:color w:val="auto"/>
                    </w:rPr>
                    <w:t>类标准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942" w:type="dxa"/>
                  <w:tcBorders>
                    <w:tl2br w:val="nil"/>
                    <w:tr2bl w:val="nil"/>
                  </w:tcBorders>
                  <w:vAlign w:val="center"/>
                </w:tcPr>
                <w:p>
                  <w:pPr>
                    <w:pStyle w:val="11"/>
                    <w:jc w:val="center"/>
                    <w:rPr>
                      <w:color w:val="auto"/>
                    </w:rPr>
                  </w:pPr>
                  <w:r>
                    <w:rPr>
                      <w:rFonts w:hint="eastAsia"/>
                      <w:color w:val="auto"/>
                    </w:rPr>
                    <w:t>地下水</w:t>
                  </w:r>
                  <w:r>
                    <w:rPr>
                      <w:color w:val="auto"/>
                    </w:rPr>
                    <w:t>保护目标</w:t>
                  </w:r>
                </w:p>
              </w:tc>
              <w:tc>
                <w:tcPr>
                  <w:tcW w:w="7864" w:type="dxa"/>
                  <w:gridSpan w:val="8"/>
                  <w:tcBorders>
                    <w:tl2br w:val="nil"/>
                    <w:tr2bl w:val="nil"/>
                  </w:tcBorders>
                  <w:vAlign w:val="center"/>
                </w:tcPr>
                <w:p>
                  <w:pPr>
                    <w:pStyle w:val="11"/>
                    <w:jc w:val="center"/>
                    <w:rPr>
                      <w:color w:val="auto"/>
                    </w:rPr>
                  </w:pPr>
                  <w:r>
                    <w:rPr>
                      <w:color w:val="auto"/>
                    </w:rPr>
                    <w:t>不破坏区域内地下水环境完整性为标准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942" w:type="dxa"/>
                  <w:tcBorders>
                    <w:tl2br w:val="nil"/>
                    <w:tr2bl w:val="nil"/>
                  </w:tcBorders>
                  <w:vAlign w:val="center"/>
                </w:tcPr>
                <w:p>
                  <w:pPr>
                    <w:pStyle w:val="11"/>
                    <w:jc w:val="center"/>
                    <w:rPr>
                      <w:color w:val="auto"/>
                    </w:rPr>
                  </w:pPr>
                  <w:r>
                    <w:rPr>
                      <w:rFonts w:hint="eastAsia"/>
                      <w:color w:val="auto"/>
                    </w:rPr>
                    <w:t>生态</w:t>
                  </w:r>
                  <w:r>
                    <w:rPr>
                      <w:color w:val="auto"/>
                    </w:rPr>
                    <w:t>保护目标</w:t>
                  </w:r>
                </w:p>
              </w:tc>
              <w:tc>
                <w:tcPr>
                  <w:tcW w:w="7864" w:type="dxa"/>
                  <w:gridSpan w:val="8"/>
                  <w:tcBorders>
                    <w:tl2br w:val="nil"/>
                    <w:tr2bl w:val="nil"/>
                  </w:tcBorders>
                  <w:vAlign w:val="center"/>
                </w:tcPr>
                <w:p>
                  <w:pPr>
                    <w:pStyle w:val="11"/>
                    <w:jc w:val="center"/>
                    <w:rPr>
                      <w:color w:val="auto"/>
                    </w:rPr>
                  </w:pPr>
                  <w:r>
                    <w:rPr>
                      <w:color w:val="auto"/>
                    </w:rPr>
                    <w:t>不破坏区域内</w:t>
                  </w:r>
                  <w:r>
                    <w:rPr>
                      <w:rFonts w:hint="eastAsia"/>
                      <w:color w:val="auto"/>
                    </w:rPr>
                    <w:t>生态环境</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8806" w:type="dxa"/>
                  <w:gridSpan w:val="9"/>
                  <w:tcBorders>
                    <w:tl2br w:val="nil"/>
                    <w:tr2bl w:val="nil"/>
                  </w:tcBorders>
                  <w:vAlign w:val="center"/>
                </w:tcPr>
                <w:p>
                  <w:pPr>
                    <w:pStyle w:val="11"/>
                    <w:ind w:firstLine="210" w:firstLineChars="100"/>
                    <w:jc w:val="both"/>
                    <w:rPr>
                      <w:color w:val="auto"/>
                    </w:rPr>
                  </w:pPr>
                  <w:r>
                    <w:rPr>
                      <w:rFonts w:hint="eastAsia"/>
                      <w:color w:val="auto"/>
                    </w:rPr>
                    <w:t>注：</w:t>
                  </w:r>
                </w:p>
                <w:p>
                  <w:pPr>
                    <w:pStyle w:val="11"/>
                    <w:ind w:firstLine="210" w:firstLineChars="100"/>
                    <w:jc w:val="both"/>
                    <w:rPr>
                      <w:color w:val="auto"/>
                    </w:rPr>
                  </w:pPr>
                  <w:r>
                    <w:rPr>
                      <w:rFonts w:hint="eastAsia"/>
                      <w:color w:val="auto"/>
                    </w:rPr>
                    <w:t>①、项目所处工业园区内，厂界500m范围内无大气环境保护目标；</w:t>
                  </w:r>
                </w:p>
                <w:p>
                  <w:pPr>
                    <w:pStyle w:val="11"/>
                    <w:ind w:firstLine="210" w:firstLineChars="100"/>
                    <w:jc w:val="both"/>
                    <w:rPr>
                      <w:color w:val="auto"/>
                      <w:kern w:val="2"/>
                    </w:rPr>
                  </w:pPr>
                  <w:r>
                    <w:rPr>
                      <w:rFonts w:hint="eastAsia"/>
                      <w:color w:val="auto"/>
                    </w:rPr>
                    <w:t>②、项目所处工业园区内，厂界200m范围内无声环境保护目标；</w:t>
                  </w:r>
                </w:p>
              </w:tc>
            </w:tr>
          </w:tbl>
          <w:p>
            <w:pPr>
              <w:bidi w:val="0"/>
              <w:spacing w:line="240" w:lineRule="auto"/>
              <w:rPr>
                <w:color w:val="auto"/>
              </w:rPr>
            </w:pPr>
          </w:p>
          <w:p>
            <w:pPr>
              <w:pStyle w:val="11"/>
              <w:rPr>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68" w:hRule="atLeast"/>
          <w:jc w:val="center"/>
        </w:trPr>
        <w:tc>
          <w:tcPr>
            <w:tcW w:w="800" w:type="dxa"/>
            <w:tcMar>
              <w:left w:w="28" w:type="dxa"/>
              <w:right w:w="28" w:type="dxa"/>
            </w:tcMar>
            <w:vAlign w:val="center"/>
          </w:tcPr>
          <w:p>
            <w:pPr>
              <w:pStyle w:val="11"/>
              <w:spacing w:line="360" w:lineRule="auto"/>
              <w:jc w:val="center"/>
              <w:rPr>
                <w:b/>
                <w:bCs/>
                <w:color w:val="auto"/>
                <w:sz w:val="24"/>
                <w:szCs w:val="24"/>
              </w:rPr>
            </w:pPr>
            <w:r>
              <w:rPr>
                <w:b/>
                <w:bCs/>
                <w:color w:val="auto"/>
                <w:sz w:val="24"/>
                <w:szCs w:val="24"/>
              </w:rPr>
              <w:t>污染</w:t>
            </w:r>
          </w:p>
          <w:p>
            <w:pPr>
              <w:pStyle w:val="11"/>
              <w:spacing w:line="360" w:lineRule="auto"/>
              <w:jc w:val="center"/>
              <w:rPr>
                <w:b/>
                <w:bCs/>
                <w:color w:val="auto"/>
                <w:sz w:val="24"/>
                <w:szCs w:val="24"/>
              </w:rPr>
            </w:pPr>
            <w:r>
              <w:rPr>
                <w:b/>
                <w:bCs/>
                <w:color w:val="auto"/>
                <w:sz w:val="24"/>
                <w:szCs w:val="24"/>
              </w:rPr>
              <w:t>物排</w:t>
            </w:r>
          </w:p>
          <w:p>
            <w:pPr>
              <w:pStyle w:val="11"/>
              <w:spacing w:line="360" w:lineRule="auto"/>
              <w:jc w:val="center"/>
              <w:rPr>
                <w:b/>
                <w:bCs/>
                <w:color w:val="auto"/>
                <w:sz w:val="24"/>
                <w:szCs w:val="24"/>
              </w:rPr>
            </w:pPr>
            <w:r>
              <w:rPr>
                <w:b/>
                <w:bCs/>
                <w:color w:val="auto"/>
                <w:sz w:val="24"/>
                <w:szCs w:val="24"/>
              </w:rPr>
              <w:t>放控</w:t>
            </w:r>
          </w:p>
          <w:p>
            <w:pPr>
              <w:pStyle w:val="11"/>
              <w:spacing w:line="360" w:lineRule="auto"/>
              <w:jc w:val="center"/>
              <w:rPr>
                <w:b/>
                <w:bCs/>
                <w:color w:val="auto"/>
                <w:sz w:val="24"/>
                <w:szCs w:val="24"/>
              </w:rPr>
            </w:pPr>
            <w:r>
              <w:rPr>
                <w:b/>
                <w:bCs/>
                <w:color w:val="auto"/>
                <w:sz w:val="24"/>
                <w:szCs w:val="24"/>
              </w:rPr>
              <w:t>制标</w:t>
            </w:r>
          </w:p>
          <w:p>
            <w:pPr>
              <w:pStyle w:val="11"/>
              <w:spacing w:line="360" w:lineRule="auto"/>
              <w:jc w:val="center"/>
              <w:rPr>
                <w:color w:val="auto"/>
              </w:rPr>
            </w:pPr>
            <w:r>
              <w:rPr>
                <w:b/>
                <w:bCs/>
                <w:color w:val="auto"/>
                <w:sz w:val="24"/>
                <w:szCs w:val="24"/>
              </w:rPr>
              <w:t>准</w:t>
            </w:r>
          </w:p>
        </w:tc>
        <w:tc>
          <w:tcPr>
            <w:tcW w:w="9001" w:type="dxa"/>
            <w:vAlign w:val="center"/>
          </w:tcPr>
          <w:p>
            <w:pPr>
              <w:adjustRightInd w:val="0"/>
              <w:snapToGrid w:val="0"/>
              <w:ind w:firstLine="482"/>
              <w:rPr>
                <w:b/>
                <w:bCs/>
                <w:color w:val="auto"/>
                <w:kern w:val="0"/>
                <w:szCs w:val="21"/>
              </w:rPr>
            </w:pPr>
            <w:r>
              <w:rPr>
                <w:b/>
                <w:bCs/>
                <w:color w:val="auto"/>
                <w:kern w:val="0"/>
                <w:szCs w:val="21"/>
              </w:rPr>
              <w:t>1、废气排放标准</w:t>
            </w:r>
          </w:p>
          <w:p>
            <w:pPr>
              <w:adjustRightInd w:val="0"/>
              <w:snapToGrid w:val="0"/>
              <w:ind w:firstLine="480"/>
              <w:rPr>
                <w:color w:val="auto"/>
                <w:kern w:val="0"/>
                <w:szCs w:val="21"/>
              </w:rPr>
            </w:pPr>
            <w:r>
              <w:rPr>
                <w:color w:val="auto"/>
                <w:kern w:val="0"/>
                <w:szCs w:val="21"/>
              </w:rPr>
              <w:t>施工期</w:t>
            </w:r>
          </w:p>
          <w:p>
            <w:pPr>
              <w:adjustRightInd w:val="0"/>
              <w:snapToGrid w:val="0"/>
              <w:ind w:firstLine="480"/>
              <w:rPr>
                <w:color w:val="auto"/>
                <w:kern w:val="0"/>
                <w:szCs w:val="21"/>
              </w:rPr>
            </w:pPr>
            <w:r>
              <w:rPr>
                <w:color w:val="auto"/>
                <w:kern w:val="0"/>
                <w:szCs w:val="21"/>
              </w:rPr>
              <w:t>扬尘执行《四川省施工场地扬尘排放标准》（DB51/2682-2020）相关标准，排放限值详见下表。</w:t>
            </w:r>
          </w:p>
          <w:p>
            <w:pPr>
              <w:pStyle w:val="11"/>
              <w:jc w:val="center"/>
              <w:rPr>
                <w:b/>
                <w:bCs/>
                <w:color w:val="auto"/>
              </w:rPr>
            </w:pPr>
            <w:r>
              <w:rPr>
                <w:b/>
                <w:bCs/>
                <w:color w:val="auto"/>
              </w:rPr>
              <w:t>表3-</w:t>
            </w:r>
            <w:r>
              <w:rPr>
                <w:rFonts w:hint="eastAsia"/>
                <w:b/>
                <w:bCs/>
                <w:color w:val="auto"/>
                <w:lang w:val="en-US" w:eastAsia="zh-CN"/>
              </w:rPr>
              <w:t>6</w:t>
            </w:r>
            <w:r>
              <w:rPr>
                <w:b/>
                <w:bCs/>
                <w:color w:val="auto"/>
              </w:rPr>
              <w:t xml:space="preserve">   《四川省施工场地扬尘排放标准》</w:t>
            </w:r>
          </w:p>
          <w:tbl>
            <w:tblPr>
              <w:tblStyle w:val="5"/>
              <w:tblW w:w="8598" w:type="dxa"/>
              <w:jc w:val="center"/>
              <w:tblBorders>
                <w:top w:val="single" w:color="auto" w:sz="4" w:space="0"/>
                <w:left w:val="none" w:color="auto" w:sz="0" w:space="0"/>
                <w:bottom w:val="single" w:color="auto" w:sz="8" w:space="0"/>
                <w:right w:val="none" w:color="auto" w:sz="0" w:space="0"/>
                <w:insideH w:val="single" w:color="auto" w:sz="8" w:space="0"/>
                <w:insideV w:val="single" w:color="auto" w:sz="8" w:space="0"/>
              </w:tblBorders>
              <w:tblLayout w:type="fixed"/>
              <w:tblCellMar>
                <w:top w:w="0" w:type="dxa"/>
                <w:left w:w="99" w:type="dxa"/>
                <w:bottom w:w="0" w:type="dxa"/>
                <w:right w:w="99" w:type="dxa"/>
              </w:tblCellMar>
            </w:tblPr>
            <w:tblGrid>
              <w:gridCol w:w="1550"/>
              <w:gridCol w:w="1177"/>
              <w:gridCol w:w="2139"/>
              <w:gridCol w:w="2151"/>
              <w:gridCol w:w="1581"/>
            </w:tblGrid>
            <w:tr>
              <w:tblPrEx>
                <w:tblBorders>
                  <w:top w:val="single" w:color="auto" w:sz="4" w:space="0"/>
                  <w:left w:val="none" w:color="auto" w:sz="0" w:space="0"/>
                  <w:bottom w:val="single" w:color="auto" w:sz="8" w:space="0"/>
                  <w:right w:val="none" w:color="auto" w:sz="0" w:space="0"/>
                  <w:insideH w:val="single" w:color="auto" w:sz="8" w:space="0"/>
                  <w:insideV w:val="single" w:color="auto" w:sz="8" w:space="0"/>
                </w:tblBorders>
                <w:tblCellMar>
                  <w:top w:w="0" w:type="dxa"/>
                  <w:left w:w="99" w:type="dxa"/>
                  <w:bottom w:w="0" w:type="dxa"/>
                  <w:right w:w="99" w:type="dxa"/>
                </w:tblCellMar>
              </w:tblPrEx>
              <w:trPr>
                <w:cantSplit/>
                <w:trHeight w:val="340" w:hRule="atLeast"/>
                <w:jc w:val="center"/>
              </w:trPr>
              <w:tc>
                <w:tcPr>
                  <w:tcW w:w="1550" w:type="dxa"/>
                  <w:vMerge w:val="restart"/>
                  <w:vAlign w:val="center"/>
                </w:tcPr>
                <w:p>
                  <w:pPr>
                    <w:pStyle w:val="11"/>
                    <w:jc w:val="center"/>
                    <w:rPr>
                      <w:b/>
                      <w:bCs/>
                      <w:color w:val="auto"/>
                    </w:rPr>
                  </w:pPr>
                  <w:r>
                    <w:rPr>
                      <w:b/>
                      <w:bCs/>
                      <w:color w:val="auto"/>
                    </w:rPr>
                    <w:t>污染物</w:t>
                  </w:r>
                </w:p>
              </w:tc>
              <w:tc>
                <w:tcPr>
                  <w:tcW w:w="1177" w:type="dxa"/>
                  <w:vMerge w:val="restart"/>
                  <w:vAlign w:val="center"/>
                </w:tcPr>
                <w:p>
                  <w:pPr>
                    <w:pStyle w:val="11"/>
                    <w:jc w:val="center"/>
                    <w:rPr>
                      <w:b/>
                      <w:bCs/>
                      <w:color w:val="auto"/>
                    </w:rPr>
                  </w:pPr>
                  <w:r>
                    <w:rPr>
                      <w:b/>
                      <w:bCs/>
                      <w:color w:val="auto"/>
                    </w:rPr>
                    <w:t>区域</w:t>
                  </w:r>
                </w:p>
              </w:tc>
              <w:tc>
                <w:tcPr>
                  <w:tcW w:w="4290" w:type="dxa"/>
                  <w:gridSpan w:val="2"/>
                  <w:vAlign w:val="center"/>
                </w:tcPr>
                <w:p>
                  <w:pPr>
                    <w:pStyle w:val="11"/>
                    <w:jc w:val="center"/>
                    <w:rPr>
                      <w:b/>
                      <w:bCs/>
                      <w:color w:val="auto"/>
                    </w:rPr>
                  </w:pPr>
                  <w:r>
                    <w:rPr>
                      <w:b/>
                      <w:bCs/>
                      <w:color w:val="auto"/>
                    </w:rPr>
                    <w:t>监控浓度限值</w:t>
                  </w:r>
                </w:p>
              </w:tc>
              <w:tc>
                <w:tcPr>
                  <w:tcW w:w="1581" w:type="dxa"/>
                  <w:vMerge w:val="restart"/>
                  <w:vAlign w:val="center"/>
                </w:tcPr>
                <w:p>
                  <w:pPr>
                    <w:pStyle w:val="11"/>
                    <w:jc w:val="center"/>
                    <w:rPr>
                      <w:color w:val="auto"/>
                    </w:rPr>
                  </w:pPr>
                  <w:r>
                    <w:rPr>
                      <w:b/>
                      <w:bCs/>
                      <w:color w:val="auto"/>
                    </w:rPr>
                    <w:t>监测时间</w:t>
                  </w:r>
                </w:p>
              </w:tc>
            </w:tr>
            <w:tr>
              <w:tblPrEx>
                <w:tblBorders>
                  <w:top w:val="single" w:color="auto" w:sz="4" w:space="0"/>
                  <w:left w:val="none" w:color="auto" w:sz="0" w:space="0"/>
                  <w:bottom w:val="single" w:color="auto" w:sz="8" w:space="0"/>
                  <w:right w:val="none" w:color="auto" w:sz="0" w:space="0"/>
                  <w:insideH w:val="single" w:color="auto" w:sz="8" w:space="0"/>
                  <w:insideV w:val="single" w:color="auto" w:sz="8" w:space="0"/>
                </w:tblBorders>
                <w:tblCellMar>
                  <w:top w:w="0" w:type="dxa"/>
                  <w:left w:w="99" w:type="dxa"/>
                  <w:bottom w:w="0" w:type="dxa"/>
                  <w:right w:w="99" w:type="dxa"/>
                </w:tblCellMar>
              </w:tblPrEx>
              <w:trPr>
                <w:cantSplit/>
                <w:trHeight w:val="340" w:hRule="atLeast"/>
                <w:jc w:val="center"/>
              </w:trPr>
              <w:tc>
                <w:tcPr>
                  <w:tcW w:w="1550" w:type="dxa"/>
                  <w:vMerge w:val="continue"/>
                  <w:vAlign w:val="center"/>
                </w:tcPr>
                <w:p>
                  <w:pPr>
                    <w:pStyle w:val="11"/>
                    <w:jc w:val="center"/>
                    <w:rPr>
                      <w:b/>
                      <w:bCs/>
                      <w:color w:val="auto"/>
                    </w:rPr>
                  </w:pPr>
                </w:p>
              </w:tc>
              <w:tc>
                <w:tcPr>
                  <w:tcW w:w="1177" w:type="dxa"/>
                  <w:vMerge w:val="continue"/>
                  <w:vAlign w:val="center"/>
                </w:tcPr>
                <w:p>
                  <w:pPr>
                    <w:pStyle w:val="11"/>
                    <w:jc w:val="center"/>
                    <w:rPr>
                      <w:b/>
                      <w:bCs/>
                      <w:color w:val="auto"/>
                    </w:rPr>
                  </w:pPr>
                </w:p>
              </w:tc>
              <w:tc>
                <w:tcPr>
                  <w:tcW w:w="2139" w:type="dxa"/>
                  <w:vAlign w:val="center"/>
                </w:tcPr>
                <w:p>
                  <w:pPr>
                    <w:pStyle w:val="11"/>
                    <w:jc w:val="center"/>
                    <w:rPr>
                      <w:b/>
                      <w:bCs/>
                      <w:color w:val="auto"/>
                    </w:rPr>
                  </w:pPr>
                  <w:r>
                    <w:rPr>
                      <w:b/>
                      <w:bCs/>
                      <w:color w:val="auto"/>
                    </w:rPr>
                    <w:t>施工阶段</w:t>
                  </w:r>
                </w:p>
              </w:tc>
              <w:tc>
                <w:tcPr>
                  <w:tcW w:w="2151" w:type="dxa"/>
                  <w:vAlign w:val="center"/>
                </w:tcPr>
                <w:p>
                  <w:pPr>
                    <w:pStyle w:val="11"/>
                    <w:jc w:val="center"/>
                    <w:rPr>
                      <w:b/>
                      <w:bCs/>
                      <w:color w:val="auto"/>
                    </w:rPr>
                  </w:pPr>
                  <w:r>
                    <w:rPr>
                      <w:b/>
                      <w:bCs/>
                      <w:color w:val="auto"/>
                    </w:rPr>
                    <w:t>浓度（μg/m</w:t>
                  </w:r>
                  <w:r>
                    <w:rPr>
                      <w:b/>
                      <w:bCs/>
                      <w:color w:val="auto"/>
                      <w:vertAlign w:val="superscript"/>
                    </w:rPr>
                    <w:t>3</w:t>
                  </w:r>
                  <w:r>
                    <w:rPr>
                      <w:b/>
                      <w:bCs/>
                      <w:color w:val="auto"/>
                    </w:rPr>
                    <w:t>）</w:t>
                  </w:r>
                </w:p>
              </w:tc>
              <w:tc>
                <w:tcPr>
                  <w:tcW w:w="1581" w:type="dxa"/>
                  <w:vMerge w:val="continue"/>
                  <w:vAlign w:val="center"/>
                </w:tcPr>
                <w:p>
                  <w:pPr>
                    <w:pStyle w:val="11"/>
                    <w:jc w:val="center"/>
                    <w:rPr>
                      <w:color w:val="auto"/>
                    </w:rPr>
                  </w:pPr>
                </w:p>
              </w:tc>
            </w:tr>
            <w:tr>
              <w:tblPrEx>
                <w:tblBorders>
                  <w:top w:val="single" w:color="auto" w:sz="4" w:space="0"/>
                  <w:left w:val="none" w:color="auto" w:sz="0" w:space="0"/>
                  <w:bottom w:val="single" w:color="auto" w:sz="8" w:space="0"/>
                  <w:right w:val="none" w:color="auto" w:sz="0" w:space="0"/>
                  <w:insideH w:val="single" w:color="auto" w:sz="8" w:space="0"/>
                  <w:insideV w:val="single" w:color="auto" w:sz="8" w:space="0"/>
                </w:tblBorders>
                <w:tblCellMar>
                  <w:top w:w="0" w:type="dxa"/>
                  <w:left w:w="99" w:type="dxa"/>
                  <w:bottom w:w="0" w:type="dxa"/>
                  <w:right w:w="99" w:type="dxa"/>
                </w:tblCellMar>
              </w:tblPrEx>
              <w:trPr>
                <w:cantSplit/>
                <w:trHeight w:val="340" w:hRule="atLeast"/>
                <w:jc w:val="center"/>
              </w:trPr>
              <w:tc>
                <w:tcPr>
                  <w:tcW w:w="1550" w:type="dxa"/>
                  <w:vMerge w:val="restart"/>
                  <w:vAlign w:val="center"/>
                </w:tcPr>
                <w:p>
                  <w:pPr>
                    <w:pStyle w:val="11"/>
                    <w:jc w:val="center"/>
                    <w:rPr>
                      <w:color w:val="auto"/>
                    </w:rPr>
                  </w:pPr>
                  <w:r>
                    <w:rPr>
                      <w:color w:val="auto"/>
                    </w:rPr>
                    <w:t>总悬浮颗粒物</w:t>
                  </w:r>
                </w:p>
                <w:p>
                  <w:pPr>
                    <w:pStyle w:val="11"/>
                    <w:jc w:val="center"/>
                    <w:rPr>
                      <w:color w:val="auto"/>
                    </w:rPr>
                  </w:pPr>
                  <w:r>
                    <w:rPr>
                      <w:color w:val="auto"/>
                    </w:rPr>
                    <w:t>（TSP）</w:t>
                  </w:r>
                </w:p>
              </w:tc>
              <w:tc>
                <w:tcPr>
                  <w:tcW w:w="1177" w:type="dxa"/>
                  <w:vMerge w:val="restart"/>
                  <w:vAlign w:val="center"/>
                </w:tcPr>
                <w:p>
                  <w:pPr>
                    <w:pStyle w:val="11"/>
                    <w:jc w:val="center"/>
                    <w:rPr>
                      <w:rFonts w:hint="eastAsia" w:eastAsia="宋体"/>
                      <w:color w:val="auto"/>
                      <w:lang w:eastAsia="zh-CN"/>
                    </w:rPr>
                  </w:pPr>
                  <w:r>
                    <w:rPr>
                      <w:rFonts w:hint="eastAsia"/>
                      <w:color w:val="auto"/>
                      <w:lang w:eastAsia="zh-CN"/>
                    </w:rPr>
                    <w:t>达州市</w:t>
                  </w:r>
                </w:p>
              </w:tc>
              <w:tc>
                <w:tcPr>
                  <w:tcW w:w="2139" w:type="dxa"/>
                  <w:vAlign w:val="center"/>
                </w:tcPr>
                <w:p>
                  <w:pPr>
                    <w:pStyle w:val="11"/>
                    <w:jc w:val="center"/>
                    <w:rPr>
                      <w:color w:val="auto"/>
                    </w:rPr>
                  </w:pPr>
                  <w:r>
                    <w:rPr>
                      <w:color w:val="auto"/>
                    </w:rPr>
                    <w:t>拆除工程/土方开挖/土方回填阶段</w:t>
                  </w:r>
                </w:p>
              </w:tc>
              <w:tc>
                <w:tcPr>
                  <w:tcW w:w="2151" w:type="dxa"/>
                  <w:vAlign w:val="center"/>
                </w:tcPr>
                <w:p>
                  <w:pPr>
                    <w:pStyle w:val="11"/>
                    <w:jc w:val="center"/>
                    <w:rPr>
                      <w:color w:val="auto"/>
                    </w:rPr>
                  </w:pPr>
                  <w:r>
                    <w:rPr>
                      <w:color w:val="auto"/>
                    </w:rPr>
                    <w:t>600</w:t>
                  </w:r>
                </w:p>
              </w:tc>
              <w:tc>
                <w:tcPr>
                  <w:tcW w:w="1581" w:type="dxa"/>
                  <w:vMerge w:val="restart"/>
                  <w:vAlign w:val="center"/>
                </w:tcPr>
                <w:p>
                  <w:pPr>
                    <w:pStyle w:val="11"/>
                    <w:jc w:val="center"/>
                    <w:rPr>
                      <w:color w:val="auto"/>
                    </w:rPr>
                  </w:pPr>
                  <w:r>
                    <w:rPr>
                      <w:color w:val="auto"/>
                    </w:rPr>
                    <w:t>自监测起持续15min</w:t>
                  </w:r>
                </w:p>
              </w:tc>
            </w:tr>
            <w:tr>
              <w:tblPrEx>
                <w:tblBorders>
                  <w:top w:val="single" w:color="auto" w:sz="4" w:space="0"/>
                  <w:left w:val="none" w:color="auto" w:sz="0" w:space="0"/>
                  <w:bottom w:val="single" w:color="auto" w:sz="8" w:space="0"/>
                  <w:right w:val="none" w:color="auto" w:sz="0" w:space="0"/>
                  <w:insideH w:val="single" w:color="auto" w:sz="8" w:space="0"/>
                  <w:insideV w:val="single" w:color="auto" w:sz="8" w:space="0"/>
                </w:tblBorders>
                <w:tblCellMar>
                  <w:top w:w="0" w:type="dxa"/>
                  <w:left w:w="99" w:type="dxa"/>
                  <w:bottom w:w="0" w:type="dxa"/>
                  <w:right w:w="99" w:type="dxa"/>
                </w:tblCellMar>
              </w:tblPrEx>
              <w:trPr>
                <w:cantSplit/>
                <w:trHeight w:val="340" w:hRule="atLeast"/>
                <w:jc w:val="center"/>
              </w:trPr>
              <w:tc>
                <w:tcPr>
                  <w:tcW w:w="1550" w:type="dxa"/>
                  <w:vMerge w:val="continue"/>
                  <w:vAlign w:val="center"/>
                </w:tcPr>
                <w:p>
                  <w:pPr>
                    <w:adjustRightInd w:val="0"/>
                    <w:snapToGrid w:val="0"/>
                    <w:ind w:firstLine="480"/>
                    <w:rPr>
                      <w:color w:val="auto"/>
                      <w:kern w:val="0"/>
                      <w:szCs w:val="21"/>
                    </w:rPr>
                  </w:pPr>
                </w:p>
              </w:tc>
              <w:tc>
                <w:tcPr>
                  <w:tcW w:w="1177" w:type="dxa"/>
                  <w:vMerge w:val="continue"/>
                  <w:vAlign w:val="center"/>
                </w:tcPr>
                <w:p>
                  <w:pPr>
                    <w:adjustRightInd w:val="0"/>
                    <w:snapToGrid w:val="0"/>
                    <w:ind w:firstLine="480"/>
                    <w:rPr>
                      <w:color w:val="auto"/>
                      <w:kern w:val="0"/>
                      <w:szCs w:val="21"/>
                    </w:rPr>
                  </w:pPr>
                </w:p>
              </w:tc>
              <w:tc>
                <w:tcPr>
                  <w:tcW w:w="2139" w:type="dxa"/>
                  <w:vAlign w:val="center"/>
                </w:tcPr>
                <w:p>
                  <w:pPr>
                    <w:pStyle w:val="11"/>
                    <w:jc w:val="center"/>
                    <w:rPr>
                      <w:color w:val="auto"/>
                    </w:rPr>
                  </w:pPr>
                  <w:r>
                    <w:rPr>
                      <w:color w:val="auto"/>
                    </w:rPr>
                    <w:t>其他工程阶段</w:t>
                  </w:r>
                </w:p>
              </w:tc>
              <w:tc>
                <w:tcPr>
                  <w:tcW w:w="2151" w:type="dxa"/>
                  <w:vAlign w:val="center"/>
                </w:tcPr>
                <w:p>
                  <w:pPr>
                    <w:pStyle w:val="11"/>
                    <w:jc w:val="center"/>
                    <w:rPr>
                      <w:color w:val="auto"/>
                    </w:rPr>
                  </w:pPr>
                  <w:r>
                    <w:rPr>
                      <w:color w:val="auto"/>
                    </w:rPr>
                    <w:t>250</w:t>
                  </w:r>
                </w:p>
              </w:tc>
              <w:tc>
                <w:tcPr>
                  <w:tcW w:w="1581" w:type="dxa"/>
                  <w:vMerge w:val="continue"/>
                  <w:vAlign w:val="center"/>
                </w:tcPr>
                <w:p>
                  <w:pPr>
                    <w:adjustRightInd w:val="0"/>
                    <w:snapToGrid w:val="0"/>
                    <w:ind w:firstLine="480"/>
                    <w:rPr>
                      <w:color w:val="auto"/>
                      <w:kern w:val="0"/>
                      <w:szCs w:val="21"/>
                    </w:rPr>
                  </w:pPr>
                </w:p>
              </w:tc>
            </w:tr>
          </w:tbl>
          <w:p>
            <w:pPr>
              <w:adjustRightInd w:val="0"/>
              <w:snapToGrid w:val="0"/>
              <w:ind w:firstLine="480"/>
              <w:rPr>
                <w:color w:val="auto"/>
                <w:kern w:val="0"/>
                <w:szCs w:val="21"/>
              </w:rPr>
            </w:pPr>
            <w:r>
              <w:rPr>
                <w:color w:val="auto"/>
                <w:kern w:val="0"/>
                <w:szCs w:val="21"/>
              </w:rPr>
              <w:t>营运期</w:t>
            </w:r>
          </w:p>
          <w:p>
            <w:pPr>
              <w:ind w:firstLine="480"/>
              <w:rPr>
                <w:color w:val="auto"/>
              </w:rPr>
            </w:pPr>
            <w:r>
              <w:rPr>
                <w:color w:val="auto"/>
              </w:rPr>
              <w:t>颗粒物参考《大气污染物综合排放标准》（GB16297-1996）表2二级标准。</w:t>
            </w:r>
          </w:p>
          <w:p>
            <w:pPr>
              <w:pStyle w:val="11"/>
              <w:jc w:val="center"/>
              <w:rPr>
                <w:b/>
                <w:bCs/>
                <w:color w:val="auto"/>
              </w:rPr>
            </w:pPr>
            <w:r>
              <w:rPr>
                <w:b/>
                <w:bCs/>
                <w:color w:val="auto"/>
              </w:rPr>
              <w:t>表3-</w:t>
            </w:r>
            <w:r>
              <w:rPr>
                <w:rFonts w:hint="eastAsia"/>
                <w:b/>
                <w:bCs/>
                <w:color w:val="auto"/>
                <w:lang w:val="en-US" w:eastAsia="zh-CN"/>
              </w:rPr>
              <w:t>7</w:t>
            </w:r>
            <w:r>
              <w:rPr>
                <w:b/>
                <w:bCs/>
                <w:color w:val="auto"/>
              </w:rPr>
              <w:t xml:space="preserve"> 大气污染物排放标准</w:t>
            </w:r>
          </w:p>
          <w:tbl>
            <w:tblPr>
              <w:tblStyle w:val="5"/>
              <w:tblW w:w="8636"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583"/>
              <w:gridCol w:w="1336"/>
              <w:gridCol w:w="1980"/>
              <w:gridCol w:w="1824"/>
              <w:gridCol w:w="1913"/>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1583" w:type="dxa"/>
                  <w:vMerge w:val="restart"/>
                  <w:vAlign w:val="center"/>
                </w:tcPr>
                <w:p>
                  <w:pPr>
                    <w:pStyle w:val="11"/>
                    <w:jc w:val="center"/>
                    <w:rPr>
                      <w:b/>
                      <w:bCs/>
                      <w:color w:val="auto"/>
                    </w:rPr>
                  </w:pPr>
                  <w:r>
                    <w:rPr>
                      <w:b/>
                      <w:bCs/>
                      <w:color w:val="auto"/>
                    </w:rPr>
                    <w:t>污染物</w:t>
                  </w:r>
                </w:p>
              </w:tc>
              <w:tc>
                <w:tcPr>
                  <w:tcW w:w="1336" w:type="dxa"/>
                  <w:vMerge w:val="restart"/>
                  <w:vAlign w:val="center"/>
                </w:tcPr>
                <w:p>
                  <w:pPr>
                    <w:pStyle w:val="11"/>
                    <w:jc w:val="center"/>
                    <w:rPr>
                      <w:b/>
                      <w:bCs/>
                      <w:color w:val="auto"/>
                    </w:rPr>
                  </w:pPr>
                  <w:r>
                    <w:rPr>
                      <w:b/>
                      <w:bCs/>
                      <w:color w:val="auto"/>
                    </w:rPr>
                    <w:t>排气筒</w:t>
                  </w:r>
                </w:p>
                <w:p>
                  <w:pPr>
                    <w:pStyle w:val="11"/>
                    <w:jc w:val="center"/>
                    <w:rPr>
                      <w:b/>
                      <w:bCs/>
                      <w:color w:val="auto"/>
                    </w:rPr>
                  </w:pPr>
                  <w:r>
                    <w:rPr>
                      <w:b/>
                      <w:bCs/>
                      <w:color w:val="auto"/>
                    </w:rPr>
                    <w:t>高度（m）</w:t>
                  </w:r>
                </w:p>
              </w:tc>
              <w:tc>
                <w:tcPr>
                  <w:tcW w:w="5717" w:type="dxa"/>
                  <w:gridSpan w:val="3"/>
                  <w:vAlign w:val="center"/>
                </w:tcPr>
                <w:p>
                  <w:pPr>
                    <w:pStyle w:val="11"/>
                    <w:jc w:val="center"/>
                    <w:rPr>
                      <w:b/>
                      <w:bCs/>
                      <w:color w:val="auto"/>
                    </w:rPr>
                  </w:pPr>
                  <w:r>
                    <w:rPr>
                      <w:b/>
                      <w:bCs/>
                      <w:color w:val="auto"/>
                    </w:rPr>
                    <w:t>标准值</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1583" w:type="dxa"/>
                  <w:vMerge w:val="continue"/>
                  <w:vAlign w:val="center"/>
                </w:tcPr>
                <w:p>
                  <w:pPr>
                    <w:pStyle w:val="11"/>
                    <w:jc w:val="center"/>
                    <w:rPr>
                      <w:b/>
                      <w:bCs/>
                      <w:color w:val="auto"/>
                    </w:rPr>
                  </w:pPr>
                </w:p>
              </w:tc>
              <w:tc>
                <w:tcPr>
                  <w:tcW w:w="1336" w:type="dxa"/>
                  <w:vMerge w:val="continue"/>
                  <w:vAlign w:val="center"/>
                </w:tcPr>
                <w:p>
                  <w:pPr>
                    <w:pStyle w:val="11"/>
                    <w:jc w:val="center"/>
                    <w:rPr>
                      <w:b/>
                      <w:bCs/>
                      <w:color w:val="auto"/>
                    </w:rPr>
                  </w:pPr>
                </w:p>
              </w:tc>
              <w:tc>
                <w:tcPr>
                  <w:tcW w:w="1980" w:type="dxa"/>
                  <w:vAlign w:val="center"/>
                </w:tcPr>
                <w:p>
                  <w:pPr>
                    <w:pStyle w:val="11"/>
                    <w:jc w:val="center"/>
                    <w:rPr>
                      <w:b/>
                      <w:bCs/>
                      <w:color w:val="auto"/>
                    </w:rPr>
                  </w:pPr>
                  <w:r>
                    <w:rPr>
                      <w:b/>
                      <w:bCs/>
                      <w:color w:val="auto"/>
                    </w:rPr>
                    <w:t>最高允许排放</w:t>
                  </w:r>
                </w:p>
                <w:p>
                  <w:pPr>
                    <w:pStyle w:val="11"/>
                    <w:jc w:val="center"/>
                    <w:rPr>
                      <w:b/>
                      <w:bCs/>
                      <w:color w:val="auto"/>
                    </w:rPr>
                  </w:pPr>
                  <w:r>
                    <w:rPr>
                      <w:b/>
                      <w:bCs/>
                      <w:color w:val="auto"/>
                    </w:rPr>
                    <w:t>浓度（mg/m</w:t>
                  </w:r>
                  <w:r>
                    <w:rPr>
                      <w:b/>
                      <w:bCs/>
                      <w:color w:val="auto"/>
                      <w:vertAlign w:val="superscript"/>
                    </w:rPr>
                    <w:t>3</w:t>
                  </w:r>
                  <w:r>
                    <w:rPr>
                      <w:b/>
                      <w:bCs/>
                      <w:color w:val="auto"/>
                    </w:rPr>
                    <w:t>）</w:t>
                  </w:r>
                </w:p>
              </w:tc>
              <w:tc>
                <w:tcPr>
                  <w:tcW w:w="1824" w:type="dxa"/>
                  <w:vAlign w:val="center"/>
                </w:tcPr>
                <w:p>
                  <w:pPr>
                    <w:pStyle w:val="11"/>
                    <w:jc w:val="center"/>
                    <w:rPr>
                      <w:b/>
                      <w:bCs/>
                      <w:color w:val="auto"/>
                    </w:rPr>
                  </w:pPr>
                  <w:r>
                    <w:rPr>
                      <w:b/>
                      <w:bCs/>
                      <w:color w:val="auto"/>
                    </w:rPr>
                    <w:t>最高允许排放</w:t>
                  </w:r>
                </w:p>
                <w:p>
                  <w:pPr>
                    <w:pStyle w:val="11"/>
                    <w:jc w:val="center"/>
                    <w:rPr>
                      <w:b/>
                      <w:bCs/>
                      <w:color w:val="auto"/>
                    </w:rPr>
                  </w:pPr>
                  <w:r>
                    <w:rPr>
                      <w:b/>
                      <w:bCs/>
                      <w:color w:val="auto"/>
                    </w:rPr>
                    <w:t>速率（kg/h）</w:t>
                  </w:r>
                </w:p>
              </w:tc>
              <w:tc>
                <w:tcPr>
                  <w:tcW w:w="1913" w:type="dxa"/>
                  <w:vAlign w:val="center"/>
                </w:tcPr>
                <w:p>
                  <w:pPr>
                    <w:pStyle w:val="11"/>
                    <w:jc w:val="center"/>
                    <w:rPr>
                      <w:b/>
                      <w:bCs/>
                      <w:color w:val="auto"/>
                    </w:rPr>
                  </w:pPr>
                  <w:r>
                    <w:rPr>
                      <w:b/>
                      <w:bCs/>
                      <w:color w:val="auto"/>
                    </w:rPr>
                    <w:t>无组织排放监控浓度限值（mg/m</w:t>
                  </w:r>
                  <w:r>
                    <w:rPr>
                      <w:b/>
                      <w:bCs/>
                      <w:color w:val="auto"/>
                      <w:vertAlign w:val="superscript"/>
                    </w:rPr>
                    <w:t>3</w:t>
                  </w:r>
                  <w:r>
                    <w:rPr>
                      <w:b/>
                      <w:bCs/>
                      <w:color w:val="auto"/>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34" w:hRule="atLeast"/>
                <w:jc w:val="center"/>
              </w:trPr>
              <w:tc>
                <w:tcPr>
                  <w:tcW w:w="1583" w:type="dxa"/>
                  <w:tcBorders>
                    <w:bottom w:val="single" w:color="auto" w:sz="4" w:space="0"/>
                  </w:tcBorders>
                  <w:vAlign w:val="center"/>
                </w:tcPr>
                <w:p>
                  <w:pPr>
                    <w:pStyle w:val="11"/>
                    <w:jc w:val="center"/>
                    <w:rPr>
                      <w:color w:val="auto"/>
                    </w:rPr>
                  </w:pPr>
                  <w:r>
                    <w:rPr>
                      <w:color w:val="auto"/>
                    </w:rPr>
                    <w:t>颗粒物</w:t>
                  </w:r>
                </w:p>
              </w:tc>
              <w:tc>
                <w:tcPr>
                  <w:tcW w:w="1336" w:type="dxa"/>
                  <w:tcBorders>
                    <w:bottom w:val="single" w:color="auto" w:sz="4" w:space="0"/>
                  </w:tcBorders>
                  <w:vAlign w:val="center"/>
                </w:tcPr>
                <w:p>
                  <w:pPr>
                    <w:pStyle w:val="11"/>
                    <w:jc w:val="center"/>
                    <w:rPr>
                      <w:color w:val="auto"/>
                    </w:rPr>
                  </w:pPr>
                  <w:r>
                    <w:rPr>
                      <w:color w:val="auto"/>
                    </w:rPr>
                    <w:t>15</w:t>
                  </w:r>
                </w:p>
              </w:tc>
              <w:tc>
                <w:tcPr>
                  <w:tcW w:w="1980" w:type="dxa"/>
                  <w:tcBorders>
                    <w:bottom w:val="single" w:color="auto" w:sz="4" w:space="0"/>
                  </w:tcBorders>
                  <w:vAlign w:val="center"/>
                </w:tcPr>
                <w:p>
                  <w:pPr>
                    <w:pStyle w:val="11"/>
                    <w:jc w:val="center"/>
                    <w:rPr>
                      <w:color w:val="auto"/>
                    </w:rPr>
                  </w:pPr>
                  <w:r>
                    <w:rPr>
                      <w:color w:val="auto"/>
                    </w:rPr>
                    <w:t>120</w:t>
                  </w:r>
                </w:p>
              </w:tc>
              <w:tc>
                <w:tcPr>
                  <w:tcW w:w="1824" w:type="dxa"/>
                  <w:tcBorders>
                    <w:bottom w:val="single" w:color="auto" w:sz="4" w:space="0"/>
                  </w:tcBorders>
                  <w:vAlign w:val="center"/>
                </w:tcPr>
                <w:p>
                  <w:pPr>
                    <w:pStyle w:val="11"/>
                    <w:jc w:val="center"/>
                    <w:rPr>
                      <w:color w:val="auto"/>
                    </w:rPr>
                  </w:pPr>
                  <w:r>
                    <w:rPr>
                      <w:color w:val="auto"/>
                    </w:rPr>
                    <w:t>3.5</w:t>
                  </w:r>
                </w:p>
              </w:tc>
              <w:tc>
                <w:tcPr>
                  <w:tcW w:w="1913" w:type="dxa"/>
                  <w:tcBorders>
                    <w:bottom w:val="single" w:color="auto" w:sz="4" w:space="0"/>
                  </w:tcBorders>
                  <w:vAlign w:val="center"/>
                </w:tcPr>
                <w:p>
                  <w:pPr>
                    <w:pStyle w:val="11"/>
                    <w:jc w:val="center"/>
                    <w:rPr>
                      <w:color w:val="auto"/>
                    </w:rPr>
                  </w:pPr>
                  <w:r>
                    <w:rPr>
                      <w:color w:val="auto"/>
                    </w:rPr>
                    <w:t>1.0</w:t>
                  </w:r>
                </w:p>
              </w:tc>
            </w:tr>
          </w:tbl>
          <w:p>
            <w:pPr>
              <w:ind w:firstLine="480"/>
              <w:rPr>
                <w:color w:val="auto"/>
              </w:rPr>
            </w:pPr>
            <w:r>
              <w:rPr>
                <w:color w:val="auto"/>
              </w:rPr>
              <w:t>VOCs执行</w:t>
            </w:r>
            <w:r>
              <w:rPr>
                <w:rFonts w:hint="eastAsia"/>
                <w:color w:val="auto"/>
                <w:lang w:val="en-US" w:eastAsia="zh-CN"/>
              </w:rPr>
              <w:t>《挥发性有机物无组织排放控制标准》（GB37822-2019）表A.1、《合成树脂工业污染物排放标准》（GB31572-2015）和</w:t>
            </w:r>
            <w:r>
              <w:rPr>
                <w:color w:val="auto"/>
              </w:rPr>
              <w:t>四川省地方标准《四川省固定污染源大气挥发性有机物排放标准》（DB51/2377-2017）表3及表5相关</w:t>
            </w:r>
            <w:r>
              <w:rPr>
                <w:rFonts w:hint="eastAsia"/>
                <w:color w:val="auto"/>
                <w:lang w:val="en-US" w:eastAsia="zh-CN"/>
              </w:rPr>
              <w:t>内容</w:t>
            </w:r>
            <w:r>
              <w:rPr>
                <w:color w:val="auto"/>
              </w:rPr>
              <w:t>。</w:t>
            </w:r>
          </w:p>
          <w:p>
            <w:pPr>
              <w:pStyle w:val="11"/>
              <w:jc w:val="center"/>
              <w:rPr>
                <w:b/>
                <w:bCs/>
                <w:color w:val="auto"/>
              </w:rPr>
            </w:pPr>
            <w:r>
              <w:rPr>
                <w:b/>
                <w:bCs/>
                <w:color w:val="auto"/>
              </w:rPr>
              <w:t>表3-</w:t>
            </w:r>
            <w:r>
              <w:rPr>
                <w:rFonts w:hint="eastAsia"/>
                <w:b/>
                <w:bCs/>
                <w:color w:val="auto"/>
                <w:lang w:val="en-US" w:eastAsia="zh-CN"/>
              </w:rPr>
              <w:t>8</w:t>
            </w:r>
            <w:r>
              <w:rPr>
                <w:b/>
                <w:bCs/>
                <w:color w:val="auto"/>
              </w:rPr>
              <w:t xml:space="preserve">  《挥发性有机物无组织排放控制标准》  单位：mg/m</w:t>
            </w:r>
            <w:r>
              <w:rPr>
                <w:b/>
                <w:bCs/>
                <w:color w:val="auto"/>
                <w:vertAlign w:val="superscript"/>
              </w:rPr>
              <w:t>3</w:t>
            </w:r>
          </w:p>
          <w:tbl>
            <w:tblPr>
              <w:tblStyle w:val="5"/>
              <w:tblW w:w="8549" w:type="dxa"/>
              <w:jc w:val="center"/>
              <w:tblBorders>
                <w:top w:val="single" w:color="auto" w:sz="4" w:space="0"/>
                <w:left w:val="none" w:color="auto" w:sz="0" w:space="0"/>
                <w:bottom w:val="single" w:color="auto" w:sz="8" w:space="0"/>
                <w:right w:val="none" w:color="auto" w:sz="0" w:space="0"/>
                <w:insideH w:val="single" w:color="auto" w:sz="8" w:space="0"/>
                <w:insideV w:val="single" w:color="auto" w:sz="8" w:space="0"/>
              </w:tblBorders>
              <w:tblLayout w:type="fixed"/>
              <w:tblCellMar>
                <w:top w:w="0" w:type="dxa"/>
                <w:left w:w="99" w:type="dxa"/>
                <w:bottom w:w="0" w:type="dxa"/>
                <w:right w:w="99" w:type="dxa"/>
              </w:tblCellMar>
            </w:tblPr>
            <w:tblGrid>
              <w:gridCol w:w="1443"/>
              <w:gridCol w:w="1295"/>
              <w:gridCol w:w="1541"/>
              <w:gridCol w:w="2633"/>
              <w:gridCol w:w="1637"/>
            </w:tblGrid>
            <w:tr>
              <w:tblPrEx>
                <w:tblBorders>
                  <w:top w:val="single" w:color="auto" w:sz="4" w:space="0"/>
                  <w:left w:val="none" w:color="auto" w:sz="0" w:space="0"/>
                  <w:bottom w:val="single" w:color="auto" w:sz="8" w:space="0"/>
                  <w:right w:val="none" w:color="auto" w:sz="0" w:space="0"/>
                  <w:insideH w:val="single" w:color="auto" w:sz="8" w:space="0"/>
                  <w:insideV w:val="single" w:color="auto" w:sz="8" w:space="0"/>
                </w:tblBorders>
                <w:tblCellMar>
                  <w:top w:w="0" w:type="dxa"/>
                  <w:left w:w="99" w:type="dxa"/>
                  <w:bottom w:w="0" w:type="dxa"/>
                  <w:right w:w="99" w:type="dxa"/>
                </w:tblCellMar>
              </w:tblPrEx>
              <w:trPr>
                <w:cantSplit/>
                <w:trHeight w:val="340" w:hRule="atLeast"/>
                <w:jc w:val="center"/>
              </w:trPr>
              <w:tc>
                <w:tcPr>
                  <w:tcW w:w="1443" w:type="dxa"/>
                  <w:vAlign w:val="center"/>
                </w:tcPr>
                <w:p>
                  <w:pPr>
                    <w:pStyle w:val="11"/>
                    <w:jc w:val="center"/>
                    <w:rPr>
                      <w:b/>
                      <w:bCs/>
                      <w:color w:val="auto"/>
                    </w:rPr>
                  </w:pPr>
                  <w:r>
                    <w:rPr>
                      <w:b/>
                      <w:bCs/>
                      <w:color w:val="auto"/>
                    </w:rPr>
                    <w:t>污染物</w:t>
                  </w:r>
                </w:p>
              </w:tc>
              <w:tc>
                <w:tcPr>
                  <w:tcW w:w="1295" w:type="dxa"/>
                  <w:vAlign w:val="center"/>
                </w:tcPr>
                <w:p>
                  <w:pPr>
                    <w:pStyle w:val="11"/>
                    <w:jc w:val="center"/>
                    <w:rPr>
                      <w:b/>
                      <w:bCs/>
                      <w:color w:val="auto"/>
                    </w:rPr>
                  </w:pPr>
                  <w:r>
                    <w:rPr>
                      <w:b/>
                      <w:bCs/>
                      <w:color w:val="auto"/>
                    </w:rPr>
                    <w:t>排放限值</w:t>
                  </w:r>
                </w:p>
              </w:tc>
              <w:tc>
                <w:tcPr>
                  <w:tcW w:w="1541" w:type="dxa"/>
                  <w:vAlign w:val="center"/>
                </w:tcPr>
                <w:p>
                  <w:pPr>
                    <w:pStyle w:val="11"/>
                    <w:jc w:val="center"/>
                    <w:rPr>
                      <w:b/>
                      <w:bCs/>
                      <w:color w:val="auto"/>
                    </w:rPr>
                  </w:pPr>
                  <w:r>
                    <w:rPr>
                      <w:b/>
                      <w:bCs/>
                      <w:color w:val="auto"/>
                    </w:rPr>
                    <w:t>特别排放限值</w:t>
                  </w:r>
                </w:p>
              </w:tc>
              <w:tc>
                <w:tcPr>
                  <w:tcW w:w="2633" w:type="dxa"/>
                  <w:vAlign w:val="center"/>
                </w:tcPr>
                <w:p>
                  <w:pPr>
                    <w:pStyle w:val="11"/>
                    <w:jc w:val="center"/>
                    <w:rPr>
                      <w:b/>
                      <w:bCs/>
                      <w:color w:val="auto"/>
                    </w:rPr>
                  </w:pPr>
                  <w:r>
                    <w:rPr>
                      <w:b/>
                      <w:bCs/>
                      <w:color w:val="auto"/>
                    </w:rPr>
                    <w:t>限制含义</w:t>
                  </w:r>
                </w:p>
              </w:tc>
              <w:tc>
                <w:tcPr>
                  <w:tcW w:w="1637" w:type="dxa"/>
                  <w:vAlign w:val="center"/>
                </w:tcPr>
                <w:p>
                  <w:pPr>
                    <w:pStyle w:val="11"/>
                    <w:jc w:val="center"/>
                    <w:rPr>
                      <w:b/>
                      <w:bCs/>
                      <w:color w:val="auto"/>
                    </w:rPr>
                  </w:pPr>
                  <w:r>
                    <w:rPr>
                      <w:b/>
                      <w:bCs/>
                      <w:color w:val="auto"/>
                    </w:rPr>
                    <w:t>无组织排放监控位置</w:t>
                  </w:r>
                </w:p>
              </w:tc>
            </w:tr>
            <w:tr>
              <w:tblPrEx>
                <w:tblBorders>
                  <w:top w:val="single" w:color="auto" w:sz="4" w:space="0"/>
                  <w:left w:val="none" w:color="auto" w:sz="0" w:space="0"/>
                  <w:bottom w:val="single" w:color="auto" w:sz="8" w:space="0"/>
                  <w:right w:val="none" w:color="auto" w:sz="0" w:space="0"/>
                  <w:insideH w:val="single" w:color="auto" w:sz="8" w:space="0"/>
                  <w:insideV w:val="single" w:color="auto" w:sz="8" w:space="0"/>
                </w:tblBorders>
                <w:tblCellMar>
                  <w:top w:w="0" w:type="dxa"/>
                  <w:left w:w="99" w:type="dxa"/>
                  <w:bottom w:w="0" w:type="dxa"/>
                  <w:right w:w="99" w:type="dxa"/>
                </w:tblCellMar>
              </w:tblPrEx>
              <w:trPr>
                <w:cantSplit/>
                <w:trHeight w:val="340" w:hRule="atLeast"/>
                <w:jc w:val="center"/>
              </w:trPr>
              <w:tc>
                <w:tcPr>
                  <w:tcW w:w="1443" w:type="dxa"/>
                  <w:vMerge w:val="restart"/>
                  <w:vAlign w:val="center"/>
                </w:tcPr>
                <w:p>
                  <w:pPr>
                    <w:pStyle w:val="11"/>
                    <w:jc w:val="center"/>
                    <w:rPr>
                      <w:color w:val="auto"/>
                    </w:rPr>
                  </w:pPr>
                  <w:r>
                    <w:rPr>
                      <w:color w:val="auto"/>
                    </w:rPr>
                    <w:t>非甲烷</w:t>
                  </w:r>
                </w:p>
                <w:p>
                  <w:pPr>
                    <w:pStyle w:val="11"/>
                    <w:jc w:val="center"/>
                    <w:rPr>
                      <w:color w:val="auto"/>
                    </w:rPr>
                  </w:pPr>
                  <w:r>
                    <w:rPr>
                      <w:color w:val="auto"/>
                    </w:rPr>
                    <w:t>总烃NMHC</w:t>
                  </w:r>
                </w:p>
              </w:tc>
              <w:tc>
                <w:tcPr>
                  <w:tcW w:w="1295" w:type="dxa"/>
                  <w:vAlign w:val="center"/>
                </w:tcPr>
                <w:p>
                  <w:pPr>
                    <w:pStyle w:val="11"/>
                    <w:jc w:val="center"/>
                    <w:rPr>
                      <w:color w:val="auto"/>
                    </w:rPr>
                  </w:pPr>
                  <w:r>
                    <w:rPr>
                      <w:color w:val="auto"/>
                    </w:rPr>
                    <w:t>10</w:t>
                  </w:r>
                </w:p>
              </w:tc>
              <w:tc>
                <w:tcPr>
                  <w:tcW w:w="1541" w:type="dxa"/>
                  <w:vAlign w:val="center"/>
                </w:tcPr>
                <w:p>
                  <w:pPr>
                    <w:pStyle w:val="11"/>
                    <w:jc w:val="center"/>
                    <w:rPr>
                      <w:color w:val="auto"/>
                    </w:rPr>
                  </w:pPr>
                  <w:r>
                    <w:rPr>
                      <w:color w:val="auto"/>
                    </w:rPr>
                    <w:t>6</w:t>
                  </w:r>
                </w:p>
              </w:tc>
              <w:tc>
                <w:tcPr>
                  <w:tcW w:w="2633" w:type="dxa"/>
                  <w:vAlign w:val="center"/>
                </w:tcPr>
                <w:p>
                  <w:pPr>
                    <w:pStyle w:val="11"/>
                    <w:jc w:val="center"/>
                    <w:rPr>
                      <w:color w:val="auto"/>
                    </w:rPr>
                  </w:pPr>
                  <w:r>
                    <w:rPr>
                      <w:color w:val="auto"/>
                    </w:rPr>
                    <w:t>监控点处1h平均浓度值</w:t>
                  </w:r>
                </w:p>
              </w:tc>
              <w:tc>
                <w:tcPr>
                  <w:tcW w:w="1637" w:type="dxa"/>
                  <w:vMerge w:val="restart"/>
                  <w:vAlign w:val="center"/>
                </w:tcPr>
                <w:p>
                  <w:pPr>
                    <w:pStyle w:val="11"/>
                    <w:jc w:val="center"/>
                    <w:rPr>
                      <w:color w:val="auto"/>
                    </w:rPr>
                  </w:pPr>
                  <w:r>
                    <w:rPr>
                      <w:color w:val="auto"/>
                    </w:rPr>
                    <w:t>在厂房外设置监控点</w:t>
                  </w:r>
                </w:p>
              </w:tc>
            </w:tr>
            <w:tr>
              <w:tblPrEx>
                <w:tblBorders>
                  <w:top w:val="single" w:color="auto" w:sz="4" w:space="0"/>
                  <w:left w:val="none" w:color="auto" w:sz="0" w:space="0"/>
                  <w:bottom w:val="single" w:color="auto" w:sz="8" w:space="0"/>
                  <w:right w:val="none" w:color="auto" w:sz="0" w:space="0"/>
                  <w:insideH w:val="single" w:color="auto" w:sz="8" w:space="0"/>
                  <w:insideV w:val="single" w:color="auto" w:sz="8" w:space="0"/>
                </w:tblBorders>
                <w:tblCellMar>
                  <w:top w:w="0" w:type="dxa"/>
                  <w:left w:w="99" w:type="dxa"/>
                  <w:bottom w:w="0" w:type="dxa"/>
                  <w:right w:w="99" w:type="dxa"/>
                </w:tblCellMar>
              </w:tblPrEx>
              <w:trPr>
                <w:cantSplit/>
                <w:trHeight w:val="340" w:hRule="atLeast"/>
                <w:jc w:val="center"/>
              </w:trPr>
              <w:tc>
                <w:tcPr>
                  <w:tcW w:w="1443" w:type="dxa"/>
                  <w:vMerge w:val="continue"/>
                  <w:vAlign w:val="center"/>
                </w:tcPr>
                <w:p>
                  <w:pPr>
                    <w:pStyle w:val="11"/>
                    <w:jc w:val="center"/>
                    <w:rPr>
                      <w:color w:val="auto"/>
                    </w:rPr>
                  </w:pPr>
                </w:p>
              </w:tc>
              <w:tc>
                <w:tcPr>
                  <w:tcW w:w="1295" w:type="dxa"/>
                  <w:vAlign w:val="center"/>
                </w:tcPr>
                <w:p>
                  <w:pPr>
                    <w:pStyle w:val="11"/>
                    <w:jc w:val="center"/>
                    <w:rPr>
                      <w:color w:val="auto"/>
                    </w:rPr>
                  </w:pPr>
                  <w:r>
                    <w:rPr>
                      <w:color w:val="auto"/>
                    </w:rPr>
                    <w:t>30</w:t>
                  </w:r>
                </w:p>
              </w:tc>
              <w:tc>
                <w:tcPr>
                  <w:tcW w:w="1541" w:type="dxa"/>
                  <w:vAlign w:val="center"/>
                </w:tcPr>
                <w:p>
                  <w:pPr>
                    <w:pStyle w:val="11"/>
                    <w:jc w:val="center"/>
                    <w:rPr>
                      <w:color w:val="auto"/>
                    </w:rPr>
                  </w:pPr>
                  <w:r>
                    <w:rPr>
                      <w:color w:val="auto"/>
                    </w:rPr>
                    <w:t>20</w:t>
                  </w:r>
                </w:p>
              </w:tc>
              <w:tc>
                <w:tcPr>
                  <w:tcW w:w="2633" w:type="dxa"/>
                  <w:vAlign w:val="center"/>
                </w:tcPr>
                <w:p>
                  <w:pPr>
                    <w:pStyle w:val="11"/>
                    <w:jc w:val="center"/>
                    <w:rPr>
                      <w:color w:val="auto"/>
                    </w:rPr>
                  </w:pPr>
                  <w:r>
                    <w:rPr>
                      <w:color w:val="auto"/>
                    </w:rPr>
                    <w:t>监控点处任意一次浓度值</w:t>
                  </w:r>
                </w:p>
              </w:tc>
              <w:tc>
                <w:tcPr>
                  <w:tcW w:w="1637" w:type="dxa"/>
                  <w:vMerge w:val="continue"/>
                  <w:vAlign w:val="center"/>
                </w:tcPr>
                <w:p>
                  <w:pPr>
                    <w:pStyle w:val="11"/>
                    <w:jc w:val="center"/>
                    <w:rPr>
                      <w:color w:val="auto"/>
                    </w:rPr>
                  </w:pPr>
                </w:p>
              </w:tc>
            </w:tr>
          </w:tbl>
          <w:p>
            <w:pPr>
              <w:pStyle w:val="11"/>
              <w:jc w:val="center"/>
              <w:rPr>
                <w:b/>
                <w:bCs/>
                <w:color w:val="auto"/>
              </w:rPr>
            </w:pPr>
          </w:p>
          <w:p>
            <w:pPr>
              <w:pStyle w:val="11"/>
              <w:jc w:val="center"/>
              <w:rPr>
                <w:b/>
                <w:bCs/>
                <w:color w:val="auto"/>
              </w:rPr>
            </w:pPr>
            <w:r>
              <w:rPr>
                <w:b/>
                <w:bCs/>
                <w:color w:val="auto"/>
              </w:rPr>
              <w:t>表3-</w:t>
            </w:r>
            <w:r>
              <w:rPr>
                <w:rFonts w:hint="eastAsia"/>
                <w:b/>
                <w:bCs/>
                <w:color w:val="auto"/>
                <w:lang w:val="en-US" w:eastAsia="zh-CN"/>
              </w:rPr>
              <w:t>9</w:t>
            </w:r>
            <w:r>
              <w:rPr>
                <w:b/>
                <w:bCs/>
                <w:color w:val="auto"/>
              </w:rPr>
              <w:t xml:space="preserve">  《</w:t>
            </w:r>
            <w:r>
              <w:rPr>
                <w:rFonts w:hint="eastAsia"/>
                <w:b/>
                <w:bCs/>
                <w:color w:val="auto"/>
                <w:lang w:val="en-US" w:eastAsia="zh-CN"/>
              </w:rPr>
              <w:t>合成树脂工业污染物排放标准</w:t>
            </w:r>
            <w:r>
              <w:rPr>
                <w:b/>
                <w:bCs/>
                <w:color w:val="auto"/>
              </w:rPr>
              <w:t xml:space="preserve">》 </w:t>
            </w:r>
          </w:p>
          <w:tbl>
            <w:tblPr>
              <w:tblStyle w:val="6"/>
              <w:tblW w:w="8510" w:type="dxa"/>
              <w:tblInd w:w="13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317"/>
              <w:gridCol w:w="4193"/>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c>
                <w:tcPr>
                  <w:tcW w:w="4317" w:type="dxa"/>
                  <w:tcBorders>
                    <w:tl2br w:val="nil"/>
                    <w:tr2bl w:val="nil"/>
                  </w:tcBorders>
                </w:tcPr>
                <w:p>
                  <w:pPr>
                    <w:pStyle w:val="11"/>
                    <w:jc w:val="center"/>
                    <w:rPr>
                      <w:b/>
                      <w:bCs/>
                      <w:color w:val="auto"/>
                      <w:vertAlign w:val="baseline"/>
                    </w:rPr>
                  </w:pPr>
                  <w:r>
                    <w:rPr>
                      <w:b/>
                      <w:bCs/>
                      <w:color w:val="auto"/>
                    </w:rPr>
                    <w:t>污染物</w:t>
                  </w:r>
                </w:p>
              </w:tc>
              <w:tc>
                <w:tcPr>
                  <w:tcW w:w="4193" w:type="dxa"/>
                  <w:tcBorders>
                    <w:tl2br w:val="nil"/>
                    <w:tr2bl w:val="nil"/>
                  </w:tcBorders>
                </w:tcPr>
                <w:p>
                  <w:pPr>
                    <w:pStyle w:val="11"/>
                    <w:jc w:val="center"/>
                    <w:rPr>
                      <w:b/>
                      <w:bCs/>
                      <w:color w:val="auto"/>
                      <w:vertAlign w:val="baseline"/>
                    </w:rPr>
                  </w:pPr>
                  <w:r>
                    <w:rPr>
                      <w:b/>
                      <w:bCs/>
                      <w:color w:val="auto"/>
                    </w:rPr>
                    <w:t>VOCs</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317" w:type="dxa"/>
                  <w:tcBorders>
                    <w:tl2br w:val="nil"/>
                    <w:tr2bl w:val="nil"/>
                  </w:tcBorders>
                </w:tcPr>
                <w:p>
                  <w:pPr>
                    <w:pStyle w:val="11"/>
                    <w:jc w:val="center"/>
                    <w:rPr>
                      <w:b/>
                      <w:bCs/>
                      <w:color w:val="auto"/>
                      <w:vertAlign w:val="baseline"/>
                    </w:rPr>
                  </w:pPr>
                  <w:r>
                    <w:rPr>
                      <w:rFonts w:hint="eastAsia"/>
                      <w:b/>
                      <w:bCs/>
                      <w:color w:val="auto"/>
                      <w:lang w:val="en-US" w:eastAsia="zh-CN"/>
                    </w:rPr>
                    <w:t>排放限值</w:t>
                  </w:r>
                </w:p>
              </w:tc>
              <w:tc>
                <w:tcPr>
                  <w:tcW w:w="4193" w:type="dxa"/>
                  <w:tcBorders>
                    <w:tl2br w:val="nil"/>
                    <w:tr2bl w:val="nil"/>
                  </w:tcBorders>
                </w:tcPr>
                <w:p>
                  <w:pPr>
                    <w:pStyle w:val="11"/>
                    <w:jc w:val="center"/>
                    <w:rPr>
                      <w:b/>
                      <w:bCs/>
                      <w:color w:val="auto"/>
                      <w:vertAlign w:val="baseline"/>
                    </w:rPr>
                  </w:pPr>
                  <w:r>
                    <w:rPr>
                      <w:b w:val="0"/>
                      <w:bCs w:val="0"/>
                      <w:color w:val="auto"/>
                    </w:rPr>
                    <w:t>60mg/m</w:t>
                  </w:r>
                  <w:r>
                    <w:rPr>
                      <w:b w:val="0"/>
                      <w:bCs w:val="0"/>
                      <w:color w:val="auto"/>
                      <w:vertAlign w:val="superscript"/>
                    </w:rPr>
                    <w:t>3</w:t>
                  </w:r>
                </w:p>
              </w:tc>
            </w:tr>
          </w:tbl>
          <w:p>
            <w:pPr>
              <w:pStyle w:val="11"/>
              <w:jc w:val="center"/>
              <w:rPr>
                <w:b/>
                <w:bCs/>
                <w:color w:val="auto"/>
              </w:rPr>
            </w:pPr>
          </w:p>
          <w:p>
            <w:pPr>
              <w:pStyle w:val="11"/>
              <w:jc w:val="center"/>
              <w:rPr>
                <w:b/>
                <w:bCs/>
                <w:color w:val="auto"/>
              </w:rPr>
            </w:pPr>
            <w:r>
              <w:rPr>
                <w:b/>
                <w:bCs/>
                <w:color w:val="auto"/>
              </w:rPr>
              <w:t>表3-</w:t>
            </w:r>
            <w:r>
              <w:rPr>
                <w:rFonts w:hint="eastAsia"/>
                <w:b/>
                <w:bCs/>
                <w:color w:val="auto"/>
                <w:lang w:val="en-US" w:eastAsia="zh-CN"/>
              </w:rPr>
              <w:t>10</w:t>
            </w:r>
            <w:r>
              <w:rPr>
                <w:b/>
                <w:bCs/>
                <w:color w:val="auto"/>
              </w:rPr>
              <w:t xml:space="preserve"> 《四川省固定污染源大气挥发性有机物排放标准》  单位：mg/m</w:t>
            </w:r>
            <w:r>
              <w:rPr>
                <w:b/>
                <w:bCs/>
                <w:color w:val="auto"/>
                <w:vertAlign w:val="superscript"/>
              </w:rPr>
              <w:t>3</w:t>
            </w:r>
          </w:p>
          <w:tbl>
            <w:tblPr>
              <w:tblStyle w:val="5"/>
              <w:tblW w:w="8534" w:type="dxa"/>
              <w:jc w:val="center"/>
              <w:tblBorders>
                <w:top w:val="single" w:color="auto" w:sz="8" w:space="0"/>
                <w:left w:val="none" w:color="auto" w:sz="0" w:space="0"/>
                <w:bottom w:val="single" w:color="auto" w:sz="8"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1278"/>
              <w:gridCol w:w="2035"/>
              <w:gridCol w:w="1699"/>
              <w:gridCol w:w="1765"/>
              <w:gridCol w:w="1757"/>
            </w:tblGrid>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1278" w:type="dxa"/>
                  <w:vMerge w:val="restart"/>
                  <w:vAlign w:val="center"/>
                </w:tcPr>
                <w:p>
                  <w:pPr>
                    <w:pStyle w:val="11"/>
                    <w:jc w:val="center"/>
                    <w:rPr>
                      <w:b/>
                      <w:bCs/>
                      <w:color w:val="auto"/>
                    </w:rPr>
                  </w:pPr>
                  <w:r>
                    <w:rPr>
                      <w:b/>
                      <w:bCs/>
                      <w:color w:val="auto"/>
                    </w:rPr>
                    <w:t>污染物</w:t>
                  </w:r>
                </w:p>
              </w:tc>
              <w:tc>
                <w:tcPr>
                  <w:tcW w:w="2035" w:type="dxa"/>
                  <w:vMerge w:val="restart"/>
                  <w:vAlign w:val="center"/>
                </w:tcPr>
                <w:p>
                  <w:pPr>
                    <w:pStyle w:val="11"/>
                    <w:jc w:val="center"/>
                    <w:rPr>
                      <w:b/>
                      <w:bCs/>
                      <w:color w:val="auto"/>
                    </w:rPr>
                  </w:pPr>
                  <w:r>
                    <w:rPr>
                      <w:b/>
                      <w:bCs/>
                      <w:color w:val="auto"/>
                    </w:rPr>
                    <w:t>最高允许排放浓度</w:t>
                  </w:r>
                </w:p>
              </w:tc>
              <w:tc>
                <w:tcPr>
                  <w:tcW w:w="3464" w:type="dxa"/>
                  <w:gridSpan w:val="2"/>
                  <w:vAlign w:val="center"/>
                </w:tcPr>
                <w:p>
                  <w:pPr>
                    <w:pStyle w:val="11"/>
                    <w:jc w:val="center"/>
                    <w:rPr>
                      <w:b/>
                      <w:bCs/>
                      <w:color w:val="auto"/>
                    </w:rPr>
                  </w:pPr>
                  <w:r>
                    <w:rPr>
                      <w:b/>
                      <w:bCs/>
                      <w:color w:val="auto"/>
                    </w:rPr>
                    <w:t>最高允许排放速率</w:t>
                  </w:r>
                </w:p>
              </w:tc>
              <w:tc>
                <w:tcPr>
                  <w:tcW w:w="1757" w:type="dxa"/>
                  <w:vAlign w:val="center"/>
                </w:tcPr>
                <w:p>
                  <w:pPr>
                    <w:pStyle w:val="11"/>
                    <w:jc w:val="center"/>
                    <w:rPr>
                      <w:b/>
                      <w:bCs/>
                      <w:color w:val="auto"/>
                    </w:rPr>
                  </w:pPr>
                  <w:r>
                    <w:rPr>
                      <w:b/>
                      <w:bCs/>
                      <w:color w:val="auto"/>
                    </w:rPr>
                    <w:t>无组织排放</w:t>
                  </w:r>
                </w:p>
                <w:p>
                  <w:pPr>
                    <w:pStyle w:val="11"/>
                    <w:jc w:val="center"/>
                    <w:rPr>
                      <w:b/>
                      <w:bCs/>
                      <w:color w:val="auto"/>
                    </w:rPr>
                  </w:pPr>
                  <w:r>
                    <w:rPr>
                      <w:b/>
                      <w:bCs/>
                      <w:color w:val="auto"/>
                    </w:rPr>
                    <w:t>浓度限值</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1278" w:type="dxa"/>
                  <w:vMerge w:val="continue"/>
                  <w:vAlign w:val="center"/>
                </w:tcPr>
                <w:p>
                  <w:pPr>
                    <w:pStyle w:val="11"/>
                    <w:jc w:val="center"/>
                    <w:rPr>
                      <w:b/>
                      <w:bCs/>
                      <w:color w:val="auto"/>
                    </w:rPr>
                  </w:pPr>
                </w:p>
              </w:tc>
              <w:tc>
                <w:tcPr>
                  <w:tcW w:w="2035" w:type="dxa"/>
                  <w:vMerge w:val="continue"/>
                  <w:vAlign w:val="center"/>
                </w:tcPr>
                <w:p>
                  <w:pPr>
                    <w:pStyle w:val="11"/>
                    <w:jc w:val="center"/>
                    <w:rPr>
                      <w:b/>
                      <w:bCs/>
                      <w:color w:val="auto"/>
                    </w:rPr>
                  </w:pPr>
                </w:p>
              </w:tc>
              <w:tc>
                <w:tcPr>
                  <w:tcW w:w="1699" w:type="dxa"/>
                  <w:vAlign w:val="center"/>
                </w:tcPr>
                <w:p>
                  <w:pPr>
                    <w:pStyle w:val="11"/>
                    <w:jc w:val="center"/>
                    <w:rPr>
                      <w:b/>
                      <w:bCs/>
                      <w:color w:val="auto"/>
                    </w:rPr>
                  </w:pPr>
                  <w:r>
                    <w:rPr>
                      <w:b/>
                      <w:bCs/>
                      <w:color w:val="auto"/>
                    </w:rPr>
                    <w:t>排气筒高度（m）</w:t>
                  </w:r>
                </w:p>
              </w:tc>
              <w:tc>
                <w:tcPr>
                  <w:tcW w:w="1765" w:type="dxa"/>
                  <w:vAlign w:val="center"/>
                </w:tcPr>
                <w:p>
                  <w:pPr>
                    <w:pStyle w:val="11"/>
                    <w:jc w:val="center"/>
                    <w:rPr>
                      <w:b/>
                      <w:bCs/>
                      <w:color w:val="auto"/>
                    </w:rPr>
                  </w:pPr>
                  <w:r>
                    <w:rPr>
                      <w:b/>
                      <w:bCs/>
                      <w:color w:val="auto"/>
                    </w:rPr>
                    <w:t>排放限值（kg/h）</w:t>
                  </w:r>
                </w:p>
              </w:tc>
              <w:tc>
                <w:tcPr>
                  <w:tcW w:w="1757" w:type="dxa"/>
                  <w:vAlign w:val="center"/>
                </w:tcPr>
                <w:p>
                  <w:pPr>
                    <w:pStyle w:val="11"/>
                    <w:jc w:val="center"/>
                    <w:rPr>
                      <w:b/>
                      <w:bCs/>
                      <w:color w:val="auto"/>
                    </w:rPr>
                  </w:pPr>
                  <w:r>
                    <w:rPr>
                      <w:b/>
                      <w:bCs/>
                      <w:color w:val="auto"/>
                    </w:rPr>
                    <w:t>其他</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1278" w:type="dxa"/>
                  <w:vAlign w:val="center"/>
                </w:tcPr>
                <w:p>
                  <w:pPr>
                    <w:pStyle w:val="11"/>
                    <w:jc w:val="center"/>
                    <w:rPr>
                      <w:color w:val="auto"/>
                    </w:rPr>
                  </w:pPr>
                  <w:r>
                    <w:rPr>
                      <w:color w:val="auto"/>
                    </w:rPr>
                    <w:t>VOCs</w:t>
                  </w:r>
                </w:p>
              </w:tc>
              <w:tc>
                <w:tcPr>
                  <w:tcW w:w="2035" w:type="dxa"/>
                  <w:vAlign w:val="center"/>
                </w:tcPr>
                <w:p>
                  <w:pPr>
                    <w:pStyle w:val="11"/>
                    <w:jc w:val="center"/>
                    <w:rPr>
                      <w:color w:val="auto"/>
                    </w:rPr>
                  </w:pPr>
                  <w:r>
                    <w:rPr>
                      <w:color w:val="auto"/>
                    </w:rPr>
                    <w:t>60</w:t>
                  </w:r>
                </w:p>
              </w:tc>
              <w:tc>
                <w:tcPr>
                  <w:tcW w:w="1699" w:type="dxa"/>
                  <w:vAlign w:val="center"/>
                </w:tcPr>
                <w:p>
                  <w:pPr>
                    <w:pStyle w:val="11"/>
                    <w:jc w:val="center"/>
                    <w:rPr>
                      <w:color w:val="auto"/>
                    </w:rPr>
                  </w:pPr>
                  <w:r>
                    <w:rPr>
                      <w:color w:val="auto"/>
                    </w:rPr>
                    <w:t>15</w:t>
                  </w:r>
                </w:p>
              </w:tc>
              <w:tc>
                <w:tcPr>
                  <w:tcW w:w="1765" w:type="dxa"/>
                  <w:vAlign w:val="center"/>
                </w:tcPr>
                <w:p>
                  <w:pPr>
                    <w:pStyle w:val="11"/>
                    <w:jc w:val="center"/>
                    <w:rPr>
                      <w:color w:val="auto"/>
                    </w:rPr>
                  </w:pPr>
                  <w:r>
                    <w:rPr>
                      <w:color w:val="auto"/>
                    </w:rPr>
                    <w:t>3.4</w:t>
                  </w:r>
                </w:p>
              </w:tc>
              <w:tc>
                <w:tcPr>
                  <w:tcW w:w="1757" w:type="dxa"/>
                  <w:vAlign w:val="center"/>
                </w:tcPr>
                <w:p>
                  <w:pPr>
                    <w:pStyle w:val="11"/>
                    <w:jc w:val="center"/>
                    <w:rPr>
                      <w:color w:val="auto"/>
                    </w:rPr>
                  </w:pPr>
                  <w:r>
                    <w:rPr>
                      <w:color w:val="auto"/>
                    </w:rPr>
                    <w:t>2.0</w:t>
                  </w:r>
                </w:p>
              </w:tc>
            </w:tr>
          </w:tbl>
          <w:p>
            <w:pPr>
              <w:adjustRightInd w:val="0"/>
              <w:snapToGrid w:val="0"/>
              <w:ind w:firstLine="482"/>
              <w:rPr>
                <w:b/>
                <w:bCs/>
                <w:color w:val="auto"/>
                <w:kern w:val="0"/>
                <w:szCs w:val="21"/>
              </w:rPr>
            </w:pPr>
            <w:r>
              <w:rPr>
                <w:b/>
                <w:bCs/>
                <w:color w:val="auto"/>
                <w:kern w:val="0"/>
                <w:szCs w:val="21"/>
              </w:rPr>
              <w:t>2、噪声排放标准</w:t>
            </w:r>
          </w:p>
          <w:p>
            <w:pPr>
              <w:adjustRightInd w:val="0"/>
              <w:snapToGrid w:val="0"/>
              <w:ind w:firstLine="480"/>
              <w:rPr>
                <w:color w:val="auto"/>
                <w:kern w:val="0"/>
                <w:szCs w:val="21"/>
              </w:rPr>
            </w:pPr>
            <w:r>
              <w:rPr>
                <w:color w:val="auto"/>
                <w:kern w:val="0"/>
                <w:szCs w:val="21"/>
              </w:rPr>
              <w:t>施工期噪声执行《建筑施工场界环境噪声排放标准》GB(12523-2011)。</w:t>
            </w:r>
          </w:p>
          <w:p>
            <w:pPr>
              <w:pStyle w:val="11"/>
              <w:jc w:val="center"/>
              <w:rPr>
                <w:b/>
                <w:bCs/>
                <w:color w:val="auto"/>
              </w:rPr>
            </w:pPr>
            <w:r>
              <w:rPr>
                <w:b/>
                <w:bCs/>
                <w:color w:val="auto"/>
              </w:rPr>
              <w:t>表3-</w:t>
            </w:r>
            <w:r>
              <w:rPr>
                <w:rFonts w:hint="eastAsia"/>
                <w:b/>
                <w:bCs/>
                <w:color w:val="auto"/>
              </w:rPr>
              <w:t>1</w:t>
            </w:r>
            <w:r>
              <w:rPr>
                <w:rFonts w:hint="eastAsia"/>
                <w:b/>
                <w:bCs/>
                <w:color w:val="auto"/>
                <w:lang w:val="en-US" w:eastAsia="zh-CN"/>
              </w:rPr>
              <w:t>1</w:t>
            </w:r>
            <w:r>
              <w:rPr>
                <w:b/>
                <w:bCs/>
                <w:color w:val="auto"/>
              </w:rPr>
              <w:t xml:space="preserve"> 建筑施工场界环境噪声排放标准   单位：dB(A)</w:t>
            </w:r>
          </w:p>
          <w:tbl>
            <w:tblPr>
              <w:tblStyle w:val="5"/>
              <w:tblW w:w="8501"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420"/>
              <w:gridCol w:w="408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420" w:type="dxa"/>
                  <w:vAlign w:val="center"/>
                </w:tcPr>
                <w:p>
                  <w:pPr>
                    <w:adjustRightInd w:val="0"/>
                    <w:snapToGrid w:val="0"/>
                    <w:spacing w:line="240" w:lineRule="auto"/>
                    <w:ind w:firstLine="422"/>
                    <w:jc w:val="center"/>
                    <w:rPr>
                      <w:b/>
                      <w:bCs/>
                      <w:color w:val="auto"/>
                      <w:kern w:val="0"/>
                      <w:sz w:val="21"/>
                      <w:szCs w:val="21"/>
                    </w:rPr>
                  </w:pPr>
                  <w:r>
                    <w:rPr>
                      <w:b/>
                      <w:bCs/>
                      <w:color w:val="auto"/>
                      <w:kern w:val="0"/>
                      <w:sz w:val="21"/>
                      <w:szCs w:val="21"/>
                    </w:rPr>
                    <w:t>昼间</w:t>
                  </w:r>
                </w:p>
              </w:tc>
              <w:tc>
                <w:tcPr>
                  <w:tcW w:w="4081" w:type="dxa"/>
                  <w:vAlign w:val="center"/>
                </w:tcPr>
                <w:p>
                  <w:pPr>
                    <w:adjustRightInd w:val="0"/>
                    <w:snapToGrid w:val="0"/>
                    <w:spacing w:line="240" w:lineRule="auto"/>
                    <w:ind w:firstLine="422"/>
                    <w:jc w:val="center"/>
                    <w:rPr>
                      <w:b/>
                      <w:bCs/>
                      <w:color w:val="auto"/>
                      <w:kern w:val="0"/>
                      <w:sz w:val="21"/>
                      <w:szCs w:val="21"/>
                    </w:rPr>
                  </w:pPr>
                  <w:r>
                    <w:rPr>
                      <w:b/>
                      <w:bCs/>
                      <w:color w:val="auto"/>
                      <w:kern w:val="0"/>
                      <w:sz w:val="21"/>
                      <w:szCs w:val="21"/>
                    </w:rPr>
                    <w:t>夜间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420" w:type="dxa"/>
                  <w:vAlign w:val="center"/>
                </w:tcPr>
                <w:p>
                  <w:pPr>
                    <w:adjustRightInd w:val="0"/>
                    <w:snapToGrid w:val="0"/>
                    <w:spacing w:line="240" w:lineRule="auto"/>
                    <w:ind w:firstLine="420"/>
                    <w:jc w:val="center"/>
                    <w:rPr>
                      <w:color w:val="auto"/>
                      <w:kern w:val="0"/>
                      <w:sz w:val="21"/>
                      <w:szCs w:val="21"/>
                    </w:rPr>
                  </w:pPr>
                  <w:r>
                    <w:rPr>
                      <w:color w:val="auto"/>
                      <w:kern w:val="0"/>
                      <w:sz w:val="21"/>
                      <w:szCs w:val="21"/>
                    </w:rPr>
                    <w:t>70</w:t>
                  </w:r>
                </w:p>
              </w:tc>
              <w:tc>
                <w:tcPr>
                  <w:tcW w:w="4081" w:type="dxa"/>
                  <w:vAlign w:val="center"/>
                </w:tcPr>
                <w:p>
                  <w:pPr>
                    <w:adjustRightInd w:val="0"/>
                    <w:snapToGrid w:val="0"/>
                    <w:spacing w:line="240" w:lineRule="auto"/>
                    <w:ind w:firstLine="420"/>
                    <w:jc w:val="center"/>
                    <w:rPr>
                      <w:color w:val="auto"/>
                      <w:kern w:val="0"/>
                      <w:sz w:val="21"/>
                      <w:szCs w:val="21"/>
                    </w:rPr>
                  </w:pPr>
                  <w:r>
                    <w:rPr>
                      <w:color w:val="auto"/>
                      <w:kern w:val="0"/>
                      <w:sz w:val="21"/>
                      <w:szCs w:val="21"/>
                    </w:rPr>
                    <w:t>55</w:t>
                  </w:r>
                </w:p>
              </w:tc>
            </w:tr>
          </w:tbl>
          <w:p>
            <w:pPr>
              <w:adjustRightInd w:val="0"/>
              <w:snapToGrid w:val="0"/>
              <w:ind w:firstLine="480"/>
              <w:rPr>
                <w:color w:val="auto"/>
                <w:kern w:val="0"/>
                <w:szCs w:val="21"/>
              </w:rPr>
            </w:pPr>
            <w:r>
              <w:rPr>
                <w:color w:val="auto"/>
                <w:kern w:val="0"/>
                <w:szCs w:val="21"/>
              </w:rPr>
              <w:t>营运期噪声执行《工业企业厂界环境噪声排放标准》（GB12348-2008）的3类排放标准。</w:t>
            </w:r>
          </w:p>
          <w:p>
            <w:pPr>
              <w:pStyle w:val="11"/>
              <w:jc w:val="center"/>
              <w:rPr>
                <w:b/>
                <w:bCs/>
                <w:color w:val="auto"/>
              </w:rPr>
            </w:pPr>
          </w:p>
          <w:p>
            <w:pPr>
              <w:pStyle w:val="11"/>
              <w:jc w:val="center"/>
              <w:rPr>
                <w:b/>
                <w:bCs/>
                <w:color w:val="auto"/>
              </w:rPr>
            </w:pPr>
          </w:p>
          <w:p>
            <w:pPr>
              <w:pStyle w:val="11"/>
              <w:jc w:val="center"/>
              <w:rPr>
                <w:b/>
                <w:bCs/>
                <w:color w:val="auto"/>
              </w:rPr>
            </w:pPr>
            <w:r>
              <w:rPr>
                <w:b/>
                <w:bCs/>
                <w:color w:val="auto"/>
              </w:rPr>
              <w:t>表3-</w:t>
            </w:r>
            <w:r>
              <w:rPr>
                <w:rFonts w:hint="eastAsia"/>
                <w:b/>
                <w:bCs/>
                <w:color w:val="auto"/>
              </w:rPr>
              <w:t>1</w:t>
            </w:r>
            <w:r>
              <w:rPr>
                <w:rFonts w:hint="eastAsia"/>
                <w:b/>
                <w:bCs/>
                <w:color w:val="auto"/>
                <w:lang w:val="en-US" w:eastAsia="zh-CN"/>
              </w:rPr>
              <w:t>2</w:t>
            </w:r>
            <w:r>
              <w:rPr>
                <w:b/>
                <w:bCs/>
                <w:color w:val="auto"/>
              </w:rPr>
              <w:t xml:space="preserve"> 营运期噪声排放限值  单位：dB（A）</w:t>
            </w:r>
          </w:p>
          <w:tbl>
            <w:tblPr>
              <w:tblStyle w:val="5"/>
              <w:tblW w:w="810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909"/>
              <w:gridCol w:w="2335"/>
              <w:gridCol w:w="286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909" w:type="dxa"/>
                  <w:vAlign w:val="center"/>
                </w:tcPr>
                <w:p>
                  <w:pPr>
                    <w:adjustRightInd w:val="0"/>
                    <w:snapToGrid w:val="0"/>
                    <w:spacing w:line="240" w:lineRule="auto"/>
                    <w:ind w:firstLine="422"/>
                    <w:jc w:val="center"/>
                    <w:rPr>
                      <w:b/>
                      <w:bCs/>
                      <w:color w:val="auto"/>
                      <w:kern w:val="0"/>
                      <w:sz w:val="21"/>
                      <w:szCs w:val="21"/>
                    </w:rPr>
                  </w:pPr>
                  <w:r>
                    <w:rPr>
                      <w:b/>
                      <w:bCs/>
                      <w:color w:val="auto"/>
                      <w:kern w:val="0"/>
                      <w:sz w:val="21"/>
                      <w:szCs w:val="21"/>
                    </w:rPr>
                    <w:t>执行标准</w:t>
                  </w:r>
                </w:p>
              </w:tc>
              <w:tc>
                <w:tcPr>
                  <w:tcW w:w="2335" w:type="dxa"/>
                  <w:vAlign w:val="center"/>
                </w:tcPr>
                <w:p>
                  <w:pPr>
                    <w:adjustRightInd w:val="0"/>
                    <w:snapToGrid w:val="0"/>
                    <w:spacing w:line="240" w:lineRule="auto"/>
                    <w:ind w:firstLine="422"/>
                    <w:jc w:val="center"/>
                    <w:rPr>
                      <w:b/>
                      <w:bCs/>
                      <w:color w:val="auto"/>
                      <w:kern w:val="0"/>
                      <w:sz w:val="21"/>
                      <w:szCs w:val="21"/>
                    </w:rPr>
                  </w:pPr>
                  <w:r>
                    <w:rPr>
                      <w:b/>
                      <w:bCs/>
                      <w:color w:val="auto"/>
                      <w:kern w:val="0"/>
                      <w:sz w:val="21"/>
                      <w:szCs w:val="21"/>
                    </w:rPr>
                    <w:t>昼间</w:t>
                  </w:r>
                </w:p>
              </w:tc>
              <w:tc>
                <w:tcPr>
                  <w:tcW w:w="2864" w:type="dxa"/>
                  <w:vAlign w:val="center"/>
                </w:tcPr>
                <w:p>
                  <w:pPr>
                    <w:adjustRightInd w:val="0"/>
                    <w:snapToGrid w:val="0"/>
                    <w:spacing w:line="240" w:lineRule="auto"/>
                    <w:ind w:firstLine="422"/>
                    <w:jc w:val="center"/>
                    <w:rPr>
                      <w:b/>
                      <w:bCs/>
                      <w:color w:val="auto"/>
                      <w:kern w:val="0"/>
                      <w:sz w:val="21"/>
                      <w:szCs w:val="21"/>
                    </w:rPr>
                  </w:pPr>
                  <w:r>
                    <w:rPr>
                      <w:b/>
                      <w:bCs/>
                      <w:color w:val="auto"/>
                      <w:kern w:val="0"/>
                      <w:sz w:val="21"/>
                      <w:szCs w:val="21"/>
                    </w:rPr>
                    <w:t>夜间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909" w:type="dxa"/>
                  <w:vAlign w:val="center"/>
                </w:tcPr>
                <w:p>
                  <w:pPr>
                    <w:adjustRightInd w:val="0"/>
                    <w:snapToGrid w:val="0"/>
                    <w:spacing w:line="240" w:lineRule="auto"/>
                    <w:ind w:firstLine="420"/>
                    <w:jc w:val="center"/>
                    <w:rPr>
                      <w:color w:val="auto"/>
                      <w:kern w:val="0"/>
                      <w:sz w:val="21"/>
                      <w:szCs w:val="21"/>
                    </w:rPr>
                  </w:pPr>
                  <w:r>
                    <w:rPr>
                      <w:color w:val="auto"/>
                      <w:kern w:val="0"/>
                      <w:sz w:val="21"/>
                      <w:szCs w:val="21"/>
                    </w:rPr>
                    <w:t>3类</w:t>
                  </w:r>
                </w:p>
              </w:tc>
              <w:tc>
                <w:tcPr>
                  <w:tcW w:w="2335" w:type="dxa"/>
                  <w:vAlign w:val="center"/>
                </w:tcPr>
                <w:p>
                  <w:pPr>
                    <w:adjustRightInd w:val="0"/>
                    <w:snapToGrid w:val="0"/>
                    <w:spacing w:line="240" w:lineRule="auto"/>
                    <w:ind w:firstLine="420"/>
                    <w:jc w:val="center"/>
                    <w:rPr>
                      <w:color w:val="auto"/>
                      <w:kern w:val="0"/>
                      <w:sz w:val="21"/>
                      <w:szCs w:val="21"/>
                    </w:rPr>
                  </w:pPr>
                  <w:r>
                    <w:rPr>
                      <w:color w:val="auto"/>
                      <w:kern w:val="0"/>
                      <w:sz w:val="21"/>
                      <w:szCs w:val="21"/>
                    </w:rPr>
                    <w:t>65</w:t>
                  </w:r>
                </w:p>
              </w:tc>
              <w:tc>
                <w:tcPr>
                  <w:tcW w:w="2864" w:type="dxa"/>
                  <w:vAlign w:val="center"/>
                </w:tcPr>
                <w:p>
                  <w:pPr>
                    <w:adjustRightInd w:val="0"/>
                    <w:snapToGrid w:val="0"/>
                    <w:spacing w:line="240" w:lineRule="auto"/>
                    <w:ind w:firstLine="420"/>
                    <w:jc w:val="center"/>
                    <w:rPr>
                      <w:color w:val="auto"/>
                      <w:kern w:val="0"/>
                      <w:sz w:val="21"/>
                      <w:szCs w:val="21"/>
                    </w:rPr>
                  </w:pPr>
                  <w:r>
                    <w:rPr>
                      <w:color w:val="auto"/>
                      <w:kern w:val="0"/>
                      <w:sz w:val="21"/>
                      <w:szCs w:val="21"/>
                    </w:rPr>
                    <w:t>55</w:t>
                  </w:r>
                </w:p>
              </w:tc>
            </w:tr>
          </w:tbl>
          <w:p>
            <w:pPr>
              <w:adjustRightInd w:val="0"/>
              <w:snapToGrid w:val="0"/>
              <w:ind w:firstLine="482"/>
              <w:rPr>
                <w:b/>
                <w:bCs/>
                <w:color w:val="auto"/>
                <w:kern w:val="0"/>
                <w:szCs w:val="21"/>
              </w:rPr>
            </w:pPr>
            <w:r>
              <w:rPr>
                <w:b/>
                <w:bCs/>
                <w:color w:val="auto"/>
                <w:kern w:val="0"/>
                <w:szCs w:val="21"/>
              </w:rPr>
              <w:t>3、废水排放标准</w:t>
            </w:r>
          </w:p>
          <w:p>
            <w:pPr>
              <w:adjustRightInd w:val="0"/>
              <w:snapToGrid w:val="0"/>
              <w:ind w:firstLine="480"/>
              <w:rPr>
                <w:color w:val="auto"/>
                <w:kern w:val="0"/>
                <w:szCs w:val="21"/>
              </w:rPr>
            </w:pPr>
            <w:r>
              <w:rPr>
                <w:color w:val="auto"/>
                <w:kern w:val="0"/>
                <w:szCs w:val="21"/>
              </w:rPr>
              <w:t>水污染物排放执行《污水综合排放标准》（GB8978-1996）表4中的三级标准，详见下表。</w:t>
            </w:r>
          </w:p>
          <w:p>
            <w:pPr>
              <w:pStyle w:val="11"/>
              <w:jc w:val="center"/>
              <w:rPr>
                <w:b/>
                <w:bCs/>
                <w:color w:val="auto"/>
                <w:sz w:val="21"/>
                <w:szCs w:val="21"/>
              </w:rPr>
            </w:pPr>
            <w:r>
              <w:rPr>
                <w:b/>
                <w:bCs/>
                <w:color w:val="auto"/>
                <w:sz w:val="21"/>
                <w:szCs w:val="21"/>
              </w:rPr>
              <w:t>表3</w:t>
            </w:r>
            <w:r>
              <w:rPr>
                <w:rFonts w:hint="eastAsia"/>
                <w:b/>
                <w:bCs/>
                <w:color w:val="auto"/>
                <w:sz w:val="21"/>
                <w:szCs w:val="21"/>
              </w:rPr>
              <w:t>-1</w:t>
            </w:r>
            <w:r>
              <w:rPr>
                <w:rFonts w:hint="eastAsia"/>
                <w:b/>
                <w:bCs/>
                <w:color w:val="auto"/>
                <w:sz w:val="21"/>
                <w:szCs w:val="21"/>
                <w:lang w:val="en-US" w:eastAsia="zh-CN"/>
              </w:rPr>
              <w:t>3</w:t>
            </w:r>
            <w:r>
              <w:rPr>
                <w:b/>
                <w:bCs/>
                <w:color w:val="auto"/>
                <w:sz w:val="21"/>
                <w:szCs w:val="21"/>
              </w:rPr>
              <w:t xml:space="preserve"> 污水排放标准   单位：mg/L</w:t>
            </w:r>
          </w:p>
          <w:tbl>
            <w:tblPr>
              <w:tblStyle w:val="5"/>
              <w:tblW w:w="8470"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019"/>
              <w:gridCol w:w="904"/>
              <w:gridCol w:w="1033"/>
              <w:gridCol w:w="1282"/>
              <w:gridCol w:w="995"/>
              <w:gridCol w:w="777"/>
              <w:gridCol w:w="1460"/>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181" w:hRule="atLeast"/>
                <w:jc w:val="center"/>
              </w:trPr>
              <w:tc>
                <w:tcPr>
                  <w:tcW w:w="2019" w:type="dxa"/>
                  <w:vAlign w:val="center"/>
                </w:tcPr>
                <w:p>
                  <w:pPr>
                    <w:pStyle w:val="11"/>
                    <w:jc w:val="center"/>
                    <w:rPr>
                      <w:b/>
                      <w:bCs/>
                      <w:color w:val="auto"/>
                      <w:sz w:val="21"/>
                      <w:szCs w:val="21"/>
                    </w:rPr>
                  </w:pPr>
                  <w:r>
                    <w:rPr>
                      <w:b/>
                      <w:bCs/>
                      <w:color w:val="auto"/>
                      <w:sz w:val="21"/>
                      <w:szCs w:val="21"/>
                    </w:rPr>
                    <w:t>指标</w:t>
                  </w:r>
                </w:p>
              </w:tc>
              <w:tc>
                <w:tcPr>
                  <w:tcW w:w="904" w:type="dxa"/>
                  <w:vAlign w:val="center"/>
                </w:tcPr>
                <w:p>
                  <w:pPr>
                    <w:pStyle w:val="11"/>
                    <w:jc w:val="center"/>
                    <w:rPr>
                      <w:b/>
                      <w:bCs/>
                      <w:color w:val="auto"/>
                      <w:sz w:val="21"/>
                      <w:szCs w:val="21"/>
                    </w:rPr>
                  </w:pPr>
                  <w:r>
                    <w:rPr>
                      <w:b/>
                      <w:bCs/>
                      <w:color w:val="auto"/>
                      <w:sz w:val="21"/>
                      <w:szCs w:val="21"/>
                    </w:rPr>
                    <w:t>pH</w:t>
                  </w:r>
                </w:p>
              </w:tc>
              <w:tc>
                <w:tcPr>
                  <w:tcW w:w="1033" w:type="dxa"/>
                  <w:vAlign w:val="center"/>
                </w:tcPr>
                <w:p>
                  <w:pPr>
                    <w:pStyle w:val="11"/>
                    <w:jc w:val="center"/>
                    <w:rPr>
                      <w:b/>
                      <w:bCs/>
                      <w:color w:val="auto"/>
                      <w:sz w:val="21"/>
                      <w:szCs w:val="21"/>
                    </w:rPr>
                  </w:pPr>
                  <w:r>
                    <w:rPr>
                      <w:b/>
                      <w:bCs/>
                      <w:color w:val="auto"/>
                      <w:sz w:val="21"/>
                      <w:szCs w:val="21"/>
                    </w:rPr>
                    <w:t>COD</w:t>
                  </w:r>
                  <w:r>
                    <w:rPr>
                      <w:b/>
                      <w:bCs/>
                      <w:color w:val="auto"/>
                      <w:sz w:val="21"/>
                      <w:szCs w:val="21"/>
                      <w:vertAlign w:val="subscript"/>
                    </w:rPr>
                    <w:t>Cr</w:t>
                  </w:r>
                </w:p>
              </w:tc>
              <w:tc>
                <w:tcPr>
                  <w:tcW w:w="1282" w:type="dxa"/>
                  <w:vAlign w:val="center"/>
                </w:tcPr>
                <w:p>
                  <w:pPr>
                    <w:pStyle w:val="11"/>
                    <w:jc w:val="center"/>
                    <w:rPr>
                      <w:b/>
                      <w:bCs/>
                      <w:color w:val="auto"/>
                      <w:sz w:val="21"/>
                      <w:szCs w:val="21"/>
                    </w:rPr>
                  </w:pPr>
                  <w:r>
                    <w:rPr>
                      <w:b/>
                      <w:bCs/>
                      <w:color w:val="auto"/>
                      <w:sz w:val="21"/>
                      <w:szCs w:val="21"/>
                    </w:rPr>
                    <w:t>BOD</w:t>
                  </w:r>
                  <w:r>
                    <w:rPr>
                      <w:b/>
                      <w:bCs/>
                      <w:color w:val="auto"/>
                      <w:sz w:val="21"/>
                      <w:szCs w:val="21"/>
                      <w:vertAlign w:val="subscript"/>
                    </w:rPr>
                    <w:t>5</w:t>
                  </w:r>
                </w:p>
              </w:tc>
              <w:tc>
                <w:tcPr>
                  <w:tcW w:w="995" w:type="dxa"/>
                  <w:vAlign w:val="center"/>
                </w:tcPr>
                <w:p>
                  <w:pPr>
                    <w:pStyle w:val="11"/>
                    <w:jc w:val="center"/>
                    <w:rPr>
                      <w:b/>
                      <w:bCs/>
                      <w:color w:val="auto"/>
                      <w:sz w:val="21"/>
                      <w:szCs w:val="21"/>
                    </w:rPr>
                  </w:pPr>
                  <w:r>
                    <w:rPr>
                      <w:b/>
                      <w:bCs/>
                      <w:color w:val="auto"/>
                      <w:sz w:val="21"/>
                      <w:szCs w:val="21"/>
                    </w:rPr>
                    <w:t>氨氮</w:t>
                  </w:r>
                </w:p>
              </w:tc>
              <w:tc>
                <w:tcPr>
                  <w:tcW w:w="777" w:type="dxa"/>
                  <w:vAlign w:val="center"/>
                </w:tcPr>
                <w:p>
                  <w:pPr>
                    <w:pStyle w:val="11"/>
                    <w:jc w:val="center"/>
                    <w:rPr>
                      <w:b/>
                      <w:bCs/>
                      <w:color w:val="auto"/>
                      <w:sz w:val="21"/>
                      <w:szCs w:val="21"/>
                    </w:rPr>
                  </w:pPr>
                  <w:r>
                    <w:rPr>
                      <w:b/>
                      <w:bCs/>
                      <w:color w:val="auto"/>
                      <w:sz w:val="21"/>
                      <w:szCs w:val="21"/>
                    </w:rPr>
                    <w:t>SS</w:t>
                  </w:r>
                </w:p>
              </w:tc>
              <w:tc>
                <w:tcPr>
                  <w:tcW w:w="1460" w:type="dxa"/>
                  <w:vAlign w:val="center"/>
                </w:tcPr>
                <w:p>
                  <w:pPr>
                    <w:pStyle w:val="11"/>
                    <w:jc w:val="center"/>
                    <w:rPr>
                      <w:b/>
                      <w:bCs/>
                      <w:color w:val="auto"/>
                      <w:sz w:val="21"/>
                      <w:szCs w:val="21"/>
                    </w:rPr>
                  </w:pPr>
                  <w:r>
                    <w:rPr>
                      <w:b/>
                      <w:bCs/>
                      <w:color w:val="auto"/>
                      <w:sz w:val="21"/>
                      <w:szCs w:val="21"/>
                    </w:rPr>
                    <w:t>动植物油</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019" w:type="dxa"/>
                  <w:vAlign w:val="center"/>
                </w:tcPr>
                <w:p>
                  <w:pPr>
                    <w:pStyle w:val="11"/>
                    <w:jc w:val="center"/>
                    <w:rPr>
                      <w:color w:val="auto"/>
                      <w:sz w:val="21"/>
                      <w:szCs w:val="21"/>
                    </w:rPr>
                  </w:pPr>
                  <w:r>
                    <w:rPr>
                      <w:color w:val="auto"/>
                      <w:sz w:val="21"/>
                      <w:szCs w:val="21"/>
                    </w:rPr>
                    <w:t>最高允许排放浓度</w:t>
                  </w:r>
                </w:p>
              </w:tc>
              <w:tc>
                <w:tcPr>
                  <w:tcW w:w="904" w:type="dxa"/>
                  <w:vAlign w:val="center"/>
                </w:tcPr>
                <w:p>
                  <w:pPr>
                    <w:pStyle w:val="11"/>
                    <w:jc w:val="center"/>
                    <w:rPr>
                      <w:color w:val="auto"/>
                      <w:sz w:val="21"/>
                      <w:szCs w:val="21"/>
                    </w:rPr>
                  </w:pPr>
                  <w:r>
                    <w:rPr>
                      <w:color w:val="auto"/>
                      <w:sz w:val="21"/>
                      <w:szCs w:val="21"/>
                    </w:rPr>
                    <w:t>6~9</w:t>
                  </w:r>
                </w:p>
              </w:tc>
              <w:tc>
                <w:tcPr>
                  <w:tcW w:w="1033" w:type="dxa"/>
                  <w:vAlign w:val="center"/>
                </w:tcPr>
                <w:p>
                  <w:pPr>
                    <w:pStyle w:val="11"/>
                    <w:jc w:val="center"/>
                    <w:rPr>
                      <w:color w:val="auto"/>
                      <w:sz w:val="21"/>
                      <w:szCs w:val="21"/>
                    </w:rPr>
                  </w:pPr>
                  <w:r>
                    <w:rPr>
                      <w:color w:val="auto"/>
                      <w:sz w:val="21"/>
                      <w:szCs w:val="21"/>
                    </w:rPr>
                    <w:t>500</w:t>
                  </w:r>
                </w:p>
              </w:tc>
              <w:tc>
                <w:tcPr>
                  <w:tcW w:w="1282" w:type="dxa"/>
                  <w:vAlign w:val="center"/>
                </w:tcPr>
                <w:p>
                  <w:pPr>
                    <w:pStyle w:val="11"/>
                    <w:jc w:val="center"/>
                    <w:rPr>
                      <w:color w:val="auto"/>
                      <w:sz w:val="21"/>
                      <w:szCs w:val="21"/>
                    </w:rPr>
                  </w:pPr>
                  <w:r>
                    <w:rPr>
                      <w:color w:val="auto"/>
                      <w:sz w:val="21"/>
                      <w:szCs w:val="21"/>
                    </w:rPr>
                    <w:t>300</w:t>
                  </w:r>
                </w:p>
              </w:tc>
              <w:tc>
                <w:tcPr>
                  <w:tcW w:w="995" w:type="dxa"/>
                  <w:vAlign w:val="center"/>
                </w:tcPr>
                <w:p>
                  <w:pPr>
                    <w:pStyle w:val="11"/>
                    <w:jc w:val="center"/>
                    <w:rPr>
                      <w:color w:val="auto"/>
                      <w:sz w:val="21"/>
                      <w:szCs w:val="21"/>
                    </w:rPr>
                  </w:pPr>
                  <w:r>
                    <w:rPr>
                      <w:rFonts w:hint="eastAsia"/>
                      <w:color w:val="auto"/>
                      <w:sz w:val="21"/>
                      <w:szCs w:val="21"/>
                    </w:rPr>
                    <w:t>45</w:t>
                  </w:r>
                </w:p>
              </w:tc>
              <w:tc>
                <w:tcPr>
                  <w:tcW w:w="777" w:type="dxa"/>
                  <w:vAlign w:val="center"/>
                </w:tcPr>
                <w:p>
                  <w:pPr>
                    <w:pStyle w:val="11"/>
                    <w:jc w:val="center"/>
                    <w:rPr>
                      <w:color w:val="auto"/>
                      <w:sz w:val="21"/>
                      <w:szCs w:val="21"/>
                    </w:rPr>
                  </w:pPr>
                  <w:r>
                    <w:rPr>
                      <w:color w:val="auto"/>
                      <w:sz w:val="21"/>
                      <w:szCs w:val="21"/>
                    </w:rPr>
                    <w:t>400</w:t>
                  </w:r>
                </w:p>
              </w:tc>
              <w:tc>
                <w:tcPr>
                  <w:tcW w:w="1460" w:type="dxa"/>
                  <w:vAlign w:val="center"/>
                </w:tcPr>
                <w:p>
                  <w:pPr>
                    <w:pStyle w:val="11"/>
                    <w:jc w:val="center"/>
                    <w:rPr>
                      <w:color w:val="auto"/>
                      <w:sz w:val="21"/>
                      <w:szCs w:val="21"/>
                    </w:rPr>
                  </w:pPr>
                  <w:r>
                    <w:rPr>
                      <w:color w:val="auto"/>
                      <w:sz w:val="21"/>
                      <w:szCs w:val="21"/>
                    </w:rPr>
                    <w:t>100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470" w:type="dxa"/>
                  <w:gridSpan w:val="7"/>
                  <w:vAlign w:val="center"/>
                </w:tcPr>
                <w:p>
                  <w:pPr>
                    <w:pStyle w:val="11"/>
                    <w:jc w:val="both"/>
                    <w:rPr>
                      <w:color w:val="auto"/>
                      <w:sz w:val="21"/>
                      <w:szCs w:val="21"/>
                    </w:rPr>
                  </w:pPr>
                  <w:r>
                    <w:rPr>
                      <w:rFonts w:hint="eastAsia"/>
                      <w:color w:val="auto"/>
                      <w:sz w:val="21"/>
                      <w:szCs w:val="21"/>
                    </w:rPr>
                    <w:t>注：氨氮参考《污水排入城镇下水道水质标准》中相关标准；</w:t>
                  </w:r>
                </w:p>
              </w:tc>
            </w:tr>
          </w:tbl>
          <w:p>
            <w:pPr>
              <w:adjustRightInd w:val="0"/>
              <w:snapToGrid w:val="0"/>
              <w:ind w:firstLine="480"/>
              <w:rPr>
                <w:color w:val="auto"/>
                <w:kern w:val="0"/>
                <w:szCs w:val="21"/>
              </w:rPr>
            </w:pPr>
            <w:r>
              <w:rPr>
                <w:rFonts w:hint="eastAsia"/>
                <w:color w:val="auto"/>
                <w:kern w:val="0"/>
                <w:szCs w:val="21"/>
              </w:rPr>
              <w:t>污水处理厂排放标准执行</w:t>
            </w:r>
            <w:r>
              <w:rPr>
                <w:rFonts w:hint="eastAsia"/>
                <w:snapToGrid w:val="0"/>
                <w:color w:val="auto"/>
                <w:spacing w:val="0"/>
                <w:kern w:val="0"/>
                <w:position w:val="0"/>
                <w:sz w:val="24"/>
                <w:szCs w:val="24"/>
              </w:rPr>
              <w:t>《城镇污水处理厂污染物排放标准》（GB18918-2002）一级A标</w:t>
            </w:r>
            <w:r>
              <w:rPr>
                <w:rFonts w:hint="eastAsia"/>
                <w:color w:val="auto"/>
                <w:kern w:val="0"/>
                <w:szCs w:val="21"/>
              </w:rPr>
              <w:t>出水限值要求</w:t>
            </w:r>
            <w:r>
              <w:rPr>
                <w:color w:val="auto"/>
                <w:kern w:val="0"/>
                <w:szCs w:val="21"/>
              </w:rPr>
              <w:t>，具体限值见表</w:t>
            </w:r>
            <w:r>
              <w:rPr>
                <w:rFonts w:hint="eastAsia"/>
                <w:color w:val="auto"/>
                <w:kern w:val="0"/>
                <w:szCs w:val="21"/>
              </w:rPr>
              <w:t>3-1</w:t>
            </w:r>
            <w:r>
              <w:rPr>
                <w:rFonts w:hint="eastAsia"/>
                <w:color w:val="auto"/>
                <w:kern w:val="0"/>
                <w:szCs w:val="21"/>
                <w:lang w:val="en-US" w:eastAsia="zh-CN"/>
              </w:rPr>
              <w:t>8</w:t>
            </w:r>
            <w:r>
              <w:rPr>
                <w:color w:val="auto"/>
                <w:kern w:val="0"/>
                <w:szCs w:val="21"/>
              </w:rPr>
              <w:t>。</w:t>
            </w:r>
          </w:p>
          <w:p>
            <w:pPr>
              <w:pStyle w:val="11"/>
              <w:jc w:val="center"/>
              <w:rPr>
                <w:b/>
                <w:bCs/>
                <w:color w:val="auto"/>
              </w:rPr>
            </w:pPr>
            <w:r>
              <w:rPr>
                <w:b/>
                <w:bCs/>
                <w:color w:val="auto"/>
                <w:sz w:val="21"/>
                <w:szCs w:val="21"/>
              </w:rPr>
              <w:t>表</w:t>
            </w:r>
            <w:r>
              <w:rPr>
                <w:rFonts w:hint="eastAsia"/>
                <w:b/>
                <w:bCs/>
                <w:color w:val="auto"/>
                <w:sz w:val="21"/>
                <w:szCs w:val="21"/>
              </w:rPr>
              <w:t>3</w:t>
            </w:r>
            <w:r>
              <w:rPr>
                <w:b/>
                <w:bCs/>
                <w:color w:val="auto"/>
                <w:sz w:val="21"/>
                <w:szCs w:val="21"/>
              </w:rPr>
              <w:t>-</w:t>
            </w:r>
            <w:r>
              <w:rPr>
                <w:rFonts w:hint="eastAsia"/>
                <w:b/>
                <w:bCs/>
                <w:color w:val="auto"/>
                <w:sz w:val="21"/>
                <w:szCs w:val="21"/>
              </w:rPr>
              <w:t>1</w:t>
            </w:r>
            <w:r>
              <w:rPr>
                <w:rFonts w:hint="eastAsia"/>
                <w:b/>
                <w:bCs/>
                <w:color w:val="auto"/>
                <w:sz w:val="21"/>
                <w:szCs w:val="21"/>
                <w:lang w:val="en-US" w:eastAsia="zh-CN"/>
              </w:rPr>
              <w:t xml:space="preserve">4  </w:t>
            </w:r>
            <w:r>
              <w:rPr>
                <w:b/>
                <w:bCs/>
                <w:color w:val="auto"/>
                <w:sz w:val="21"/>
                <w:szCs w:val="21"/>
              </w:rPr>
              <w:t>《</w:t>
            </w:r>
            <w:r>
              <w:rPr>
                <w:rFonts w:hint="eastAsia"/>
                <w:b/>
                <w:bCs/>
                <w:snapToGrid w:val="0"/>
                <w:color w:val="auto"/>
                <w:spacing w:val="0"/>
                <w:kern w:val="0"/>
                <w:position w:val="0"/>
                <w:sz w:val="21"/>
                <w:szCs w:val="21"/>
              </w:rPr>
              <w:t>城镇污水处理厂污染物排放标准</w:t>
            </w:r>
            <w:r>
              <w:rPr>
                <w:b/>
                <w:bCs/>
                <w:color w:val="auto"/>
                <w:sz w:val="21"/>
                <w:szCs w:val="21"/>
              </w:rPr>
              <w:t xml:space="preserve">》  </w:t>
            </w:r>
            <w:r>
              <w:rPr>
                <w:b/>
                <w:bCs/>
                <w:color w:val="auto"/>
              </w:rPr>
              <w:t>单位：mg/L，pH无量纲</w:t>
            </w:r>
          </w:p>
          <w:tbl>
            <w:tblPr>
              <w:tblStyle w:val="5"/>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415"/>
              <w:gridCol w:w="1459"/>
              <w:gridCol w:w="1397"/>
              <w:gridCol w:w="875"/>
              <w:gridCol w:w="1186"/>
              <w:gridCol w:w="110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15" w:type="dxa"/>
                  <w:vAlign w:val="center"/>
                </w:tcPr>
                <w:p>
                  <w:pPr>
                    <w:pStyle w:val="11"/>
                    <w:jc w:val="center"/>
                    <w:rPr>
                      <w:color w:val="auto"/>
                    </w:rPr>
                  </w:pPr>
                  <w:r>
                    <w:rPr>
                      <w:color w:val="auto"/>
                    </w:rPr>
                    <w:t>项目名称</w:t>
                  </w:r>
                </w:p>
              </w:tc>
              <w:tc>
                <w:tcPr>
                  <w:tcW w:w="1459" w:type="dxa"/>
                  <w:vAlign w:val="center"/>
                </w:tcPr>
                <w:p>
                  <w:pPr>
                    <w:pStyle w:val="11"/>
                    <w:jc w:val="center"/>
                    <w:rPr>
                      <w:color w:val="auto"/>
                    </w:rPr>
                  </w:pPr>
                  <w:r>
                    <w:rPr>
                      <w:color w:val="auto"/>
                    </w:rPr>
                    <w:t>COD</w:t>
                  </w:r>
                  <w:r>
                    <w:rPr>
                      <w:rFonts w:hint="eastAsia"/>
                      <w:color w:val="auto"/>
                      <w:vertAlign w:val="subscript"/>
                    </w:rPr>
                    <w:t>C</w:t>
                  </w:r>
                  <w:r>
                    <w:rPr>
                      <w:color w:val="auto"/>
                      <w:vertAlign w:val="subscript"/>
                    </w:rPr>
                    <w:t>r</w:t>
                  </w:r>
                </w:p>
              </w:tc>
              <w:tc>
                <w:tcPr>
                  <w:tcW w:w="1397" w:type="dxa"/>
                  <w:vAlign w:val="center"/>
                </w:tcPr>
                <w:p>
                  <w:pPr>
                    <w:pStyle w:val="11"/>
                    <w:jc w:val="center"/>
                    <w:rPr>
                      <w:color w:val="auto"/>
                    </w:rPr>
                  </w:pPr>
                  <w:r>
                    <w:rPr>
                      <w:color w:val="auto"/>
                    </w:rPr>
                    <w:t>BOD</w:t>
                  </w:r>
                  <w:r>
                    <w:rPr>
                      <w:color w:val="auto"/>
                      <w:vertAlign w:val="subscript"/>
                    </w:rPr>
                    <w:t>5</w:t>
                  </w:r>
                </w:p>
              </w:tc>
              <w:tc>
                <w:tcPr>
                  <w:tcW w:w="875" w:type="dxa"/>
                  <w:vAlign w:val="center"/>
                </w:tcPr>
                <w:p>
                  <w:pPr>
                    <w:pStyle w:val="11"/>
                    <w:jc w:val="center"/>
                    <w:rPr>
                      <w:color w:val="auto"/>
                    </w:rPr>
                  </w:pPr>
                  <w:r>
                    <w:rPr>
                      <w:color w:val="auto"/>
                    </w:rPr>
                    <w:t>NH</w:t>
                  </w:r>
                  <w:r>
                    <w:rPr>
                      <w:color w:val="auto"/>
                      <w:vertAlign w:val="subscript"/>
                    </w:rPr>
                    <w:t>3</w:t>
                  </w:r>
                  <w:r>
                    <w:rPr>
                      <w:color w:val="auto"/>
                    </w:rPr>
                    <w:t>-N</w:t>
                  </w:r>
                </w:p>
              </w:tc>
              <w:tc>
                <w:tcPr>
                  <w:tcW w:w="1186" w:type="dxa"/>
                  <w:vAlign w:val="center"/>
                </w:tcPr>
                <w:p>
                  <w:pPr>
                    <w:pStyle w:val="11"/>
                    <w:jc w:val="center"/>
                    <w:rPr>
                      <w:color w:val="auto"/>
                    </w:rPr>
                  </w:pPr>
                  <w:r>
                    <w:rPr>
                      <w:rFonts w:hint="eastAsia"/>
                      <w:color w:val="auto"/>
                    </w:rPr>
                    <w:t>TN</w:t>
                  </w:r>
                </w:p>
              </w:tc>
              <w:tc>
                <w:tcPr>
                  <w:tcW w:w="1105" w:type="dxa"/>
                  <w:vAlign w:val="center"/>
                </w:tcPr>
                <w:p>
                  <w:pPr>
                    <w:pStyle w:val="11"/>
                    <w:jc w:val="center"/>
                    <w:rPr>
                      <w:color w:val="auto"/>
                    </w:rPr>
                  </w:pPr>
                  <w:r>
                    <w:rPr>
                      <w:rFonts w:hint="eastAsia"/>
                      <w:color w:val="auto"/>
                    </w:rPr>
                    <w:t>TP</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15" w:type="dxa"/>
                  <w:vAlign w:val="center"/>
                </w:tcPr>
                <w:p>
                  <w:pPr>
                    <w:pStyle w:val="11"/>
                    <w:jc w:val="center"/>
                    <w:rPr>
                      <w:color w:val="auto"/>
                    </w:rPr>
                  </w:pPr>
                  <w:r>
                    <w:rPr>
                      <w:color w:val="auto"/>
                    </w:rPr>
                    <w:t>标准（mg/L）</w:t>
                  </w:r>
                </w:p>
              </w:tc>
              <w:tc>
                <w:tcPr>
                  <w:tcW w:w="1459" w:type="dxa"/>
                  <w:vAlign w:val="center"/>
                </w:tcPr>
                <w:p>
                  <w:pPr>
                    <w:pStyle w:val="11"/>
                    <w:jc w:val="center"/>
                    <w:rPr>
                      <w:rFonts w:hint="default" w:eastAsia="宋体"/>
                      <w:color w:val="auto"/>
                      <w:lang w:val="en-US" w:eastAsia="zh-CN"/>
                    </w:rPr>
                  </w:pPr>
                  <w:r>
                    <w:rPr>
                      <w:rFonts w:hint="eastAsia"/>
                      <w:color w:val="auto"/>
                      <w:lang w:val="en-US" w:eastAsia="zh-CN"/>
                    </w:rPr>
                    <w:t>50</w:t>
                  </w:r>
                </w:p>
              </w:tc>
              <w:tc>
                <w:tcPr>
                  <w:tcW w:w="1397" w:type="dxa"/>
                  <w:vAlign w:val="center"/>
                </w:tcPr>
                <w:p>
                  <w:pPr>
                    <w:pStyle w:val="11"/>
                    <w:jc w:val="center"/>
                    <w:rPr>
                      <w:color w:val="auto"/>
                    </w:rPr>
                  </w:pPr>
                  <w:r>
                    <w:rPr>
                      <w:color w:val="auto"/>
                    </w:rPr>
                    <w:t>10</w:t>
                  </w:r>
                </w:p>
              </w:tc>
              <w:tc>
                <w:tcPr>
                  <w:tcW w:w="875" w:type="dxa"/>
                  <w:vAlign w:val="center"/>
                </w:tcPr>
                <w:p>
                  <w:pPr>
                    <w:pStyle w:val="11"/>
                    <w:jc w:val="center"/>
                    <w:rPr>
                      <w:rFonts w:hint="eastAsia" w:eastAsia="宋体"/>
                      <w:color w:val="auto"/>
                      <w:lang w:eastAsia="zh-CN"/>
                    </w:rPr>
                  </w:pPr>
                  <w:r>
                    <w:rPr>
                      <w:rFonts w:hint="eastAsia"/>
                      <w:color w:val="auto"/>
                      <w:lang w:val="en-US" w:eastAsia="zh-CN"/>
                    </w:rPr>
                    <w:t>5</w:t>
                  </w:r>
                </w:p>
              </w:tc>
              <w:tc>
                <w:tcPr>
                  <w:tcW w:w="1186" w:type="dxa"/>
                  <w:vAlign w:val="center"/>
                </w:tcPr>
                <w:p>
                  <w:pPr>
                    <w:pStyle w:val="11"/>
                    <w:jc w:val="center"/>
                    <w:rPr>
                      <w:color w:val="auto"/>
                    </w:rPr>
                  </w:pPr>
                  <w:r>
                    <w:rPr>
                      <w:rFonts w:hint="eastAsia"/>
                      <w:color w:val="auto"/>
                    </w:rPr>
                    <w:t>15</w:t>
                  </w:r>
                </w:p>
              </w:tc>
              <w:tc>
                <w:tcPr>
                  <w:tcW w:w="1105" w:type="dxa"/>
                  <w:vAlign w:val="center"/>
                </w:tcPr>
                <w:p>
                  <w:pPr>
                    <w:pStyle w:val="11"/>
                    <w:jc w:val="center"/>
                    <w:rPr>
                      <w:color w:val="auto"/>
                    </w:rPr>
                  </w:pPr>
                  <w:r>
                    <w:rPr>
                      <w:rFonts w:hint="eastAsia"/>
                      <w:color w:val="auto"/>
                    </w:rPr>
                    <w:t>0.5</w:t>
                  </w:r>
                </w:p>
              </w:tc>
            </w:tr>
          </w:tbl>
          <w:p>
            <w:pPr>
              <w:pStyle w:val="11"/>
              <w:jc w:val="center"/>
              <w:rPr>
                <w:color w:val="auto"/>
              </w:rPr>
            </w:pPr>
          </w:p>
          <w:p>
            <w:pPr>
              <w:adjustRightInd w:val="0"/>
              <w:snapToGrid w:val="0"/>
              <w:ind w:firstLine="482"/>
              <w:rPr>
                <w:b/>
                <w:bCs/>
                <w:color w:val="auto"/>
                <w:kern w:val="0"/>
                <w:szCs w:val="21"/>
              </w:rPr>
            </w:pPr>
            <w:r>
              <w:rPr>
                <w:b/>
                <w:bCs/>
                <w:color w:val="auto"/>
                <w:kern w:val="0"/>
                <w:szCs w:val="21"/>
              </w:rPr>
              <w:t>4、固体废物排放标准</w:t>
            </w:r>
          </w:p>
          <w:p>
            <w:pPr>
              <w:adjustRightInd w:val="0"/>
              <w:snapToGrid w:val="0"/>
              <w:ind w:firstLine="480"/>
              <w:rPr>
                <w:color w:val="auto"/>
                <w:kern w:val="0"/>
                <w:szCs w:val="21"/>
              </w:rPr>
            </w:pPr>
            <w:r>
              <w:rPr>
                <w:color w:val="auto"/>
                <w:kern w:val="0"/>
                <w:szCs w:val="21"/>
              </w:rPr>
              <w:t>一般固体废物执行《一般工业固体废物贮存、处置场污染控制标准》（GB18599-2020）相应标准。危险固废执行《危险废物贮存污染物控制标准》（GB18597-2001）及其修改单（2013）。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30" w:hRule="atLeast"/>
          <w:jc w:val="center"/>
        </w:trPr>
        <w:tc>
          <w:tcPr>
            <w:tcW w:w="800" w:type="dxa"/>
            <w:vAlign w:val="center"/>
          </w:tcPr>
          <w:p>
            <w:pPr>
              <w:pStyle w:val="11"/>
              <w:spacing w:line="360" w:lineRule="auto"/>
              <w:jc w:val="center"/>
              <w:rPr>
                <w:b/>
                <w:bCs/>
                <w:color w:val="auto"/>
                <w:sz w:val="24"/>
                <w:szCs w:val="24"/>
              </w:rPr>
            </w:pPr>
            <w:r>
              <w:rPr>
                <w:b/>
                <w:bCs/>
                <w:color w:val="auto"/>
                <w:sz w:val="24"/>
                <w:szCs w:val="24"/>
              </w:rPr>
              <w:t>总量</w:t>
            </w:r>
          </w:p>
          <w:p>
            <w:pPr>
              <w:pStyle w:val="11"/>
              <w:spacing w:line="360" w:lineRule="auto"/>
              <w:jc w:val="center"/>
              <w:rPr>
                <w:b/>
                <w:bCs/>
                <w:color w:val="auto"/>
                <w:sz w:val="24"/>
                <w:szCs w:val="24"/>
              </w:rPr>
            </w:pPr>
            <w:r>
              <w:rPr>
                <w:b/>
                <w:bCs/>
                <w:color w:val="auto"/>
                <w:sz w:val="24"/>
                <w:szCs w:val="24"/>
              </w:rPr>
              <w:t>控制</w:t>
            </w:r>
          </w:p>
          <w:p>
            <w:pPr>
              <w:pStyle w:val="11"/>
              <w:spacing w:line="360" w:lineRule="auto"/>
              <w:jc w:val="center"/>
              <w:rPr>
                <w:color w:val="auto"/>
              </w:rPr>
            </w:pPr>
            <w:r>
              <w:rPr>
                <w:b/>
                <w:bCs/>
                <w:color w:val="auto"/>
                <w:sz w:val="24"/>
                <w:szCs w:val="24"/>
              </w:rPr>
              <w:t>指标</w:t>
            </w:r>
          </w:p>
        </w:tc>
        <w:tc>
          <w:tcPr>
            <w:tcW w:w="9001" w:type="dxa"/>
            <w:vAlign w:val="center"/>
          </w:tcPr>
          <w:p>
            <w:pPr>
              <w:ind w:firstLine="480"/>
              <w:rPr>
                <w:color w:val="auto"/>
              </w:rPr>
            </w:pPr>
            <w:r>
              <w:rPr>
                <w:color w:val="auto"/>
              </w:rPr>
              <w:t>根据项目特点，本项目生活污水进入</w:t>
            </w:r>
            <w:r>
              <w:rPr>
                <w:rFonts w:hint="eastAsia"/>
                <w:color w:val="auto"/>
              </w:rPr>
              <w:t>园区管网</w:t>
            </w:r>
            <w:r>
              <w:rPr>
                <w:color w:val="auto"/>
              </w:rPr>
              <w:t>后由污水处理厂处理，不</w:t>
            </w:r>
            <w:r>
              <w:rPr>
                <w:rFonts w:hint="eastAsia"/>
                <w:color w:val="auto"/>
              </w:rPr>
              <w:t>直接</w:t>
            </w:r>
            <w:r>
              <w:rPr>
                <w:color w:val="auto"/>
              </w:rPr>
              <w:t>外排入地表水体。该项目主要大气污染物为</w:t>
            </w:r>
            <w:r>
              <w:rPr>
                <w:rFonts w:hint="eastAsia"/>
                <w:color w:val="auto"/>
              </w:rPr>
              <w:t>VOCs等污染物</w:t>
            </w:r>
            <w:r>
              <w:rPr>
                <w:color w:val="auto"/>
              </w:rPr>
              <w:t>，不涉及二氧化硫和氨氮化合物的总量指标，根据本项目的具体情况，建议本项目设置总量控制指标如下：</w:t>
            </w:r>
          </w:p>
          <w:p>
            <w:pPr>
              <w:ind w:firstLine="482"/>
              <w:rPr>
                <w:b/>
                <w:bCs/>
                <w:color w:val="auto"/>
                <w:u w:val="single"/>
              </w:rPr>
            </w:pPr>
            <w:r>
              <w:rPr>
                <w:rFonts w:hint="eastAsia"/>
                <w:b/>
                <w:bCs/>
                <w:color w:val="auto"/>
                <w:u w:val="single"/>
              </w:rPr>
              <w:t>废气</w:t>
            </w:r>
          </w:p>
          <w:p>
            <w:pPr>
              <w:ind w:firstLine="482"/>
              <w:rPr>
                <w:rFonts w:hint="eastAsia"/>
                <w:color w:val="auto"/>
              </w:rPr>
            </w:pPr>
            <w:r>
              <w:rPr>
                <w:rFonts w:hint="eastAsia"/>
                <w:color w:val="auto"/>
                <w:lang w:val="en-US" w:eastAsia="zh-CN"/>
              </w:rPr>
              <w:t>有组织</w:t>
            </w:r>
            <w:r>
              <w:rPr>
                <w:rFonts w:hint="eastAsia"/>
                <w:color w:val="auto"/>
              </w:rPr>
              <w:t>VOCs：</w:t>
            </w:r>
            <w:r>
              <w:rPr>
                <w:rFonts w:hint="eastAsia"/>
                <w:color w:val="auto"/>
                <w:lang w:val="en-US" w:eastAsia="zh-CN"/>
              </w:rPr>
              <w:t>2.64</w:t>
            </w:r>
            <w:r>
              <w:rPr>
                <w:rFonts w:hint="eastAsia"/>
                <w:color w:val="auto"/>
              </w:rPr>
              <w:t>t/a</w:t>
            </w:r>
            <w:r>
              <w:rPr>
                <w:rFonts w:hint="eastAsia"/>
                <w:color w:val="auto"/>
                <w:lang w:val="en-US" w:eastAsia="zh-CN"/>
              </w:rPr>
              <w:t>×0.9×0.1</w:t>
            </w:r>
            <w:r>
              <w:rPr>
                <w:rFonts w:hint="eastAsia"/>
                <w:color w:val="auto"/>
              </w:rPr>
              <w:t>=</w:t>
            </w:r>
            <w:r>
              <w:rPr>
                <w:rFonts w:hint="eastAsia"/>
                <w:color w:val="auto"/>
                <w:lang w:eastAsia="zh-CN"/>
              </w:rPr>
              <w:t>0.24t/a</w:t>
            </w:r>
            <w:r>
              <w:rPr>
                <w:rFonts w:hint="eastAsia"/>
                <w:color w:val="auto"/>
              </w:rPr>
              <w:t>。</w:t>
            </w:r>
          </w:p>
          <w:p>
            <w:pPr>
              <w:ind w:firstLine="482"/>
              <w:rPr>
                <w:rFonts w:hint="eastAsia"/>
                <w:color w:val="auto"/>
              </w:rPr>
            </w:pPr>
            <w:r>
              <w:rPr>
                <w:rFonts w:hint="eastAsia"/>
                <w:color w:val="auto"/>
                <w:lang w:val="en-US" w:eastAsia="zh-CN"/>
              </w:rPr>
              <w:t>无组织</w:t>
            </w:r>
            <w:r>
              <w:rPr>
                <w:rFonts w:hint="eastAsia"/>
                <w:color w:val="auto"/>
              </w:rPr>
              <w:t>VOCs：</w:t>
            </w:r>
            <w:r>
              <w:rPr>
                <w:rFonts w:hint="eastAsia"/>
                <w:color w:val="auto"/>
                <w:lang w:val="en-US" w:eastAsia="zh-CN"/>
              </w:rPr>
              <w:t>2.64</w:t>
            </w:r>
            <w:r>
              <w:rPr>
                <w:rFonts w:hint="eastAsia"/>
                <w:color w:val="auto"/>
              </w:rPr>
              <w:t>t/a</w:t>
            </w:r>
            <w:r>
              <w:rPr>
                <w:rFonts w:hint="eastAsia"/>
                <w:color w:val="auto"/>
                <w:lang w:val="en-US" w:eastAsia="zh-CN"/>
              </w:rPr>
              <w:t>×0.1</w:t>
            </w:r>
            <w:r>
              <w:rPr>
                <w:rFonts w:hint="eastAsia"/>
                <w:color w:val="auto"/>
              </w:rPr>
              <w:t>=0.</w:t>
            </w:r>
            <w:r>
              <w:rPr>
                <w:rFonts w:hint="eastAsia"/>
                <w:color w:val="auto"/>
                <w:lang w:val="en-US" w:eastAsia="zh-CN"/>
              </w:rPr>
              <w:t>26</w:t>
            </w:r>
            <w:r>
              <w:rPr>
                <w:rFonts w:hint="eastAsia"/>
                <w:color w:val="auto"/>
              </w:rPr>
              <w:t>t/a。</w:t>
            </w:r>
          </w:p>
          <w:p>
            <w:pPr>
              <w:ind w:firstLine="482"/>
              <w:rPr>
                <w:b/>
                <w:bCs/>
                <w:color w:val="auto"/>
              </w:rPr>
            </w:pPr>
            <w:r>
              <w:rPr>
                <w:b/>
                <w:bCs/>
                <w:color w:val="auto"/>
              </w:rPr>
              <w:t>废水：</w:t>
            </w:r>
          </w:p>
          <w:p>
            <w:pPr>
              <w:ind w:firstLine="480"/>
              <w:rPr>
                <w:rFonts w:hint="default"/>
                <w:color w:val="auto"/>
              </w:rPr>
            </w:pPr>
            <w:r>
              <w:rPr>
                <w:rFonts w:hint="default"/>
                <w:color w:val="auto"/>
              </w:rPr>
              <w:t>进入园区工业污水处理厂前</w:t>
            </w:r>
          </w:p>
          <w:p>
            <w:pPr>
              <w:ind w:firstLine="480"/>
              <w:rPr>
                <w:rFonts w:hint="default"/>
                <w:color w:val="auto"/>
              </w:rPr>
            </w:pPr>
            <w:r>
              <w:rPr>
                <w:rFonts w:hint="default"/>
                <w:color w:val="auto"/>
              </w:rPr>
              <w:t>COD</w:t>
            </w:r>
            <w:r>
              <w:rPr>
                <w:rFonts w:hint="default"/>
                <w:color w:val="auto"/>
                <w:lang w:val="en-US" w:eastAsia="zh-CN"/>
              </w:rPr>
              <w:t>C</w:t>
            </w:r>
            <w:r>
              <w:rPr>
                <w:rFonts w:hint="default"/>
                <w:color w:val="auto"/>
              </w:rPr>
              <w:t>r：</w:t>
            </w:r>
            <w:r>
              <w:rPr>
                <w:rFonts w:hint="default"/>
                <w:color w:val="auto"/>
                <w:lang w:eastAsia="zh-CN"/>
              </w:rPr>
              <w:t>323</w:t>
            </w:r>
            <w:r>
              <w:rPr>
                <w:rFonts w:hint="default"/>
                <w:color w:val="auto"/>
              </w:rPr>
              <w:t>m3/a×500mg/L=0.</w:t>
            </w:r>
            <w:r>
              <w:rPr>
                <w:rFonts w:hint="default"/>
                <w:color w:val="auto"/>
                <w:lang w:val="en-US" w:eastAsia="zh-CN"/>
              </w:rPr>
              <w:t>161</w:t>
            </w:r>
            <w:r>
              <w:rPr>
                <w:rFonts w:hint="default"/>
                <w:color w:val="auto"/>
              </w:rPr>
              <w:t>t/a；NH3-N：</w:t>
            </w:r>
            <w:r>
              <w:rPr>
                <w:rFonts w:hint="default"/>
                <w:color w:val="auto"/>
                <w:lang w:eastAsia="zh-CN"/>
              </w:rPr>
              <w:t>323</w:t>
            </w:r>
            <w:r>
              <w:rPr>
                <w:rFonts w:hint="default"/>
                <w:color w:val="auto"/>
              </w:rPr>
              <w:t>m3/a×45mg/L=0.0</w:t>
            </w:r>
            <w:r>
              <w:rPr>
                <w:rFonts w:hint="default"/>
                <w:color w:val="auto"/>
                <w:lang w:val="en-US" w:eastAsia="zh-CN"/>
              </w:rPr>
              <w:t>15</w:t>
            </w:r>
            <w:r>
              <w:rPr>
                <w:rFonts w:hint="default"/>
                <w:color w:val="auto"/>
              </w:rPr>
              <w:t>t/a；</w:t>
            </w:r>
          </w:p>
          <w:p>
            <w:pPr>
              <w:ind w:firstLine="480"/>
              <w:rPr>
                <w:rFonts w:hint="default"/>
                <w:color w:val="auto"/>
              </w:rPr>
            </w:pPr>
            <w:r>
              <w:rPr>
                <w:rFonts w:hint="default"/>
                <w:color w:val="auto"/>
              </w:rPr>
              <w:t>TP：</w:t>
            </w:r>
            <w:r>
              <w:rPr>
                <w:rFonts w:hint="default"/>
                <w:color w:val="auto"/>
                <w:lang w:eastAsia="zh-CN"/>
              </w:rPr>
              <w:t>323</w:t>
            </w:r>
            <w:r>
              <w:rPr>
                <w:rFonts w:hint="default"/>
                <w:color w:val="auto"/>
              </w:rPr>
              <w:t>m3/a×8mg/L=0.0</w:t>
            </w:r>
            <w:r>
              <w:rPr>
                <w:rFonts w:hint="default"/>
                <w:color w:val="auto"/>
                <w:lang w:val="en-US" w:eastAsia="zh-CN"/>
              </w:rPr>
              <w:t>03</w:t>
            </w:r>
            <w:r>
              <w:rPr>
                <w:rFonts w:hint="default"/>
                <w:color w:val="auto"/>
              </w:rPr>
              <w:t>t/a；</w:t>
            </w:r>
          </w:p>
          <w:p>
            <w:pPr>
              <w:ind w:firstLine="480"/>
              <w:rPr>
                <w:color w:val="auto"/>
              </w:rPr>
            </w:pPr>
          </w:p>
          <w:p>
            <w:pPr>
              <w:ind w:firstLine="480"/>
              <w:rPr>
                <w:color w:val="auto"/>
              </w:rPr>
            </w:pPr>
          </w:p>
          <w:p>
            <w:pPr>
              <w:ind w:firstLine="480"/>
              <w:rPr>
                <w:color w:val="auto"/>
              </w:rPr>
            </w:pPr>
          </w:p>
          <w:p>
            <w:pPr>
              <w:ind w:firstLine="480"/>
              <w:rPr>
                <w:color w:val="auto"/>
              </w:rPr>
            </w:pPr>
          </w:p>
          <w:p>
            <w:pPr>
              <w:ind w:firstLine="480"/>
              <w:rPr>
                <w:color w:val="auto"/>
              </w:rPr>
            </w:pPr>
          </w:p>
          <w:p>
            <w:pPr>
              <w:ind w:firstLine="480"/>
              <w:rPr>
                <w:color w:val="auto"/>
              </w:rPr>
            </w:pPr>
          </w:p>
          <w:p>
            <w:pPr>
              <w:ind w:firstLine="480"/>
              <w:rPr>
                <w:color w:val="auto"/>
              </w:rPr>
            </w:pPr>
          </w:p>
          <w:p>
            <w:pPr>
              <w:ind w:firstLine="480"/>
              <w:rPr>
                <w:color w:val="auto"/>
              </w:rPr>
            </w:pPr>
          </w:p>
          <w:p>
            <w:pPr>
              <w:ind w:firstLine="480"/>
              <w:rPr>
                <w:color w:val="auto"/>
              </w:rPr>
            </w:pPr>
          </w:p>
          <w:p>
            <w:pPr>
              <w:ind w:firstLine="480"/>
              <w:rPr>
                <w:color w:val="auto"/>
              </w:rPr>
            </w:pPr>
          </w:p>
          <w:p>
            <w:pPr>
              <w:ind w:firstLine="480"/>
              <w:rPr>
                <w:color w:val="auto"/>
              </w:rPr>
            </w:pPr>
          </w:p>
          <w:p>
            <w:pPr>
              <w:ind w:firstLine="480"/>
              <w:rPr>
                <w:color w:val="auto"/>
              </w:rPr>
            </w:pPr>
          </w:p>
          <w:p>
            <w:pPr>
              <w:ind w:firstLine="480"/>
              <w:rPr>
                <w:color w:val="auto"/>
              </w:rPr>
            </w:pPr>
          </w:p>
          <w:p>
            <w:pPr>
              <w:ind w:firstLine="480"/>
              <w:rPr>
                <w:color w:val="auto"/>
              </w:rPr>
            </w:pPr>
          </w:p>
          <w:p>
            <w:pPr>
              <w:ind w:firstLine="480"/>
              <w:rPr>
                <w:color w:val="auto"/>
              </w:rPr>
            </w:pPr>
          </w:p>
          <w:p>
            <w:pPr>
              <w:ind w:firstLine="480"/>
              <w:rPr>
                <w:color w:val="auto"/>
              </w:rPr>
            </w:pPr>
          </w:p>
          <w:p>
            <w:pPr>
              <w:ind w:firstLine="480"/>
              <w:rPr>
                <w:color w:val="auto"/>
              </w:rPr>
            </w:pPr>
          </w:p>
          <w:p>
            <w:pPr>
              <w:ind w:firstLine="480"/>
              <w:rPr>
                <w:color w:val="auto"/>
              </w:rPr>
            </w:pPr>
          </w:p>
          <w:p>
            <w:pPr>
              <w:ind w:firstLine="480"/>
              <w:rPr>
                <w:color w:val="auto"/>
              </w:rPr>
            </w:pPr>
          </w:p>
          <w:p>
            <w:pPr>
              <w:ind w:firstLine="480"/>
              <w:rPr>
                <w:color w:val="auto"/>
              </w:rPr>
            </w:pPr>
          </w:p>
          <w:p>
            <w:pPr>
              <w:ind w:firstLine="480"/>
              <w:rPr>
                <w:color w:val="auto"/>
              </w:rPr>
            </w:pPr>
          </w:p>
          <w:p>
            <w:pPr>
              <w:ind w:firstLine="480"/>
              <w:rPr>
                <w:color w:val="auto"/>
              </w:rPr>
            </w:pPr>
          </w:p>
          <w:p>
            <w:pPr>
              <w:ind w:firstLine="480"/>
              <w:rPr>
                <w:color w:val="auto"/>
              </w:rPr>
            </w:pPr>
          </w:p>
          <w:p>
            <w:pPr>
              <w:ind w:firstLine="480"/>
              <w:rPr>
                <w:color w:val="auto"/>
              </w:rPr>
            </w:pPr>
          </w:p>
          <w:p>
            <w:pPr>
              <w:ind w:firstLine="480"/>
              <w:rPr>
                <w:color w:val="auto"/>
              </w:rPr>
            </w:pPr>
          </w:p>
          <w:p>
            <w:pPr>
              <w:ind w:firstLine="480"/>
              <w:rPr>
                <w:color w:val="auto"/>
              </w:rPr>
            </w:pPr>
          </w:p>
          <w:p>
            <w:pPr>
              <w:ind w:firstLine="480"/>
              <w:rPr>
                <w:color w:val="auto"/>
              </w:rPr>
            </w:pPr>
          </w:p>
          <w:p>
            <w:pPr>
              <w:ind w:firstLine="480"/>
              <w:rPr>
                <w:color w:val="auto"/>
              </w:rPr>
            </w:pPr>
          </w:p>
          <w:p>
            <w:pPr>
              <w:ind w:firstLine="480"/>
              <w:rPr>
                <w:color w:val="auto"/>
              </w:rPr>
            </w:pPr>
          </w:p>
          <w:p>
            <w:pPr>
              <w:ind w:firstLine="480"/>
              <w:rPr>
                <w:color w:val="auto"/>
              </w:rPr>
            </w:pPr>
          </w:p>
          <w:p>
            <w:pPr>
              <w:ind w:firstLine="480"/>
              <w:rPr>
                <w:color w:val="auto"/>
              </w:rPr>
            </w:pPr>
          </w:p>
        </w:tc>
      </w:tr>
    </w:tbl>
    <w:p>
      <w:pPr>
        <w:ind w:firstLine="720"/>
        <w:jc w:val="center"/>
        <w:outlineLvl w:val="0"/>
        <w:rPr>
          <w:rStyle w:val="9"/>
          <w:color w:val="auto"/>
        </w:rPr>
      </w:pPr>
      <w:r>
        <w:rPr>
          <w:rFonts w:eastAsia="黑体"/>
          <w:snapToGrid w:val="0"/>
          <w:color w:val="auto"/>
          <w:sz w:val="36"/>
          <w:szCs w:val="36"/>
        </w:rPr>
        <w:br w:type="page"/>
      </w:r>
      <w:bookmarkStart w:id="35" w:name="_Toc4691"/>
      <w:r>
        <w:rPr>
          <w:rStyle w:val="9"/>
          <w:color w:val="auto"/>
        </w:rPr>
        <w:t>四、主要环境影响和保护措施</w:t>
      </w:r>
      <w:bookmarkEnd w:id="35"/>
    </w:p>
    <w:tbl>
      <w:tblPr>
        <w:tblStyle w:val="5"/>
        <w:tblW w:w="989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46"/>
        <w:gridCol w:w="915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70" w:hRule="atLeast"/>
          <w:jc w:val="center"/>
        </w:trPr>
        <w:tc>
          <w:tcPr>
            <w:tcW w:w="746" w:type="dxa"/>
            <w:tcMar>
              <w:left w:w="28" w:type="dxa"/>
              <w:right w:w="28" w:type="dxa"/>
            </w:tcMar>
            <w:vAlign w:val="center"/>
          </w:tcPr>
          <w:p>
            <w:pPr>
              <w:pStyle w:val="11"/>
              <w:jc w:val="center"/>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施工</w:t>
            </w:r>
          </w:p>
          <w:p>
            <w:pPr>
              <w:pStyle w:val="11"/>
              <w:jc w:val="center"/>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期环</w:t>
            </w:r>
          </w:p>
          <w:p>
            <w:pPr>
              <w:pStyle w:val="11"/>
              <w:jc w:val="center"/>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境保</w:t>
            </w:r>
          </w:p>
          <w:p>
            <w:pPr>
              <w:pStyle w:val="11"/>
              <w:jc w:val="center"/>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护措</w:t>
            </w:r>
          </w:p>
          <w:p>
            <w:pPr>
              <w:pStyle w:val="11"/>
              <w:jc w:val="center"/>
              <w:rPr>
                <w:rFonts w:hint="default" w:ascii="Times New Roman" w:hAnsi="Times New Roman" w:cs="Times New Roman"/>
                <w:bCs/>
                <w:color w:val="auto"/>
                <w:kern w:val="2"/>
              </w:rPr>
            </w:pPr>
            <w:r>
              <w:rPr>
                <w:rFonts w:hint="default" w:ascii="Times New Roman" w:hAnsi="Times New Roman" w:cs="Times New Roman"/>
                <w:b/>
                <w:bCs/>
                <w:color w:val="auto"/>
                <w:sz w:val="24"/>
                <w:szCs w:val="24"/>
              </w:rPr>
              <w:t>施</w:t>
            </w:r>
          </w:p>
        </w:tc>
        <w:tc>
          <w:tcPr>
            <w:tcW w:w="9150" w:type="dxa"/>
            <w:vAlign w:val="center"/>
          </w:tcPr>
          <w:p>
            <w:pPr>
              <w:adjustRightInd w:val="0"/>
              <w:snapToGrid w:val="0"/>
              <w:ind w:firstLine="442"/>
              <w:rPr>
                <w:rFonts w:hint="default" w:ascii="Times New Roman" w:hAnsi="Times New Roman" w:cs="Times New Roman"/>
                <w:b/>
                <w:color w:val="auto"/>
                <w:spacing w:val="-10"/>
                <w:szCs w:val="21"/>
              </w:rPr>
            </w:pPr>
            <w:r>
              <w:rPr>
                <w:rFonts w:hint="default" w:ascii="Times New Roman" w:hAnsi="Times New Roman" w:cs="Times New Roman"/>
                <w:b/>
                <w:color w:val="auto"/>
                <w:spacing w:val="-10"/>
                <w:szCs w:val="21"/>
              </w:rPr>
              <w:t>（一）施工期环境保护措施</w:t>
            </w:r>
          </w:p>
          <w:p>
            <w:pPr>
              <w:adjustRightInd w:val="0"/>
              <w:snapToGrid w:val="0"/>
              <w:ind w:firstLine="440"/>
              <w:rPr>
                <w:rFonts w:hint="default" w:ascii="Times New Roman" w:hAnsi="Times New Roman" w:cs="Times New Roman"/>
                <w:bCs/>
                <w:color w:val="auto"/>
                <w:spacing w:val="-10"/>
                <w:szCs w:val="21"/>
              </w:rPr>
            </w:pPr>
            <w:r>
              <w:rPr>
                <w:rFonts w:hint="default" w:ascii="Times New Roman" w:hAnsi="Times New Roman" w:cs="Times New Roman"/>
                <w:bCs/>
                <w:color w:val="auto"/>
                <w:spacing w:val="-10"/>
                <w:szCs w:val="21"/>
              </w:rPr>
              <w:t>本项目施工期间产生的污染物主要是厂房建设、设备安装等主体工程产生的噪声、扬尘及废气、生活垃圾、施工污水等污染物，其排放量随工序和施工强度不同而变化。施工期主要工艺流程及产污环节见图4-1。</w:t>
            </w:r>
          </w:p>
          <w:p>
            <w:pPr>
              <w:adjustRightInd w:val="0"/>
              <w:snapToGrid w:val="0"/>
              <w:ind w:firstLine="440"/>
              <w:rPr>
                <w:rFonts w:hint="default" w:ascii="Times New Roman" w:hAnsi="Times New Roman" w:cs="Times New Roman"/>
                <w:bCs/>
                <w:color w:val="auto"/>
                <w:spacing w:val="-10"/>
                <w:szCs w:val="21"/>
              </w:rPr>
            </w:pPr>
          </w:p>
          <w:p>
            <w:pPr>
              <w:adjustRightInd w:val="0"/>
              <w:snapToGrid w:val="0"/>
              <w:ind w:firstLine="0" w:firstLineChars="0"/>
              <w:rPr>
                <w:rFonts w:hint="default" w:ascii="Times New Roman" w:hAnsi="Times New Roman" w:cs="Times New Roman"/>
                <w:bCs/>
                <w:color w:val="auto"/>
                <w:spacing w:val="-10"/>
                <w:szCs w:val="21"/>
              </w:rPr>
            </w:pPr>
            <w:r>
              <w:rPr>
                <w:rFonts w:hint="default" w:ascii="Times New Roman" w:hAnsi="Times New Roman" w:cs="Times New Roman"/>
                <w:bCs/>
                <w:color w:val="auto"/>
                <w:spacing w:val="-10"/>
                <w:szCs w:val="21"/>
              </w:rPr>
              <mc:AlternateContent>
                <mc:Choice Requires="wps">
                  <w:drawing>
                    <wp:anchor distT="0" distB="0" distL="114300" distR="114300" simplePos="0" relativeHeight="251660288" behindDoc="0" locked="0" layoutInCell="1" allowOverlap="1">
                      <wp:simplePos x="0" y="0"/>
                      <wp:positionH relativeFrom="column">
                        <wp:posOffset>2161540</wp:posOffset>
                      </wp:positionH>
                      <wp:positionV relativeFrom="paragraph">
                        <wp:posOffset>61595</wp:posOffset>
                      </wp:positionV>
                      <wp:extent cx="438785" cy="33909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438785" cy="339090"/>
                              </a:xfrm>
                              <a:prstGeom prst="rect">
                                <a:avLst/>
                              </a:prstGeom>
                              <a:noFill/>
                              <a:ln>
                                <a:noFill/>
                              </a:ln>
                            </wps:spPr>
                            <wps:txbx>
                              <w:txbxContent>
                                <w:p>
                                  <w:pPr>
                                    <w:ind w:firstLine="0" w:firstLineChars="0"/>
                                    <w:rPr>
                                      <w:sz w:val="18"/>
                                      <w:szCs w:val="18"/>
                                    </w:rPr>
                                  </w:pPr>
                                  <w:r>
                                    <w:rPr>
                                      <w:rFonts w:hint="eastAsia"/>
                                      <w:sz w:val="18"/>
                                      <w:szCs w:val="18"/>
                                    </w:rPr>
                                    <w:t>回用</w:t>
                                  </w:r>
                                </w:p>
                              </w:txbxContent>
                            </wps:txbx>
                            <wps:bodyPr lIns="91439" tIns="45720" rIns="91439" bIns="45720" upright="1"/>
                          </wps:wsp>
                        </a:graphicData>
                      </a:graphic>
                    </wp:anchor>
                  </w:drawing>
                </mc:Choice>
                <mc:Fallback>
                  <w:pict>
                    <v:shape id="_x0000_s1026" o:spid="_x0000_s1026" o:spt="202" type="#_x0000_t202" style="position:absolute;left:0pt;margin-left:170.2pt;margin-top:4.85pt;height:26.7pt;width:34.55pt;z-index:251660288;mso-width-relative:page;mso-height-relative:page;" filled="f" stroked="f" coordsize="21600,21600" o:gfxdata="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h5mqK2AAAAAgBAAAPAAAAAAAAAAEAIAAAACIAAABkcnMvZG93&#10;bnJldi54bWxQSwECFAAUAAAACACHTuJA+//MGccBAACDAwAADgAAAAAAAAABACAAAAAnAQAAZHJz&#10;L2Uyb0RvYy54bWxQSwUGAAAAAAYABgBZAQAAYAUAAAAA&#10;">
                      <v:fill on="f" focussize="0,0"/>
                      <v:stroke on="f"/>
                      <v:imagedata o:title=""/>
                      <o:lock v:ext="edit" aspectratio="f"/>
                      <v:textbox inset="7.19992125984252pt,1.27mm,7.19992125984252pt,1.27mm">
                        <w:txbxContent>
                          <w:p>
                            <w:pPr>
                              <w:ind w:firstLine="0" w:firstLineChars="0"/>
                              <w:rPr>
                                <w:sz w:val="18"/>
                                <w:szCs w:val="18"/>
                              </w:rPr>
                            </w:pPr>
                            <w:r>
                              <w:rPr>
                                <w:rFonts w:hint="eastAsia"/>
                                <w:sz w:val="18"/>
                                <w:szCs w:val="18"/>
                              </w:rPr>
                              <w:t>回用</w:t>
                            </w:r>
                          </w:p>
                        </w:txbxContent>
                      </v:textbox>
                    </v:shape>
                  </w:pict>
                </mc:Fallback>
              </mc:AlternateContent>
            </w:r>
            <w:r>
              <w:rPr>
                <w:rFonts w:hint="default" w:ascii="Times New Roman" w:hAnsi="Times New Roman" w:cs="Times New Roman"/>
                <w:bCs/>
                <w:color w:val="auto"/>
                <w:spacing w:val="-10"/>
                <w:szCs w:val="21"/>
              </w:rPr>
              <mc:AlternateContent>
                <mc:Choice Requires="wps">
                  <w:drawing>
                    <wp:anchor distT="0" distB="0" distL="114300" distR="114300" simplePos="0" relativeHeight="251685888" behindDoc="0" locked="0" layoutInCell="1" allowOverlap="1">
                      <wp:simplePos x="0" y="0"/>
                      <wp:positionH relativeFrom="column">
                        <wp:posOffset>2769235</wp:posOffset>
                      </wp:positionH>
                      <wp:positionV relativeFrom="paragraph">
                        <wp:posOffset>33020</wp:posOffset>
                      </wp:positionV>
                      <wp:extent cx="974090" cy="338455"/>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974090" cy="338455"/>
                              </a:xfrm>
                              <a:prstGeom prst="rect">
                                <a:avLst/>
                              </a:prstGeom>
                              <a:noFill/>
                              <a:ln>
                                <a:noFill/>
                              </a:ln>
                            </wps:spPr>
                            <wps:txbx>
                              <w:txbxContent>
                                <w:p>
                                  <w:pPr>
                                    <w:pStyle w:val="11"/>
                                    <w:bidi w:val="0"/>
                                    <w:jc w:val="center"/>
                                    <w:rPr>
                                      <w:sz w:val="18"/>
                                      <w:szCs w:val="18"/>
                                    </w:rPr>
                                  </w:pPr>
                                  <w:r>
                                    <w:rPr>
                                      <w:rFonts w:hint="eastAsia"/>
                                      <w:sz w:val="18"/>
                                      <w:szCs w:val="18"/>
                                    </w:rPr>
                                    <w:t>定期清理</w:t>
                                  </w:r>
                                </w:p>
                              </w:txbxContent>
                            </wps:txbx>
                            <wps:bodyPr lIns="91439" tIns="45720" rIns="91439" bIns="45720" upright="1"/>
                          </wps:wsp>
                        </a:graphicData>
                      </a:graphic>
                    </wp:anchor>
                  </w:drawing>
                </mc:Choice>
                <mc:Fallback>
                  <w:pict>
                    <v:shape id="_x0000_s1026" o:spid="_x0000_s1026" o:spt="202" type="#_x0000_t202" style="position:absolute;left:0pt;margin-left:218.05pt;margin-top:2.6pt;height:26.65pt;width:76.7pt;z-index:251685888;mso-width-relative:page;mso-height-relative:page;" filled="f" stroked="f" coordsize="21600,21600" o:gfxdata="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LUI16PYAAAACAEAAA8AAAAAAAAAAQAgAAAAIgAAAGRycy9kb3du&#10;cmV2LnhtbFBLAQIUABQAAAAIAIdO4kBaYDt3xgEAAIMDAAAOAAAAAAAAAAEAIAAAACcBAABkcnMv&#10;ZTJvRG9jLnhtbFBLBQYAAAAABgAGAFkBAABfBQAAAAA=&#10;">
                      <v:fill on="f" focussize="0,0"/>
                      <v:stroke on="f"/>
                      <v:imagedata o:title=""/>
                      <o:lock v:ext="edit" aspectratio="f"/>
                      <v:textbox inset="7.19992125984252pt,1.27mm,7.19992125984252pt,1.27mm">
                        <w:txbxContent>
                          <w:p>
                            <w:pPr>
                              <w:pStyle w:val="11"/>
                              <w:bidi w:val="0"/>
                              <w:jc w:val="center"/>
                              <w:rPr>
                                <w:sz w:val="18"/>
                                <w:szCs w:val="18"/>
                              </w:rPr>
                            </w:pPr>
                            <w:r>
                              <w:rPr>
                                <w:rFonts w:hint="eastAsia"/>
                                <w:sz w:val="18"/>
                                <w:szCs w:val="18"/>
                              </w:rPr>
                              <w:t>定期清理</w:t>
                            </w:r>
                          </w:p>
                        </w:txbxContent>
                      </v:textbox>
                    </v:shape>
                  </w:pict>
                </mc:Fallback>
              </mc:AlternateContent>
            </w:r>
            <w:r>
              <w:rPr>
                <w:rFonts w:hint="default" w:ascii="Times New Roman" w:hAnsi="Times New Roman" w:cs="Times New Roman"/>
                <w:bCs/>
                <w:color w:val="auto"/>
                <w:spacing w:val="-10"/>
                <w:szCs w:val="21"/>
              </w:rPr>
              <mc:AlternateContent>
                <mc:Choice Requires="wps">
                  <w:drawing>
                    <wp:anchor distT="0" distB="0" distL="114300" distR="114300" simplePos="0" relativeHeight="251684864" behindDoc="0" locked="0" layoutInCell="1" allowOverlap="1">
                      <wp:simplePos x="0" y="0"/>
                      <wp:positionH relativeFrom="column">
                        <wp:posOffset>3793490</wp:posOffset>
                      </wp:positionH>
                      <wp:positionV relativeFrom="paragraph">
                        <wp:posOffset>108585</wp:posOffset>
                      </wp:positionV>
                      <wp:extent cx="986790" cy="51689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986790" cy="516890"/>
                              </a:xfrm>
                              <a:prstGeom prst="rect">
                                <a:avLst/>
                              </a:prstGeom>
                              <a:noFill/>
                              <a:ln>
                                <a:noFill/>
                              </a:ln>
                            </wps:spPr>
                            <wps:txbx>
                              <w:txbxContent>
                                <w:p>
                                  <w:pPr>
                                    <w:spacing w:line="240" w:lineRule="auto"/>
                                    <w:ind w:firstLine="0" w:firstLineChars="0"/>
                                    <w:rPr>
                                      <w:sz w:val="18"/>
                                      <w:szCs w:val="18"/>
                                    </w:rPr>
                                  </w:pPr>
                                  <w:r>
                                    <w:rPr>
                                      <w:rFonts w:hint="eastAsia"/>
                                      <w:sz w:val="18"/>
                                      <w:szCs w:val="18"/>
                                    </w:rPr>
                                    <w:t>城市垃圾</w:t>
                                  </w:r>
                                </w:p>
                                <w:p>
                                  <w:pPr>
                                    <w:spacing w:line="240" w:lineRule="auto"/>
                                    <w:ind w:firstLine="0" w:firstLineChars="0"/>
                                    <w:rPr>
                                      <w:sz w:val="18"/>
                                      <w:szCs w:val="18"/>
                                    </w:rPr>
                                  </w:pPr>
                                  <w:r>
                                    <w:rPr>
                                      <w:rFonts w:hint="eastAsia"/>
                                      <w:sz w:val="18"/>
                                      <w:szCs w:val="18"/>
                                    </w:rPr>
                                    <w:t>清运系统</w:t>
                                  </w:r>
                                </w:p>
                                <w:p>
                                  <w:pPr>
                                    <w:ind w:firstLine="360"/>
                                    <w:rPr>
                                      <w:sz w:val="18"/>
                                      <w:szCs w:val="21"/>
                                    </w:rPr>
                                  </w:pPr>
                                </w:p>
                              </w:txbxContent>
                            </wps:txbx>
                            <wps:bodyPr lIns="91439" tIns="45720" rIns="91439" bIns="45720" upright="1"/>
                          </wps:wsp>
                        </a:graphicData>
                      </a:graphic>
                    </wp:anchor>
                  </w:drawing>
                </mc:Choice>
                <mc:Fallback>
                  <w:pict>
                    <v:shape id="_x0000_s1026" o:spid="_x0000_s1026" o:spt="202" type="#_x0000_t202" style="position:absolute;left:0pt;margin-left:298.7pt;margin-top:8.55pt;height:40.7pt;width:77.7pt;z-index:251684864;mso-width-relative:page;mso-height-relative:page;" filled="f" stroked="f" coordsize="21600,21600" o:gfxdata="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q8SB22QAAAAkBAAAPAAAAAAAAAAEAIAAAACIAAABkcnMvZG93&#10;bnJldi54bWxQSwECFAAUAAAACACHTuJA99RDasYBAACDAwAADgAAAAAAAAABACAAAAAoAQAAZHJz&#10;L2Uyb0RvYy54bWxQSwUGAAAAAAYABgBZAQAAYAUAAAAA&#10;">
                      <v:fill on="f" focussize="0,0"/>
                      <v:stroke on="f"/>
                      <v:imagedata o:title=""/>
                      <o:lock v:ext="edit" aspectratio="f"/>
                      <v:textbox inset="7.19992125984252pt,1.27mm,7.19992125984252pt,1.27mm">
                        <w:txbxContent>
                          <w:p>
                            <w:pPr>
                              <w:spacing w:line="240" w:lineRule="auto"/>
                              <w:ind w:firstLine="0" w:firstLineChars="0"/>
                              <w:rPr>
                                <w:sz w:val="18"/>
                                <w:szCs w:val="18"/>
                              </w:rPr>
                            </w:pPr>
                            <w:r>
                              <w:rPr>
                                <w:rFonts w:hint="eastAsia"/>
                                <w:sz w:val="18"/>
                                <w:szCs w:val="18"/>
                              </w:rPr>
                              <w:t>城市垃圾</w:t>
                            </w:r>
                          </w:p>
                          <w:p>
                            <w:pPr>
                              <w:spacing w:line="240" w:lineRule="auto"/>
                              <w:ind w:firstLine="0" w:firstLineChars="0"/>
                              <w:rPr>
                                <w:sz w:val="18"/>
                                <w:szCs w:val="18"/>
                              </w:rPr>
                            </w:pPr>
                            <w:r>
                              <w:rPr>
                                <w:rFonts w:hint="eastAsia"/>
                                <w:sz w:val="18"/>
                                <w:szCs w:val="18"/>
                              </w:rPr>
                              <w:t>清运系统</w:t>
                            </w:r>
                          </w:p>
                          <w:p>
                            <w:pPr>
                              <w:ind w:firstLine="360"/>
                              <w:rPr>
                                <w:sz w:val="18"/>
                                <w:szCs w:val="21"/>
                              </w:rPr>
                            </w:pPr>
                          </w:p>
                        </w:txbxContent>
                      </v:textbox>
                    </v:shape>
                  </w:pict>
                </mc:Fallback>
              </mc:AlternateContent>
            </w:r>
          </w:p>
          <w:p>
            <w:pPr>
              <w:adjustRightInd w:val="0"/>
              <w:snapToGrid w:val="0"/>
              <w:ind w:firstLine="0" w:firstLineChars="0"/>
              <w:rPr>
                <w:rFonts w:hint="default" w:ascii="Times New Roman" w:hAnsi="Times New Roman" w:cs="Times New Roman"/>
                <w:bCs/>
                <w:color w:val="auto"/>
                <w:spacing w:val="-10"/>
                <w:szCs w:val="21"/>
              </w:rPr>
            </w:pPr>
            <w:r>
              <w:rPr>
                <w:rFonts w:hint="default" w:ascii="Times New Roman" w:hAnsi="Times New Roman" w:cs="Times New Roman"/>
                <w:bCs/>
                <w:color w:val="auto"/>
                <w:spacing w:val="-10"/>
                <w:szCs w:val="21"/>
              </w:rPr>
              <mc:AlternateContent>
                <mc:Choice Requires="wps">
                  <w:drawing>
                    <wp:anchor distT="0" distB="0" distL="114300" distR="114300" simplePos="0" relativeHeight="251681792" behindDoc="0" locked="0" layoutInCell="1" allowOverlap="1">
                      <wp:simplePos x="0" y="0"/>
                      <wp:positionH relativeFrom="column">
                        <wp:posOffset>1234440</wp:posOffset>
                      </wp:positionH>
                      <wp:positionV relativeFrom="paragraph">
                        <wp:posOffset>85090</wp:posOffset>
                      </wp:positionV>
                      <wp:extent cx="723900" cy="32766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723900" cy="327660"/>
                              </a:xfrm>
                              <a:prstGeom prst="rect">
                                <a:avLst/>
                              </a:prstGeom>
                              <a:noFill/>
                              <a:ln>
                                <a:noFill/>
                              </a:ln>
                            </wps:spPr>
                            <wps:txbx>
                              <w:txbxContent>
                                <w:p>
                                  <w:pPr>
                                    <w:ind w:firstLine="0" w:firstLineChars="0"/>
                                    <w:rPr>
                                      <w:sz w:val="20"/>
                                      <w:szCs w:val="22"/>
                                    </w:rPr>
                                  </w:pPr>
                                  <w:r>
                                    <w:rPr>
                                      <w:rFonts w:hint="eastAsia"/>
                                      <w:sz w:val="20"/>
                                    </w:rPr>
                                    <w:t>大气环境</w:t>
                                  </w:r>
                                </w:p>
                              </w:txbxContent>
                            </wps:txbx>
                            <wps:bodyPr lIns="91439" tIns="45720" rIns="91439" bIns="45720" upright="1"/>
                          </wps:wsp>
                        </a:graphicData>
                      </a:graphic>
                    </wp:anchor>
                  </w:drawing>
                </mc:Choice>
                <mc:Fallback>
                  <w:pict>
                    <v:shape id="_x0000_s1026" o:spid="_x0000_s1026" o:spt="202" type="#_x0000_t202" style="position:absolute;left:0pt;margin-left:97.2pt;margin-top:6.7pt;height:25.8pt;width:57pt;z-index:251681792;mso-width-relative:page;mso-height-relative:page;" filled="f" stroked="f" coordsize="21600,21600" o:gfxdata="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m4i5Y2AAAAAkBAAAPAAAAAAAAAAEAIAAAACIAAABkcnMvZG93&#10;bnJldi54bWxQSwECFAAUAAAACACHTuJAJMAh9McBAACDAwAADgAAAAAAAAABACAAAAAnAQAAZHJz&#10;L2Uyb0RvYy54bWxQSwUGAAAAAAYABgBZAQAAYAUAAAAA&#10;">
                      <v:fill on="f" focussize="0,0"/>
                      <v:stroke on="f"/>
                      <v:imagedata o:title=""/>
                      <o:lock v:ext="edit" aspectratio="f"/>
                      <v:textbox inset="7.19992125984252pt,1.27mm,7.19992125984252pt,1.27mm">
                        <w:txbxContent>
                          <w:p>
                            <w:pPr>
                              <w:ind w:firstLine="0" w:firstLineChars="0"/>
                              <w:rPr>
                                <w:sz w:val="20"/>
                                <w:szCs w:val="22"/>
                              </w:rPr>
                            </w:pPr>
                            <w:r>
                              <w:rPr>
                                <w:rFonts w:hint="eastAsia"/>
                                <w:sz w:val="20"/>
                              </w:rPr>
                              <w:t>大气环境</w:t>
                            </w:r>
                          </w:p>
                        </w:txbxContent>
                      </v:textbox>
                    </v:shape>
                  </w:pict>
                </mc:Fallback>
              </mc:AlternateContent>
            </w:r>
            <w:r>
              <w:rPr>
                <w:rFonts w:hint="default" w:ascii="Times New Roman" w:hAnsi="Times New Roman" w:cs="Times New Roman"/>
                <w:bCs/>
                <w:color w:val="auto"/>
                <w:spacing w:val="-10"/>
                <w:szCs w:val="21"/>
              </w:rPr>
              <mc:AlternateContent>
                <mc:Choice Requires="wps">
                  <w:drawing>
                    <wp:anchor distT="0" distB="0" distL="114300" distR="114300" simplePos="0" relativeHeight="251680768" behindDoc="0" locked="0" layoutInCell="1" allowOverlap="1">
                      <wp:simplePos x="0" y="0"/>
                      <wp:positionH relativeFrom="column">
                        <wp:posOffset>461010</wp:posOffset>
                      </wp:positionH>
                      <wp:positionV relativeFrom="paragraph">
                        <wp:posOffset>66675</wp:posOffset>
                      </wp:positionV>
                      <wp:extent cx="723265" cy="32766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723265" cy="327660"/>
                              </a:xfrm>
                              <a:prstGeom prst="rect">
                                <a:avLst/>
                              </a:prstGeom>
                              <a:noFill/>
                              <a:ln>
                                <a:noFill/>
                              </a:ln>
                            </wps:spPr>
                            <wps:txbx>
                              <w:txbxContent>
                                <w:p>
                                  <w:pPr>
                                    <w:ind w:firstLine="0" w:firstLineChars="0"/>
                                    <w:rPr>
                                      <w:sz w:val="20"/>
                                      <w:szCs w:val="22"/>
                                    </w:rPr>
                                  </w:pPr>
                                  <w:r>
                                    <w:rPr>
                                      <w:rFonts w:hint="eastAsia"/>
                                      <w:sz w:val="20"/>
                                    </w:rPr>
                                    <w:t>声学环境</w:t>
                                  </w:r>
                                </w:p>
                              </w:txbxContent>
                            </wps:txbx>
                            <wps:bodyPr lIns="91439" tIns="45720" rIns="91439" bIns="45720" upright="1"/>
                          </wps:wsp>
                        </a:graphicData>
                      </a:graphic>
                    </wp:anchor>
                  </w:drawing>
                </mc:Choice>
                <mc:Fallback>
                  <w:pict>
                    <v:shape id="_x0000_s1026" o:spid="_x0000_s1026" o:spt="202" type="#_x0000_t202" style="position:absolute;left:0pt;margin-left:36.3pt;margin-top:5.25pt;height:25.8pt;width:56.95pt;z-index:251680768;mso-width-relative:page;mso-height-relative:page;" filled="f" stroked="f" coordsize="21600,21600" o:gfxdata="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zhylZ1wAAAAgBAAAPAAAAAAAAAAEAIAAAACIAAABkcnMvZG93&#10;bnJldi54bWxQSwECFAAUAAAACACHTuJAE1uPasgBAACDAwAADgAAAAAAAAABACAAAAAmAQAAZHJz&#10;L2Uyb0RvYy54bWxQSwUGAAAAAAYABgBZAQAAYAUAAAAA&#10;">
                      <v:fill on="f" focussize="0,0"/>
                      <v:stroke on="f"/>
                      <v:imagedata o:title=""/>
                      <o:lock v:ext="edit" aspectratio="f"/>
                      <v:textbox inset="7.19992125984252pt,1.27mm,7.19992125984252pt,1.27mm">
                        <w:txbxContent>
                          <w:p>
                            <w:pPr>
                              <w:ind w:firstLine="0" w:firstLineChars="0"/>
                              <w:rPr>
                                <w:sz w:val="20"/>
                                <w:szCs w:val="22"/>
                              </w:rPr>
                            </w:pPr>
                            <w:r>
                              <w:rPr>
                                <w:rFonts w:hint="eastAsia"/>
                                <w:sz w:val="20"/>
                              </w:rPr>
                              <w:t>声学环境</w:t>
                            </w:r>
                          </w:p>
                        </w:txbxContent>
                      </v:textbox>
                    </v:shape>
                  </w:pict>
                </mc:Fallback>
              </mc:AlternateContent>
            </w:r>
            <w:r>
              <w:rPr>
                <w:rFonts w:hint="default" w:ascii="Times New Roman" w:hAnsi="Times New Roman" w:cs="Times New Roman"/>
                <w:bCs/>
                <w:color w:val="auto"/>
                <w:spacing w:val="-10"/>
                <w:szCs w:val="21"/>
              </w:rPr>
              <mc:AlternateContent>
                <mc:Choice Requires="wps">
                  <w:drawing>
                    <wp:anchor distT="0" distB="0" distL="114300" distR="114300" simplePos="0" relativeHeight="251674624" behindDoc="0" locked="0" layoutInCell="1" allowOverlap="1">
                      <wp:simplePos x="0" y="0"/>
                      <wp:positionH relativeFrom="column">
                        <wp:posOffset>3223260</wp:posOffset>
                      </wp:positionH>
                      <wp:positionV relativeFrom="paragraph">
                        <wp:posOffset>99060</wp:posOffset>
                      </wp:positionV>
                      <wp:extent cx="635" cy="240030"/>
                      <wp:effectExtent l="37465" t="0" r="38100" b="7620"/>
                      <wp:wrapNone/>
                      <wp:docPr id="45" name="直接连接符 45"/>
                      <wp:cNvGraphicFramePr/>
                      <a:graphic xmlns:a="http://schemas.openxmlformats.org/drawingml/2006/main">
                        <a:graphicData uri="http://schemas.microsoft.com/office/word/2010/wordprocessingShape">
                          <wps:wsp>
                            <wps:cNvCnPr/>
                            <wps:spPr>
                              <a:xfrm flipV="1">
                                <a:off x="0" y="0"/>
                                <a:ext cx="635" cy="24003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flip:y;margin-left:253.8pt;margin-top:7.8pt;height:18.9pt;width:0.05pt;z-index:251674624;mso-width-relative:page;mso-height-relative:page;" filled="f" stroked="t" coordsize="21600,21600" o:gfxdata="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dp+SddgAAAAJAQAADwAAAAAAAAABACAAAAAiAAAAZHJzL2Rvd25y&#10;ZXYueG1sUEsBAhQAFAAAAAgAh07iQNknC9f+AQAA6QMAAA4AAAAAAAAAAQAgAAAAJwEAAGRycy9l&#10;Mm9Eb2MueG1sUEsFBgAAAAAGAAYAWQEAAJcFAAAAAA==&#10;">
                      <v:fill on="f" focussize="0,0"/>
                      <v:stroke color="#000000" joinstyle="round" endarrow="block"/>
                      <v:imagedata o:title=""/>
                      <o:lock v:ext="edit" aspectratio="f"/>
                    </v:line>
                  </w:pict>
                </mc:Fallback>
              </mc:AlternateContent>
            </w:r>
            <w:r>
              <w:rPr>
                <w:rFonts w:hint="default" w:ascii="Times New Roman" w:hAnsi="Times New Roman" w:cs="Times New Roman"/>
                <w:bCs/>
                <w:color w:val="auto"/>
                <w:spacing w:val="-10"/>
                <w:szCs w:val="21"/>
              </w:rPr>
              <mc:AlternateContent>
                <mc:Choice Requires="wps">
                  <w:drawing>
                    <wp:anchor distT="0" distB="0" distL="114300" distR="114300" simplePos="0" relativeHeight="251673600" behindDoc="0" locked="0" layoutInCell="1" allowOverlap="1">
                      <wp:simplePos x="0" y="0"/>
                      <wp:positionH relativeFrom="column">
                        <wp:posOffset>2391410</wp:posOffset>
                      </wp:positionH>
                      <wp:positionV relativeFrom="paragraph">
                        <wp:posOffset>81280</wp:posOffset>
                      </wp:positionV>
                      <wp:extent cx="635" cy="240030"/>
                      <wp:effectExtent l="37465" t="0" r="38100" b="7620"/>
                      <wp:wrapNone/>
                      <wp:docPr id="48" name="直接连接符 48"/>
                      <wp:cNvGraphicFramePr/>
                      <a:graphic xmlns:a="http://schemas.openxmlformats.org/drawingml/2006/main">
                        <a:graphicData uri="http://schemas.microsoft.com/office/word/2010/wordprocessingShape">
                          <wps:wsp>
                            <wps:cNvCnPr/>
                            <wps:spPr>
                              <a:xfrm flipV="1">
                                <a:off x="0" y="0"/>
                                <a:ext cx="635" cy="24003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flip:y;margin-left:188.3pt;margin-top:6.4pt;height:18.9pt;width:0.05pt;z-index:251673600;mso-width-relative:page;mso-height-relative:page;" filled="f" stroked="t" coordsize="21600,21600" o:gfxdata="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DuUsPLYAAAACQEAAA8AAAAAAAAAAQAgAAAAIgAAAGRycy9kb3du&#10;cmV2LnhtbFBLAQIUABQAAAAIAIdO4kBOyItn/wEAAOkDAAAOAAAAAAAAAAEAIAAAACcBAABkcnMv&#10;ZTJvRG9jLnhtbFBLBQYAAAAABgAGAFkBAACYBQAAAAA=&#10;">
                      <v:fill on="f" focussize="0,0"/>
                      <v:stroke color="#000000" joinstyle="round" endarrow="block"/>
                      <v:imagedata o:title=""/>
                      <o:lock v:ext="edit" aspectratio="f"/>
                    </v:line>
                  </w:pict>
                </mc:Fallback>
              </mc:AlternateContent>
            </w:r>
          </w:p>
          <w:p>
            <w:pPr>
              <w:adjustRightInd w:val="0"/>
              <w:snapToGrid w:val="0"/>
              <w:ind w:firstLine="0" w:firstLineChars="0"/>
              <w:rPr>
                <w:rFonts w:hint="default" w:ascii="Times New Roman" w:hAnsi="Times New Roman" w:cs="Times New Roman"/>
                <w:bCs/>
                <w:color w:val="auto"/>
                <w:spacing w:val="-10"/>
                <w:szCs w:val="21"/>
              </w:rPr>
            </w:pPr>
            <w:r>
              <w:rPr>
                <w:rFonts w:hint="default" w:ascii="Times New Roman" w:hAnsi="Times New Roman" w:cs="Times New Roman"/>
                <w:bCs/>
                <w:color w:val="auto"/>
                <w:spacing w:val="-10"/>
                <w:szCs w:val="21"/>
              </w:rPr>
              <mc:AlternateContent>
                <mc:Choice Requires="wps">
                  <w:drawing>
                    <wp:anchor distT="0" distB="0" distL="114300" distR="114300" simplePos="0" relativeHeight="251682816" behindDoc="0" locked="0" layoutInCell="1" allowOverlap="1">
                      <wp:simplePos x="0" y="0"/>
                      <wp:positionH relativeFrom="column">
                        <wp:posOffset>2769235</wp:posOffset>
                      </wp:positionH>
                      <wp:positionV relativeFrom="paragraph">
                        <wp:posOffset>57150</wp:posOffset>
                      </wp:positionV>
                      <wp:extent cx="890905" cy="316865"/>
                      <wp:effectExtent l="4445" t="4445" r="19050" b="21590"/>
                      <wp:wrapNone/>
                      <wp:docPr id="44" name="文本框 44"/>
                      <wp:cNvGraphicFramePr/>
                      <a:graphic xmlns:a="http://schemas.openxmlformats.org/drawingml/2006/main">
                        <a:graphicData uri="http://schemas.microsoft.com/office/word/2010/wordprocessingShape">
                          <wps:wsp>
                            <wps:cNvSpPr txBox="1"/>
                            <wps:spPr>
                              <a:xfrm>
                                <a:off x="0" y="0"/>
                                <a:ext cx="890905" cy="316865"/>
                              </a:xfrm>
                              <a:prstGeom prst="rect">
                                <a:avLst/>
                              </a:prstGeom>
                              <a:noFill/>
                              <a:ln w="9525" cap="flat" cmpd="sng">
                                <a:solidFill>
                                  <a:srgbClr val="000000"/>
                                </a:solidFill>
                                <a:prstDash val="solid"/>
                                <a:miter/>
                                <a:headEnd type="none" w="med" len="med"/>
                                <a:tailEnd type="none" w="med" len="med"/>
                              </a:ln>
                            </wps:spPr>
                            <wps:txbx>
                              <w:txbxContent>
                                <w:p>
                                  <w:pPr>
                                    <w:ind w:firstLine="0" w:firstLineChars="0"/>
                                    <w:jc w:val="center"/>
                                    <w:rPr>
                                      <w:sz w:val="18"/>
                                      <w:szCs w:val="18"/>
                                    </w:rPr>
                                  </w:pPr>
                                  <w:r>
                                    <w:rPr>
                                      <w:rFonts w:hint="eastAsia"/>
                                      <w:sz w:val="18"/>
                                      <w:szCs w:val="18"/>
                                    </w:rPr>
                                    <w:t>周边卫生设施</w:t>
                                  </w:r>
                                </w:p>
                              </w:txbxContent>
                            </wps:txbx>
                            <wps:bodyPr upright="1"/>
                          </wps:wsp>
                        </a:graphicData>
                      </a:graphic>
                    </wp:anchor>
                  </w:drawing>
                </mc:Choice>
                <mc:Fallback>
                  <w:pict>
                    <v:shape id="_x0000_s1026" o:spid="_x0000_s1026" o:spt="202" type="#_x0000_t202" style="position:absolute;left:0pt;margin-left:218.05pt;margin-top:4.5pt;height:24.95pt;width:70.15pt;z-index:251682816;mso-width-relative:page;mso-height-relative:page;" filled="f" stroked="t" coordsize="21600,21600" o:gfxdata="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qSfta9YAAAAIAQAADwAAAAAAAAABACAAAAAiAAAAZHJz&#10;L2Rvd25yZXYueG1sUEsBAhQAFAAAAAgAh07iQDNzvLAGAgAADgQAAA4AAAAAAAAAAQAgAAAAJQEA&#10;AGRycy9lMm9Eb2MueG1sUEsFBgAAAAAGAAYAWQEAAJ0FAAAAAA==&#10;">
                      <v:fill on="f" focussize="0,0"/>
                      <v:stroke color="#000000" joinstyle="miter"/>
                      <v:imagedata o:title=""/>
                      <o:lock v:ext="edit" aspectratio="f"/>
                      <v:textbox>
                        <w:txbxContent>
                          <w:p>
                            <w:pPr>
                              <w:ind w:firstLine="0" w:firstLineChars="0"/>
                              <w:jc w:val="center"/>
                              <w:rPr>
                                <w:sz w:val="18"/>
                                <w:szCs w:val="18"/>
                              </w:rPr>
                            </w:pPr>
                            <w:r>
                              <w:rPr>
                                <w:rFonts w:hint="eastAsia"/>
                                <w:sz w:val="18"/>
                                <w:szCs w:val="18"/>
                              </w:rPr>
                              <w:t>周边卫生设施</w:t>
                            </w:r>
                          </w:p>
                        </w:txbxContent>
                      </v:textbox>
                    </v:shape>
                  </w:pict>
                </mc:Fallback>
              </mc:AlternateContent>
            </w:r>
            <w:r>
              <w:rPr>
                <w:rFonts w:hint="default" w:ascii="Times New Roman" w:hAnsi="Times New Roman" w:cs="Times New Roman"/>
                <w:bCs/>
                <w:color w:val="auto"/>
                <w:spacing w:val="-10"/>
                <w:szCs w:val="21"/>
              </w:rPr>
              <mc:AlternateContent>
                <mc:Choice Requires="wps">
                  <w:drawing>
                    <wp:anchor distT="0" distB="0" distL="114300" distR="114300" simplePos="0" relativeHeight="251683840" behindDoc="0" locked="0" layoutInCell="1" allowOverlap="1">
                      <wp:simplePos x="0" y="0"/>
                      <wp:positionH relativeFrom="column">
                        <wp:posOffset>2036445</wp:posOffset>
                      </wp:positionH>
                      <wp:positionV relativeFrom="paragraph">
                        <wp:posOffset>68580</wp:posOffset>
                      </wp:positionV>
                      <wp:extent cx="587375" cy="305435"/>
                      <wp:effectExtent l="4445" t="4445" r="17780" b="13970"/>
                      <wp:wrapNone/>
                      <wp:docPr id="43" name="文本框 43"/>
                      <wp:cNvGraphicFramePr/>
                      <a:graphic xmlns:a="http://schemas.openxmlformats.org/drawingml/2006/main">
                        <a:graphicData uri="http://schemas.microsoft.com/office/word/2010/wordprocessingShape">
                          <wps:wsp>
                            <wps:cNvSpPr txBox="1"/>
                            <wps:spPr>
                              <a:xfrm>
                                <a:off x="0" y="0"/>
                                <a:ext cx="587375" cy="305435"/>
                              </a:xfrm>
                              <a:prstGeom prst="rect">
                                <a:avLst/>
                              </a:prstGeom>
                              <a:noFill/>
                              <a:ln w="9525" cap="flat" cmpd="sng">
                                <a:solidFill>
                                  <a:srgbClr val="000000"/>
                                </a:solidFill>
                                <a:prstDash val="solid"/>
                                <a:miter/>
                                <a:headEnd type="none" w="med" len="med"/>
                                <a:tailEnd type="none" w="med" len="med"/>
                              </a:ln>
                            </wps:spPr>
                            <wps:txbx>
                              <w:txbxContent>
                                <w:p>
                                  <w:pPr>
                                    <w:ind w:firstLine="0" w:firstLineChars="0"/>
                                    <w:jc w:val="left"/>
                                    <w:rPr>
                                      <w:sz w:val="18"/>
                                      <w:szCs w:val="18"/>
                                    </w:rPr>
                                  </w:pPr>
                                  <w:r>
                                    <w:rPr>
                                      <w:rFonts w:hint="eastAsia"/>
                                      <w:sz w:val="18"/>
                                      <w:szCs w:val="18"/>
                                    </w:rPr>
                                    <w:t>沉淀池</w:t>
                                  </w:r>
                                </w:p>
                              </w:txbxContent>
                            </wps:txbx>
                            <wps:bodyPr upright="1"/>
                          </wps:wsp>
                        </a:graphicData>
                      </a:graphic>
                    </wp:anchor>
                  </w:drawing>
                </mc:Choice>
                <mc:Fallback>
                  <w:pict>
                    <v:shape id="_x0000_s1026" o:spid="_x0000_s1026" o:spt="202" type="#_x0000_t202" style="position:absolute;left:0pt;margin-left:160.35pt;margin-top:5.4pt;height:24.05pt;width:46.25pt;z-index:251683840;mso-width-relative:page;mso-height-relative:page;" filled="f" stroked="t" coordsize="21600,21600" o:gfxdata="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&#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GpTvmtYAAAAJAQAADwAAAAAAAAABACAAAAAiAAAAZHJz&#10;L2Rvd25yZXYueG1sUEsBAhQAFAAAAAgAh07iQGVyPbAGAgAADgQAAA4AAAAAAAAAAQAgAAAAJQEA&#10;AGRycy9lMm9Eb2MueG1sUEsFBgAAAAAGAAYAWQEAAJ0FAAAAAA==&#10;">
                      <v:fill on="f" focussize="0,0"/>
                      <v:stroke color="#000000" joinstyle="miter"/>
                      <v:imagedata o:title=""/>
                      <o:lock v:ext="edit" aspectratio="f"/>
                      <v:textbox>
                        <w:txbxContent>
                          <w:p>
                            <w:pPr>
                              <w:ind w:firstLine="0" w:firstLineChars="0"/>
                              <w:jc w:val="left"/>
                              <w:rPr>
                                <w:sz w:val="18"/>
                                <w:szCs w:val="18"/>
                              </w:rPr>
                            </w:pPr>
                            <w:r>
                              <w:rPr>
                                <w:rFonts w:hint="eastAsia"/>
                                <w:sz w:val="18"/>
                                <w:szCs w:val="18"/>
                              </w:rPr>
                              <w:t>沉淀池</w:t>
                            </w:r>
                          </w:p>
                        </w:txbxContent>
                      </v:textbox>
                    </v:shape>
                  </w:pict>
                </mc:Fallback>
              </mc:AlternateContent>
            </w:r>
            <w:r>
              <w:rPr>
                <w:rFonts w:hint="default" w:ascii="Times New Roman" w:hAnsi="Times New Roman" w:cs="Times New Roman"/>
                <w:bCs/>
                <w:color w:val="auto"/>
                <w:spacing w:val="-10"/>
                <w:szCs w:val="21"/>
              </w:rPr>
              <mc:AlternateContent>
                <mc:Choice Requires="wps">
                  <w:drawing>
                    <wp:anchor distT="0" distB="0" distL="114300" distR="114300" simplePos="0" relativeHeight="251672576" behindDoc="0" locked="0" layoutInCell="1" allowOverlap="1">
                      <wp:simplePos x="0" y="0"/>
                      <wp:positionH relativeFrom="column">
                        <wp:posOffset>4137660</wp:posOffset>
                      </wp:positionH>
                      <wp:positionV relativeFrom="paragraph">
                        <wp:posOffset>146685</wp:posOffset>
                      </wp:positionV>
                      <wp:extent cx="635" cy="561340"/>
                      <wp:effectExtent l="37465" t="0" r="38100" b="10160"/>
                      <wp:wrapNone/>
                      <wp:docPr id="46" name="直接连接符 46"/>
                      <wp:cNvGraphicFramePr/>
                      <a:graphic xmlns:a="http://schemas.openxmlformats.org/drawingml/2006/main">
                        <a:graphicData uri="http://schemas.microsoft.com/office/word/2010/wordprocessingShape">
                          <wps:wsp>
                            <wps:cNvCnPr/>
                            <wps:spPr>
                              <a:xfrm flipV="1">
                                <a:off x="0" y="0"/>
                                <a:ext cx="635" cy="56134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flip:y;margin-left:325.8pt;margin-top:11.55pt;height:44.2pt;width:0.05pt;z-index:251672576;mso-width-relative:page;mso-height-relative:page;" filled="f" stroked="t" coordsize="21600,21600" o:gfxdata="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BvCALXYAAAACgEAAA8AAAAAAAAAAQAgAAAAIgAAAGRycy9kb3du&#10;cmV2LnhtbFBLAQIUABQAAAAIAIdO4kCegRFQ/wEAAOkDAAAOAAAAAAAAAAEAIAAAACcBAABkcnMv&#10;ZTJvRG9jLnhtbFBLBQYAAAAABgAGAFkBAACYBQAAAAA=&#10;">
                      <v:fill on="f" focussize="0,0"/>
                      <v:stroke color="#000000" joinstyle="round" endarrow="block"/>
                      <v:imagedata o:title=""/>
                      <o:lock v:ext="edit" aspectratio="f"/>
                    </v:line>
                  </w:pict>
                </mc:Fallback>
              </mc:AlternateContent>
            </w:r>
            <w:r>
              <w:rPr>
                <w:rFonts w:hint="default" w:ascii="Times New Roman" w:hAnsi="Times New Roman" w:cs="Times New Roman"/>
                <w:bCs/>
                <w:color w:val="auto"/>
                <w:spacing w:val="-10"/>
                <w:szCs w:val="21"/>
              </w:rPr>
              <mc:AlternateContent>
                <mc:Choice Requires="wps">
                  <w:drawing>
                    <wp:anchor distT="0" distB="0" distL="114300" distR="114300" simplePos="0" relativeHeight="251671552" behindDoc="0" locked="0" layoutInCell="1" allowOverlap="1">
                      <wp:simplePos x="0" y="0"/>
                      <wp:positionH relativeFrom="column">
                        <wp:posOffset>1560195</wp:posOffset>
                      </wp:positionH>
                      <wp:positionV relativeFrom="paragraph">
                        <wp:posOffset>140970</wp:posOffset>
                      </wp:positionV>
                      <wp:extent cx="635" cy="561340"/>
                      <wp:effectExtent l="37465" t="0" r="38100" b="10160"/>
                      <wp:wrapNone/>
                      <wp:docPr id="49" name="直接连接符 49"/>
                      <wp:cNvGraphicFramePr/>
                      <a:graphic xmlns:a="http://schemas.openxmlformats.org/drawingml/2006/main">
                        <a:graphicData uri="http://schemas.microsoft.com/office/word/2010/wordprocessingShape">
                          <wps:wsp>
                            <wps:cNvCnPr/>
                            <wps:spPr>
                              <a:xfrm flipV="1">
                                <a:off x="0" y="0"/>
                                <a:ext cx="635" cy="561340"/>
                              </a:xfrm>
                              <a:prstGeom prst="line">
                                <a:avLst/>
                              </a:prstGeom>
                              <a:ln w="9525" cap="flat" cmpd="sng">
                                <a:solidFill>
                                  <a:srgbClr val="000000"/>
                                </a:solidFill>
                                <a:prstDash val="dash"/>
                                <a:headEnd type="none" w="med" len="med"/>
                                <a:tailEnd type="triangle" w="med" len="med"/>
                              </a:ln>
                            </wps:spPr>
                            <wps:bodyPr/>
                          </wps:wsp>
                        </a:graphicData>
                      </a:graphic>
                    </wp:anchor>
                  </w:drawing>
                </mc:Choice>
                <mc:Fallback>
                  <w:pict>
                    <v:line id="_x0000_s1026" o:spid="_x0000_s1026" o:spt="20" style="position:absolute;left:0pt;flip:y;margin-left:122.85pt;margin-top:11.1pt;height:44.2pt;width:0.05pt;z-index:251671552;mso-width-relative:page;mso-height-relative:page;" filled="f" stroked="t" coordsize="21600,21600" o:gfxdata="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pgAWQ9YAAAAKAQAADwAAAAAAAAABACAAAAAiAAAAZHJzL2Rvd25y&#10;ZXYueG1sUEsBAhQAFAAAAAgAh07iQMp3qG8AAgAA6AMAAA4AAAAAAAAAAQAgAAAAJQEAAGRycy9l&#10;Mm9Eb2MueG1sUEsFBgAAAAAGAAYAWQEAAJcFAAAAAA==&#10;">
                      <v:fill on="f" focussize="0,0"/>
                      <v:stroke color="#000000" joinstyle="round" dashstyle="dash" endarrow="block"/>
                      <v:imagedata o:title=""/>
                      <o:lock v:ext="edit" aspectratio="f"/>
                    </v:line>
                  </w:pict>
                </mc:Fallback>
              </mc:AlternateContent>
            </w:r>
            <w:r>
              <w:rPr>
                <w:rFonts w:hint="default" w:ascii="Times New Roman" w:hAnsi="Times New Roman" w:cs="Times New Roman"/>
                <w:bCs/>
                <w:color w:val="auto"/>
                <w:spacing w:val="-10"/>
                <w:szCs w:val="21"/>
              </w:rPr>
              <mc:AlternateContent>
                <mc:Choice Requires="wps">
                  <w:drawing>
                    <wp:anchor distT="0" distB="0" distL="114300" distR="114300" simplePos="0" relativeHeight="251670528" behindDoc="0" locked="0" layoutInCell="1" allowOverlap="1">
                      <wp:simplePos x="0" y="0"/>
                      <wp:positionH relativeFrom="column">
                        <wp:posOffset>781050</wp:posOffset>
                      </wp:positionH>
                      <wp:positionV relativeFrom="paragraph">
                        <wp:posOffset>139700</wp:posOffset>
                      </wp:positionV>
                      <wp:extent cx="635" cy="561340"/>
                      <wp:effectExtent l="37465" t="0" r="38100" b="10160"/>
                      <wp:wrapNone/>
                      <wp:docPr id="63" name="直接连接符 63"/>
                      <wp:cNvGraphicFramePr/>
                      <a:graphic xmlns:a="http://schemas.openxmlformats.org/drawingml/2006/main">
                        <a:graphicData uri="http://schemas.microsoft.com/office/word/2010/wordprocessingShape">
                          <wps:wsp>
                            <wps:cNvCnPr/>
                            <wps:spPr>
                              <a:xfrm flipV="1">
                                <a:off x="0" y="0"/>
                                <a:ext cx="635" cy="561340"/>
                              </a:xfrm>
                              <a:prstGeom prst="line">
                                <a:avLst/>
                              </a:prstGeom>
                              <a:ln w="9525" cap="flat" cmpd="sng">
                                <a:solidFill>
                                  <a:srgbClr val="000000"/>
                                </a:solidFill>
                                <a:prstDash val="dash"/>
                                <a:headEnd type="none" w="med" len="med"/>
                                <a:tailEnd type="triangle" w="med" len="med"/>
                              </a:ln>
                            </wps:spPr>
                            <wps:bodyPr/>
                          </wps:wsp>
                        </a:graphicData>
                      </a:graphic>
                    </wp:anchor>
                  </w:drawing>
                </mc:Choice>
                <mc:Fallback>
                  <w:pict>
                    <v:line id="_x0000_s1026" o:spid="_x0000_s1026" o:spt="20" style="position:absolute;left:0pt;flip:y;margin-left:61.5pt;margin-top:11pt;height:44.2pt;width:0.05pt;z-index:251670528;mso-width-relative:page;mso-height-relative:page;" filled="f" stroked="t" coordsize="21600,21600" o:gfxdata="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xGlMH1gAAAAoBAAAPAAAAAAAAAAEAIAAAACIAAABkcnMvZG93bnJl&#10;di54bWxQSwECFAAUAAAACACHTuJAGOjRL/8BAADoAwAADgAAAAAAAAABACAAAAAlAQAAZHJzL2Uy&#10;b0RvYy54bWxQSwUGAAAAAAYABgBZAQAAlgUAAAAA&#10;">
                      <v:fill on="f" focussize="0,0"/>
                      <v:stroke color="#000000" joinstyle="round" dashstyle="dash" endarrow="block"/>
                      <v:imagedata o:title=""/>
                      <o:lock v:ext="edit" aspectratio="f"/>
                    </v:line>
                  </w:pict>
                </mc:Fallback>
              </mc:AlternateContent>
            </w:r>
          </w:p>
          <w:p>
            <w:pPr>
              <w:adjustRightInd w:val="0"/>
              <w:snapToGrid w:val="0"/>
              <w:ind w:firstLine="0" w:firstLineChars="0"/>
              <w:rPr>
                <w:rFonts w:hint="default" w:ascii="Times New Roman" w:hAnsi="Times New Roman" w:cs="Times New Roman"/>
                <w:bCs/>
                <w:color w:val="auto"/>
                <w:spacing w:val="-10"/>
                <w:szCs w:val="21"/>
              </w:rPr>
            </w:pPr>
            <w:r>
              <w:rPr>
                <w:rFonts w:hint="default" w:ascii="Times New Roman" w:hAnsi="Times New Roman" w:cs="Times New Roman"/>
                <w:bCs/>
                <w:color w:val="auto"/>
                <w:spacing w:val="-10"/>
                <w:szCs w:val="21"/>
              </w:rPr>
              <mc:AlternateContent>
                <mc:Choice Requires="wps">
                  <w:drawing>
                    <wp:anchor distT="0" distB="0" distL="114300" distR="114300" simplePos="0" relativeHeight="251662336" behindDoc="0" locked="0" layoutInCell="1" allowOverlap="1">
                      <wp:simplePos x="0" y="0"/>
                      <wp:positionH relativeFrom="column">
                        <wp:posOffset>3208020</wp:posOffset>
                      </wp:positionH>
                      <wp:positionV relativeFrom="paragraph">
                        <wp:posOffset>136525</wp:posOffset>
                      </wp:positionV>
                      <wp:extent cx="635" cy="248920"/>
                      <wp:effectExtent l="37465" t="0" r="38100" b="17780"/>
                      <wp:wrapNone/>
                      <wp:docPr id="37" name="直接连接符 37"/>
                      <wp:cNvGraphicFramePr/>
                      <a:graphic xmlns:a="http://schemas.openxmlformats.org/drawingml/2006/main">
                        <a:graphicData uri="http://schemas.microsoft.com/office/word/2010/wordprocessingShape">
                          <wps:wsp>
                            <wps:cNvCnPr>
                              <a:cxnSpLocks noChangeShapeType="1"/>
                            </wps:cNvCnPr>
                            <wps:spPr bwMode="auto">
                              <a:xfrm flipV="1">
                                <a:off x="0" y="0"/>
                                <a:ext cx="635" cy="248920"/>
                              </a:xfrm>
                              <a:prstGeom prst="line">
                                <a:avLst/>
                              </a:prstGeom>
                              <a:noFill/>
                              <a:ln w="9525">
                                <a:solidFill>
                                  <a:srgbClr val="000000"/>
                                </a:solidFill>
                                <a:round/>
                                <a:tailEnd type="triangle" w="med" len="med"/>
                              </a:ln>
                              <a:effectLst/>
                            </wps:spPr>
                            <wps:bodyPr/>
                          </wps:wsp>
                        </a:graphicData>
                      </a:graphic>
                    </wp:anchor>
                  </w:drawing>
                </mc:Choice>
                <mc:Fallback>
                  <w:pict>
                    <v:line id="_x0000_s1026" o:spid="_x0000_s1026" o:spt="20" style="position:absolute;left:0pt;flip:y;margin-left:252.6pt;margin-top:10.75pt;height:19.6pt;width:0.05pt;z-index:251662336;mso-width-relative:page;mso-height-relative:page;" filled="f" stroked="t" coordsize="21600,21600" o:gfxdata="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t3/E9gAAAAJAQAADwAAAAAAAAABACAA&#10;AAAiAAAAZHJzL2Rvd25yZXYueG1sUEsBAhQAFAAAAAgAh07iQCDNeXENAgAA8wMAAA4AAAAAAAAA&#10;AQAgAAAAJwEAAGRycy9lMm9Eb2MueG1sUEsFBgAAAAAGAAYAWQEAAKYFAAAAAA==&#10;">
                      <v:fill on="f" focussize="0,0"/>
                      <v:stroke color="#000000" joinstyle="round" endarrow="block"/>
                      <v:imagedata o:title=""/>
                      <o:lock v:ext="edit" aspectratio="f"/>
                    </v:line>
                  </w:pict>
                </mc:Fallback>
              </mc:AlternateContent>
            </w:r>
            <w:r>
              <w:rPr>
                <w:rFonts w:hint="default" w:ascii="Times New Roman" w:hAnsi="Times New Roman" w:cs="Times New Roman"/>
                <w:bCs/>
                <w:color w:val="auto"/>
                <w:spacing w:val="-10"/>
                <w:szCs w:val="21"/>
              </w:rPr>
              <mc:AlternateContent>
                <mc:Choice Requires="wps">
                  <w:drawing>
                    <wp:anchor distT="0" distB="0" distL="114300" distR="114300" simplePos="0" relativeHeight="251661312" behindDoc="0" locked="0" layoutInCell="1" allowOverlap="1">
                      <wp:simplePos x="0" y="0"/>
                      <wp:positionH relativeFrom="column">
                        <wp:posOffset>2366010</wp:posOffset>
                      </wp:positionH>
                      <wp:positionV relativeFrom="paragraph">
                        <wp:posOffset>111125</wp:posOffset>
                      </wp:positionV>
                      <wp:extent cx="635" cy="248920"/>
                      <wp:effectExtent l="37465" t="0" r="38100" b="17780"/>
                      <wp:wrapNone/>
                      <wp:docPr id="51" name="直接连接符 51"/>
                      <wp:cNvGraphicFramePr/>
                      <a:graphic xmlns:a="http://schemas.openxmlformats.org/drawingml/2006/main">
                        <a:graphicData uri="http://schemas.microsoft.com/office/word/2010/wordprocessingShape">
                          <wps:wsp>
                            <wps:cNvCnPr>
                              <a:cxnSpLocks noChangeShapeType="1"/>
                            </wps:cNvCnPr>
                            <wps:spPr bwMode="auto">
                              <a:xfrm flipV="1">
                                <a:off x="0" y="0"/>
                                <a:ext cx="635" cy="248920"/>
                              </a:xfrm>
                              <a:prstGeom prst="line">
                                <a:avLst/>
                              </a:prstGeom>
                              <a:noFill/>
                              <a:ln w="9525">
                                <a:solidFill>
                                  <a:srgbClr val="000000"/>
                                </a:solidFill>
                                <a:round/>
                                <a:tailEnd type="triangle" w="med" len="med"/>
                              </a:ln>
                              <a:effectLst/>
                            </wps:spPr>
                            <wps:bodyPr/>
                          </wps:wsp>
                        </a:graphicData>
                      </a:graphic>
                    </wp:anchor>
                  </w:drawing>
                </mc:Choice>
                <mc:Fallback>
                  <w:pict>
                    <v:line id="_x0000_s1026" o:spid="_x0000_s1026" o:spt="20" style="position:absolute;left:0pt;flip:y;margin-left:186.3pt;margin-top:8.75pt;height:19.6pt;width:0.05pt;z-index:251661312;mso-width-relative:page;mso-height-relative:page;" filled="f" stroked="t" coordsize="21600,21600" o:gfxdata="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vapOd9gAAAAJAQAADwAAAAAAAAABACAA&#10;AAAiAAAAZHJzL2Rvd25yZXYueG1sUEsBAhQAFAAAAAgAh07iQKhtDT0NAgAA8wMAAA4AAAAAAAAA&#10;AQAgAAAAJwEAAGRycy9lMm9Eb2MueG1sUEsFBgAAAAAGAAYAWQEAAKYFAAAAAA==&#10;">
                      <v:fill on="f" focussize="0,0"/>
                      <v:stroke color="#000000" joinstyle="round" endarrow="block"/>
                      <v:imagedata o:title=""/>
                      <o:lock v:ext="edit" aspectratio="f"/>
                    </v:line>
                  </w:pict>
                </mc:Fallback>
              </mc:AlternateContent>
            </w:r>
          </w:p>
          <w:p>
            <w:pPr>
              <w:adjustRightInd w:val="0"/>
              <w:snapToGrid w:val="0"/>
              <w:ind w:firstLine="0" w:firstLineChars="0"/>
              <w:rPr>
                <w:rFonts w:hint="default" w:ascii="Times New Roman" w:hAnsi="Times New Roman" w:cs="Times New Roman"/>
                <w:bCs/>
                <w:color w:val="auto"/>
                <w:spacing w:val="-10"/>
                <w:szCs w:val="21"/>
              </w:rPr>
            </w:pPr>
            <w:r>
              <w:rPr>
                <w:rFonts w:hint="default" w:ascii="Times New Roman" w:hAnsi="Times New Roman" w:cs="Times New Roman"/>
                <w:bCs/>
                <w:color w:val="auto"/>
                <w:spacing w:val="-10"/>
                <w:szCs w:val="21"/>
              </w:rPr>
              <mc:AlternateContent>
                <mc:Choice Requires="wps">
                  <w:drawing>
                    <wp:anchor distT="0" distB="0" distL="114300" distR="114300" simplePos="0" relativeHeight="251679744" behindDoc="0" locked="0" layoutInCell="1" allowOverlap="1">
                      <wp:simplePos x="0" y="0"/>
                      <wp:positionH relativeFrom="column">
                        <wp:posOffset>3754755</wp:posOffset>
                      </wp:positionH>
                      <wp:positionV relativeFrom="paragraph">
                        <wp:posOffset>214630</wp:posOffset>
                      </wp:positionV>
                      <wp:extent cx="759460" cy="339725"/>
                      <wp:effectExtent l="4445" t="4445" r="17145" b="17780"/>
                      <wp:wrapNone/>
                      <wp:docPr id="34" name="文本框 34"/>
                      <wp:cNvGraphicFramePr/>
                      <a:graphic xmlns:a="http://schemas.openxmlformats.org/drawingml/2006/main">
                        <a:graphicData uri="http://schemas.microsoft.com/office/word/2010/wordprocessingShape">
                          <wps:wsp>
                            <wps:cNvSpPr txBox="1"/>
                            <wps:spPr>
                              <a:xfrm>
                                <a:off x="0" y="0"/>
                                <a:ext cx="759460" cy="339725"/>
                              </a:xfrm>
                              <a:prstGeom prst="rect">
                                <a:avLst/>
                              </a:prstGeom>
                              <a:noFill/>
                              <a:ln w="9525" cap="flat" cmpd="sng">
                                <a:solidFill>
                                  <a:srgbClr val="000000"/>
                                </a:solidFill>
                                <a:prstDash val="dash"/>
                                <a:miter/>
                                <a:headEnd type="none" w="med" len="med"/>
                                <a:tailEnd type="none" w="med" len="med"/>
                              </a:ln>
                            </wps:spPr>
                            <wps:txbx>
                              <w:txbxContent>
                                <w:p>
                                  <w:pPr>
                                    <w:ind w:firstLine="0" w:firstLineChars="0"/>
                                    <w:rPr>
                                      <w:sz w:val="18"/>
                                      <w:szCs w:val="18"/>
                                    </w:rPr>
                                  </w:pPr>
                                  <w:r>
                                    <w:rPr>
                                      <w:rFonts w:hint="eastAsia"/>
                                      <w:sz w:val="18"/>
                                      <w:szCs w:val="18"/>
                                    </w:rPr>
                                    <w:t>生活垃圾</w:t>
                                  </w:r>
                                </w:p>
                              </w:txbxContent>
                            </wps:txbx>
                            <wps:bodyPr lIns="91439" tIns="45720" rIns="91439" bIns="45720" upright="1"/>
                          </wps:wsp>
                        </a:graphicData>
                      </a:graphic>
                    </wp:anchor>
                  </w:drawing>
                </mc:Choice>
                <mc:Fallback>
                  <w:pict>
                    <v:shape id="_x0000_s1026" o:spid="_x0000_s1026" o:spt="202" type="#_x0000_t202" style="position:absolute;left:0pt;margin-left:295.65pt;margin-top:16.9pt;height:26.75pt;width:59.8pt;z-index:251679744;mso-width-relative:page;mso-height-relative:page;" filled="f" stroked="t" coordsize="21600,21600" o:gfxdata="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54NCL1QAAAAkB&#10;AAAPAAAAAAAAAAEAIAAAACIAAABkcnMvZG93bnJldi54bWxQSwECFAAUAAAACACHTuJAybSs3h4C&#10;AABBBAAADgAAAAAAAAABACAAAAAkAQAAZHJzL2Uyb0RvYy54bWxQSwUGAAAAAAYABgBZAQAAtAUA&#10;AAAA&#10;">
                      <v:fill on="f" focussize="0,0"/>
                      <v:stroke color="#000000" joinstyle="miter" dashstyle="dash"/>
                      <v:imagedata o:title=""/>
                      <o:lock v:ext="edit" aspectratio="f"/>
                      <v:textbox inset="7.19992125984252pt,1.27mm,7.19992125984252pt,1.27mm">
                        <w:txbxContent>
                          <w:p>
                            <w:pPr>
                              <w:ind w:firstLine="0" w:firstLineChars="0"/>
                              <w:rPr>
                                <w:sz w:val="18"/>
                                <w:szCs w:val="18"/>
                              </w:rPr>
                            </w:pPr>
                            <w:r>
                              <w:rPr>
                                <w:rFonts w:hint="eastAsia"/>
                                <w:sz w:val="18"/>
                                <w:szCs w:val="18"/>
                              </w:rPr>
                              <w:t>生活垃圾</w:t>
                            </w:r>
                          </w:p>
                        </w:txbxContent>
                      </v:textbox>
                    </v:shape>
                  </w:pict>
                </mc:Fallback>
              </mc:AlternateContent>
            </w:r>
            <w:r>
              <w:rPr>
                <w:rFonts w:hint="default" w:ascii="Times New Roman" w:hAnsi="Times New Roman" w:cs="Times New Roman"/>
                <w:bCs/>
                <w:color w:val="auto"/>
                <w:spacing w:val="-10"/>
                <w:szCs w:val="21"/>
              </w:rPr>
              <mc:AlternateContent>
                <mc:Choice Requires="wps">
                  <w:drawing>
                    <wp:anchor distT="0" distB="0" distL="114300" distR="114300" simplePos="0" relativeHeight="251678720" behindDoc="0" locked="0" layoutInCell="1" allowOverlap="1">
                      <wp:simplePos x="0" y="0"/>
                      <wp:positionH relativeFrom="column">
                        <wp:posOffset>2891155</wp:posOffset>
                      </wp:positionH>
                      <wp:positionV relativeFrom="paragraph">
                        <wp:posOffset>195580</wp:posOffset>
                      </wp:positionV>
                      <wp:extent cx="688340" cy="339090"/>
                      <wp:effectExtent l="4445" t="4445" r="12065" b="18415"/>
                      <wp:wrapNone/>
                      <wp:docPr id="50" name="文本框 50"/>
                      <wp:cNvGraphicFramePr/>
                      <a:graphic xmlns:a="http://schemas.openxmlformats.org/drawingml/2006/main">
                        <a:graphicData uri="http://schemas.microsoft.com/office/word/2010/wordprocessingShape">
                          <wps:wsp>
                            <wps:cNvSpPr txBox="1"/>
                            <wps:spPr>
                              <a:xfrm>
                                <a:off x="0" y="0"/>
                                <a:ext cx="688340" cy="339090"/>
                              </a:xfrm>
                              <a:prstGeom prst="rect">
                                <a:avLst/>
                              </a:prstGeom>
                              <a:noFill/>
                              <a:ln w="9525" cap="flat" cmpd="sng">
                                <a:solidFill>
                                  <a:srgbClr val="000000"/>
                                </a:solidFill>
                                <a:prstDash val="dash"/>
                                <a:miter/>
                                <a:headEnd type="none" w="med" len="med"/>
                                <a:tailEnd type="none" w="med" len="med"/>
                              </a:ln>
                            </wps:spPr>
                            <wps:txbx>
                              <w:txbxContent>
                                <w:p>
                                  <w:pPr>
                                    <w:ind w:firstLine="0" w:firstLineChars="0"/>
                                    <w:rPr>
                                      <w:sz w:val="18"/>
                                      <w:szCs w:val="21"/>
                                    </w:rPr>
                                  </w:pPr>
                                  <w:r>
                                    <w:rPr>
                                      <w:rFonts w:hint="eastAsia"/>
                                      <w:sz w:val="18"/>
                                      <w:szCs w:val="21"/>
                                    </w:rPr>
                                    <w:t>生活污水</w:t>
                                  </w:r>
                                </w:p>
                              </w:txbxContent>
                            </wps:txbx>
                            <wps:bodyPr lIns="91439" tIns="45720" rIns="91439" bIns="45720" upright="1"/>
                          </wps:wsp>
                        </a:graphicData>
                      </a:graphic>
                    </wp:anchor>
                  </w:drawing>
                </mc:Choice>
                <mc:Fallback>
                  <w:pict>
                    <v:shape id="_x0000_s1026" o:spid="_x0000_s1026" o:spt="202" type="#_x0000_t202" style="position:absolute;left:0pt;margin-left:227.65pt;margin-top:15.4pt;height:26.7pt;width:54.2pt;z-index:251678720;mso-width-relative:page;mso-height-relative:page;" filled="f" stroked="t" coordsize="21600,21600" o:gfxdata="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A1JE7nWAAAA&#10;CQEAAA8AAAAAAAAAAQAgAAAAIgAAAGRycy9kb3ducmV2LnhtbFBLAQIUABQAAAAIAIdO4kAJtI2f&#10;HwIAAEEEAAAOAAAAAAAAAAEAIAAAACUBAABkcnMvZTJvRG9jLnhtbFBLBQYAAAAABgAGAFkBAAC2&#10;BQAAAAA=&#10;">
                      <v:fill on="f" focussize="0,0"/>
                      <v:stroke color="#000000" joinstyle="miter" dashstyle="dash"/>
                      <v:imagedata o:title=""/>
                      <o:lock v:ext="edit" aspectratio="f"/>
                      <v:textbox inset="7.19992125984252pt,1.27mm,7.19992125984252pt,1.27mm">
                        <w:txbxContent>
                          <w:p>
                            <w:pPr>
                              <w:ind w:firstLine="0" w:firstLineChars="0"/>
                              <w:rPr>
                                <w:sz w:val="18"/>
                                <w:szCs w:val="21"/>
                              </w:rPr>
                            </w:pPr>
                            <w:r>
                              <w:rPr>
                                <w:rFonts w:hint="eastAsia"/>
                                <w:sz w:val="18"/>
                                <w:szCs w:val="21"/>
                              </w:rPr>
                              <w:t>生活污水</w:t>
                            </w:r>
                          </w:p>
                        </w:txbxContent>
                      </v:textbox>
                    </v:shape>
                  </w:pict>
                </mc:Fallback>
              </mc:AlternateContent>
            </w:r>
            <w:r>
              <w:rPr>
                <w:rFonts w:hint="default" w:ascii="Times New Roman" w:hAnsi="Times New Roman" w:cs="Times New Roman"/>
                <w:bCs/>
                <w:color w:val="auto"/>
                <w:spacing w:val="-10"/>
                <w:szCs w:val="21"/>
              </w:rPr>
              <mc:AlternateContent>
                <mc:Choice Requires="wps">
                  <w:drawing>
                    <wp:anchor distT="0" distB="0" distL="114300" distR="114300" simplePos="0" relativeHeight="251677696" behindDoc="0" locked="0" layoutInCell="1" allowOverlap="1">
                      <wp:simplePos x="0" y="0"/>
                      <wp:positionH relativeFrom="column">
                        <wp:posOffset>2035175</wp:posOffset>
                      </wp:positionH>
                      <wp:positionV relativeFrom="paragraph">
                        <wp:posOffset>173990</wp:posOffset>
                      </wp:positionV>
                      <wp:extent cx="688975" cy="339725"/>
                      <wp:effectExtent l="4445" t="5080" r="11430" b="17145"/>
                      <wp:wrapNone/>
                      <wp:docPr id="38" name="文本框 38"/>
                      <wp:cNvGraphicFramePr/>
                      <a:graphic xmlns:a="http://schemas.openxmlformats.org/drawingml/2006/main">
                        <a:graphicData uri="http://schemas.microsoft.com/office/word/2010/wordprocessingShape">
                          <wps:wsp>
                            <wps:cNvSpPr txBox="1"/>
                            <wps:spPr>
                              <a:xfrm>
                                <a:off x="0" y="0"/>
                                <a:ext cx="688975" cy="339725"/>
                              </a:xfrm>
                              <a:prstGeom prst="rect">
                                <a:avLst/>
                              </a:prstGeom>
                              <a:noFill/>
                              <a:ln w="9525" cap="flat" cmpd="sng">
                                <a:solidFill>
                                  <a:srgbClr val="000000"/>
                                </a:solidFill>
                                <a:prstDash val="dash"/>
                                <a:miter/>
                                <a:headEnd type="none" w="med" len="med"/>
                                <a:tailEnd type="none" w="med" len="med"/>
                              </a:ln>
                            </wps:spPr>
                            <wps:txbx>
                              <w:txbxContent>
                                <w:p>
                                  <w:pPr>
                                    <w:ind w:firstLine="0" w:firstLineChars="0"/>
                                    <w:rPr>
                                      <w:sz w:val="18"/>
                                      <w:szCs w:val="21"/>
                                    </w:rPr>
                                  </w:pPr>
                                  <w:r>
                                    <w:rPr>
                                      <w:rFonts w:hint="eastAsia"/>
                                      <w:sz w:val="18"/>
                                      <w:szCs w:val="21"/>
                                    </w:rPr>
                                    <w:t>建筑废水</w:t>
                                  </w:r>
                                </w:p>
                              </w:txbxContent>
                            </wps:txbx>
                            <wps:bodyPr lIns="91439" tIns="45720" rIns="91439" bIns="45720" upright="1"/>
                          </wps:wsp>
                        </a:graphicData>
                      </a:graphic>
                    </wp:anchor>
                  </w:drawing>
                </mc:Choice>
                <mc:Fallback>
                  <w:pict>
                    <v:shape id="_x0000_s1026" o:spid="_x0000_s1026" o:spt="202" type="#_x0000_t202" style="position:absolute;left:0pt;margin-left:160.25pt;margin-top:13.7pt;height:26.75pt;width:54.25pt;z-index:251677696;mso-width-relative:page;mso-height-relative:page;" filled="f" stroked="t" coordsize="21600,21600" o:gfxdata="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EBx4sbWAAAA&#10;CQEAAA8AAAAAAAAAAQAgAAAAIgAAAGRycy9kb3ducmV2LnhtbFBLAQIUABQAAAAIAIdO4kDW6pHb&#10;HwIAAEEEAAAOAAAAAAAAAAEAIAAAACUBAABkcnMvZTJvRG9jLnhtbFBLBQYAAAAABgAGAFkBAAC2&#10;BQAAAAA=&#10;">
                      <v:fill on="f" focussize="0,0"/>
                      <v:stroke color="#000000" joinstyle="miter" dashstyle="dash"/>
                      <v:imagedata o:title=""/>
                      <o:lock v:ext="edit" aspectratio="f"/>
                      <v:textbox inset="7.19992125984252pt,1.27mm,7.19992125984252pt,1.27mm">
                        <w:txbxContent>
                          <w:p>
                            <w:pPr>
                              <w:ind w:firstLine="0" w:firstLineChars="0"/>
                              <w:rPr>
                                <w:sz w:val="18"/>
                                <w:szCs w:val="21"/>
                              </w:rPr>
                            </w:pPr>
                            <w:r>
                              <w:rPr>
                                <w:rFonts w:hint="eastAsia"/>
                                <w:sz w:val="18"/>
                                <w:szCs w:val="21"/>
                              </w:rPr>
                              <w:t>建筑废水</w:t>
                            </w:r>
                          </w:p>
                        </w:txbxContent>
                      </v:textbox>
                    </v:shape>
                  </w:pict>
                </mc:Fallback>
              </mc:AlternateContent>
            </w:r>
            <w:r>
              <w:rPr>
                <w:rFonts w:hint="default" w:ascii="Times New Roman" w:hAnsi="Times New Roman" w:cs="Times New Roman"/>
                <w:bCs/>
                <w:color w:val="auto"/>
                <w:spacing w:val="-10"/>
                <w:szCs w:val="21"/>
              </w:rPr>
              <mc:AlternateContent>
                <mc:Choice Requires="wps">
                  <w:drawing>
                    <wp:anchor distT="0" distB="0" distL="114300" distR="114300" simplePos="0" relativeHeight="251676672" behindDoc="0" locked="0" layoutInCell="1" allowOverlap="1">
                      <wp:simplePos x="0" y="0"/>
                      <wp:positionH relativeFrom="column">
                        <wp:posOffset>1339850</wp:posOffset>
                      </wp:positionH>
                      <wp:positionV relativeFrom="paragraph">
                        <wp:posOffset>184785</wp:posOffset>
                      </wp:positionV>
                      <wp:extent cx="438785" cy="338455"/>
                      <wp:effectExtent l="5080" t="4445" r="13335" b="19050"/>
                      <wp:wrapNone/>
                      <wp:docPr id="35" name="文本框 35"/>
                      <wp:cNvGraphicFramePr/>
                      <a:graphic xmlns:a="http://schemas.openxmlformats.org/drawingml/2006/main">
                        <a:graphicData uri="http://schemas.microsoft.com/office/word/2010/wordprocessingShape">
                          <wps:wsp>
                            <wps:cNvSpPr txBox="1"/>
                            <wps:spPr>
                              <a:xfrm>
                                <a:off x="0" y="0"/>
                                <a:ext cx="438785" cy="338455"/>
                              </a:xfrm>
                              <a:prstGeom prst="rect">
                                <a:avLst/>
                              </a:prstGeom>
                              <a:noFill/>
                              <a:ln w="9525" cap="flat" cmpd="sng">
                                <a:solidFill>
                                  <a:srgbClr val="000000"/>
                                </a:solidFill>
                                <a:prstDash val="dash"/>
                                <a:miter/>
                                <a:headEnd type="none" w="med" len="med"/>
                                <a:tailEnd type="none" w="med" len="med"/>
                              </a:ln>
                            </wps:spPr>
                            <wps:txbx>
                              <w:txbxContent>
                                <w:p>
                                  <w:pPr>
                                    <w:ind w:firstLine="0" w:firstLineChars="0"/>
                                    <w:rPr>
                                      <w:sz w:val="18"/>
                                      <w:szCs w:val="21"/>
                                    </w:rPr>
                                  </w:pPr>
                                  <w:r>
                                    <w:rPr>
                                      <w:rFonts w:hint="eastAsia"/>
                                      <w:sz w:val="18"/>
                                      <w:szCs w:val="21"/>
                                    </w:rPr>
                                    <w:t>粉尘</w:t>
                                  </w:r>
                                </w:p>
                              </w:txbxContent>
                            </wps:txbx>
                            <wps:bodyPr lIns="91439" tIns="45720" rIns="91439" bIns="45720" upright="1"/>
                          </wps:wsp>
                        </a:graphicData>
                      </a:graphic>
                    </wp:anchor>
                  </w:drawing>
                </mc:Choice>
                <mc:Fallback>
                  <w:pict>
                    <v:shape id="_x0000_s1026" o:spid="_x0000_s1026" o:spt="202" type="#_x0000_t202" style="position:absolute;left:0pt;margin-left:105.5pt;margin-top:14.55pt;height:26.65pt;width:34.55pt;z-index:251676672;mso-width-relative:page;mso-height-relative:page;" filled="f" stroked="t" coordsize="21600,21600" o:gfxdata="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XrXm11AAAAAkB&#10;AAAPAAAAAAAAAAEAIAAAACIAAABkcnMvZG93bnJldi54bWxQSwECFAAUAAAACACHTuJAggu0oB8C&#10;AABBBAAADgAAAAAAAAABACAAAAAjAQAAZHJzL2Uyb0RvYy54bWxQSwUGAAAAAAYABgBZAQAAtAUA&#10;AAAA&#10;">
                      <v:fill on="f" focussize="0,0"/>
                      <v:stroke color="#000000" joinstyle="miter" dashstyle="dash"/>
                      <v:imagedata o:title=""/>
                      <o:lock v:ext="edit" aspectratio="f"/>
                      <v:textbox inset="7.19992125984252pt,1.27mm,7.19992125984252pt,1.27mm">
                        <w:txbxContent>
                          <w:p>
                            <w:pPr>
                              <w:ind w:firstLine="0" w:firstLineChars="0"/>
                              <w:rPr>
                                <w:sz w:val="18"/>
                                <w:szCs w:val="21"/>
                              </w:rPr>
                            </w:pPr>
                            <w:r>
                              <w:rPr>
                                <w:rFonts w:hint="eastAsia"/>
                                <w:sz w:val="18"/>
                                <w:szCs w:val="21"/>
                              </w:rPr>
                              <w:t>粉尘</w:t>
                            </w:r>
                          </w:p>
                        </w:txbxContent>
                      </v:textbox>
                    </v:shape>
                  </w:pict>
                </mc:Fallback>
              </mc:AlternateContent>
            </w:r>
            <w:r>
              <w:rPr>
                <w:rFonts w:hint="default" w:ascii="Times New Roman" w:hAnsi="Times New Roman" w:cs="Times New Roman"/>
                <w:bCs/>
                <w:color w:val="auto"/>
                <w:spacing w:val="-10"/>
                <w:szCs w:val="21"/>
              </w:rPr>
              <mc:AlternateContent>
                <mc:Choice Requires="wps">
                  <w:drawing>
                    <wp:anchor distT="0" distB="0" distL="114300" distR="114300" simplePos="0" relativeHeight="251675648" behindDoc="0" locked="0" layoutInCell="1" allowOverlap="1">
                      <wp:simplePos x="0" y="0"/>
                      <wp:positionH relativeFrom="column">
                        <wp:posOffset>568960</wp:posOffset>
                      </wp:positionH>
                      <wp:positionV relativeFrom="paragraph">
                        <wp:posOffset>179705</wp:posOffset>
                      </wp:positionV>
                      <wp:extent cx="438785" cy="339725"/>
                      <wp:effectExtent l="5080" t="4445" r="13335" b="17780"/>
                      <wp:wrapNone/>
                      <wp:docPr id="47" name="文本框 47"/>
                      <wp:cNvGraphicFramePr/>
                      <a:graphic xmlns:a="http://schemas.openxmlformats.org/drawingml/2006/main">
                        <a:graphicData uri="http://schemas.microsoft.com/office/word/2010/wordprocessingShape">
                          <wps:wsp>
                            <wps:cNvSpPr txBox="1"/>
                            <wps:spPr>
                              <a:xfrm>
                                <a:off x="0" y="0"/>
                                <a:ext cx="438785" cy="339725"/>
                              </a:xfrm>
                              <a:prstGeom prst="rect">
                                <a:avLst/>
                              </a:prstGeom>
                              <a:noFill/>
                              <a:ln w="9525" cap="flat" cmpd="sng">
                                <a:solidFill>
                                  <a:srgbClr val="000000"/>
                                </a:solidFill>
                                <a:prstDash val="dash"/>
                                <a:miter/>
                                <a:headEnd type="none" w="med" len="med"/>
                                <a:tailEnd type="none" w="med" len="med"/>
                              </a:ln>
                            </wps:spPr>
                            <wps:txbx>
                              <w:txbxContent>
                                <w:p>
                                  <w:pPr>
                                    <w:ind w:firstLine="0" w:firstLineChars="0"/>
                                    <w:rPr>
                                      <w:sz w:val="18"/>
                                      <w:szCs w:val="21"/>
                                    </w:rPr>
                                  </w:pPr>
                                  <w:r>
                                    <w:rPr>
                                      <w:rFonts w:hint="eastAsia"/>
                                      <w:sz w:val="18"/>
                                      <w:szCs w:val="21"/>
                                    </w:rPr>
                                    <w:t>噪声</w:t>
                                  </w:r>
                                </w:p>
                              </w:txbxContent>
                            </wps:txbx>
                            <wps:bodyPr lIns="91439" tIns="45720" rIns="91439" bIns="45720" upright="1"/>
                          </wps:wsp>
                        </a:graphicData>
                      </a:graphic>
                    </wp:anchor>
                  </w:drawing>
                </mc:Choice>
                <mc:Fallback>
                  <w:pict>
                    <v:shape id="_x0000_s1026" o:spid="_x0000_s1026" o:spt="202" type="#_x0000_t202" style="position:absolute;left:0pt;margin-left:44.8pt;margin-top:14.15pt;height:26.75pt;width:34.55pt;z-index:251675648;mso-width-relative:page;mso-height-relative:page;" filled="f" stroked="t" coordsize="21600,21600" o:gfxdata="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t2eyw1AAAAAgB&#10;AAAPAAAAAAAAAAEAIAAAACIAAABkcnMvZG93bnJldi54bWxQSwECFAAUAAAACACHTuJAuOHR/h8C&#10;AABBBAAADgAAAAAAAAABACAAAAAjAQAAZHJzL2Uyb0RvYy54bWxQSwUGAAAAAAYABgBZAQAAtAUA&#10;AAAA&#10;">
                      <v:fill on="f" focussize="0,0"/>
                      <v:stroke color="#000000" joinstyle="miter" dashstyle="dash"/>
                      <v:imagedata o:title=""/>
                      <o:lock v:ext="edit" aspectratio="f"/>
                      <v:textbox inset="7.19992125984252pt,1.27mm,7.19992125984252pt,1.27mm">
                        <w:txbxContent>
                          <w:p>
                            <w:pPr>
                              <w:ind w:firstLine="0" w:firstLineChars="0"/>
                              <w:rPr>
                                <w:sz w:val="18"/>
                                <w:szCs w:val="21"/>
                              </w:rPr>
                            </w:pPr>
                            <w:r>
                              <w:rPr>
                                <w:rFonts w:hint="eastAsia"/>
                                <w:sz w:val="18"/>
                                <w:szCs w:val="21"/>
                              </w:rPr>
                              <w:t>噪声</w:t>
                            </w:r>
                          </w:p>
                        </w:txbxContent>
                      </v:textbox>
                    </v:shape>
                  </w:pict>
                </mc:Fallback>
              </mc:AlternateContent>
            </w:r>
          </w:p>
          <w:p>
            <w:pPr>
              <w:adjustRightInd w:val="0"/>
              <w:snapToGrid w:val="0"/>
              <w:ind w:firstLine="0" w:firstLineChars="0"/>
              <w:rPr>
                <w:rFonts w:hint="default" w:ascii="Times New Roman" w:hAnsi="Times New Roman" w:cs="Times New Roman"/>
                <w:bCs/>
                <w:color w:val="auto"/>
                <w:spacing w:val="-10"/>
                <w:szCs w:val="21"/>
              </w:rPr>
            </w:pPr>
          </w:p>
          <w:p>
            <w:pPr>
              <w:adjustRightInd w:val="0"/>
              <w:snapToGrid w:val="0"/>
              <w:ind w:firstLine="0" w:firstLineChars="0"/>
              <w:rPr>
                <w:rFonts w:hint="default" w:ascii="Times New Roman" w:hAnsi="Times New Roman" w:cs="Times New Roman"/>
                <w:bCs/>
                <w:color w:val="auto"/>
                <w:spacing w:val="-10"/>
                <w:szCs w:val="21"/>
              </w:rPr>
            </w:pPr>
            <w:r>
              <w:rPr>
                <w:rFonts w:hint="default" w:ascii="Times New Roman" w:hAnsi="Times New Roman" w:cs="Times New Roman"/>
                <w:bCs/>
                <w:color w:val="auto"/>
                <w:spacing w:val="-10"/>
                <w:szCs w:val="21"/>
              </w:rPr>
              <mc:AlternateContent>
                <mc:Choice Requires="wps">
                  <w:drawing>
                    <wp:anchor distT="0" distB="0" distL="114300" distR="114300" simplePos="0" relativeHeight="251687936" behindDoc="0" locked="0" layoutInCell="1" allowOverlap="1">
                      <wp:simplePos x="0" y="0"/>
                      <wp:positionH relativeFrom="column">
                        <wp:posOffset>4137025</wp:posOffset>
                      </wp:positionH>
                      <wp:positionV relativeFrom="paragraph">
                        <wp:posOffset>24765</wp:posOffset>
                      </wp:positionV>
                      <wp:extent cx="635" cy="240665"/>
                      <wp:effectExtent l="37465" t="0" r="38100" b="6985"/>
                      <wp:wrapNone/>
                      <wp:docPr id="42" name="直接连接符 42"/>
                      <wp:cNvGraphicFramePr/>
                      <a:graphic xmlns:a="http://schemas.openxmlformats.org/drawingml/2006/main">
                        <a:graphicData uri="http://schemas.microsoft.com/office/word/2010/wordprocessingShape">
                          <wps:wsp>
                            <wps:cNvCnPr/>
                            <wps:spPr>
                              <a:xfrm flipV="1">
                                <a:off x="0" y="0"/>
                                <a:ext cx="635" cy="24066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flip:y;margin-left:325.75pt;margin-top:1.95pt;height:18.95pt;width:0.05pt;z-index:251687936;mso-width-relative:page;mso-height-relative:page;" filled="f" stroked="t" coordsize="21600,21600" o:gfxdata="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M2pD7DYAAAACAEAAA8AAAAAAAAAAQAgAAAAIgAAAGRycy9kb3ducmV2&#10;LnhtbFBLAQIUABQAAAAIAIdO4kAw1/Vh/AEAAOkDAAAOAAAAAAAAAAEAIAAAACcBAABkcnMvZTJv&#10;RG9jLnhtbFBLBQYAAAAABgAGAFkBAACVBQAAAAA=&#10;">
                      <v:fill on="f" focussize="0,0"/>
                      <v:stroke color="#000000" joinstyle="round" endarrow="block"/>
                      <v:imagedata o:title=""/>
                      <o:lock v:ext="edit" aspectratio="f"/>
                    </v:line>
                  </w:pict>
                </mc:Fallback>
              </mc:AlternateContent>
            </w:r>
            <w:r>
              <w:rPr>
                <w:rFonts w:hint="default" w:ascii="Times New Roman" w:hAnsi="Times New Roman" w:cs="Times New Roman"/>
                <w:bCs/>
                <w:color w:val="auto"/>
                <w:spacing w:val="-10"/>
                <w:szCs w:val="21"/>
              </w:rPr>
              <mc:AlternateContent>
                <mc:Choice Requires="wps">
                  <w:drawing>
                    <wp:anchor distT="0" distB="0" distL="114300" distR="114300" simplePos="0" relativeHeight="251669504" behindDoc="0" locked="0" layoutInCell="1" allowOverlap="1">
                      <wp:simplePos x="0" y="0"/>
                      <wp:positionH relativeFrom="column">
                        <wp:posOffset>3214370</wp:posOffset>
                      </wp:positionH>
                      <wp:positionV relativeFrom="paragraph">
                        <wp:posOffset>32385</wp:posOffset>
                      </wp:positionV>
                      <wp:extent cx="635" cy="240030"/>
                      <wp:effectExtent l="37465" t="0" r="38100" b="7620"/>
                      <wp:wrapNone/>
                      <wp:docPr id="39" name="直接连接符 39"/>
                      <wp:cNvGraphicFramePr/>
                      <a:graphic xmlns:a="http://schemas.openxmlformats.org/drawingml/2006/main">
                        <a:graphicData uri="http://schemas.microsoft.com/office/word/2010/wordprocessingShape">
                          <wps:wsp>
                            <wps:cNvCnPr/>
                            <wps:spPr>
                              <a:xfrm flipV="1">
                                <a:off x="0" y="0"/>
                                <a:ext cx="635" cy="24003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flip:y;margin-left:253.1pt;margin-top:2.55pt;height:18.9pt;width:0.05pt;z-index:251669504;mso-width-relative:page;mso-height-relative:page;" filled="f" stroked="t" coordsize="21600,21600" o:gfxdata="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I/2/2/YAAAACAEAAA8AAAAAAAAAAQAgAAAAIgAAAGRycy9kb3du&#10;cmV2LnhtbFBLAQIUABQAAAAIAIdO4kCbKau9/wEAAOkDAAAOAAAAAAAAAAEAIAAAACcBAABkcnMv&#10;ZTJvRG9jLnhtbFBLBQYAAAAABgAGAFkBAACYBQAAAAA=&#10;">
                      <v:fill on="f" focussize="0,0"/>
                      <v:stroke color="#000000" joinstyle="round" endarrow="block"/>
                      <v:imagedata o:title=""/>
                      <o:lock v:ext="edit" aspectratio="f"/>
                    </v:line>
                  </w:pict>
                </mc:Fallback>
              </mc:AlternateContent>
            </w:r>
            <w:r>
              <w:rPr>
                <w:rFonts w:hint="default" w:ascii="Times New Roman" w:hAnsi="Times New Roman" w:cs="Times New Roman"/>
                <w:bCs/>
                <w:color w:val="auto"/>
                <w:spacing w:val="-10"/>
                <w:szCs w:val="21"/>
              </w:rPr>
              <mc:AlternateContent>
                <mc:Choice Requires="wps">
                  <w:drawing>
                    <wp:anchor distT="0" distB="0" distL="114300" distR="114300" simplePos="0" relativeHeight="251668480" behindDoc="0" locked="0" layoutInCell="1" allowOverlap="1">
                      <wp:simplePos x="0" y="0"/>
                      <wp:positionH relativeFrom="column">
                        <wp:posOffset>2366645</wp:posOffset>
                      </wp:positionH>
                      <wp:positionV relativeFrom="paragraph">
                        <wp:posOffset>20320</wp:posOffset>
                      </wp:positionV>
                      <wp:extent cx="635" cy="240665"/>
                      <wp:effectExtent l="37465" t="0" r="38100" b="6985"/>
                      <wp:wrapNone/>
                      <wp:docPr id="40" name="直接连接符 40"/>
                      <wp:cNvGraphicFramePr/>
                      <a:graphic xmlns:a="http://schemas.openxmlformats.org/drawingml/2006/main">
                        <a:graphicData uri="http://schemas.microsoft.com/office/word/2010/wordprocessingShape">
                          <wps:wsp>
                            <wps:cNvCnPr/>
                            <wps:spPr>
                              <a:xfrm flipV="1">
                                <a:off x="0" y="0"/>
                                <a:ext cx="635" cy="24066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flip:y;margin-left:186.35pt;margin-top:1.6pt;height:18.95pt;width:0.05pt;z-index:251668480;mso-width-relative:page;mso-height-relative:page;" filled="f" stroked="t" coordsize="21600,21600" o:gfxdata="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dr3k61wAAAAgBAAAPAAAAAAAAAAEAIAAAACIAAABkcnMvZG93bnJldi54&#10;bWxQSwECFAAUAAAACACHTuJA61uLefsBAADpAwAADgAAAAAAAAABACAAAAAmAQAAZHJzL2Uyb0Rv&#10;Yy54bWxQSwUGAAAAAAYABgBZAQAAkwUAAAAA&#10;">
                      <v:fill on="f" focussize="0,0"/>
                      <v:stroke color="#000000" joinstyle="round" endarrow="block"/>
                      <v:imagedata o:title=""/>
                      <o:lock v:ext="edit" aspectratio="f"/>
                    </v:line>
                  </w:pict>
                </mc:Fallback>
              </mc:AlternateContent>
            </w:r>
            <w:r>
              <w:rPr>
                <w:rFonts w:hint="default" w:ascii="Times New Roman" w:hAnsi="Times New Roman" w:cs="Times New Roman"/>
                <w:bCs/>
                <w:color w:val="auto"/>
                <w:spacing w:val="-10"/>
                <w:szCs w:val="21"/>
              </w:rPr>
              <mc:AlternateContent>
                <mc:Choice Requires="wps">
                  <w:drawing>
                    <wp:anchor distT="0" distB="0" distL="114300" distR="114300" simplePos="0" relativeHeight="251667456" behindDoc="0" locked="0" layoutInCell="1" allowOverlap="1">
                      <wp:simplePos x="0" y="0"/>
                      <wp:positionH relativeFrom="column">
                        <wp:posOffset>1542415</wp:posOffset>
                      </wp:positionH>
                      <wp:positionV relativeFrom="paragraph">
                        <wp:posOffset>21590</wp:posOffset>
                      </wp:positionV>
                      <wp:extent cx="635" cy="239395"/>
                      <wp:effectExtent l="37465" t="0" r="38100" b="8255"/>
                      <wp:wrapNone/>
                      <wp:docPr id="27" name="直接连接符 27"/>
                      <wp:cNvGraphicFramePr/>
                      <a:graphic xmlns:a="http://schemas.openxmlformats.org/drawingml/2006/main">
                        <a:graphicData uri="http://schemas.microsoft.com/office/word/2010/wordprocessingShape">
                          <wps:wsp>
                            <wps:cNvCnPr/>
                            <wps:spPr>
                              <a:xfrm flipV="1">
                                <a:off x="0" y="0"/>
                                <a:ext cx="635" cy="23939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flip:y;margin-left:121.45pt;margin-top:1.7pt;height:18.85pt;width:0.05pt;z-index:251667456;mso-width-relative:page;mso-height-relative:page;" filled="f" stroked="t" coordsize="21600,21600" o:gfxdata="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JST8fXYAAAACAEAAA8AAAAAAAAAAQAgAAAAIgAAAGRycy9kb3ducmV2&#10;LnhtbFBLAQIUABQAAAAIAIdO4kBlK3hO/AEAAOkDAAAOAAAAAAAAAAEAIAAAACcBAABkcnMvZTJv&#10;RG9jLnhtbFBLBQYAAAAABgAGAFkBAACVBQAAAAA=&#10;">
                      <v:fill on="f" focussize="0,0"/>
                      <v:stroke color="#000000" joinstyle="round" endarrow="block"/>
                      <v:imagedata o:title=""/>
                      <o:lock v:ext="edit" aspectratio="f"/>
                    </v:line>
                  </w:pict>
                </mc:Fallback>
              </mc:AlternateContent>
            </w:r>
            <w:r>
              <w:rPr>
                <w:rFonts w:hint="default" w:ascii="Times New Roman" w:hAnsi="Times New Roman" w:cs="Times New Roman"/>
                <w:bCs/>
                <w:color w:val="auto"/>
                <w:spacing w:val="-10"/>
                <w:szCs w:val="21"/>
              </w:rPr>
              <mc:AlternateContent>
                <mc:Choice Requires="wps">
                  <w:drawing>
                    <wp:anchor distT="0" distB="0" distL="114300" distR="114300" simplePos="0" relativeHeight="251666432" behindDoc="0" locked="0" layoutInCell="1" allowOverlap="1">
                      <wp:simplePos x="0" y="0"/>
                      <wp:positionH relativeFrom="column">
                        <wp:posOffset>765175</wp:posOffset>
                      </wp:positionH>
                      <wp:positionV relativeFrom="paragraph">
                        <wp:posOffset>33655</wp:posOffset>
                      </wp:positionV>
                      <wp:extent cx="635" cy="240665"/>
                      <wp:effectExtent l="37465" t="0" r="38100" b="6985"/>
                      <wp:wrapNone/>
                      <wp:docPr id="36" name="直接连接符 36"/>
                      <wp:cNvGraphicFramePr/>
                      <a:graphic xmlns:a="http://schemas.openxmlformats.org/drawingml/2006/main">
                        <a:graphicData uri="http://schemas.microsoft.com/office/word/2010/wordprocessingShape">
                          <wps:wsp>
                            <wps:cNvCnPr/>
                            <wps:spPr>
                              <a:xfrm flipV="1">
                                <a:off x="0" y="0"/>
                                <a:ext cx="635" cy="24066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flip:y;margin-left:60.25pt;margin-top:2.65pt;height:18.95pt;width:0.05pt;z-index:251666432;mso-width-relative:page;mso-height-relative:page;" filled="f" stroked="t" coordsize="21600,21600" o:gfxdata="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lNDyJtcAAAAIAQAADwAAAAAAAAABACAAAAAiAAAAZHJzL2Rvd25yZXYu&#10;eG1sUEsBAhQAFAAAAAgAh07iQB7qr2r8AQAA6QMAAA4AAAAAAAAAAQAgAAAAJgEAAGRycy9lMm9E&#10;b2MueG1sUEsFBgAAAAAGAAYAWQEAAJQFAAAAAA==&#10;">
                      <v:fill on="f" focussize="0,0"/>
                      <v:stroke color="#000000" joinstyle="round" endarrow="block"/>
                      <v:imagedata o:title=""/>
                      <o:lock v:ext="edit" aspectratio="f"/>
                    </v:line>
                  </w:pict>
                </mc:Fallback>
              </mc:AlternateContent>
            </w:r>
          </w:p>
          <w:p>
            <w:pPr>
              <w:adjustRightInd w:val="0"/>
              <w:snapToGrid w:val="0"/>
              <w:ind w:firstLine="0" w:firstLineChars="0"/>
              <w:rPr>
                <w:rFonts w:hint="default" w:ascii="Times New Roman" w:hAnsi="Times New Roman" w:cs="Times New Roman"/>
                <w:bCs/>
                <w:color w:val="auto"/>
                <w:spacing w:val="-10"/>
                <w:szCs w:val="21"/>
              </w:rPr>
            </w:pPr>
            <w:r>
              <w:rPr>
                <w:rFonts w:hint="default" w:ascii="Times New Roman" w:hAnsi="Times New Roman" w:cs="Times New Roman"/>
                <w:bCs/>
                <w:color w:val="auto"/>
                <w:spacing w:val="-10"/>
                <w:szCs w:val="21"/>
              </w:rPr>
              <mc:AlternateContent>
                <mc:Choice Requires="wps">
                  <w:drawing>
                    <wp:anchor distT="0" distB="0" distL="114300" distR="114300" simplePos="0" relativeHeight="251686912" behindDoc="0" locked="0" layoutInCell="1" allowOverlap="1">
                      <wp:simplePos x="0" y="0"/>
                      <wp:positionH relativeFrom="column">
                        <wp:posOffset>4519930</wp:posOffset>
                      </wp:positionH>
                      <wp:positionV relativeFrom="paragraph">
                        <wp:posOffset>6350</wp:posOffset>
                      </wp:positionV>
                      <wp:extent cx="635" cy="360680"/>
                      <wp:effectExtent l="4445" t="0" r="13970" b="1270"/>
                      <wp:wrapNone/>
                      <wp:docPr id="61" name="直接连接符 61"/>
                      <wp:cNvGraphicFramePr/>
                      <a:graphic xmlns:a="http://schemas.openxmlformats.org/drawingml/2006/main">
                        <a:graphicData uri="http://schemas.microsoft.com/office/word/2010/wordprocessingShape">
                          <wps:wsp>
                            <wps:cNvCnPr/>
                            <wps:spPr>
                              <a:xfrm flipV="1">
                                <a:off x="0" y="0"/>
                                <a:ext cx="635" cy="36068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flip:y;margin-left:355.9pt;margin-top:0.5pt;height:28.4pt;width:0.05pt;z-index:251686912;mso-width-relative:page;mso-height-relative:page;" filled="f" stroked="t" coordsize="21600,21600" o:gfxdata="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SbCgm1QAAAAgBAAAPAAAAAAAAAAEAIAAAACIAAABkcnMvZG93bnJldi54bWxQSwEC&#10;FAAUAAAACACHTuJATUDJ5PcBAADlAwAADgAAAAAAAAABACAAAAAkAQAAZHJzL2Uyb0RvYy54bWxQ&#10;SwUGAAAAAAYABgBZAQAAjQUAAAAA&#10;">
                      <v:fill on="f" focussize="0,0"/>
                      <v:stroke color="#000000" joinstyle="round"/>
                      <v:imagedata o:title=""/>
                      <o:lock v:ext="edit" aspectratio="f"/>
                    </v:line>
                  </w:pict>
                </mc:Fallback>
              </mc:AlternateContent>
            </w:r>
            <w:r>
              <w:rPr>
                <w:rFonts w:hint="default" w:ascii="Times New Roman" w:hAnsi="Times New Roman" w:cs="Times New Roman"/>
                <w:bCs/>
                <w:color w:val="auto"/>
                <w:spacing w:val="-10"/>
                <w:szCs w:val="21"/>
              </w:rPr>
              <mc:AlternateContent>
                <mc:Choice Requires="wps">
                  <w:drawing>
                    <wp:anchor distT="0" distB="0" distL="114300" distR="114300" simplePos="0" relativeHeight="251665408" behindDoc="0" locked="0" layoutInCell="1" allowOverlap="1">
                      <wp:simplePos x="0" y="0"/>
                      <wp:positionH relativeFrom="column">
                        <wp:posOffset>614680</wp:posOffset>
                      </wp:positionH>
                      <wp:positionV relativeFrom="paragraph">
                        <wp:posOffset>2540</wp:posOffset>
                      </wp:positionV>
                      <wp:extent cx="3915410" cy="3175"/>
                      <wp:effectExtent l="0" t="0" r="0" b="0"/>
                      <wp:wrapNone/>
                      <wp:docPr id="41" name="直接连接符 41"/>
                      <wp:cNvGraphicFramePr/>
                      <a:graphic xmlns:a="http://schemas.openxmlformats.org/drawingml/2006/main">
                        <a:graphicData uri="http://schemas.microsoft.com/office/word/2010/wordprocessingShape">
                          <wps:wsp>
                            <wps:cNvCnPr/>
                            <wps:spPr>
                              <a:xfrm flipV="1">
                                <a:off x="0" y="0"/>
                                <a:ext cx="3915410" cy="3175"/>
                              </a:xfrm>
                              <a:prstGeom prst="line">
                                <a:avLst/>
                              </a:prstGeom>
                              <a:ln w="6350"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flip:y;margin-left:48.4pt;margin-top:0.2pt;height:0.25pt;width:308.3pt;z-index:251665408;mso-width-relative:page;mso-height-relative:page;" filled="f" stroked="t" coordsize="21600,21600" o:gfxdata="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cN4De1gAAAAQBAAAPAAAAAAAAAAEAIAAAACIAAABkcnMvZG93bnJldi54bWxQSwEC&#10;FAAUAAAACACHTuJACP1qBfYBAADnAwAADgAAAAAAAAABACAAAAAlAQAAZHJzL2Uyb0RvYy54bWxQ&#10;SwUGAAAAAAYABgBZAQAAjQUAAAAA&#10;">
                      <v:fill on="f" focussize="0,0"/>
                      <v:stroke weight="0.5pt" color="#000000" joinstyle="round"/>
                      <v:imagedata o:title=""/>
                      <o:lock v:ext="edit" aspectratio="f"/>
                    </v:line>
                  </w:pict>
                </mc:Fallback>
              </mc:AlternateContent>
            </w:r>
            <w:r>
              <w:rPr>
                <w:rFonts w:hint="default" w:ascii="Times New Roman" w:hAnsi="Times New Roman" w:cs="Times New Roman"/>
                <w:bCs/>
                <w:color w:val="auto"/>
                <w:spacing w:val="-10"/>
                <w:szCs w:val="21"/>
              </w:rPr>
              <mc:AlternateContent>
                <mc:Choice Requires="wps">
                  <w:drawing>
                    <wp:anchor distT="0" distB="0" distL="114300" distR="114300" simplePos="0" relativeHeight="251664384" behindDoc="0" locked="0" layoutInCell="1" allowOverlap="1">
                      <wp:simplePos x="0" y="0"/>
                      <wp:positionH relativeFrom="column">
                        <wp:posOffset>621665</wp:posOffset>
                      </wp:positionH>
                      <wp:positionV relativeFrom="paragraph">
                        <wp:posOffset>3175</wp:posOffset>
                      </wp:positionV>
                      <wp:extent cx="635" cy="360680"/>
                      <wp:effectExtent l="4445" t="0" r="13970" b="1270"/>
                      <wp:wrapNone/>
                      <wp:docPr id="62" name="直接连接符 62"/>
                      <wp:cNvGraphicFramePr/>
                      <a:graphic xmlns:a="http://schemas.openxmlformats.org/drawingml/2006/main">
                        <a:graphicData uri="http://schemas.microsoft.com/office/word/2010/wordprocessingShape">
                          <wps:wsp>
                            <wps:cNvCnPr/>
                            <wps:spPr>
                              <a:xfrm flipV="1">
                                <a:off x="0" y="0"/>
                                <a:ext cx="635" cy="36068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flip:y;margin-left:48.95pt;margin-top:0.25pt;height:28.4pt;width:0.05pt;z-index:251664384;mso-width-relative:page;mso-height-relative:page;" filled="f" stroked="t" coordsize="21600,21600" o:gfxdata="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9l+MHUAAAABQEAAA8AAAAAAAAAAQAgAAAAIgAAAGRycy9kb3ducmV2LnhtbFBLAQIU&#10;ABQAAAAIAIdO4kCNFqw99wEAAOUDAAAOAAAAAAAAAAEAIAAAACMBAABkcnMvZTJvRG9jLnhtbFBL&#10;BQYAAAAABgAGAFkBAACMBQAAAAA=&#10;">
                      <v:fill on="f" focussize="0,0"/>
                      <v:stroke color="#000000" joinstyle="round"/>
                      <v:imagedata o:title=""/>
                      <o:lock v:ext="edit" aspectratio="f"/>
                    </v:line>
                  </w:pict>
                </mc:Fallback>
              </mc:AlternateContent>
            </w:r>
          </w:p>
          <w:p>
            <w:pPr>
              <w:adjustRightInd w:val="0"/>
              <w:snapToGrid w:val="0"/>
              <w:ind w:firstLine="0" w:firstLineChars="0"/>
              <w:rPr>
                <w:rFonts w:hint="default" w:ascii="Times New Roman" w:hAnsi="Times New Roman" w:cs="Times New Roman"/>
                <w:bCs/>
                <w:color w:val="auto"/>
                <w:spacing w:val="-10"/>
                <w:szCs w:val="21"/>
              </w:rPr>
            </w:pPr>
            <w:r>
              <w:rPr>
                <w:rFonts w:hint="default" w:ascii="Times New Roman" w:hAnsi="Times New Roman" w:cs="Times New Roman"/>
                <w:bCs/>
                <w:color w:val="auto"/>
                <w:spacing w:val="-10"/>
                <w:szCs w:val="21"/>
              </w:rPr>
              <mc:AlternateContent>
                <mc:Choice Requires="wpg">
                  <w:drawing>
                    <wp:anchor distT="0" distB="0" distL="114300" distR="114300" simplePos="0" relativeHeight="251663360" behindDoc="0" locked="0" layoutInCell="1" allowOverlap="1">
                      <wp:simplePos x="0" y="0"/>
                      <wp:positionH relativeFrom="column">
                        <wp:posOffset>283845</wp:posOffset>
                      </wp:positionH>
                      <wp:positionV relativeFrom="paragraph">
                        <wp:posOffset>104775</wp:posOffset>
                      </wp:positionV>
                      <wp:extent cx="4523105" cy="329565"/>
                      <wp:effectExtent l="5080" t="5080" r="5715" b="8255"/>
                      <wp:wrapNone/>
                      <wp:docPr id="52" name="组合 52"/>
                      <wp:cNvGraphicFramePr/>
                      <a:graphic xmlns:a="http://schemas.openxmlformats.org/drawingml/2006/main">
                        <a:graphicData uri="http://schemas.microsoft.com/office/word/2010/wordprocessingGroup">
                          <wpg:wgp>
                            <wpg:cNvGrpSpPr/>
                            <wpg:grpSpPr>
                              <a:xfrm>
                                <a:off x="0" y="0"/>
                                <a:ext cx="4523105" cy="329565"/>
                                <a:chOff x="0" y="0"/>
                                <a:chExt cx="7123" cy="519"/>
                              </a:xfrm>
                              <a:effectLst/>
                            </wpg:grpSpPr>
                            <wps:wsp>
                              <wps:cNvPr id="53" name="箭头 2"/>
                              <wps:cNvCnPr/>
                              <wps:spPr bwMode="auto">
                                <a:xfrm flipV="1">
                                  <a:off x="1100" y="222"/>
                                  <a:ext cx="420" cy="1"/>
                                </a:xfrm>
                                <a:prstGeom prst="line">
                                  <a:avLst/>
                                </a:prstGeom>
                                <a:noFill/>
                                <a:ln w="9525">
                                  <a:solidFill>
                                    <a:srgbClr val="000000"/>
                                  </a:solidFill>
                                  <a:round/>
                                  <a:tailEnd type="triangle" w="med" len="med"/>
                                </a:ln>
                                <a:effectLst/>
                              </wps:spPr>
                              <wps:bodyPr/>
                            </wps:wsp>
                            <wps:wsp>
                              <wps:cNvPr id="54" name="箭头 2"/>
                              <wps:cNvCnPr/>
                              <wps:spPr bwMode="auto">
                                <a:xfrm flipV="1">
                                  <a:off x="2619" y="237"/>
                                  <a:ext cx="421" cy="1"/>
                                </a:xfrm>
                                <a:prstGeom prst="line">
                                  <a:avLst/>
                                </a:prstGeom>
                                <a:noFill/>
                                <a:ln w="9525">
                                  <a:solidFill>
                                    <a:srgbClr val="000000"/>
                                  </a:solidFill>
                                  <a:round/>
                                  <a:tailEnd type="triangle" w="med" len="med"/>
                                </a:ln>
                                <a:effectLst/>
                              </wps:spPr>
                              <wps:bodyPr/>
                            </wps:wsp>
                            <wps:wsp>
                              <wps:cNvPr id="14" name="箭头 2"/>
                              <wps:cNvCnPr/>
                              <wps:spPr bwMode="auto">
                                <a:xfrm flipV="1">
                                  <a:off x="4127" y="267"/>
                                  <a:ext cx="420" cy="1"/>
                                </a:xfrm>
                                <a:prstGeom prst="line">
                                  <a:avLst/>
                                </a:prstGeom>
                                <a:noFill/>
                                <a:ln w="9525">
                                  <a:solidFill>
                                    <a:srgbClr val="000000"/>
                                  </a:solidFill>
                                  <a:round/>
                                  <a:tailEnd type="triangle" w="med" len="med"/>
                                </a:ln>
                                <a:effectLst/>
                              </wps:spPr>
                              <wps:bodyPr/>
                            </wps:wsp>
                            <wps:wsp>
                              <wps:cNvPr id="55" name="箭头 2"/>
                              <wps:cNvCnPr/>
                              <wps:spPr bwMode="auto">
                                <a:xfrm flipV="1">
                                  <a:off x="5621" y="296"/>
                                  <a:ext cx="420" cy="1"/>
                                </a:xfrm>
                                <a:prstGeom prst="line">
                                  <a:avLst/>
                                </a:prstGeom>
                                <a:noFill/>
                                <a:ln w="9525">
                                  <a:solidFill>
                                    <a:srgbClr val="000000"/>
                                  </a:solidFill>
                                  <a:round/>
                                  <a:tailEnd type="triangle" w="med" len="med"/>
                                </a:ln>
                                <a:effectLst/>
                              </wps:spPr>
                              <wps:bodyPr/>
                            </wps:wsp>
                            <wps:wsp>
                              <wps:cNvPr id="56" name="Text Box 13"/>
                              <wps:cNvSpPr txBox="1">
                                <a:spLocks noChangeArrowheads="1"/>
                              </wps:cNvSpPr>
                              <wps:spPr bwMode="auto">
                                <a:xfrm>
                                  <a:off x="6051" y="45"/>
                                  <a:ext cx="1072" cy="474"/>
                                </a:xfrm>
                                <a:prstGeom prst="rect">
                                  <a:avLst/>
                                </a:prstGeom>
                                <a:noFill/>
                                <a:ln w="9525">
                                  <a:solidFill>
                                    <a:srgbClr val="000000"/>
                                  </a:solidFill>
                                  <a:miter lim="800000"/>
                                </a:ln>
                                <a:effectLst/>
                              </wps:spPr>
                              <wps:txbx>
                                <w:txbxContent>
                                  <w:p>
                                    <w:pPr>
                                      <w:ind w:firstLine="0" w:firstLineChars="0"/>
                                      <w:rPr>
                                        <w:sz w:val="18"/>
                                        <w:szCs w:val="21"/>
                                      </w:rPr>
                                    </w:pPr>
                                    <w:r>
                                      <w:rPr>
                                        <w:rFonts w:hint="eastAsia"/>
                                        <w:sz w:val="18"/>
                                        <w:szCs w:val="21"/>
                                      </w:rPr>
                                      <w:t>工程验收</w:t>
                                    </w:r>
                                  </w:p>
                                </w:txbxContent>
                              </wps:txbx>
                              <wps:bodyPr rot="0" vert="horz" wrap="square" lIns="91440" tIns="45720" rIns="91440" bIns="45720" anchor="t" anchorCtr="0" upright="1">
                                <a:noAutofit/>
                              </wps:bodyPr>
                            </wps:wsp>
                            <wps:wsp>
                              <wps:cNvPr id="57" name="Text Box 14"/>
                              <wps:cNvSpPr txBox="1">
                                <a:spLocks noChangeArrowheads="1"/>
                              </wps:cNvSpPr>
                              <wps:spPr bwMode="auto">
                                <a:xfrm>
                                  <a:off x="4548" y="44"/>
                                  <a:ext cx="1072" cy="475"/>
                                </a:xfrm>
                                <a:prstGeom prst="rect">
                                  <a:avLst/>
                                </a:prstGeom>
                                <a:noFill/>
                                <a:ln w="9525">
                                  <a:solidFill>
                                    <a:srgbClr val="000000"/>
                                  </a:solidFill>
                                  <a:miter lim="800000"/>
                                </a:ln>
                                <a:effectLst/>
                              </wps:spPr>
                              <wps:txbx>
                                <w:txbxContent>
                                  <w:p>
                                    <w:pPr>
                                      <w:ind w:firstLine="0" w:firstLineChars="0"/>
                                      <w:rPr>
                                        <w:sz w:val="18"/>
                                        <w:szCs w:val="21"/>
                                      </w:rPr>
                                    </w:pPr>
                                    <w:r>
                                      <w:rPr>
                                        <w:rFonts w:hint="eastAsia"/>
                                        <w:sz w:val="18"/>
                                        <w:szCs w:val="21"/>
                                      </w:rPr>
                                      <w:t>设备安装</w:t>
                                    </w:r>
                                  </w:p>
                                </w:txbxContent>
                              </wps:txbx>
                              <wps:bodyPr rot="0" vert="horz" wrap="square" lIns="91440" tIns="45720" rIns="91440" bIns="45720" anchor="t" anchorCtr="0" upright="1">
                                <a:noAutofit/>
                              </wps:bodyPr>
                            </wps:wsp>
                            <wps:wsp>
                              <wps:cNvPr id="58" name="Text Box 15"/>
                              <wps:cNvSpPr txBox="1">
                                <a:spLocks noChangeArrowheads="1"/>
                              </wps:cNvSpPr>
                              <wps:spPr bwMode="auto">
                                <a:xfrm>
                                  <a:off x="3040" y="29"/>
                                  <a:ext cx="1073" cy="475"/>
                                </a:xfrm>
                                <a:prstGeom prst="rect">
                                  <a:avLst/>
                                </a:prstGeom>
                                <a:noFill/>
                                <a:ln w="9525">
                                  <a:solidFill>
                                    <a:srgbClr val="000000"/>
                                  </a:solidFill>
                                  <a:miter lim="800000"/>
                                </a:ln>
                                <a:effectLst/>
                              </wps:spPr>
                              <wps:txbx>
                                <w:txbxContent>
                                  <w:p>
                                    <w:pPr>
                                      <w:ind w:firstLine="0" w:firstLineChars="0"/>
                                      <w:rPr>
                                        <w:sz w:val="18"/>
                                        <w:szCs w:val="21"/>
                                      </w:rPr>
                                    </w:pPr>
                                    <w:r>
                                      <w:rPr>
                                        <w:rFonts w:hint="eastAsia"/>
                                        <w:sz w:val="18"/>
                                        <w:szCs w:val="21"/>
                                      </w:rPr>
                                      <w:t>装饰工程</w:t>
                                    </w:r>
                                  </w:p>
                                </w:txbxContent>
                              </wps:txbx>
                              <wps:bodyPr rot="0" vert="horz" wrap="square" lIns="91440" tIns="45720" rIns="91440" bIns="45720" anchor="t" anchorCtr="0" upright="1">
                                <a:noAutofit/>
                              </wps:bodyPr>
                            </wps:wsp>
                            <wps:wsp>
                              <wps:cNvPr id="59" name="Text Box 16"/>
                              <wps:cNvSpPr txBox="1">
                                <a:spLocks noChangeArrowheads="1"/>
                              </wps:cNvSpPr>
                              <wps:spPr bwMode="auto">
                                <a:xfrm>
                                  <a:off x="1519" y="14"/>
                                  <a:ext cx="1073" cy="475"/>
                                </a:xfrm>
                                <a:prstGeom prst="rect">
                                  <a:avLst/>
                                </a:prstGeom>
                                <a:noFill/>
                                <a:ln w="9525">
                                  <a:solidFill>
                                    <a:srgbClr val="000000"/>
                                  </a:solidFill>
                                  <a:miter lim="800000"/>
                                </a:ln>
                                <a:effectLst/>
                              </wps:spPr>
                              <wps:txbx>
                                <w:txbxContent>
                                  <w:p>
                                    <w:pPr>
                                      <w:ind w:firstLine="0" w:firstLineChars="0"/>
                                      <w:rPr>
                                        <w:sz w:val="18"/>
                                        <w:szCs w:val="21"/>
                                      </w:rPr>
                                    </w:pPr>
                                    <w:r>
                                      <w:rPr>
                                        <w:rFonts w:hint="eastAsia"/>
                                        <w:sz w:val="18"/>
                                        <w:szCs w:val="21"/>
                                      </w:rPr>
                                      <w:t>主体工程</w:t>
                                    </w:r>
                                  </w:p>
                                </w:txbxContent>
                              </wps:txbx>
                              <wps:bodyPr rot="0" vert="horz" wrap="square" lIns="91440" tIns="45720" rIns="91440" bIns="45720" anchor="t" anchorCtr="0" upright="1">
                                <a:noAutofit/>
                              </wps:bodyPr>
                            </wps:wsp>
                            <wps:wsp>
                              <wps:cNvPr id="60" name="Text Box 17"/>
                              <wps:cNvSpPr txBox="1">
                                <a:spLocks noChangeArrowheads="1"/>
                              </wps:cNvSpPr>
                              <wps:spPr bwMode="auto">
                                <a:xfrm>
                                  <a:off x="0" y="0"/>
                                  <a:ext cx="1072" cy="474"/>
                                </a:xfrm>
                                <a:prstGeom prst="rect">
                                  <a:avLst/>
                                </a:prstGeom>
                                <a:noFill/>
                                <a:ln w="9525">
                                  <a:solidFill>
                                    <a:srgbClr val="000000"/>
                                  </a:solidFill>
                                  <a:miter lim="800000"/>
                                </a:ln>
                                <a:effectLst/>
                              </wps:spPr>
                              <wps:txbx>
                                <w:txbxContent>
                                  <w:p>
                                    <w:pPr>
                                      <w:ind w:firstLine="0" w:firstLineChars="0"/>
                                      <w:rPr>
                                        <w:sz w:val="18"/>
                                        <w:szCs w:val="21"/>
                                      </w:rPr>
                                    </w:pPr>
                                    <w:r>
                                      <w:rPr>
                                        <w:rFonts w:hint="eastAsia"/>
                                        <w:sz w:val="18"/>
                                        <w:szCs w:val="21"/>
                                      </w:rPr>
                                      <w:t>基础工程</w:t>
                                    </w:r>
                                  </w:p>
                                </w:txbxContent>
                              </wps:txbx>
                              <wps:bodyPr rot="0" vert="horz" wrap="square" lIns="91440" tIns="45720" rIns="91440" bIns="45720" anchor="t" anchorCtr="0" upright="1">
                                <a:noAutofit/>
                              </wps:bodyPr>
                            </wps:wsp>
                          </wpg:wgp>
                        </a:graphicData>
                      </a:graphic>
                    </wp:anchor>
                  </w:drawing>
                </mc:Choice>
                <mc:Fallback>
                  <w:pict>
                    <v:group id="_x0000_s1026" o:spid="_x0000_s1026" o:spt="203" style="position:absolute;left:0pt;margin-left:22.35pt;margin-top:8.25pt;height:25.95pt;width:356.15pt;z-index:251663360;mso-width-relative:page;mso-height-relative:page;" coordsize="7123,519" o:gfxdata="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">
                      <o:lock v:ext="edit" aspectratio="f"/>
                      <v:line id="箭头 2" o:spid="_x0000_s1026" o:spt="20" style="position:absolute;left:1100;top:222;flip:y;height:1;width:420;" filled="f" stroked="t" coordsize="21600,21600" o:gfxdata="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XK/cC/&#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箭头 2" o:spid="_x0000_s1026" o:spt="20" style="position:absolute;left:2619;top:237;flip:y;height:1;width:421;" filled="f" stroked="t" coordsize="21600,21600" o:gfxdata="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NltL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箭头 2" o:spid="_x0000_s1026" o:spt="20" style="position:absolute;left:4127;top:267;flip:y;height:1;width:420;" filled="f" stroked="t" coordsize="21600,21600" o:gfxdata="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xJ3HS8AAAA&#10;2w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箭头 2" o:spid="_x0000_s1026" o:spt="20" style="position:absolute;left:5621;top:296;flip:y;height:1;width:420;" filled="f" stroked="t" coordsize="21600,21600" o:gfxdata="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VvwC+/&#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Text Box 13" o:spid="_x0000_s1026" o:spt="202" type="#_x0000_t202" style="position:absolute;left:6051;top:45;height:474;width:1072;" filled="f" stroked="t" coordsize="21600,21600" o:gfxdata="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UwpGr4A&#10;AADbAAAADwAAAAAAAAABACAAAAAiAAAAZHJzL2Rvd25yZXYueG1sUEsBAhQAFAAAAAgAh07iQDMv&#10;BZ47AAAAOQAAABAAAAAAAAAAAQAgAAAADQEAAGRycy9zaGFwZXhtbC54bWxQSwUGAAAAAAYABgBb&#10;AQAAtwMAAAAA&#10;">
                        <v:fill on="f" focussize="0,0"/>
                        <v:stroke color="#000000" miterlimit="8" joinstyle="miter"/>
                        <v:imagedata o:title=""/>
                        <o:lock v:ext="edit" aspectratio="f"/>
                        <v:textbox>
                          <w:txbxContent>
                            <w:p>
                              <w:pPr>
                                <w:ind w:firstLine="0" w:firstLineChars="0"/>
                                <w:rPr>
                                  <w:sz w:val="18"/>
                                  <w:szCs w:val="21"/>
                                </w:rPr>
                              </w:pPr>
                              <w:r>
                                <w:rPr>
                                  <w:rFonts w:hint="eastAsia"/>
                                  <w:sz w:val="18"/>
                                  <w:szCs w:val="21"/>
                                </w:rPr>
                                <w:t>工程验收</w:t>
                              </w:r>
                            </w:p>
                          </w:txbxContent>
                        </v:textbox>
                      </v:shape>
                      <v:shape id="Text Box 14" o:spid="_x0000_s1026" o:spt="202" type="#_x0000_t202" style="position:absolute;left:4548;top:44;height:475;width:1072;" filled="f" stroked="t" coordsize="21600,21600" o:gfxdata="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AIyBvQAA&#10;ANsAAAAPAAAAAAAAAAEAIAAAACIAAABkcnMvZG93bnJldi54bWxQSwECFAAUAAAACACHTuJAMy8F&#10;njsAAAA5AAAAEAAAAAAAAAABACAAAAAMAQAAZHJzL3NoYXBleG1sLnhtbFBLBQYAAAAABgAGAFsB&#10;AAC2AwAAAAA=&#10;">
                        <v:fill on="f" focussize="0,0"/>
                        <v:stroke color="#000000" miterlimit="8" joinstyle="miter"/>
                        <v:imagedata o:title=""/>
                        <o:lock v:ext="edit" aspectratio="f"/>
                        <v:textbox>
                          <w:txbxContent>
                            <w:p>
                              <w:pPr>
                                <w:ind w:firstLine="0" w:firstLineChars="0"/>
                                <w:rPr>
                                  <w:sz w:val="18"/>
                                  <w:szCs w:val="21"/>
                                </w:rPr>
                              </w:pPr>
                              <w:r>
                                <w:rPr>
                                  <w:rFonts w:hint="eastAsia"/>
                                  <w:sz w:val="18"/>
                                  <w:szCs w:val="21"/>
                                </w:rPr>
                                <w:t>设备安装</w:t>
                              </w:r>
                            </w:p>
                          </w:txbxContent>
                        </v:textbox>
                      </v:shape>
                      <v:shape id="Text Box 15" o:spid="_x0000_s1026" o:spt="202" type="#_x0000_t202" style="position:absolute;left:3040;top:29;height:475;width:1073;" filled="f" stroked="t" coordsize="21600,21600" o:gfxdata="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58Y874A&#10;AADbAAAADwAAAAAAAAABACAAAAAiAAAAZHJzL2Rvd25yZXYueG1sUEsBAhQAFAAAAAgAh07iQDMv&#10;BZ47AAAAOQAAABAAAAAAAAAAAQAgAAAADQEAAGRycy9zaGFwZXhtbC54bWxQSwUGAAAAAAYABgBb&#10;AQAAtwMAAAAA&#10;">
                        <v:fill on="f" focussize="0,0"/>
                        <v:stroke color="#000000" miterlimit="8" joinstyle="miter"/>
                        <v:imagedata o:title=""/>
                        <o:lock v:ext="edit" aspectratio="f"/>
                        <v:textbox>
                          <w:txbxContent>
                            <w:p>
                              <w:pPr>
                                <w:ind w:firstLine="0" w:firstLineChars="0"/>
                                <w:rPr>
                                  <w:sz w:val="18"/>
                                  <w:szCs w:val="21"/>
                                </w:rPr>
                              </w:pPr>
                              <w:r>
                                <w:rPr>
                                  <w:rFonts w:hint="eastAsia"/>
                                  <w:sz w:val="18"/>
                                  <w:szCs w:val="21"/>
                                </w:rPr>
                                <w:t>装饰工程</w:t>
                              </w:r>
                            </w:p>
                          </w:txbxContent>
                        </v:textbox>
                      </v:shape>
                      <v:shape id="Text Box 16" o:spid="_x0000_s1026" o:spt="202" type="#_x0000_t202" style="position:absolute;left:1519;top:14;height:475;width:1073;" filled="f" stroked="t" coordsize="21600,21600" o:gfxdata="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O9aL4A&#10;AADbAAAADwAAAAAAAAABACAAAAAiAAAAZHJzL2Rvd25yZXYueG1sUEsBAhQAFAAAAAgAh07iQDMv&#10;BZ47AAAAOQAAABAAAAAAAAAAAQAgAAAADQEAAGRycy9zaGFwZXhtbC54bWxQSwUGAAAAAAYABgBb&#10;AQAAtwMAAAAA&#10;">
                        <v:fill on="f" focussize="0,0"/>
                        <v:stroke color="#000000" miterlimit="8" joinstyle="miter"/>
                        <v:imagedata o:title=""/>
                        <o:lock v:ext="edit" aspectratio="f"/>
                        <v:textbox>
                          <w:txbxContent>
                            <w:p>
                              <w:pPr>
                                <w:ind w:firstLine="0" w:firstLineChars="0"/>
                                <w:rPr>
                                  <w:sz w:val="18"/>
                                  <w:szCs w:val="21"/>
                                </w:rPr>
                              </w:pPr>
                              <w:r>
                                <w:rPr>
                                  <w:rFonts w:hint="eastAsia"/>
                                  <w:sz w:val="18"/>
                                  <w:szCs w:val="21"/>
                                </w:rPr>
                                <w:t>主体工程</w:t>
                              </w:r>
                            </w:p>
                          </w:txbxContent>
                        </v:textbox>
                      </v:shape>
                      <v:shape id="Text Box 17" o:spid="_x0000_s1026" o:spt="202" type="#_x0000_t202" style="position:absolute;left:0;top:0;height:474;width:1072;" filled="f" stroked="t" coordsize="21600,21600" o:gfxdata="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hd5IvQAA&#10;ANsAAAAPAAAAAAAAAAEAIAAAACIAAABkcnMvZG93bnJldi54bWxQSwECFAAUAAAACACHTuJAMy8F&#10;njsAAAA5AAAAEAAAAAAAAAABACAAAAAMAQAAZHJzL3NoYXBleG1sLnhtbFBLBQYAAAAABgAGAFsB&#10;AAC2AwAAAAA=&#10;">
                        <v:fill on="f" focussize="0,0"/>
                        <v:stroke color="#000000" miterlimit="8" joinstyle="miter"/>
                        <v:imagedata o:title=""/>
                        <o:lock v:ext="edit" aspectratio="f"/>
                        <v:textbox>
                          <w:txbxContent>
                            <w:p>
                              <w:pPr>
                                <w:ind w:firstLine="0" w:firstLineChars="0"/>
                                <w:rPr>
                                  <w:sz w:val="18"/>
                                  <w:szCs w:val="21"/>
                                </w:rPr>
                              </w:pPr>
                              <w:r>
                                <w:rPr>
                                  <w:rFonts w:hint="eastAsia"/>
                                  <w:sz w:val="18"/>
                                  <w:szCs w:val="21"/>
                                </w:rPr>
                                <w:t>基础工程</w:t>
                              </w:r>
                            </w:p>
                          </w:txbxContent>
                        </v:textbox>
                      </v:shape>
                    </v:group>
                  </w:pict>
                </mc:Fallback>
              </mc:AlternateContent>
            </w:r>
          </w:p>
          <w:p>
            <w:pPr>
              <w:adjustRightInd w:val="0"/>
              <w:snapToGrid w:val="0"/>
              <w:ind w:firstLine="0" w:firstLineChars="0"/>
              <w:rPr>
                <w:rFonts w:hint="default" w:ascii="Times New Roman" w:hAnsi="Times New Roman" w:cs="Times New Roman"/>
                <w:bCs/>
                <w:color w:val="auto"/>
                <w:spacing w:val="-10"/>
                <w:szCs w:val="21"/>
              </w:rPr>
            </w:pPr>
          </w:p>
          <w:p>
            <w:pPr>
              <w:adjustRightInd w:val="0"/>
              <w:snapToGrid w:val="0"/>
              <w:ind w:firstLine="0" w:firstLineChars="0"/>
              <w:rPr>
                <w:rFonts w:hint="default" w:ascii="Times New Roman" w:hAnsi="Times New Roman" w:cs="Times New Roman"/>
                <w:bCs/>
                <w:color w:val="auto"/>
                <w:spacing w:val="-10"/>
                <w:szCs w:val="21"/>
              </w:rPr>
            </w:pPr>
          </w:p>
          <w:p>
            <w:pPr>
              <w:adjustRightInd w:val="0"/>
              <w:snapToGrid w:val="0"/>
              <w:ind w:firstLine="382"/>
              <w:jc w:val="center"/>
              <w:rPr>
                <w:rFonts w:hint="default" w:ascii="Times New Roman" w:hAnsi="Times New Roman" w:cs="Times New Roman"/>
                <w:b/>
                <w:color w:val="auto"/>
                <w:spacing w:val="-10"/>
                <w:sz w:val="21"/>
                <w:szCs w:val="21"/>
              </w:rPr>
            </w:pPr>
            <w:r>
              <w:rPr>
                <w:rFonts w:hint="default" w:ascii="Times New Roman" w:hAnsi="Times New Roman" w:cs="Times New Roman"/>
                <w:b/>
                <w:color w:val="auto"/>
                <w:spacing w:val="-10"/>
                <w:sz w:val="21"/>
                <w:szCs w:val="21"/>
              </w:rPr>
              <w:t>图4-1 施工期工艺流程图</w:t>
            </w:r>
          </w:p>
          <w:p>
            <w:pPr>
              <w:adjustRightInd w:val="0"/>
              <w:snapToGrid w:val="0"/>
              <w:ind w:firstLine="440"/>
              <w:rPr>
                <w:rFonts w:hint="default" w:ascii="Times New Roman" w:hAnsi="Times New Roman" w:cs="Times New Roman"/>
                <w:bCs/>
                <w:color w:val="auto"/>
                <w:spacing w:val="-10"/>
                <w:szCs w:val="21"/>
              </w:rPr>
            </w:pPr>
            <w:r>
              <w:rPr>
                <w:rFonts w:hint="default" w:ascii="Times New Roman" w:hAnsi="Times New Roman" w:cs="Times New Roman"/>
                <w:bCs/>
                <w:color w:val="auto"/>
                <w:spacing w:val="-10"/>
                <w:szCs w:val="21"/>
              </w:rPr>
              <w:t>建筑施工作业，将产生废水、垃圾、粉尘和噪声，对局部区域会产生影响。施工产生的生产废水，施工人员产生的生活污水，其中生产废水中的主要污染物是SS，施工人员的生活污水主要污染物为COD</w:t>
            </w:r>
            <w:r>
              <w:rPr>
                <w:rFonts w:hint="default" w:ascii="Times New Roman" w:hAnsi="Times New Roman" w:cs="Times New Roman"/>
                <w:bCs/>
                <w:color w:val="auto"/>
                <w:spacing w:val="-10"/>
                <w:szCs w:val="21"/>
                <w:vertAlign w:val="subscript"/>
              </w:rPr>
              <w:t>Cr</w:t>
            </w:r>
            <w:r>
              <w:rPr>
                <w:rFonts w:hint="default" w:ascii="Times New Roman" w:hAnsi="Times New Roman" w:cs="Times New Roman"/>
                <w:bCs/>
                <w:color w:val="auto"/>
                <w:spacing w:val="-10"/>
                <w:szCs w:val="21"/>
              </w:rPr>
              <w:t>、BOD</w:t>
            </w:r>
            <w:r>
              <w:rPr>
                <w:rFonts w:hint="default" w:ascii="Times New Roman" w:hAnsi="Times New Roman" w:cs="Times New Roman"/>
                <w:bCs/>
                <w:color w:val="auto"/>
                <w:spacing w:val="-10"/>
                <w:szCs w:val="21"/>
                <w:vertAlign w:val="subscript"/>
              </w:rPr>
              <w:t>5</w:t>
            </w:r>
            <w:r>
              <w:rPr>
                <w:rFonts w:hint="default" w:ascii="Times New Roman" w:hAnsi="Times New Roman" w:cs="Times New Roman"/>
                <w:bCs/>
                <w:color w:val="auto"/>
                <w:spacing w:val="-10"/>
                <w:szCs w:val="21"/>
              </w:rPr>
              <w:t>和氨氮；施工人员产生的生活垃圾；设备安装、建筑施工产生噪声、建筑垃圾；施工活动会造成局部区域粉尘浓度增大，施工过程中产生的机械燃油废气，建筑室内装修产生的油漆废气将影响周边环境。</w:t>
            </w:r>
          </w:p>
          <w:p>
            <w:pPr>
              <w:adjustRightInd w:val="0"/>
              <w:snapToGrid w:val="0"/>
              <w:ind w:firstLine="442"/>
              <w:rPr>
                <w:rFonts w:hint="default" w:ascii="Times New Roman" w:hAnsi="Times New Roman" w:cs="Times New Roman"/>
                <w:b/>
                <w:color w:val="auto"/>
                <w:spacing w:val="-10"/>
                <w:szCs w:val="21"/>
              </w:rPr>
            </w:pPr>
            <w:r>
              <w:rPr>
                <w:rFonts w:hint="default" w:ascii="Times New Roman" w:hAnsi="Times New Roman" w:cs="Times New Roman"/>
                <w:b/>
                <w:color w:val="auto"/>
                <w:spacing w:val="-10"/>
                <w:szCs w:val="21"/>
              </w:rPr>
              <w:t>1、施工期污染物排放及治理</w:t>
            </w:r>
          </w:p>
          <w:p>
            <w:pPr>
              <w:adjustRightInd w:val="0"/>
              <w:snapToGrid w:val="0"/>
              <w:ind w:firstLine="440"/>
              <w:rPr>
                <w:rFonts w:hint="default" w:ascii="Times New Roman" w:hAnsi="Times New Roman" w:cs="Times New Roman"/>
                <w:bCs/>
                <w:color w:val="auto"/>
                <w:spacing w:val="-10"/>
                <w:szCs w:val="21"/>
              </w:rPr>
            </w:pPr>
            <w:r>
              <w:rPr>
                <w:rFonts w:hint="default" w:ascii="Times New Roman" w:hAnsi="Times New Roman" w:cs="Times New Roman"/>
                <w:bCs/>
                <w:color w:val="auto"/>
                <w:spacing w:val="-10"/>
                <w:szCs w:val="21"/>
              </w:rPr>
              <w:t>（1）废气</w:t>
            </w:r>
          </w:p>
          <w:p>
            <w:pPr>
              <w:adjustRightInd w:val="0"/>
              <w:snapToGrid w:val="0"/>
              <w:ind w:firstLine="440"/>
              <w:rPr>
                <w:rFonts w:hint="default" w:ascii="Times New Roman" w:hAnsi="Times New Roman" w:cs="Times New Roman"/>
                <w:bCs/>
                <w:color w:val="auto"/>
                <w:spacing w:val="-10"/>
                <w:szCs w:val="21"/>
              </w:rPr>
            </w:pPr>
            <w:r>
              <w:rPr>
                <w:rFonts w:hint="default" w:ascii="Times New Roman" w:hAnsi="Times New Roman" w:cs="Times New Roman"/>
                <w:bCs/>
                <w:color w:val="auto"/>
                <w:spacing w:val="-10"/>
                <w:szCs w:val="21"/>
              </w:rPr>
              <w:t>施工期废气主要为场地清理产生的扬尘和装修废气，其间断性排放，排放量少，采取场地洒水抑尘、加强通风等措施。</w:t>
            </w:r>
          </w:p>
          <w:p>
            <w:pPr>
              <w:adjustRightInd w:val="0"/>
              <w:snapToGrid w:val="0"/>
              <w:ind w:firstLine="440"/>
              <w:rPr>
                <w:rFonts w:hint="default" w:ascii="Times New Roman" w:hAnsi="Times New Roman" w:cs="Times New Roman"/>
                <w:bCs/>
                <w:color w:val="auto"/>
                <w:spacing w:val="-10"/>
                <w:szCs w:val="21"/>
              </w:rPr>
            </w:pPr>
            <w:r>
              <w:rPr>
                <w:rFonts w:hint="default" w:ascii="Times New Roman" w:hAnsi="Times New Roman" w:cs="Times New Roman"/>
                <w:bCs/>
                <w:color w:val="auto"/>
                <w:spacing w:val="-10"/>
                <w:szCs w:val="21"/>
              </w:rPr>
              <w:t>本项目拟采取如下的施工扬尘的控制措施：</w:t>
            </w:r>
          </w:p>
          <w:p>
            <w:pPr>
              <w:adjustRightInd w:val="0"/>
              <w:snapToGrid w:val="0"/>
              <w:ind w:firstLine="440"/>
              <w:rPr>
                <w:rFonts w:hint="default" w:ascii="Times New Roman" w:hAnsi="Times New Roman" w:cs="Times New Roman"/>
                <w:bCs/>
                <w:color w:val="auto"/>
                <w:spacing w:val="-10"/>
                <w:szCs w:val="21"/>
              </w:rPr>
            </w:pPr>
            <w:r>
              <w:rPr>
                <w:rFonts w:hint="default" w:ascii="Times New Roman" w:hAnsi="Times New Roman" w:cs="Times New Roman"/>
                <w:bCs/>
                <w:color w:val="auto"/>
                <w:spacing w:val="-10"/>
                <w:szCs w:val="21"/>
              </w:rPr>
              <w:t>①加强施工管理，安排专职人员负责施工现场卫生管理工作；</w:t>
            </w:r>
          </w:p>
          <w:p>
            <w:pPr>
              <w:adjustRightInd w:val="0"/>
              <w:snapToGrid w:val="0"/>
              <w:ind w:firstLine="440"/>
              <w:rPr>
                <w:rFonts w:hint="default" w:ascii="Times New Roman" w:hAnsi="Times New Roman" w:cs="Times New Roman"/>
                <w:bCs/>
                <w:color w:val="auto"/>
                <w:spacing w:val="-10"/>
                <w:szCs w:val="21"/>
              </w:rPr>
            </w:pPr>
            <w:r>
              <w:rPr>
                <w:rFonts w:hint="default" w:ascii="Times New Roman" w:hAnsi="Times New Roman" w:cs="Times New Roman"/>
                <w:bCs/>
                <w:color w:val="auto"/>
                <w:spacing w:val="-10"/>
                <w:szCs w:val="21"/>
              </w:rPr>
              <w:t>②主体施工时在施工现场采用密目安全网等围护结构，防止扬尘污染。</w:t>
            </w:r>
          </w:p>
          <w:p>
            <w:pPr>
              <w:adjustRightInd w:val="0"/>
              <w:snapToGrid w:val="0"/>
              <w:ind w:firstLine="440"/>
              <w:rPr>
                <w:rFonts w:hint="default" w:ascii="Times New Roman" w:hAnsi="Times New Roman" w:cs="Times New Roman"/>
                <w:bCs/>
                <w:color w:val="auto"/>
                <w:spacing w:val="-10"/>
                <w:szCs w:val="21"/>
              </w:rPr>
            </w:pPr>
            <w:r>
              <w:rPr>
                <w:rFonts w:hint="default" w:ascii="Times New Roman" w:hAnsi="Times New Roman" w:cs="Times New Roman"/>
                <w:bCs/>
                <w:color w:val="auto"/>
                <w:spacing w:val="-10"/>
                <w:szCs w:val="21"/>
              </w:rPr>
              <w:t>③施工场地定期洒水降尘，及时清扫及冲洗道路；</w:t>
            </w:r>
          </w:p>
          <w:p>
            <w:pPr>
              <w:adjustRightInd w:val="0"/>
              <w:snapToGrid w:val="0"/>
              <w:ind w:firstLine="440"/>
              <w:rPr>
                <w:rFonts w:hint="default" w:ascii="Times New Roman" w:hAnsi="Times New Roman" w:cs="Times New Roman"/>
                <w:bCs/>
                <w:color w:val="auto"/>
                <w:spacing w:val="-10"/>
                <w:szCs w:val="21"/>
              </w:rPr>
            </w:pPr>
            <w:r>
              <w:rPr>
                <w:rFonts w:hint="default" w:ascii="Times New Roman" w:hAnsi="Times New Roman" w:cs="Times New Roman"/>
                <w:bCs/>
                <w:color w:val="auto"/>
                <w:spacing w:val="-10"/>
                <w:szCs w:val="21"/>
              </w:rPr>
              <w:t>④建筑弃渣等运输车辆、车箱遮盖严密后方可运出场外；</w:t>
            </w:r>
          </w:p>
          <w:p>
            <w:pPr>
              <w:adjustRightInd w:val="0"/>
              <w:snapToGrid w:val="0"/>
              <w:ind w:firstLine="440"/>
              <w:rPr>
                <w:rFonts w:hint="default" w:ascii="Times New Roman" w:hAnsi="Times New Roman" w:cs="Times New Roman"/>
                <w:bCs/>
                <w:color w:val="auto"/>
                <w:spacing w:val="-10"/>
                <w:szCs w:val="21"/>
              </w:rPr>
            </w:pPr>
            <w:r>
              <w:rPr>
                <w:rFonts w:hint="default" w:ascii="Times New Roman" w:hAnsi="Times New Roman" w:cs="Times New Roman"/>
                <w:bCs/>
                <w:color w:val="auto"/>
                <w:spacing w:val="-10"/>
                <w:szCs w:val="21"/>
              </w:rPr>
              <w:t>⑤对运输交通道路应及时洒水、清扫，采用封闭车辆运输，并且对车辆限速，减少建筑垃圾运输过程中的洒漏，车辆出工地时应用水冲洗轮胎；对汽车尾气，主要是通过车辆限速、限制使用农用车辆及尾气超标车辆来进行控制。</w:t>
            </w:r>
          </w:p>
          <w:p>
            <w:pPr>
              <w:adjustRightInd w:val="0"/>
              <w:snapToGrid w:val="0"/>
              <w:ind w:firstLine="440"/>
              <w:rPr>
                <w:rFonts w:hint="default" w:ascii="Times New Roman" w:hAnsi="Times New Roman" w:cs="Times New Roman"/>
                <w:bCs/>
                <w:color w:val="auto"/>
                <w:spacing w:val="-10"/>
                <w:szCs w:val="21"/>
              </w:rPr>
            </w:pPr>
            <w:r>
              <w:rPr>
                <w:rFonts w:hint="default" w:ascii="Times New Roman" w:hAnsi="Times New Roman" w:cs="Times New Roman"/>
                <w:bCs/>
                <w:color w:val="auto"/>
                <w:spacing w:val="-10"/>
                <w:szCs w:val="21"/>
              </w:rPr>
              <w:t>（2）废水</w:t>
            </w:r>
          </w:p>
          <w:p>
            <w:pPr>
              <w:adjustRightInd w:val="0"/>
              <w:snapToGrid w:val="0"/>
              <w:ind w:firstLine="440"/>
              <w:rPr>
                <w:rFonts w:hint="default" w:ascii="Times New Roman" w:hAnsi="Times New Roman" w:cs="Times New Roman"/>
                <w:bCs/>
                <w:color w:val="auto"/>
                <w:spacing w:val="-10"/>
                <w:szCs w:val="21"/>
              </w:rPr>
            </w:pPr>
            <w:r>
              <w:rPr>
                <w:rFonts w:hint="default" w:ascii="Times New Roman" w:hAnsi="Times New Roman" w:cs="Times New Roman"/>
                <w:bCs/>
                <w:color w:val="auto"/>
                <w:spacing w:val="-10"/>
                <w:szCs w:val="21"/>
              </w:rPr>
              <w:t>生产性废水主要来源于施工机械冲洗等产生的生产性废水，主要含泥砂，SS浓度400~1000mg/L，并带有少量油污。生产性废水经临时沉淀处理后用于场区内洒水降尘，不排入地表水体。施工人员生活废水依托周边已有卫生设施进行处理后进入园区管网。</w:t>
            </w:r>
          </w:p>
          <w:p>
            <w:pPr>
              <w:adjustRightInd w:val="0"/>
              <w:snapToGrid w:val="0"/>
              <w:ind w:firstLine="440"/>
              <w:rPr>
                <w:rFonts w:hint="default" w:ascii="Times New Roman" w:hAnsi="Times New Roman" w:cs="Times New Roman"/>
                <w:bCs/>
                <w:color w:val="auto"/>
                <w:spacing w:val="-10"/>
                <w:szCs w:val="21"/>
              </w:rPr>
            </w:pPr>
            <w:r>
              <w:rPr>
                <w:rFonts w:hint="default" w:ascii="Times New Roman" w:hAnsi="Times New Roman" w:cs="Times New Roman"/>
                <w:bCs/>
                <w:color w:val="auto"/>
                <w:spacing w:val="-10"/>
                <w:szCs w:val="21"/>
              </w:rPr>
              <w:t>（3）噪声</w:t>
            </w:r>
          </w:p>
          <w:p>
            <w:pPr>
              <w:adjustRightInd w:val="0"/>
              <w:snapToGrid w:val="0"/>
              <w:ind w:firstLine="440"/>
              <w:rPr>
                <w:rFonts w:hint="default" w:ascii="Times New Roman" w:hAnsi="Times New Roman" w:cs="Times New Roman"/>
                <w:bCs/>
                <w:color w:val="auto"/>
                <w:spacing w:val="-10"/>
                <w:szCs w:val="21"/>
              </w:rPr>
            </w:pPr>
            <w:r>
              <w:rPr>
                <w:rFonts w:hint="default" w:ascii="Times New Roman" w:hAnsi="Times New Roman" w:cs="Times New Roman"/>
                <w:bCs/>
                <w:color w:val="auto"/>
                <w:spacing w:val="-10"/>
                <w:szCs w:val="21"/>
              </w:rPr>
              <w:t>施工期采取如下噪声防治措施：</w:t>
            </w:r>
          </w:p>
          <w:p>
            <w:pPr>
              <w:adjustRightInd w:val="0"/>
              <w:snapToGrid w:val="0"/>
              <w:ind w:firstLine="440"/>
              <w:rPr>
                <w:rFonts w:hint="default" w:ascii="Times New Roman" w:hAnsi="Times New Roman" w:cs="Times New Roman"/>
                <w:bCs/>
                <w:color w:val="auto"/>
                <w:spacing w:val="-10"/>
                <w:szCs w:val="21"/>
              </w:rPr>
            </w:pPr>
            <w:r>
              <w:rPr>
                <w:rFonts w:hint="default" w:ascii="Times New Roman" w:hAnsi="Times New Roman" w:cs="Times New Roman"/>
                <w:bCs/>
                <w:color w:val="auto"/>
                <w:spacing w:val="-10"/>
                <w:szCs w:val="21"/>
              </w:rPr>
              <w:t>①加强管理，文明施工，减少和降低噪声产生及其强度；</w:t>
            </w:r>
          </w:p>
          <w:p>
            <w:pPr>
              <w:adjustRightInd w:val="0"/>
              <w:snapToGrid w:val="0"/>
              <w:ind w:firstLine="440"/>
              <w:rPr>
                <w:rFonts w:hint="default" w:ascii="Times New Roman" w:hAnsi="Times New Roman" w:cs="Times New Roman"/>
                <w:bCs/>
                <w:color w:val="auto"/>
                <w:spacing w:val="-10"/>
                <w:szCs w:val="21"/>
              </w:rPr>
            </w:pPr>
            <w:r>
              <w:rPr>
                <w:rFonts w:hint="default" w:ascii="Times New Roman" w:hAnsi="Times New Roman" w:cs="Times New Roman"/>
                <w:bCs/>
                <w:color w:val="auto"/>
                <w:spacing w:val="-10"/>
                <w:szCs w:val="21"/>
              </w:rPr>
              <w:t>②合理安排施工时间，并使用商品混凝土，以防止噪声影响周围环境，需要须进行夜间作业的，必须办理相关手续；</w:t>
            </w:r>
          </w:p>
          <w:p>
            <w:pPr>
              <w:adjustRightInd w:val="0"/>
              <w:snapToGrid w:val="0"/>
              <w:ind w:firstLine="440"/>
              <w:rPr>
                <w:rFonts w:hint="default" w:ascii="Times New Roman" w:hAnsi="Times New Roman" w:cs="Times New Roman"/>
                <w:bCs/>
                <w:color w:val="auto"/>
                <w:spacing w:val="-10"/>
                <w:szCs w:val="21"/>
              </w:rPr>
            </w:pPr>
            <w:r>
              <w:rPr>
                <w:rFonts w:hint="default" w:ascii="Times New Roman" w:hAnsi="Times New Roman" w:cs="Times New Roman"/>
                <w:bCs/>
                <w:color w:val="auto"/>
                <w:spacing w:val="-10"/>
                <w:szCs w:val="21"/>
              </w:rPr>
              <w:t>③选用低噪声施工设备；</w:t>
            </w:r>
          </w:p>
          <w:p>
            <w:pPr>
              <w:adjustRightInd w:val="0"/>
              <w:snapToGrid w:val="0"/>
              <w:ind w:firstLine="440"/>
              <w:rPr>
                <w:rFonts w:hint="default" w:ascii="Times New Roman" w:hAnsi="Times New Roman" w:cs="Times New Roman"/>
                <w:bCs/>
                <w:color w:val="auto"/>
                <w:spacing w:val="-10"/>
                <w:szCs w:val="21"/>
              </w:rPr>
            </w:pPr>
            <w:r>
              <w:rPr>
                <w:rFonts w:hint="default" w:ascii="Times New Roman" w:hAnsi="Times New Roman" w:cs="Times New Roman"/>
                <w:bCs/>
                <w:color w:val="auto"/>
                <w:spacing w:val="-10"/>
                <w:szCs w:val="21"/>
              </w:rPr>
              <w:t>④合理布局、加强管理。在施工过程中应把高噪声工作安排在项目中央，并尽量远离周围敏感目标，要加强一线操作人员的环境意识，对一些零星的手工作业，如拆装模板、装卸建材，尽可能做到轻拿轻放，并辅以一定的减缓措施；</w:t>
            </w:r>
          </w:p>
          <w:p>
            <w:pPr>
              <w:adjustRightInd w:val="0"/>
              <w:snapToGrid w:val="0"/>
              <w:ind w:firstLine="440"/>
              <w:rPr>
                <w:rFonts w:hint="default" w:ascii="Times New Roman" w:hAnsi="Times New Roman" w:cs="Times New Roman"/>
                <w:bCs/>
                <w:color w:val="auto"/>
                <w:spacing w:val="-10"/>
                <w:szCs w:val="21"/>
              </w:rPr>
            </w:pPr>
            <w:r>
              <w:rPr>
                <w:rFonts w:hint="default" w:ascii="Times New Roman" w:hAnsi="Times New Roman" w:cs="Times New Roman"/>
                <w:bCs/>
                <w:color w:val="auto"/>
                <w:spacing w:val="-10"/>
                <w:szCs w:val="21"/>
              </w:rPr>
              <w:t>⑤合理选择运输路线和运输时间，尽量绕开声环境敏感点和避开声环境敏感时段，同时加强对相关方的环境管理，要求承运方文明运输，在途经敏感区时控制车速、严禁鸣笛；</w:t>
            </w:r>
          </w:p>
          <w:p>
            <w:pPr>
              <w:adjustRightInd w:val="0"/>
              <w:snapToGrid w:val="0"/>
              <w:ind w:firstLine="440"/>
              <w:rPr>
                <w:rFonts w:hint="default" w:ascii="Times New Roman" w:hAnsi="Times New Roman" w:cs="Times New Roman"/>
                <w:bCs/>
                <w:color w:val="auto"/>
                <w:spacing w:val="-10"/>
                <w:szCs w:val="21"/>
              </w:rPr>
            </w:pPr>
            <w:r>
              <w:rPr>
                <w:rFonts w:hint="default" w:ascii="Times New Roman" w:hAnsi="Times New Roman" w:cs="Times New Roman"/>
                <w:bCs/>
                <w:color w:val="auto"/>
                <w:spacing w:val="-10"/>
                <w:szCs w:val="21"/>
              </w:rPr>
              <w:t>⑥根据《中华人民共和国环境噪声污染防治法》第二十九条规定：施工单位必须在工程开工15日以前向工程所在地县级以上地方人民政府环境保护行政主管部门申报工程项目名称、施工场所和期限、建筑施工机械可能产生的环境噪声值以及所采取的环境噪声污染防治措施情况。</w:t>
            </w:r>
          </w:p>
          <w:p>
            <w:pPr>
              <w:adjustRightInd w:val="0"/>
              <w:snapToGrid w:val="0"/>
              <w:ind w:firstLine="440"/>
              <w:rPr>
                <w:rFonts w:hint="default" w:ascii="Times New Roman" w:hAnsi="Times New Roman" w:cs="Times New Roman"/>
                <w:bCs/>
                <w:color w:val="auto"/>
                <w:spacing w:val="-10"/>
                <w:szCs w:val="21"/>
              </w:rPr>
            </w:pPr>
            <w:r>
              <w:rPr>
                <w:rFonts w:hint="default" w:ascii="Times New Roman" w:hAnsi="Times New Roman" w:cs="Times New Roman"/>
                <w:bCs/>
                <w:color w:val="auto"/>
                <w:spacing w:val="-10"/>
                <w:szCs w:val="21"/>
              </w:rPr>
              <w:t>在严格按照《建筑施工场界环境噪声排放标准》（GB12523-2011）要求的标准进行施工，并采用有效措施对厂址施工噪声进行控制后，该项目施工噪声对周围环境影响可控制在最低水平。</w:t>
            </w:r>
          </w:p>
          <w:p>
            <w:pPr>
              <w:adjustRightInd w:val="0"/>
              <w:snapToGrid w:val="0"/>
              <w:ind w:firstLine="440"/>
              <w:rPr>
                <w:rFonts w:hint="default" w:ascii="Times New Roman" w:hAnsi="Times New Roman" w:cs="Times New Roman"/>
                <w:bCs/>
                <w:color w:val="auto"/>
                <w:spacing w:val="-10"/>
                <w:szCs w:val="21"/>
              </w:rPr>
            </w:pPr>
            <w:r>
              <w:rPr>
                <w:rFonts w:hint="default" w:ascii="Times New Roman" w:hAnsi="Times New Roman" w:cs="Times New Roman"/>
                <w:bCs/>
                <w:color w:val="auto"/>
                <w:spacing w:val="-10"/>
                <w:szCs w:val="21"/>
              </w:rPr>
              <w:t>（4）固废</w:t>
            </w:r>
          </w:p>
          <w:p>
            <w:pPr>
              <w:adjustRightInd w:val="0"/>
              <w:snapToGrid w:val="0"/>
              <w:ind w:firstLine="440"/>
              <w:rPr>
                <w:rFonts w:hint="default" w:ascii="Times New Roman" w:hAnsi="Times New Roman" w:cs="Times New Roman"/>
                <w:bCs/>
                <w:color w:val="auto"/>
                <w:spacing w:val="-10"/>
                <w:szCs w:val="21"/>
              </w:rPr>
            </w:pPr>
            <w:r>
              <w:rPr>
                <w:rFonts w:hint="default" w:ascii="Times New Roman" w:hAnsi="Times New Roman" w:cs="Times New Roman"/>
                <w:bCs/>
                <w:color w:val="auto"/>
                <w:spacing w:val="-10"/>
                <w:szCs w:val="21"/>
              </w:rPr>
              <w:t>从现场踏勘可知，现场场地已经平整，场平土石方工程量较小，基本上不需要再进行地基开挖，本次项目不再对土石方进行估算。项目施工期产生的固体废物为施工垃圾及施工人员生活垃圾。施工单位根据《中华人民共和国固体废物污染环境防治法》相关规定，将产生的建筑垃圾和生活垃圾分类集中进行堆放，由环保部门统一运送到指定地点处理，避免造成二次污染。</w:t>
            </w:r>
          </w:p>
          <w:p>
            <w:pPr>
              <w:adjustRightInd w:val="0"/>
              <w:snapToGrid w:val="0"/>
              <w:ind w:firstLine="442"/>
              <w:rPr>
                <w:rFonts w:hint="default" w:ascii="Times New Roman" w:hAnsi="Times New Roman" w:cs="Times New Roman"/>
                <w:b/>
                <w:color w:val="auto"/>
                <w:spacing w:val="-10"/>
                <w:szCs w:val="21"/>
              </w:rPr>
            </w:pPr>
            <w:r>
              <w:rPr>
                <w:rFonts w:hint="default" w:ascii="Times New Roman" w:hAnsi="Times New Roman" w:cs="Times New Roman"/>
                <w:b/>
                <w:color w:val="auto"/>
                <w:spacing w:val="-10"/>
                <w:szCs w:val="21"/>
              </w:rPr>
              <w:t>2、大气环境影响分析</w:t>
            </w:r>
          </w:p>
          <w:p>
            <w:pPr>
              <w:adjustRightInd w:val="0"/>
              <w:snapToGrid w:val="0"/>
              <w:ind w:firstLine="440"/>
              <w:rPr>
                <w:rFonts w:hint="default" w:ascii="Times New Roman" w:hAnsi="Times New Roman" w:cs="Times New Roman"/>
                <w:bCs/>
                <w:color w:val="auto"/>
                <w:spacing w:val="-10"/>
                <w:szCs w:val="21"/>
              </w:rPr>
            </w:pPr>
            <w:r>
              <w:rPr>
                <w:rFonts w:hint="default" w:ascii="Times New Roman" w:hAnsi="Times New Roman" w:cs="Times New Roman"/>
                <w:bCs/>
                <w:color w:val="auto"/>
                <w:spacing w:val="-10"/>
                <w:szCs w:val="21"/>
              </w:rPr>
              <w:t>主要来自工程机械所排废气（含CO、HC、NO</w:t>
            </w:r>
            <w:r>
              <w:rPr>
                <w:rFonts w:hint="default" w:ascii="Times New Roman" w:hAnsi="Times New Roman" w:cs="Times New Roman"/>
                <w:bCs/>
                <w:color w:val="auto"/>
                <w:spacing w:val="-10"/>
                <w:szCs w:val="21"/>
                <w:vertAlign w:val="subscript"/>
              </w:rPr>
              <w:t>X</w:t>
            </w:r>
            <w:r>
              <w:rPr>
                <w:rFonts w:hint="default" w:ascii="Times New Roman" w:hAnsi="Times New Roman" w:cs="Times New Roman"/>
                <w:bCs/>
                <w:color w:val="auto"/>
                <w:spacing w:val="-10"/>
                <w:szCs w:val="21"/>
              </w:rPr>
              <w:t>、SO</w:t>
            </w:r>
            <w:r>
              <w:rPr>
                <w:rFonts w:hint="default" w:ascii="Times New Roman" w:hAnsi="Times New Roman" w:cs="Times New Roman"/>
                <w:bCs/>
                <w:color w:val="auto"/>
                <w:spacing w:val="-10"/>
                <w:szCs w:val="21"/>
                <w:vertAlign w:val="subscript"/>
              </w:rPr>
              <w:t>2</w:t>
            </w:r>
            <w:r>
              <w:rPr>
                <w:rFonts w:hint="default" w:ascii="Times New Roman" w:hAnsi="Times New Roman" w:cs="Times New Roman"/>
                <w:bCs/>
                <w:color w:val="auto"/>
                <w:spacing w:val="-10"/>
                <w:szCs w:val="21"/>
              </w:rPr>
              <w:t>等污染物）以及机械扬尘和车辆运输过程中产生的扬尘。选用废气达标的施工机械和运输车辆，使用优质的燃料，缩短施工期，对区域大气环境影响小。</w:t>
            </w:r>
          </w:p>
          <w:p>
            <w:pPr>
              <w:adjustRightInd w:val="0"/>
              <w:snapToGrid w:val="0"/>
              <w:ind w:firstLine="442"/>
              <w:rPr>
                <w:rFonts w:hint="default" w:ascii="Times New Roman" w:hAnsi="Times New Roman" w:cs="Times New Roman"/>
                <w:b/>
                <w:color w:val="auto"/>
                <w:spacing w:val="-10"/>
                <w:szCs w:val="21"/>
              </w:rPr>
            </w:pPr>
            <w:r>
              <w:rPr>
                <w:rFonts w:hint="default" w:ascii="Times New Roman" w:hAnsi="Times New Roman" w:cs="Times New Roman"/>
                <w:b/>
                <w:color w:val="auto"/>
                <w:spacing w:val="-10"/>
                <w:szCs w:val="21"/>
              </w:rPr>
              <w:t>3、声环境影响分析</w:t>
            </w:r>
          </w:p>
          <w:p>
            <w:pPr>
              <w:adjustRightInd w:val="0"/>
              <w:snapToGrid w:val="0"/>
              <w:ind w:firstLine="440"/>
              <w:rPr>
                <w:rFonts w:hint="default" w:ascii="Times New Roman" w:hAnsi="Times New Roman" w:cs="Times New Roman"/>
                <w:bCs/>
                <w:color w:val="auto"/>
                <w:spacing w:val="-10"/>
                <w:szCs w:val="21"/>
              </w:rPr>
            </w:pPr>
            <w:r>
              <w:rPr>
                <w:rFonts w:hint="default" w:ascii="Times New Roman" w:hAnsi="Times New Roman" w:cs="Times New Roman"/>
                <w:bCs/>
                <w:color w:val="auto"/>
                <w:spacing w:val="-10"/>
                <w:szCs w:val="21"/>
              </w:rPr>
              <w:t>本项目主要为基础施工。设备安装过程中使用机械产生的噪声，根据现场调查，施工期设备安装时产生的噪声对周边环境产生影响。建设单位通过执行本环评报告表中提出的对施工期噪声的治理措施要求，夜间禁止施工（夜间22：00~早上6：00），对外环境影响较小。考虑到施工期的暂时性，且采取有效措施控制后，项目对周围环境造成的声学环境影响不大。</w:t>
            </w:r>
          </w:p>
          <w:p>
            <w:pPr>
              <w:adjustRightInd w:val="0"/>
              <w:snapToGrid w:val="0"/>
              <w:ind w:firstLine="442"/>
              <w:rPr>
                <w:rFonts w:hint="default" w:ascii="Times New Roman" w:hAnsi="Times New Roman" w:cs="Times New Roman"/>
                <w:b/>
                <w:color w:val="auto"/>
                <w:spacing w:val="-10"/>
                <w:szCs w:val="21"/>
              </w:rPr>
            </w:pPr>
            <w:r>
              <w:rPr>
                <w:rFonts w:hint="default" w:ascii="Times New Roman" w:hAnsi="Times New Roman" w:cs="Times New Roman"/>
                <w:b/>
                <w:color w:val="auto"/>
                <w:spacing w:val="-10"/>
                <w:szCs w:val="21"/>
              </w:rPr>
              <w:t>4、地表水环境影响分析</w:t>
            </w:r>
          </w:p>
          <w:p>
            <w:pPr>
              <w:adjustRightInd w:val="0"/>
              <w:snapToGrid w:val="0"/>
              <w:ind w:firstLine="440"/>
              <w:rPr>
                <w:rFonts w:hint="default" w:ascii="Times New Roman" w:hAnsi="Times New Roman" w:cs="Times New Roman"/>
                <w:bCs/>
                <w:color w:val="auto"/>
                <w:spacing w:val="-10"/>
                <w:szCs w:val="21"/>
              </w:rPr>
            </w:pPr>
            <w:r>
              <w:rPr>
                <w:rFonts w:hint="default" w:ascii="Times New Roman" w:hAnsi="Times New Roman" w:cs="Times New Roman"/>
                <w:bCs/>
                <w:color w:val="auto"/>
                <w:spacing w:val="-10"/>
                <w:szCs w:val="21"/>
              </w:rPr>
              <w:t>主要来员工生活污水，施工人员借用</w:t>
            </w:r>
            <w:r>
              <w:rPr>
                <w:rFonts w:hint="eastAsia" w:cs="Times New Roman"/>
                <w:bCs/>
                <w:color w:val="auto"/>
                <w:spacing w:val="-10"/>
                <w:szCs w:val="21"/>
                <w:lang w:val="en-US" w:eastAsia="zh-CN"/>
              </w:rPr>
              <w:t>周边现有企业</w:t>
            </w:r>
            <w:r>
              <w:rPr>
                <w:rFonts w:hint="default" w:ascii="Times New Roman" w:hAnsi="Times New Roman" w:cs="Times New Roman"/>
                <w:bCs/>
                <w:color w:val="auto"/>
                <w:spacing w:val="-10"/>
                <w:szCs w:val="21"/>
              </w:rPr>
              <w:t>内已建生活设施，生活污水通过现有卫生设施处理，不直接外排，对区域地表水影响甚微。</w:t>
            </w:r>
          </w:p>
          <w:p>
            <w:pPr>
              <w:adjustRightInd w:val="0"/>
              <w:snapToGrid w:val="0"/>
              <w:ind w:firstLine="442"/>
              <w:rPr>
                <w:rFonts w:hint="default" w:ascii="Times New Roman" w:hAnsi="Times New Roman" w:cs="Times New Roman"/>
                <w:b/>
                <w:color w:val="auto"/>
                <w:spacing w:val="-10"/>
                <w:szCs w:val="21"/>
              </w:rPr>
            </w:pPr>
            <w:r>
              <w:rPr>
                <w:rFonts w:hint="default" w:ascii="Times New Roman" w:hAnsi="Times New Roman" w:cs="Times New Roman"/>
                <w:b/>
                <w:color w:val="auto"/>
                <w:spacing w:val="-10"/>
                <w:szCs w:val="21"/>
              </w:rPr>
              <w:t>5、固废物影响分析</w:t>
            </w:r>
          </w:p>
          <w:p>
            <w:pPr>
              <w:adjustRightInd w:val="0"/>
              <w:snapToGrid w:val="0"/>
              <w:ind w:firstLine="440"/>
              <w:rPr>
                <w:rFonts w:hint="default" w:ascii="Times New Roman" w:hAnsi="Times New Roman" w:cs="Times New Roman"/>
                <w:bCs/>
                <w:color w:val="auto"/>
                <w:spacing w:val="-10"/>
                <w:szCs w:val="21"/>
              </w:rPr>
            </w:pPr>
            <w:r>
              <w:rPr>
                <w:rFonts w:hint="default" w:ascii="Times New Roman" w:hAnsi="Times New Roman" w:cs="Times New Roman"/>
                <w:bCs/>
                <w:color w:val="auto"/>
                <w:spacing w:val="-10"/>
                <w:szCs w:val="21"/>
              </w:rPr>
              <w:t>经现场踏勘情况可知，项目所在地周边地势平坦，项目施工期间不涉及大规模的土石方工程。可回收利用的建筑垃圾回收利用，不可回收利用的与施工人员生活垃圾一同收集后由环卫所负责清运，对外环境影响小。</w:t>
            </w:r>
          </w:p>
          <w:p>
            <w:pPr>
              <w:adjustRightInd w:val="0"/>
              <w:snapToGrid w:val="0"/>
              <w:ind w:firstLine="440"/>
              <w:rPr>
                <w:rFonts w:hint="default" w:ascii="Times New Roman" w:hAnsi="Times New Roman" w:cs="Times New Roman"/>
                <w:bCs/>
                <w:color w:val="auto"/>
                <w:spacing w:val="-10"/>
                <w:szCs w:val="21"/>
              </w:rPr>
            </w:pPr>
            <w:bookmarkStart w:id="36" w:name="_Toc287645278"/>
            <w:r>
              <w:rPr>
                <w:rFonts w:hint="default" w:ascii="Times New Roman" w:hAnsi="Times New Roman" w:cs="Times New Roman"/>
                <w:bCs/>
                <w:color w:val="auto"/>
                <w:spacing w:val="-10"/>
                <w:szCs w:val="21"/>
              </w:rPr>
              <w:t>综上所述，项目施工期间，对周围环境存在一定的影响，但是只要施工方严格按照施工规范文明施工，采取适当的防尘措施，可以将影响减小到最小。施工结束后，以上影响可消除。</w:t>
            </w:r>
            <w:bookmarkEnd w:id="36"/>
          </w:p>
          <w:p>
            <w:pPr>
              <w:adjustRightInd w:val="0"/>
              <w:snapToGrid w:val="0"/>
              <w:ind w:firstLine="440"/>
              <w:rPr>
                <w:rFonts w:hint="default" w:ascii="Times New Roman" w:hAnsi="Times New Roman" w:cs="Times New Roman"/>
                <w:bCs/>
                <w:color w:val="auto"/>
                <w:spacing w:val="-10"/>
                <w:szCs w:val="21"/>
              </w:rPr>
            </w:pPr>
          </w:p>
          <w:p>
            <w:pPr>
              <w:adjustRightInd w:val="0"/>
              <w:snapToGrid w:val="0"/>
              <w:ind w:firstLine="440"/>
              <w:rPr>
                <w:rFonts w:hint="default" w:ascii="Times New Roman" w:hAnsi="Times New Roman" w:cs="Times New Roman"/>
                <w:bCs/>
                <w:color w:val="auto"/>
                <w:spacing w:val="-10"/>
                <w:szCs w:val="21"/>
              </w:rPr>
            </w:pPr>
          </w:p>
          <w:p>
            <w:pPr>
              <w:adjustRightInd w:val="0"/>
              <w:snapToGrid w:val="0"/>
              <w:ind w:firstLine="440"/>
              <w:rPr>
                <w:rFonts w:hint="default" w:ascii="Times New Roman" w:hAnsi="Times New Roman" w:cs="Times New Roman"/>
                <w:bCs/>
                <w:color w:val="auto"/>
                <w:spacing w:val="-10"/>
                <w:szCs w:val="21"/>
              </w:rPr>
            </w:pPr>
          </w:p>
          <w:p>
            <w:pPr>
              <w:adjustRightInd w:val="0"/>
              <w:snapToGrid w:val="0"/>
              <w:ind w:firstLine="440"/>
              <w:rPr>
                <w:rFonts w:hint="default" w:ascii="Times New Roman" w:hAnsi="Times New Roman" w:cs="Times New Roman"/>
                <w:bCs/>
                <w:color w:val="auto"/>
                <w:spacing w:val="-10"/>
                <w:szCs w:val="21"/>
              </w:rPr>
            </w:pPr>
          </w:p>
          <w:p>
            <w:pPr>
              <w:adjustRightInd w:val="0"/>
              <w:snapToGrid w:val="0"/>
              <w:ind w:firstLine="440"/>
              <w:rPr>
                <w:rFonts w:hint="default" w:ascii="Times New Roman" w:hAnsi="Times New Roman" w:cs="Times New Roman"/>
                <w:bCs/>
                <w:color w:val="auto"/>
                <w:spacing w:val="-10"/>
                <w:szCs w:val="21"/>
              </w:rPr>
            </w:pPr>
          </w:p>
          <w:p>
            <w:pPr>
              <w:adjustRightInd w:val="0"/>
              <w:snapToGrid w:val="0"/>
              <w:ind w:firstLine="440"/>
              <w:rPr>
                <w:rFonts w:hint="default" w:ascii="Times New Roman" w:hAnsi="Times New Roman" w:cs="Times New Roman"/>
                <w:bCs/>
                <w:color w:val="auto"/>
                <w:spacing w:val="-10"/>
                <w:szCs w:val="21"/>
              </w:rPr>
            </w:pPr>
          </w:p>
          <w:p>
            <w:pPr>
              <w:adjustRightInd w:val="0"/>
              <w:snapToGrid w:val="0"/>
              <w:ind w:firstLine="440"/>
              <w:rPr>
                <w:rFonts w:hint="default" w:ascii="Times New Roman" w:hAnsi="Times New Roman" w:cs="Times New Roman"/>
                <w:bCs/>
                <w:color w:val="auto"/>
                <w:spacing w:val="-10"/>
                <w:szCs w:val="21"/>
              </w:rPr>
            </w:pPr>
          </w:p>
          <w:p>
            <w:pPr>
              <w:adjustRightInd w:val="0"/>
              <w:snapToGrid w:val="0"/>
              <w:ind w:firstLine="440"/>
              <w:rPr>
                <w:rFonts w:hint="default" w:ascii="Times New Roman" w:hAnsi="Times New Roman" w:cs="Times New Roman"/>
                <w:bCs/>
                <w:color w:val="auto"/>
                <w:spacing w:val="-1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10" w:hRule="atLeast"/>
          <w:jc w:val="center"/>
        </w:trPr>
        <w:tc>
          <w:tcPr>
            <w:tcW w:w="746" w:type="dxa"/>
            <w:tcMar>
              <w:left w:w="28" w:type="dxa"/>
              <w:right w:w="28" w:type="dxa"/>
            </w:tcMar>
            <w:vAlign w:val="center"/>
          </w:tcPr>
          <w:p>
            <w:pPr>
              <w:pStyle w:val="11"/>
              <w:jc w:val="center"/>
              <w:rPr>
                <w:rFonts w:hint="default" w:ascii="Times New Roman" w:hAnsi="Times New Roman" w:cs="Times New Roman"/>
                <w:b/>
                <w:bCs/>
                <w:color w:val="auto"/>
              </w:rPr>
            </w:pPr>
            <w:r>
              <w:rPr>
                <w:rFonts w:hint="default" w:ascii="Times New Roman" w:hAnsi="Times New Roman" w:cs="Times New Roman"/>
                <w:b/>
                <w:bCs/>
                <w:color w:val="auto"/>
              </w:rPr>
              <w:t>运营</w:t>
            </w:r>
          </w:p>
          <w:p>
            <w:pPr>
              <w:pStyle w:val="11"/>
              <w:jc w:val="center"/>
              <w:rPr>
                <w:rFonts w:hint="default" w:ascii="Times New Roman" w:hAnsi="Times New Roman" w:cs="Times New Roman"/>
                <w:b/>
                <w:bCs/>
                <w:color w:val="auto"/>
              </w:rPr>
            </w:pPr>
            <w:r>
              <w:rPr>
                <w:rFonts w:hint="default" w:ascii="Times New Roman" w:hAnsi="Times New Roman" w:cs="Times New Roman"/>
                <w:b/>
                <w:bCs/>
                <w:color w:val="auto"/>
              </w:rPr>
              <w:t>期环</w:t>
            </w:r>
          </w:p>
          <w:p>
            <w:pPr>
              <w:pStyle w:val="11"/>
              <w:jc w:val="center"/>
              <w:rPr>
                <w:rFonts w:hint="default" w:ascii="Times New Roman" w:hAnsi="Times New Roman" w:cs="Times New Roman"/>
                <w:b/>
                <w:bCs/>
                <w:color w:val="auto"/>
              </w:rPr>
            </w:pPr>
            <w:r>
              <w:rPr>
                <w:rFonts w:hint="default" w:ascii="Times New Roman" w:hAnsi="Times New Roman" w:cs="Times New Roman"/>
                <w:b/>
                <w:bCs/>
                <w:color w:val="auto"/>
              </w:rPr>
              <w:t>境影</w:t>
            </w:r>
          </w:p>
          <w:p>
            <w:pPr>
              <w:pStyle w:val="11"/>
              <w:jc w:val="center"/>
              <w:rPr>
                <w:rFonts w:hint="default" w:ascii="Times New Roman" w:hAnsi="Times New Roman" w:cs="Times New Roman"/>
                <w:b/>
                <w:bCs/>
                <w:color w:val="auto"/>
              </w:rPr>
            </w:pPr>
            <w:r>
              <w:rPr>
                <w:rFonts w:hint="default" w:ascii="Times New Roman" w:hAnsi="Times New Roman" w:cs="Times New Roman"/>
                <w:b/>
                <w:bCs/>
                <w:color w:val="auto"/>
              </w:rPr>
              <w:t>响和</w:t>
            </w:r>
          </w:p>
          <w:p>
            <w:pPr>
              <w:pStyle w:val="11"/>
              <w:jc w:val="center"/>
              <w:rPr>
                <w:rFonts w:hint="default" w:ascii="Times New Roman" w:hAnsi="Times New Roman" w:cs="Times New Roman"/>
                <w:b/>
                <w:bCs/>
                <w:color w:val="auto"/>
              </w:rPr>
            </w:pPr>
            <w:r>
              <w:rPr>
                <w:rFonts w:hint="default" w:ascii="Times New Roman" w:hAnsi="Times New Roman" w:cs="Times New Roman"/>
                <w:b/>
                <w:bCs/>
                <w:color w:val="auto"/>
              </w:rPr>
              <w:t>保护</w:t>
            </w:r>
          </w:p>
          <w:p>
            <w:pPr>
              <w:pStyle w:val="11"/>
              <w:jc w:val="center"/>
              <w:rPr>
                <w:rFonts w:hint="default" w:ascii="Times New Roman" w:hAnsi="Times New Roman" w:cs="Times New Roman"/>
                <w:bCs/>
                <w:color w:val="auto"/>
              </w:rPr>
            </w:pPr>
            <w:r>
              <w:rPr>
                <w:rFonts w:hint="default" w:ascii="Times New Roman" w:hAnsi="Times New Roman" w:cs="Times New Roman"/>
                <w:b/>
                <w:bCs/>
                <w:color w:val="auto"/>
              </w:rPr>
              <w:t>措施</w:t>
            </w:r>
          </w:p>
        </w:tc>
        <w:tc>
          <w:tcPr>
            <w:tcW w:w="9150" w:type="dxa"/>
            <w:vAlign w:val="center"/>
          </w:tcPr>
          <w:p>
            <w:pPr>
              <w:adjustRightInd w:val="0"/>
              <w:snapToGrid w:val="0"/>
              <w:ind w:firstLine="442"/>
              <w:rPr>
                <w:rFonts w:hint="default" w:ascii="Times New Roman" w:hAnsi="Times New Roman" w:cs="Times New Roman"/>
                <w:b/>
                <w:color w:val="auto"/>
                <w:spacing w:val="-10"/>
                <w:szCs w:val="21"/>
              </w:rPr>
            </w:pPr>
            <w:r>
              <w:rPr>
                <w:rFonts w:hint="default" w:ascii="Times New Roman" w:hAnsi="Times New Roman" w:cs="Times New Roman"/>
                <w:b/>
                <w:color w:val="auto"/>
                <w:spacing w:val="-10"/>
                <w:szCs w:val="21"/>
              </w:rPr>
              <w:t>（一）运营期污染物排放及治理</w:t>
            </w:r>
          </w:p>
          <w:p>
            <w:pPr>
              <w:adjustRightInd w:val="0"/>
              <w:snapToGrid w:val="0"/>
              <w:ind w:firstLine="442"/>
              <w:rPr>
                <w:rFonts w:hint="default" w:ascii="Times New Roman" w:hAnsi="Times New Roman" w:cs="Times New Roman"/>
                <w:b/>
                <w:color w:val="auto"/>
                <w:spacing w:val="-10"/>
                <w:szCs w:val="21"/>
              </w:rPr>
            </w:pPr>
            <w:r>
              <w:rPr>
                <w:rFonts w:hint="default" w:ascii="Times New Roman" w:hAnsi="Times New Roman" w:cs="Times New Roman"/>
                <w:b/>
                <w:color w:val="auto"/>
                <w:spacing w:val="-10"/>
                <w:szCs w:val="21"/>
              </w:rPr>
              <w:t>1、水污染物排放及治理</w:t>
            </w:r>
          </w:p>
          <w:p>
            <w:pPr>
              <w:adjustRightInd w:val="0"/>
              <w:snapToGrid w:val="0"/>
              <w:ind w:firstLine="442"/>
              <w:rPr>
                <w:rFonts w:hint="default" w:ascii="Times New Roman" w:hAnsi="Times New Roman" w:cs="Times New Roman"/>
                <w:bCs/>
                <w:color w:val="auto"/>
                <w:spacing w:val="-10"/>
                <w:szCs w:val="21"/>
              </w:rPr>
            </w:pPr>
            <w:r>
              <w:rPr>
                <w:rFonts w:hint="default" w:ascii="Times New Roman" w:hAnsi="Times New Roman" w:cs="Times New Roman"/>
                <w:bCs/>
                <w:color w:val="auto"/>
                <w:spacing w:val="-10"/>
                <w:szCs w:val="21"/>
              </w:rPr>
              <w:t>根据项目水平衡分析，</w:t>
            </w:r>
            <w:r>
              <w:rPr>
                <w:rFonts w:hint="default" w:ascii="Times New Roman" w:hAnsi="Times New Roman" w:cs="Times New Roman"/>
                <w:bCs/>
                <w:color w:val="auto"/>
                <w:spacing w:val="-10"/>
                <w:szCs w:val="21"/>
                <w:lang w:val="en-US" w:eastAsia="zh-CN"/>
              </w:rPr>
              <w:t>废水</w:t>
            </w:r>
            <w:r>
              <w:rPr>
                <w:rFonts w:hint="default" w:ascii="Times New Roman" w:hAnsi="Times New Roman" w:cs="Times New Roman"/>
                <w:bCs/>
                <w:color w:val="auto"/>
                <w:spacing w:val="-10"/>
                <w:szCs w:val="21"/>
              </w:rPr>
              <w:t>排水量</w:t>
            </w:r>
            <w:r>
              <w:rPr>
                <w:rFonts w:hint="default" w:ascii="Times New Roman" w:hAnsi="Times New Roman" w:cs="Times New Roman"/>
                <w:bCs/>
                <w:color w:val="auto"/>
                <w:spacing w:val="-10"/>
                <w:szCs w:val="21"/>
                <w:lang w:val="en-US" w:eastAsia="zh-CN"/>
              </w:rPr>
              <w:t>约为1.1</w:t>
            </w:r>
            <w:r>
              <w:rPr>
                <w:rFonts w:hint="default" w:ascii="Times New Roman" w:hAnsi="Times New Roman" w:cs="Times New Roman"/>
                <w:bCs/>
                <w:color w:val="auto"/>
                <w:spacing w:val="-10"/>
                <w:szCs w:val="21"/>
              </w:rPr>
              <w:t>m3/d（</w:t>
            </w:r>
            <w:r>
              <w:rPr>
                <w:rFonts w:hint="default" w:ascii="Times New Roman" w:hAnsi="Times New Roman" w:cs="Times New Roman"/>
                <w:bCs/>
                <w:color w:val="auto"/>
                <w:spacing w:val="-10"/>
                <w:szCs w:val="21"/>
                <w:lang w:val="en-US" w:eastAsia="zh-CN"/>
              </w:rPr>
              <w:t>323</w:t>
            </w:r>
            <w:r>
              <w:rPr>
                <w:rFonts w:hint="default" w:ascii="Times New Roman" w:hAnsi="Times New Roman" w:cs="Times New Roman"/>
                <w:bCs/>
                <w:color w:val="auto"/>
                <w:spacing w:val="-10"/>
                <w:szCs w:val="21"/>
              </w:rPr>
              <w:t>m3/a），污水中各污染物平均值分别为CODCr：500mg/L、TP：8mg/L、NH3-N：45mg/L。公司排放口排放污染物含量为：CODCr：0.</w:t>
            </w:r>
            <w:r>
              <w:rPr>
                <w:rFonts w:hint="default" w:ascii="Times New Roman" w:hAnsi="Times New Roman" w:cs="Times New Roman"/>
                <w:bCs/>
                <w:color w:val="auto"/>
                <w:spacing w:val="-10"/>
                <w:szCs w:val="21"/>
                <w:lang w:val="en-US" w:eastAsia="zh-CN"/>
              </w:rPr>
              <w:t>161</w:t>
            </w:r>
            <w:r>
              <w:rPr>
                <w:rFonts w:hint="default" w:ascii="Times New Roman" w:hAnsi="Times New Roman" w:cs="Times New Roman"/>
                <w:bCs/>
                <w:color w:val="auto"/>
                <w:spacing w:val="-10"/>
                <w:szCs w:val="21"/>
              </w:rPr>
              <w:t>t/a、TP：0.0</w:t>
            </w:r>
            <w:r>
              <w:rPr>
                <w:rFonts w:hint="default" w:ascii="Times New Roman" w:hAnsi="Times New Roman" w:cs="Times New Roman"/>
                <w:bCs/>
                <w:color w:val="auto"/>
                <w:spacing w:val="-10"/>
                <w:szCs w:val="21"/>
                <w:lang w:val="en-US" w:eastAsia="zh-CN"/>
              </w:rPr>
              <w:t>03</w:t>
            </w:r>
            <w:r>
              <w:rPr>
                <w:rFonts w:hint="default" w:ascii="Times New Roman" w:hAnsi="Times New Roman" w:cs="Times New Roman"/>
                <w:bCs/>
                <w:color w:val="auto"/>
                <w:spacing w:val="-10"/>
                <w:szCs w:val="21"/>
              </w:rPr>
              <w:t>t/a、NH3-N：0.0</w:t>
            </w:r>
            <w:r>
              <w:rPr>
                <w:rFonts w:hint="default" w:ascii="Times New Roman" w:hAnsi="Times New Roman" w:cs="Times New Roman"/>
                <w:bCs/>
                <w:color w:val="auto"/>
                <w:spacing w:val="-10"/>
                <w:szCs w:val="21"/>
                <w:lang w:val="en-US" w:eastAsia="zh-CN"/>
              </w:rPr>
              <w:t>15</w:t>
            </w:r>
            <w:r>
              <w:rPr>
                <w:rFonts w:hint="default" w:ascii="Times New Roman" w:hAnsi="Times New Roman" w:cs="Times New Roman"/>
                <w:bCs/>
                <w:color w:val="auto"/>
                <w:spacing w:val="-10"/>
                <w:szCs w:val="21"/>
              </w:rPr>
              <w:t>t/a。生活废水经</w:t>
            </w:r>
            <w:r>
              <w:rPr>
                <w:rFonts w:hint="default" w:ascii="Times New Roman" w:hAnsi="Times New Roman" w:cs="Times New Roman"/>
                <w:bCs/>
                <w:color w:val="auto"/>
                <w:spacing w:val="-10"/>
                <w:szCs w:val="21"/>
                <w:lang w:eastAsia="zh-CN"/>
              </w:rPr>
              <w:t>化粪池</w:t>
            </w:r>
            <w:r>
              <w:rPr>
                <w:rFonts w:hint="default" w:ascii="Times New Roman" w:hAnsi="Times New Roman" w:cs="Times New Roman"/>
                <w:bCs/>
                <w:color w:val="auto"/>
                <w:spacing w:val="-10"/>
                <w:szCs w:val="21"/>
              </w:rPr>
              <w:t>处理后通过园区污水管网进入污水处理厂。处理后达到《城镇污水处理厂污染物排放标准》（GB18918-2002）一级A标出水限值要求，CODCr：</w:t>
            </w:r>
            <w:r>
              <w:rPr>
                <w:rFonts w:hint="default" w:ascii="Times New Roman" w:hAnsi="Times New Roman" w:cs="Times New Roman"/>
                <w:bCs/>
                <w:color w:val="auto"/>
                <w:spacing w:val="-10"/>
                <w:szCs w:val="21"/>
                <w:lang w:val="en-US" w:eastAsia="zh-CN"/>
              </w:rPr>
              <w:t>5</w:t>
            </w:r>
            <w:r>
              <w:rPr>
                <w:rFonts w:hint="default" w:ascii="Times New Roman" w:hAnsi="Times New Roman" w:cs="Times New Roman"/>
                <w:bCs/>
                <w:color w:val="auto"/>
                <w:spacing w:val="-10"/>
                <w:szCs w:val="21"/>
              </w:rPr>
              <w:t>0mg/L、TP：0.5mg/L、NH3-N：</w:t>
            </w:r>
            <w:r>
              <w:rPr>
                <w:rFonts w:hint="default" w:ascii="Times New Roman" w:hAnsi="Times New Roman" w:cs="Times New Roman"/>
                <w:bCs/>
                <w:color w:val="auto"/>
                <w:spacing w:val="-10"/>
                <w:szCs w:val="21"/>
                <w:lang w:val="en-US" w:eastAsia="zh-CN"/>
              </w:rPr>
              <w:t>5</w:t>
            </w:r>
            <w:r>
              <w:rPr>
                <w:rFonts w:hint="default" w:ascii="Times New Roman" w:hAnsi="Times New Roman" w:cs="Times New Roman"/>
                <w:bCs/>
                <w:color w:val="auto"/>
                <w:spacing w:val="-10"/>
                <w:szCs w:val="21"/>
              </w:rPr>
              <w:t>mg/L，排放污染物含量为：CODCr：0.0</w:t>
            </w:r>
            <w:r>
              <w:rPr>
                <w:rFonts w:hint="default" w:ascii="Times New Roman" w:hAnsi="Times New Roman" w:cs="Times New Roman"/>
                <w:bCs/>
                <w:color w:val="auto"/>
                <w:spacing w:val="-10"/>
                <w:szCs w:val="21"/>
                <w:lang w:val="en-US" w:eastAsia="zh-CN"/>
              </w:rPr>
              <w:t>16</w:t>
            </w:r>
            <w:r>
              <w:rPr>
                <w:rFonts w:hint="default" w:ascii="Times New Roman" w:hAnsi="Times New Roman" w:cs="Times New Roman"/>
                <w:bCs/>
                <w:color w:val="auto"/>
                <w:spacing w:val="-10"/>
                <w:szCs w:val="21"/>
              </w:rPr>
              <w:t>t/a、TP：0.00</w:t>
            </w:r>
            <w:r>
              <w:rPr>
                <w:rFonts w:hint="default" w:ascii="Times New Roman" w:hAnsi="Times New Roman" w:cs="Times New Roman"/>
                <w:bCs/>
                <w:color w:val="auto"/>
                <w:spacing w:val="-10"/>
                <w:szCs w:val="21"/>
                <w:lang w:val="en-US" w:eastAsia="zh-CN"/>
              </w:rPr>
              <w:t>02</w:t>
            </w:r>
            <w:r>
              <w:rPr>
                <w:rFonts w:hint="default" w:ascii="Times New Roman" w:hAnsi="Times New Roman" w:cs="Times New Roman"/>
                <w:bCs/>
                <w:color w:val="auto"/>
                <w:spacing w:val="-10"/>
                <w:szCs w:val="21"/>
              </w:rPr>
              <w:t>t/a、NH3-N：0.00</w:t>
            </w:r>
            <w:r>
              <w:rPr>
                <w:rFonts w:hint="default" w:ascii="Times New Roman" w:hAnsi="Times New Roman" w:cs="Times New Roman"/>
                <w:bCs/>
                <w:color w:val="auto"/>
                <w:spacing w:val="-10"/>
                <w:szCs w:val="21"/>
                <w:lang w:val="en-US" w:eastAsia="zh-CN"/>
              </w:rPr>
              <w:t>2</w:t>
            </w:r>
            <w:r>
              <w:rPr>
                <w:rFonts w:hint="default" w:ascii="Times New Roman" w:hAnsi="Times New Roman" w:cs="Times New Roman"/>
                <w:bCs/>
                <w:color w:val="auto"/>
                <w:spacing w:val="-10"/>
                <w:szCs w:val="21"/>
              </w:rPr>
              <w:t>t/a。</w:t>
            </w:r>
          </w:p>
          <w:p>
            <w:pPr>
              <w:adjustRightInd w:val="0"/>
              <w:snapToGrid w:val="0"/>
              <w:ind w:firstLine="442"/>
              <w:rPr>
                <w:rFonts w:hint="default" w:ascii="Times New Roman" w:hAnsi="Times New Roman" w:cs="Times New Roman"/>
                <w:b/>
                <w:color w:val="auto"/>
                <w:spacing w:val="-10"/>
                <w:szCs w:val="21"/>
              </w:rPr>
            </w:pPr>
            <w:r>
              <w:rPr>
                <w:rFonts w:hint="default" w:ascii="Times New Roman" w:hAnsi="Times New Roman" w:cs="Times New Roman"/>
                <w:b/>
                <w:color w:val="auto"/>
                <w:spacing w:val="-10"/>
                <w:szCs w:val="21"/>
              </w:rPr>
              <w:t>（1）项目污水处理方案的可行性分析</w:t>
            </w:r>
          </w:p>
          <w:p>
            <w:pPr>
              <w:adjustRightInd w:val="0"/>
              <w:snapToGrid w:val="0"/>
              <w:ind w:firstLine="442"/>
              <w:rPr>
                <w:rFonts w:hint="default" w:ascii="Times New Roman" w:hAnsi="Times New Roman" w:cs="Times New Roman"/>
                <w:b/>
                <w:color w:val="auto"/>
                <w:spacing w:val="-10"/>
                <w:szCs w:val="21"/>
              </w:rPr>
            </w:pPr>
            <w:r>
              <w:rPr>
                <w:rFonts w:hint="default" w:ascii="Times New Roman" w:hAnsi="Times New Roman" w:cs="Times New Roman"/>
                <w:b/>
                <w:color w:val="auto"/>
                <w:spacing w:val="-10"/>
                <w:szCs w:val="21"/>
              </w:rPr>
              <w:t>生活污水</w:t>
            </w:r>
          </w:p>
          <w:p>
            <w:pPr>
              <w:adjustRightInd w:val="0"/>
              <w:snapToGrid w:val="0"/>
              <w:ind w:firstLine="442"/>
              <w:rPr>
                <w:rFonts w:hint="default" w:ascii="Times New Roman" w:hAnsi="Times New Roman" w:cs="Times New Roman"/>
                <w:b/>
                <w:color w:val="auto"/>
                <w:spacing w:val="-10"/>
                <w:szCs w:val="21"/>
              </w:rPr>
            </w:pPr>
            <w:r>
              <w:rPr>
                <w:rFonts w:hint="default" w:ascii="Times New Roman" w:hAnsi="Times New Roman" w:cs="Times New Roman"/>
                <w:b/>
                <w:color w:val="auto"/>
                <w:spacing w:val="-10"/>
                <w:szCs w:val="21"/>
              </w:rPr>
              <w:t>①、预处理池</w:t>
            </w:r>
          </w:p>
          <w:p>
            <w:pPr>
              <w:adjustRightInd w:val="0"/>
              <w:snapToGrid w:val="0"/>
              <w:ind w:firstLine="442"/>
              <w:rPr>
                <w:rFonts w:hint="default" w:ascii="Times New Roman" w:hAnsi="Times New Roman" w:cs="Times New Roman"/>
                <w:bCs/>
                <w:color w:val="auto"/>
                <w:spacing w:val="-10"/>
                <w:szCs w:val="21"/>
              </w:rPr>
            </w:pPr>
            <w:r>
              <w:rPr>
                <w:rFonts w:hint="default" w:ascii="Times New Roman" w:hAnsi="Times New Roman" w:cs="Times New Roman"/>
                <w:bCs/>
                <w:color w:val="auto"/>
                <w:spacing w:val="-10"/>
                <w:szCs w:val="21"/>
                <w:lang w:val="en-US" w:eastAsia="zh-CN"/>
              </w:rPr>
              <w:t>宣汉骅龙塑料制品有限公司在厂房建设过程中已设置化粪池，</w:t>
            </w:r>
            <w:r>
              <w:rPr>
                <w:rFonts w:hint="default" w:ascii="Times New Roman" w:hAnsi="Times New Roman" w:cs="Times New Roman"/>
                <w:bCs/>
                <w:color w:val="auto"/>
                <w:spacing w:val="-10"/>
                <w:szCs w:val="21"/>
              </w:rPr>
              <w:t>容积约为</w:t>
            </w:r>
            <w:r>
              <w:rPr>
                <w:rFonts w:hint="default" w:ascii="Times New Roman" w:hAnsi="Times New Roman" w:cs="Times New Roman"/>
                <w:bCs/>
                <w:color w:val="auto"/>
                <w:spacing w:val="-10"/>
                <w:szCs w:val="21"/>
                <w:lang w:val="en-US" w:eastAsia="zh-CN"/>
              </w:rPr>
              <w:t>1</w:t>
            </w:r>
            <w:r>
              <w:rPr>
                <w:rFonts w:hint="default" w:ascii="Times New Roman" w:hAnsi="Times New Roman" w:cs="Times New Roman"/>
                <w:bCs/>
                <w:color w:val="auto"/>
                <w:spacing w:val="-10"/>
                <w:szCs w:val="21"/>
              </w:rPr>
              <w:t>0m3，</w:t>
            </w:r>
            <w:r>
              <w:rPr>
                <w:rFonts w:hint="default" w:ascii="Times New Roman" w:hAnsi="Times New Roman" w:cs="Times New Roman"/>
                <w:bCs/>
                <w:color w:val="auto"/>
                <w:spacing w:val="-10"/>
                <w:szCs w:val="21"/>
                <w:lang w:val="en-US" w:eastAsia="zh-CN"/>
              </w:rPr>
              <w:t>有效停留时间按12h计算，化粪池处理能力约为20m3/d，宣汉骅龙塑料制品有限公司现有</w:t>
            </w:r>
            <w:r>
              <w:rPr>
                <w:rFonts w:hint="default" w:ascii="Times New Roman" w:hAnsi="Times New Roman" w:cs="Times New Roman"/>
                <w:bCs/>
                <w:color w:val="auto"/>
                <w:spacing w:val="-10"/>
                <w:szCs w:val="21"/>
              </w:rPr>
              <w:t>排水量约为</w:t>
            </w:r>
            <w:r>
              <w:rPr>
                <w:rFonts w:hint="default" w:ascii="Times New Roman" w:hAnsi="Times New Roman" w:cs="Times New Roman"/>
                <w:bCs/>
                <w:color w:val="auto"/>
                <w:spacing w:val="-10"/>
                <w:szCs w:val="21"/>
                <w:lang w:val="en-US" w:eastAsia="zh-CN"/>
              </w:rPr>
              <w:t>3.6</w:t>
            </w:r>
            <w:r>
              <w:rPr>
                <w:rFonts w:hint="default" w:ascii="Times New Roman" w:hAnsi="Times New Roman" w:cs="Times New Roman"/>
                <w:bCs/>
                <w:color w:val="auto"/>
                <w:spacing w:val="-10"/>
                <w:szCs w:val="21"/>
              </w:rPr>
              <w:t>m3/d，本项目的新增污水排放量为</w:t>
            </w:r>
            <w:r>
              <w:rPr>
                <w:rFonts w:hint="default" w:ascii="Times New Roman" w:hAnsi="Times New Roman" w:cs="Times New Roman"/>
                <w:bCs/>
                <w:color w:val="auto"/>
                <w:spacing w:val="-10"/>
                <w:szCs w:val="21"/>
                <w:lang w:val="en-US" w:eastAsia="zh-CN"/>
              </w:rPr>
              <w:t>1.1</w:t>
            </w:r>
            <w:r>
              <w:rPr>
                <w:rFonts w:hint="default" w:ascii="Times New Roman" w:hAnsi="Times New Roman" w:cs="Times New Roman"/>
                <w:bCs/>
                <w:color w:val="auto"/>
                <w:spacing w:val="-10"/>
                <w:szCs w:val="21"/>
              </w:rPr>
              <w:t>m3/d，</w:t>
            </w:r>
            <w:r>
              <w:rPr>
                <w:rFonts w:hint="default" w:ascii="Times New Roman" w:hAnsi="Times New Roman" w:cs="Times New Roman"/>
                <w:bCs/>
                <w:color w:val="auto"/>
                <w:spacing w:val="-10"/>
                <w:szCs w:val="21"/>
                <w:lang w:val="en-US" w:eastAsia="zh-CN"/>
              </w:rPr>
              <w:t>现有化粪池</w:t>
            </w:r>
            <w:r>
              <w:rPr>
                <w:rFonts w:hint="default" w:ascii="Times New Roman" w:hAnsi="Times New Roman" w:cs="Times New Roman"/>
                <w:bCs/>
                <w:color w:val="auto"/>
                <w:spacing w:val="-10"/>
                <w:szCs w:val="21"/>
              </w:rPr>
              <w:t>能够满足本次项目的处理需求。</w:t>
            </w:r>
          </w:p>
          <w:p>
            <w:pPr>
              <w:adjustRightInd w:val="0"/>
              <w:snapToGrid w:val="0"/>
              <w:ind w:firstLine="442"/>
              <w:rPr>
                <w:rFonts w:hint="default" w:ascii="Times New Roman" w:hAnsi="Times New Roman" w:cs="Times New Roman"/>
                <w:b/>
                <w:color w:val="auto"/>
                <w:spacing w:val="-10"/>
                <w:szCs w:val="21"/>
              </w:rPr>
            </w:pPr>
            <w:r>
              <w:rPr>
                <w:rFonts w:hint="default" w:ascii="Times New Roman" w:hAnsi="Times New Roman" w:cs="Times New Roman"/>
                <w:b/>
                <w:color w:val="auto"/>
                <w:spacing w:val="-10"/>
                <w:szCs w:val="21"/>
              </w:rPr>
              <w:t>②、生活污水进入工业污水处理厂的可行性分析</w:t>
            </w:r>
          </w:p>
          <w:p>
            <w:pPr>
              <w:bidi w:val="0"/>
              <w:rPr>
                <w:rFonts w:hint="default"/>
              </w:rPr>
            </w:pPr>
            <w:r>
              <w:rPr>
                <w:rFonts w:hint="default"/>
                <w:lang w:val="en-US" w:eastAsia="zh-CN"/>
              </w:rPr>
              <w:t>根据调查，柳池工业园污水处理厂位于园区东南部，设计处理处置规模为2万m</w:t>
            </w:r>
            <w:r>
              <w:rPr>
                <w:rFonts w:hint="default"/>
                <w:vertAlign w:val="superscript"/>
                <w:lang w:val="en-US" w:eastAsia="zh-CN"/>
              </w:rPr>
              <w:t>3</w:t>
            </w:r>
            <w:r>
              <w:rPr>
                <w:rFonts w:hint="default"/>
                <w:lang w:val="en-US" w:eastAsia="zh-CN"/>
              </w:rPr>
              <w:t>/d，分期建设。目前已建污水处理厂处理规模为5000m</w:t>
            </w:r>
            <w:r>
              <w:rPr>
                <w:rFonts w:hint="default"/>
                <w:vertAlign w:val="superscript"/>
                <w:lang w:val="en-US" w:eastAsia="zh-CN"/>
              </w:rPr>
              <w:t>3</w:t>
            </w:r>
            <w:r>
              <w:rPr>
                <w:rFonts w:hint="default"/>
                <w:lang w:val="en-US" w:eastAsia="zh-CN"/>
              </w:rPr>
              <w:t>/d，于2016年2月正式投入运行，污水厂采用氧化沟+深度处理主体工艺，出水达到《城镇污水处理厂污染物排放标准》（GB18918-2002）一级A标后经管道排入后河。目前该污水处理厂已建成投入运行，纳污范围主要为柳池工业园区范围的生产生活污水。本项目废水为职工生活污水，水质能够达到达到《污水综合排放标准》（GB8978-1996）三级排放标准，满足污水厂进水要求。</w:t>
            </w:r>
          </w:p>
          <w:p>
            <w:pPr>
              <w:adjustRightInd w:val="0"/>
              <w:snapToGrid w:val="0"/>
              <w:ind w:firstLine="442"/>
              <w:rPr>
                <w:rFonts w:hint="default"/>
                <w:lang w:val="en-US" w:eastAsia="zh-CN"/>
              </w:rPr>
            </w:pPr>
            <w:r>
              <w:rPr>
                <w:rFonts w:hint="default"/>
                <w:lang w:val="en-US" w:eastAsia="zh-CN"/>
              </w:rPr>
              <w:t>本项目污水量约1.1m3/d，远小于园区污水处理厂的处理能力，水量不会突破污水厂的处理能力上线。项目西面道路下已有污水收集管网，标高低于项目化粪池出水口标高，化粪池出水口可自流排至污水管网，最终进入园区污水厂处理。因此，本项目生活污水排入园区污水处理厂处理是可行的，也是可靠的。</w:t>
            </w:r>
          </w:p>
          <w:p>
            <w:pPr>
              <w:adjustRightInd w:val="0"/>
              <w:snapToGrid w:val="0"/>
              <w:ind w:firstLine="442"/>
              <w:rPr>
                <w:rFonts w:hint="default" w:ascii="Times New Roman" w:hAnsi="Times New Roman" w:cs="Times New Roman"/>
                <w:b/>
                <w:color w:val="auto"/>
                <w:spacing w:val="-10"/>
                <w:szCs w:val="21"/>
              </w:rPr>
            </w:pPr>
            <w:r>
              <w:rPr>
                <w:rFonts w:hint="default" w:ascii="Times New Roman" w:hAnsi="Times New Roman" w:cs="Times New Roman"/>
                <w:b/>
                <w:color w:val="auto"/>
                <w:spacing w:val="-10"/>
                <w:szCs w:val="21"/>
              </w:rPr>
              <w:t>生产用水</w:t>
            </w:r>
          </w:p>
          <w:p>
            <w:pPr>
              <w:adjustRightInd w:val="0"/>
              <w:snapToGrid w:val="0"/>
              <w:ind w:firstLine="442"/>
              <w:rPr>
                <w:rFonts w:hint="default" w:ascii="Times New Roman" w:hAnsi="Times New Roman" w:cs="Times New Roman"/>
                <w:b/>
                <w:color w:val="auto"/>
                <w:spacing w:val="-10"/>
                <w:szCs w:val="21"/>
              </w:rPr>
            </w:pPr>
            <w:r>
              <w:rPr>
                <w:rFonts w:hint="default" w:ascii="Times New Roman" w:hAnsi="Times New Roman" w:cs="Times New Roman"/>
                <w:b/>
                <w:color w:val="auto"/>
                <w:spacing w:val="-10"/>
                <w:szCs w:val="21"/>
              </w:rPr>
              <w:t>①、循环冷却水（生产用水）</w:t>
            </w:r>
          </w:p>
          <w:p>
            <w:pPr>
              <w:adjustRightInd w:val="0"/>
              <w:snapToGrid w:val="0"/>
              <w:ind w:firstLine="442"/>
              <w:rPr>
                <w:rFonts w:hint="default" w:ascii="Times New Roman" w:hAnsi="Times New Roman" w:cs="Times New Roman"/>
                <w:bCs/>
                <w:color w:val="auto"/>
                <w:spacing w:val="-10"/>
                <w:szCs w:val="21"/>
              </w:rPr>
            </w:pPr>
            <w:r>
              <w:rPr>
                <w:rFonts w:hint="default" w:ascii="Times New Roman" w:hAnsi="Times New Roman" w:cs="Times New Roman"/>
                <w:bCs/>
                <w:color w:val="auto"/>
                <w:spacing w:val="-10"/>
                <w:szCs w:val="21"/>
              </w:rPr>
              <w:t>本项目再生塑料颗粒造粒后采用</w:t>
            </w:r>
            <w:r>
              <w:rPr>
                <w:rFonts w:hint="default" w:ascii="Times New Roman" w:hAnsi="Times New Roman" w:cs="Times New Roman"/>
                <w:bCs/>
                <w:color w:val="auto"/>
                <w:spacing w:val="-10"/>
                <w:szCs w:val="21"/>
                <w:lang w:val="en-US" w:eastAsia="zh-CN"/>
              </w:rPr>
              <w:t>循环</w:t>
            </w:r>
            <w:r>
              <w:rPr>
                <w:rFonts w:hint="default" w:ascii="Times New Roman" w:hAnsi="Times New Roman" w:cs="Times New Roman"/>
                <w:bCs/>
                <w:color w:val="auto"/>
                <w:spacing w:val="-10"/>
                <w:szCs w:val="21"/>
              </w:rPr>
              <w:t>水冷方式，水槽有效容积按2m3计算，</w:t>
            </w:r>
            <w:r>
              <w:rPr>
                <w:rFonts w:hint="default" w:ascii="Times New Roman" w:hAnsi="Times New Roman" w:cs="Times New Roman"/>
                <w:bCs/>
                <w:color w:val="auto"/>
                <w:spacing w:val="-10"/>
                <w:szCs w:val="21"/>
                <w:lang w:val="en-US" w:eastAsia="zh-CN"/>
              </w:rPr>
              <w:t>经业主单位提供资料，</w:t>
            </w:r>
            <w:r>
              <w:rPr>
                <w:rFonts w:hint="default" w:ascii="Times New Roman" w:hAnsi="Times New Roman" w:cs="Times New Roman"/>
                <w:bCs/>
                <w:color w:val="auto"/>
                <w:spacing w:val="-10"/>
                <w:szCs w:val="21"/>
              </w:rPr>
              <w:t>本项目生产车间的再生塑料颗粒生产过程，需要对挤出的再生颗粒条（未切粒、连续面条状）在冷却水槽进行冷却，项目使用的冷却用水将循环使用</w:t>
            </w:r>
            <w:r>
              <w:rPr>
                <w:rFonts w:hint="default" w:ascii="Times New Roman" w:hAnsi="Times New Roman" w:cs="Times New Roman"/>
                <w:bCs/>
                <w:color w:val="auto"/>
                <w:spacing w:val="-10"/>
                <w:szCs w:val="21"/>
                <w:lang w:eastAsia="zh-CN"/>
              </w:rPr>
              <w:t>，</w:t>
            </w:r>
            <w:r>
              <w:rPr>
                <w:rFonts w:hint="default" w:ascii="Times New Roman" w:hAnsi="Times New Roman" w:cs="Times New Roman"/>
                <w:bCs/>
                <w:color w:val="auto"/>
                <w:spacing w:val="-10"/>
                <w:szCs w:val="21"/>
                <w:lang w:val="en-US" w:eastAsia="zh-CN"/>
              </w:rPr>
              <w:t>由于蒸发、损耗等原因，每套造粒机需要补充</w:t>
            </w:r>
            <w:r>
              <w:rPr>
                <w:rFonts w:hint="default" w:ascii="Times New Roman" w:hAnsi="Times New Roman" w:cs="Times New Roman"/>
                <w:bCs/>
                <w:color w:val="auto"/>
                <w:spacing w:val="-10"/>
                <w:szCs w:val="21"/>
              </w:rPr>
              <w:t>新鲜水数量约为</w:t>
            </w:r>
            <w:r>
              <w:rPr>
                <w:rFonts w:hint="default" w:ascii="Times New Roman" w:hAnsi="Times New Roman" w:cs="Times New Roman"/>
                <w:bCs/>
                <w:color w:val="auto"/>
                <w:spacing w:val="-10"/>
                <w:szCs w:val="21"/>
                <w:lang w:val="en-US" w:eastAsia="zh-CN"/>
              </w:rPr>
              <w:t>1</w:t>
            </w:r>
            <w:r>
              <w:rPr>
                <w:rFonts w:hint="default" w:ascii="Times New Roman" w:hAnsi="Times New Roman" w:cs="Times New Roman"/>
                <w:bCs/>
                <w:color w:val="auto"/>
                <w:spacing w:val="-10"/>
                <w:szCs w:val="21"/>
              </w:rPr>
              <w:t>.0m3/d</w:t>
            </w:r>
            <w:r>
              <w:rPr>
                <w:rFonts w:hint="default" w:ascii="Times New Roman" w:hAnsi="Times New Roman" w:cs="Times New Roman"/>
                <w:bCs/>
                <w:color w:val="auto"/>
                <w:spacing w:val="-10"/>
                <w:szCs w:val="21"/>
                <w:lang w:eastAsia="zh-CN"/>
              </w:rPr>
              <w:t>，</w:t>
            </w:r>
            <w:r>
              <w:rPr>
                <w:rFonts w:hint="default" w:ascii="Times New Roman" w:hAnsi="Times New Roman" w:cs="Times New Roman"/>
                <w:bCs/>
                <w:color w:val="auto"/>
                <w:spacing w:val="-10"/>
                <w:szCs w:val="21"/>
                <w:lang w:val="en-US" w:eastAsia="zh-CN"/>
              </w:rPr>
              <w:t>项目共计3套造粒机生产线，需要补充的水量为3</w:t>
            </w:r>
            <w:r>
              <w:rPr>
                <w:rFonts w:hint="default" w:ascii="Times New Roman" w:hAnsi="Times New Roman" w:cs="Times New Roman"/>
                <w:bCs/>
                <w:color w:val="auto"/>
                <w:spacing w:val="-10"/>
                <w:szCs w:val="21"/>
              </w:rPr>
              <w:t>.0m3/d（</w:t>
            </w:r>
            <w:r>
              <w:rPr>
                <w:rFonts w:hint="default" w:ascii="Times New Roman" w:hAnsi="Times New Roman" w:cs="Times New Roman"/>
                <w:bCs/>
                <w:color w:val="auto"/>
                <w:spacing w:val="-10"/>
                <w:szCs w:val="21"/>
                <w:lang w:val="en-US" w:eastAsia="zh-CN"/>
              </w:rPr>
              <w:t>9</w:t>
            </w:r>
            <w:r>
              <w:rPr>
                <w:rFonts w:hint="default" w:ascii="Times New Roman" w:hAnsi="Times New Roman" w:cs="Times New Roman"/>
                <w:bCs/>
                <w:color w:val="auto"/>
                <w:spacing w:val="-10"/>
                <w:szCs w:val="21"/>
              </w:rPr>
              <w:t>00m3/a）。</w:t>
            </w:r>
          </w:p>
          <w:p>
            <w:pPr>
              <w:adjustRightInd w:val="0"/>
              <w:snapToGrid w:val="0"/>
              <w:ind w:firstLine="442"/>
              <w:rPr>
                <w:rFonts w:hint="default" w:ascii="Times New Roman" w:hAnsi="Times New Roman" w:cs="Times New Roman"/>
                <w:b/>
                <w:color w:val="auto"/>
                <w:spacing w:val="-10"/>
                <w:szCs w:val="21"/>
              </w:rPr>
            </w:pPr>
            <w:r>
              <w:rPr>
                <w:rFonts w:hint="default" w:ascii="Times New Roman" w:hAnsi="Times New Roman" w:cs="Times New Roman"/>
                <w:b/>
                <w:color w:val="auto"/>
                <w:spacing w:val="-10"/>
                <w:szCs w:val="21"/>
              </w:rPr>
              <w:t>②、清洗用水（生产用水）</w:t>
            </w:r>
          </w:p>
          <w:p>
            <w:pPr>
              <w:adjustRightInd w:val="0"/>
              <w:snapToGrid w:val="0"/>
              <w:ind w:firstLine="442"/>
              <w:rPr>
                <w:rFonts w:hint="default" w:ascii="Times New Roman" w:hAnsi="Times New Roman" w:cs="Times New Roman"/>
                <w:bCs/>
                <w:color w:val="auto"/>
                <w:spacing w:val="-10"/>
                <w:szCs w:val="21"/>
              </w:rPr>
            </w:pPr>
            <w:r>
              <w:rPr>
                <w:rFonts w:hint="default" w:ascii="Times New Roman" w:hAnsi="Times New Roman" w:cs="Times New Roman"/>
                <w:bCs/>
                <w:color w:val="auto"/>
                <w:spacing w:val="-10"/>
                <w:szCs w:val="21"/>
              </w:rPr>
              <w:t>本项目生产车间需要对废旧塑料清洗，主要污染物为SS、石油</w:t>
            </w:r>
            <w:r>
              <w:rPr>
                <w:rFonts w:hint="default" w:ascii="Times New Roman" w:hAnsi="Times New Roman" w:cs="Times New Roman"/>
                <w:bCs/>
                <w:color w:val="auto"/>
                <w:spacing w:val="-10"/>
                <w:szCs w:val="21"/>
                <w:lang w:val="en-US" w:eastAsia="zh-CN"/>
              </w:rPr>
              <w:t>类等</w:t>
            </w:r>
            <w:r>
              <w:rPr>
                <w:rFonts w:hint="default" w:ascii="Times New Roman" w:hAnsi="Times New Roman" w:cs="Times New Roman"/>
                <w:bCs/>
                <w:color w:val="auto"/>
                <w:spacing w:val="-10"/>
                <w:szCs w:val="21"/>
              </w:rPr>
              <w:t>，</w:t>
            </w:r>
            <w:r>
              <w:rPr>
                <w:rFonts w:hint="default" w:ascii="Times New Roman" w:hAnsi="Times New Roman" w:cs="Times New Roman"/>
                <w:bCs/>
                <w:color w:val="auto"/>
                <w:spacing w:val="-10"/>
                <w:szCs w:val="21"/>
                <w:lang w:val="en-US" w:eastAsia="zh-CN"/>
              </w:rPr>
              <w:t>经业主单位提供资料，项目日常生产时需要清洗的原材料约为7550t，则项目清洗用水量约为11325t/a（清洗用水量与废旧塑料的比值一般为1.5~2，本项目取1.5），即清洗用水约为37.8m3/d，排水量按用水量的85%计，则日排清洗废水约32.1m3/d，本次项目原材料清洗过程中产生的废水经“格栅过滤+三级沉淀+气浮+压滤”处理后循环回用，不外排，</w:t>
            </w:r>
            <w:r>
              <w:rPr>
                <w:rFonts w:hint="default" w:ascii="Times New Roman" w:hAnsi="Times New Roman" w:cs="Times New Roman"/>
                <w:bCs/>
                <w:color w:val="auto"/>
                <w:spacing w:val="-10"/>
                <w:szCs w:val="21"/>
              </w:rPr>
              <w:t>因损耗、蒸发等原因，需定期补充消耗水量</w:t>
            </w:r>
            <w:r>
              <w:rPr>
                <w:rFonts w:hint="default" w:ascii="Times New Roman" w:hAnsi="Times New Roman" w:cs="Times New Roman"/>
                <w:bCs/>
                <w:color w:val="auto"/>
                <w:spacing w:val="-10"/>
                <w:szCs w:val="21"/>
                <w:lang w:val="en-US" w:eastAsia="zh-CN"/>
              </w:rPr>
              <w:t>约5.7m3/d</w:t>
            </w:r>
            <w:r>
              <w:rPr>
                <w:rFonts w:hint="default" w:ascii="Times New Roman" w:hAnsi="Times New Roman" w:cs="Times New Roman"/>
                <w:bCs/>
                <w:color w:val="auto"/>
                <w:spacing w:val="-10"/>
                <w:szCs w:val="21"/>
              </w:rPr>
              <w:t>。</w:t>
            </w:r>
          </w:p>
          <w:p>
            <w:pPr>
              <w:adjustRightInd w:val="0"/>
              <w:snapToGrid w:val="0"/>
              <w:ind w:firstLine="442"/>
              <w:rPr>
                <w:rFonts w:hint="default" w:ascii="Times New Roman" w:hAnsi="Times New Roman" w:cs="Times New Roman"/>
                <w:b/>
                <w:color w:val="auto"/>
                <w:spacing w:val="-10"/>
                <w:szCs w:val="21"/>
              </w:rPr>
            </w:pPr>
            <w:r>
              <w:rPr>
                <w:rFonts w:hint="default" w:ascii="Times New Roman" w:hAnsi="Times New Roman" w:cs="Times New Roman"/>
                <w:b/>
                <w:color w:val="auto"/>
                <w:spacing w:val="-10"/>
                <w:szCs w:val="21"/>
              </w:rPr>
              <w:t>③、清洗废水处理系统的可行性分析</w:t>
            </w:r>
          </w:p>
          <w:p>
            <w:pPr>
              <w:adjustRightInd w:val="0"/>
              <w:snapToGrid w:val="0"/>
              <w:ind w:firstLine="440"/>
              <w:rPr>
                <w:rFonts w:hint="default" w:ascii="Times New Roman" w:hAnsi="Times New Roman" w:cs="Times New Roman"/>
                <w:bCs/>
                <w:color w:val="auto"/>
                <w:spacing w:val="-10"/>
                <w:szCs w:val="21"/>
              </w:rPr>
            </w:pPr>
            <w:r>
              <w:rPr>
                <w:rFonts w:hint="default" w:ascii="Times New Roman" w:hAnsi="Times New Roman" w:cs="Times New Roman"/>
                <w:bCs/>
                <w:color w:val="auto"/>
                <w:spacing w:val="-10"/>
                <w:szCs w:val="21"/>
              </w:rPr>
              <w:t>本项目生产车间采用了“</w:t>
            </w:r>
            <w:r>
              <w:rPr>
                <w:rFonts w:hint="eastAsia" w:cs="Times New Roman"/>
                <w:bCs/>
                <w:color w:val="auto"/>
                <w:spacing w:val="-10"/>
                <w:szCs w:val="21"/>
                <w:lang w:val="en-US" w:eastAsia="zh-CN"/>
              </w:rPr>
              <w:t>沉淀（三级）+气浮</w:t>
            </w:r>
            <w:r>
              <w:rPr>
                <w:rFonts w:hint="default" w:ascii="Times New Roman" w:hAnsi="Times New Roman" w:cs="Times New Roman"/>
                <w:bCs/>
                <w:color w:val="auto"/>
                <w:spacing w:val="-10"/>
                <w:szCs w:val="21"/>
              </w:rPr>
              <w:t>”的清洗废水处理系统，处理后的废水循环使用，其中前置沉淀池设计容积</w:t>
            </w:r>
            <w:r>
              <w:rPr>
                <w:rFonts w:hint="default" w:ascii="Times New Roman" w:hAnsi="Times New Roman" w:cs="Times New Roman"/>
                <w:bCs/>
                <w:color w:val="auto"/>
                <w:spacing w:val="-10"/>
                <w:szCs w:val="21"/>
                <w:lang w:val="en-US" w:eastAsia="zh-CN"/>
              </w:rPr>
              <w:t>约</w:t>
            </w:r>
            <w:r>
              <w:rPr>
                <w:rFonts w:hint="eastAsia" w:cs="Times New Roman"/>
                <w:bCs/>
                <w:color w:val="auto"/>
                <w:spacing w:val="-10"/>
                <w:szCs w:val="21"/>
                <w:lang w:val="en-US" w:eastAsia="zh-CN"/>
              </w:rPr>
              <w:t>21</w:t>
            </w:r>
            <w:r>
              <w:rPr>
                <w:rFonts w:hint="default" w:ascii="Times New Roman" w:hAnsi="Times New Roman" w:cs="Times New Roman"/>
                <w:bCs/>
                <w:color w:val="auto"/>
                <w:spacing w:val="-10"/>
                <w:szCs w:val="21"/>
              </w:rPr>
              <w:t>0m</w:t>
            </w:r>
            <w:r>
              <w:rPr>
                <w:rFonts w:hint="default" w:ascii="Times New Roman" w:hAnsi="Times New Roman" w:cs="Times New Roman"/>
                <w:bCs/>
                <w:color w:val="auto"/>
                <w:spacing w:val="-10"/>
                <w:szCs w:val="21"/>
                <w:vertAlign w:val="superscript"/>
              </w:rPr>
              <w:t>3</w:t>
            </w:r>
            <w:r>
              <w:rPr>
                <w:rFonts w:hint="default" w:ascii="Times New Roman" w:hAnsi="Times New Roman" w:cs="Times New Roman"/>
                <w:bCs/>
                <w:color w:val="auto"/>
                <w:spacing w:val="-10"/>
                <w:szCs w:val="21"/>
              </w:rPr>
              <w:t>（有效沉淀时间按0.5h计算，处理规模取400m</w:t>
            </w:r>
            <w:r>
              <w:rPr>
                <w:rFonts w:hint="default" w:ascii="Times New Roman" w:hAnsi="Times New Roman" w:cs="Times New Roman"/>
                <w:bCs/>
                <w:color w:val="auto"/>
                <w:spacing w:val="-10"/>
                <w:szCs w:val="21"/>
                <w:vertAlign w:val="superscript"/>
              </w:rPr>
              <w:t>3</w:t>
            </w:r>
            <w:r>
              <w:rPr>
                <w:rFonts w:hint="default" w:ascii="Times New Roman" w:hAnsi="Times New Roman" w:cs="Times New Roman"/>
                <w:bCs/>
                <w:color w:val="auto"/>
                <w:spacing w:val="-10"/>
                <w:szCs w:val="21"/>
              </w:rPr>
              <w:t>/h），气浮机设计规模</w:t>
            </w:r>
            <w:r>
              <w:rPr>
                <w:rFonts w:hint="eastAsia" w:cs="Times New Roman"/>
                <w:bCs/>
                <w:color w:val="auto"/>
                <w:spacing w:val="-10"/>
                <w:szCs w:val="21"/>
                <w:lang w:val="en-US" w:eastAsia="zh-CN"/>
              </w:rPr>
              <w:t>1</w:t>
            </w:r>
            <w:r>
              <w:rPr>
                <w:rFonts w:hint="default" w:ascii="Times New Roman" w:hAnsi="Times New Roman" w:cs="Times New Roman"/>
                <w:bCs/>
                <w:color w:val="auto"/>
                <w:spacing w:val="-10"/>
                <w:szCs w:val="21"/>
              </w:rPr>
              <w:t>0m</w:t>
            </w:r>
            <w:r>
              <w:rPr>
                <w:rFonts w:hint="default" w:ascii="Times New Roman" w:hAnsi="Times New Roman" w:cs="Times New Roman"/>
                <w:bCs/>
                <w:color w:val="auto"/>
                <w:spacing w:val="-10"/>
                <w:szCs w:val="21"/>
                <w:vertAlign w:val="superscript"/>
              </w:rPr>
              <w:t>3</w:t>
            </w:r>
            <w:r>
              <w:rPr>
                <w:rFonts w:hint="default" w:ascii="Times New Roman" w:hAnsi="Times New Roman" w:cs="Times New Roman"/>
                <w:bCs/>
                <w:color w:val="auto"/>
                <w:spacing w:val="-10"/>
                <w:szCs w:val="21"/>
              </w:rPr>
              <w:t>/h。</w:t>
            </w:r>
          </w:p>
          <w:p>
            <w:pPr>
              <w:bidi w:val="0"/>
              <w:rPr>
                <w:rFonts w:hint="default" w:ascii="Times New Roman" w:hAnsi="Times New Roman" w:eastAsia="宋体" w:cs="Times New Roman"/>
                <w:color w:val="auto"/>
                <w:lang w:eastAsia="zh-CN"/>
              </w:rPr>
            </w:pPr>
            <w:r>
              <w:rPr>
                <w:rFonts w:hint="default" w:ascii="Times New Roman" w:hAnsi="Times New Roman" w:cs="Times New Roman"/>
                <w:bCs/>
                <w:color w:val="auto"/>
                <w:spacing w:val="-10"/>
                <w:szCs w:val="21"/>
              </w:rPr>
              <w:t>本项目需要对废旧塑料</w:t>
            </w:r>
            <w:r>
              <w:rPr>
                <w:rFonts w:hint="eastAsia" w:cs="Times New Roman"/>
                <w:bCs/>
                <w:color w:val="auto"/>
                <w:spacing w:val="-10"/>
                <w:szCs w:val="21"/>
                <w:lang w:val="en-US" w:eastAsia="zh-CN"/>
              </w:rPr>
              <w:t>薄膜</w:t>
            </w:r>
            <w:r>
              <w:rPr>
                <w:rFonts w:hint="default" w:ascii="Times New Roman" w:hAnsi="Times New Roman" w:cs="Times New Roman"/>
                <w:bCs/>
                <w:color w:val="auto"/>
                <w:spacing w:val="-10"/>
                <w:szCs w:val="21"/>
              </w:rPr>
              <w:t>清洗</w:t>
            </w:r>
            <w:r>
              <w:rPr>
                <w:rFonts w:hint="default" w:ascii="Times New Roman" w:hAnsi="Times New Roman" w:cs="Times New Roman"/>
                <w:bCs/>
                <w:color w:val="auto"/>
                <w:spacing w:val="-10"/>
                <w:szCs w:val="21"/>
                <w:lang w:eastAsia="zh-CN"/>
              </w:rPr>
              <w:t>（</w:t>
            </w:r>
            <w:r>
              <w:rPr>
                <w:rFonts w:hint="default" w:ascii="Times New Roman" w:hAnsi="Times New Roman" w:cs="Times New Roman"/>
                <w:bCs/>
                <w:color w:val="auto"/>
                <w:spacing w:val="-10"/>
                <w:szCs w:val="21"/>
                <w:lang w:val="en-US" w:eastAsia="zh-CN"/>
              </w:rPr>
              <w:t>主要是废旧</w:t>
            </w:r>
            <w:r>
              <w:rPr>
                <w:rFonts w:hint="eastAsia" w:cs="Times New Roman"/>
                <w:bCs/>
                <w:color w:val="auto"/>
                <w:spacing w:val="-10"/>
                <w:szCs w:val="21"/>
                <w:lang w:val="en-US" w:eastAsia="zh-CN"/>
              </w:rPr>
              <w:t>农膜</w:t>
            </w:r>
            <w:r>
              <w:rPr>
                <w:rFonts w:hint="default" w:ascii="Times New Roman" w:hAnsi="Times New Roman" w:cs="Times New Roman"/>
                <w:bCs/>
                <w:color w:val="auto"/>
                <w:spacing w:val="-10"/>
                <w:szCs w:val="21"/>
                <w:lang w:val="en-US" w:eastAsia="zh-CN"/>
              </w:rPr>
              <w:t>，不使用水泥袋、危化品包装袋等</w:t>
            </w:r>
            <w:r>
              <w:rPr>
                <w:rFonts w:hint="default" w:ascii="Times New Roman" w:hAnsi="Times New Roman" w:cs="Times New Roman"/>
                <w:bCs/>
                <w:color w:val="auto"/>
                <w:spacing w:val="-10"/>
                <w:szCs w:val="21"/>
                <w:lang w:eastAsia="zh-CN"/>
              </w:rPr>
              <w:t>）</w:t>
            </w:r>
            <w:r>
              <w:rPr>
                <w:rFonts w:hint="default" w:ascii="Times New Roman" w:hAnsi="Times New Roman" w:cs="Times New Roman"/>
                <w:bCs/>
                <w:color w:val="auto"/>
                <w:spacing w:val="-10"/>
                <w:szCs w:val="21"/>
              </w:rPr>
              <w:t>，主要污染物为SS</w:t>
            </w:r>
            <w:r>
              <w:rPr>
                <w:rFonts w:hint="default" w:ascii="Times New Roman" w:hAnsi="Times New Roman" w:cs="Times New Roman"/>
                <w:bCs/>
                <w:color w:val="auto"/>
                <w:spacing w:val="-10"/>
                <w:szCs w:val="21"/>
                <w:lang w:val="en-US" w:eastAsia="zh-CN"/>
              </w:rPr>
              <w:t>等</w:t>
            </w:r>
            <w:r>
              <w:rPr>
                <w:rFonts w:hint="default" w:ascii="Times New Roman" w:hAnsi="Times New Roman" w:cs="Times New Roman"/>
                <w:bCs/>
                <w:color w:val="auto"/>
                <w:spacing w:val="-10"/>
                <w:szCs w:val="21"/>
              </w:rPr>
              <w:t>，</w:t>
            </w:r>
            <w:r>
              <w:rPr>
                <w:rFonts w:hint="default" w:ascii="Times New Roman" w:hAnsi="Times New Roman" w:cs="Times New Roman"/>
                <w:bCs/>
                <w:color w:val="auto"/>
                <w:spacing w:val="-10"/>
                <w:szCs w:val="21"/>
                <w:lang w:val="en-US" w:eastAsia="zh-CN"/>
              </w:rPr>
              <w:t>本项目</w:t>
            </w:r>
            <w:r>
              <w:rPr>
                <w:rFonts w:hint="default" w:ascii="Times New Roman" w:hAnsi="Times New Roman" w:cs="Times New Roman"/>
                <w:bCs/>
                <w:color w:val="auto"/>
                <w:spacing w:val="-10"/>
                <w:szCs w:val="21"/>
              </w:rPr>
              <w:t>采用了“沉淀+气浮”的清洗废水处理系统</w:t>
            </w:r>
            <w:r>
              <w:rPr>
                <w:rFonts w:hint="default" w:ascii="Times New Roman" w:hAnsi="Times New Roman" w:cs="Times New Roman"/>
                <w:bCs/>
                <w:color w:val="auto"/>
                <w:spacing w:val="-10"/>
                <w:szCs w:val="21"/>
                <w:lang w:eastAsia="zh-CN"/>
              </w:rPr>
              <w:t>，</w:t>
            </w:r>
            <w:r>
              <w:rPr>
                <w:rFonts w:hint="default" w:ascii="Times New Roman" w:hAnsi="Times New Roman" w:cs="Times New Roman"/>
                <w:bCs/>
                <w:color w:val="auto"/>
                <w:spacing w:val="-10"/>
                <w:szCs w:val="21"/>
                <w:lang w:val="en-US" w:eastAsia="zh-CN"/>
              </w:rPr>
              <w:t>其中，沉淀池起到调节均值、沉淀大部分泥沙的作用，气浮池主要起到隔油、除杂（比重小）的作用</w:t>
            </w:r>
            <w:r>
              <w:rPr>
                <w:rFonts w:hint="default" w:ascii="Times New Roman" w:hAnsi="Times New Roman" w:cs="Times New Roman"/>
                <w:color w:val="auto"/>
                <w:lang w:eastAsia="zh-CN"/>
              </w:rPr>
              <w:t>。</w:t>
            </w:r>
          </w:p>
          <w:p>
            <w:pPr>
              <w:adjustRightInd w:val="0"/>
              <w:snapToGrid w:val="0"/>
              <w:ind w:firstLine="440"/>
              <w:rPr>
                <w:rFonts w:hint="default" w:ascii="Times New Roman" w:hAnsi="Times New Roman" w:cs="Times New Roman"/>
                <w:bCs/>
                <w:color w:val="auto"/>
                <w:spacing w:val="-10"/>
                <w:szCs w:val="21"/>
              </w:rPr>
            </w:pPr>
            <w:r>
              <w:rPr>
                <w:rFonts w:hint="default" w:ascii="Times New Roman" w:hAnsi="Times New Roman" w:cs="Times New Roman"/>
                <w:bCs/>
                <w:color w:val="auto"/>
                <w:spacing w:val="-10"/>
                <w:szCs w:val="21"/>
              </w:rPr>
              <w:t>根据本项目的工艺流程和水平衡关系等内容的相关分析，本项目车间的废水处理系统有效处理规模约为</w:t>
            </w:r>
            <w:r>
              <w:rPr>
                <w:rFonts w:hint="eastAsia" w:cs="Times New Roman"/>
                <w:bCs/>
                <w:color w:val="auto"/>
                <w:spacing w:val="-10"/>
                <w:szCs w:val="21"/>
                <w:lang w:val="en-US" w:eastAsia="zh-CN"/>
              </w:rPr>
              <w:t>10</w:t>
            </w:r>
            <w:r>
              <w:rPr>
                <w:rFonts w:hint="default" w:ascii="Times New Roman" w:hAnsi="Times New Roman" w:cs="Times New Roman"/>
                <w:bCs/>
                <w:color w:val="auto"/>
                <w:spacing w:val="-10"/>
                <w:szCs w:val="21"/>
              </w:rPr>
              <w:t>m</w:t>
            </w:r>
            <w:r>
              <w:rPr>
                <w:rFonts w:hint="default" w:ascii="Times New Roman" w:hAnsi="Times New Roman" w:cs="Times New Roman"/>
                <w:bCs/>
                <w:color w:val="auto"/>
                <w:spacing w:val="-10"/>
                <w:szCs w:val="21"/>
                <w:vertAlign w:val="superscript"/>
              </w:rPr>
              <w:t>3</w:t>
            </w:r>
            <w:r>
              <w:rPr>
                <w:rFonts w:hint="default" w:ascii="Times New Roman" w:hAnsi="Times New Roman" w:cs="Times New Roman"/>
                <w:bCs/>
                <w:color w:val="auto"/>
                <w:spacing w:val="-10"/>
                <w:szCs w:val="21"/>
              </w:rPr>
              <w:t>/</w:t>
            </w:r>
            <w:r>
              <w:rPr>
                <w:rFonts w:hint="eastAsia" w:cs="Times New Roman"/>
                <w:bCs/>
                <w:color w:val="auto"/>
                <w:spacing w:val="-10"/>
                <w:szCs w:val="21"/>
                <w:lang w:val="en-US" w:eastAsia="zh-CN"/>
              </w:rPr>
              <w:t>h</w:t>
            </w:r>
            <w:r>
              <w:rPr>
                <w:rFonts w:hint="eastAsia" w:cs="Times New Roman"/>
                <w:bCs/>
                <w:color w:val="auto"/>
                <w:spacing w:val="-10"/>
                <w:szCs w:val="21"/>
                <w:lang w:eastAsia="zh-CN"/>
              </w:rPr>
              <w:t>（废水处理系统有效处理规模按</w:t>
            </w:r>
            <w:r>
              <w:rPr>
                <w:rFonts w:hint="eastAsia" w:cs="Times New Roman"/>
                <w:bCs/>
                <w:color w:val="auto"/>
                <w:spacing w:val="-10"/>
                <w:szCs w:val="21"/>
                <w:lang w:val="en-US" w:eastAsia="zh-CN"/>
              </w:rPr>
              <w:t>气浮池</w:t>
            </w:r>
            <w:r>
              <w:rPr>
                <w:rFonts w:hint="eastAsia" w:cs="Times New Roman"/>
                <w:bCs/>
                <w:color w:val="auto"/>
                <w:spacing w:val="-10"/>
                <w:szCs w:val="21"/>
                <w:lang w:eastAsia="zh-CN"/>
              </w:rPr>
              <w:t>的</w:t>
            </w:r>
            <w:r>
              <w:rPr>
                <w:rFonts w:hint="eastAsia" w:cs="Times New Roman"/>
                <w:bCs/>
                <w:color w:val="auto"/>
                <w:spacing w:val="-10"/>
                <w:szCs w:val="21"/>
                <w:lang w:val="en-US" w:eastAsia="zh-CN"/>
              </w:rPr>
              <w:t>处理</w:t>
            </w:r>
            <w:r>
              <w:rPr>
                <w:rFonts w:hint="eastAsia" w:cs="Times New Roman"/>
                <w:bCs/>
                <w:color w:val="auto"/>
                <w:spacing w:val="-10"/>
                <w:szCs w:val="21"/>
                <w:lang w:eastAsia="zh-CN"/>
              </w:rPr>
              <w:t>规模1</w:t>
            </w:r>
            <w:r>
              <w:rPr>
                <w:rFonts w:hint="eastAsia" w:cs="Times New Roman"/>
                <w:bCs/>
                <w:color w:val="auto"/>
                <w:spacing w:val="-10"/>
                <w:szCs w:val="21"/>
                <w:lang w:val="en-US" w:eastAsia="zh-CN"/>
              </w:rPr>
              <w:t>0</w:t>
            </w:r>
            <w:r>
              <w:rPr>
                <w:rFonts w:hint="eastAsia" w:cs="Times New Roman"/>
                <w:bCs/>
                <w:color w:val="auto"/>
                <w:spacing w:val="-10"/>
                <w:szCs w:val="21"/>
                <w:lang w:eastAsia="zh-CN"/>
              </w:rPr>
              <w:t>m</w:t>
            </w:r>
            <w:r>
              <w:rPr>
                <w:rFonts w:hint="eastAsia" w:cs="Times New Roman"/>
                <w:bCs/>
                <w:color w:val="auto"/>
                <w:spacing w:val="-10"/>
                <w:szCs w:val="21"/>
                <w:vertAlign w:val="superscript"/>
                <w:lang w:eastAsia="zh-CN"/>
              </w:rPr>
              <w:t>3</w:t>
            </w:r>
            <w:r>
              <w:rPr>
                <w:rFonts w:hint="eastAsia" w:cs="Times New Roman"/>
                <w:bCs/>
                <w:color w:val="auto"/>
                <w:spacing w:val="-10"/>
                <w:szCs w:val="21"/>
                <w:lang w:eastAsia="zh-CN"/>
              </w:rPr>
              <w:t>/h</w:t>
            </w:r>
            <w:r>
              <w:rPr>
                <w:rFonts w:hint="eastAsia" w:cs="Times New Roman"/>
                <w:bCs/>
                <w:color w:val="auto"/>
                <w:spacing w:val="-10"/>
                <w:szCs w:val="21"/>
                <w:lang w:val="en-US" w:eastAsia="zh-CN"/>
              </w:rPr>
              <w:t>进行计算</w:t>
            </w:r>
            <w:r>
              <w:rPr>
                <w:rFonts w:hint="eastAsia" w:cs="Times New Roman"/>
                <w:bCs/>
                <w:color w:val="auto"/>
                <w:spacing w:val="-10"/>
                <w:szCs w:val="21"/>
                <w:lang w:eastAsia="zh-CN"/>
              </w:rPr>
              <w:t>）</w:t>
            </w:r>
            <w:r>
              <w:rPr>
                <w:rFonts w:hint="default" w:ascii="Times New Roman" w:hAnsi="Times New Roman" w:cs="Times New Roman"/>
                <w:bCs/>
                <w:color w:val="auto"/>
                <w:spacing w:val="-10"/>
                <w:szCs w:val="21"/>
              </w:rPr>
              <w:t>，项目清洗废水产生量约</w:t>
            </w:r>
            <w:r>
              <w:rPr>
                <w:rFonts w:hint="default" w:ascii="Times New Roman" w:hAnsi="Times New Roman" w:cs="Times New Roman"/>
                <w:bCs/>
                <w:color w:val="auto"/>
                <w:spacing w:val="-10"/>
                <w:szCs w:val="21"/>
                <w:lang w:val="en-US" w:eastAsia="zh-CN"/>
              </w:rPr>
              <w:t>32.1</w:t>
            </w:r>
            <w:r>
              <w:rPr>
                <w:rFonts w:hint="default" w:ascii="Times New Roman" w:hAnsi="Times New Roman" w:cs="Times New Roman"/>
                <w:bCs/>
                <w:color w:val="auto"/>
                <w:spacing w:val="-10"/>
                <w:szCs w:val="21"/>
              </w:rPr>
              <w:t>m3/d，剩余约</w:t>
            </w:r>
            <w:r>
              <w:rPr>
                <w:rFonts w:hint="default" w:ascii="Times New Roman" w:hAnsi="Times New Roman" w:cs="Times New Roman"/>
                <w:bCs/>
                <w:color w:val="auto"/>
                <w:spacing w:val="-10"/>
                <w:szCs w:val="21"/>
                <w:lang w:val="en-US" w:eastAsia="zh-CN"/>
              </w:rPr>
              <w:t>47.9</w:t>
            </w:r>
            <w:r>
              <w:rPr>
                <w:rFonts w:hint="default" w:ascii="Times New Roman" w:hAnsi="Times New Roman" w:cs="Times New Roman"/>
                <w:bCs/>
                <w:color w:val="auto"/>
                <w:spacing w:val="-10"/>
                <w:szCs w:val="21"/>
              </w:rPr>
              <w:t>m3/d处置空缺，能够满足本项目废水排放量。</w:t>
            </w:r>
          </w:p>
          <w:p>
            <w:pPr>
              <w:adjustRightInd w:val="0"/>
              <w:snapToGrid w:val="0"/>
              <w:ind w:firstLine="440"/>
              <w:rPr>
                <w:rFonts w:hint="default" w:ascii="Times New Roman" w:hAnsi="Times New Roman" w:cs="Times New Roman"/>
                <w:bCs/>
                <w:color w:val="auto"/>
                <w:spacing w:val="-10"/>
                <w:szCs w:val="21"/>
              </w:rPr>
            </w:pPr>
            <w:r>
              <w:rPr>
                <w:rFonts w:hint="default" w:ascii="Times New Roman" w:hAnsi="Times New Roman" w:cs="Times New Roman"/>
                <w:bCs/>
                <w:color w:val="auto"/>
                <w:spacing w:val="-10"/>
                <w:szCs w:val="21"/>
              </w:rPr>
              <w:t>综上，项目采取的废水治理措施可行，能做到废水的合理处置，不会对地表水环境造成影响。</w:t>
            </w:r>
          </w:p>
          <w:p>
            <w:pPr>
              <w:adjustRightInd w:val="0"/>
              <w:snapToGrid w:val="0"/>
              <w:ind w:firstLine="442"/>
              <w:rPr>
                <w:rFonts w:hint="default" w:ascii="Times New Roman" w:hAnsi="Times New Roman" w:cs="Times New Roman"/>
                <w:b/>
                <w:color w:val="auto"/>
                <w:spacing w:val="-10"/>
                <w:szCs w:val="21"/>
              </w:rPr>
            </w:pPr>
            <w:r>
              <w:rPr>
                <w:rFonts w:hint="default" w:ascii="Times New Roman" w:hAnsi="Times New Roman" w:cs="Times New Roman"/>
                <w:b/>
                <w:color w:val="auto"/>
                <w:spacing w:val="-10"/>
                <w:szCs w:val="21"/>
              </w:rPr>
              <w:t>2、大气污染物排放及治理</w:t>
            </w:r>
          </w:p>
          <w:p>
            <w:pPr>
              <w:ind w:firstLine="480"/>
              <w:rPr>
                <w:rFonts w:hint="default" w:ascii="Times New Roman" w:hAnsi="Times New Roman" w:cs="Times New Roman"/>
                <w:color w:val="auto"/>
              </w:rPr>
            </w:pPr>
            <w:r>
              <w:rPr>
                <w:rFonts w:hint="default" w:ascii="Times New Roman" w:hAnsi="Times New Roman" w:cs="Times New Roman"/>
                <w:color w:val="auto"/>
              </w:rPr>
              <w:t>本项目在产品生产过程中，主要会产生</w:t>
            </w:r>
            <w:r>
              <w:rPr>
                <w:rFonts w:hint="eastAsia" w:cs="Times New Roman"/>
                <w:color w:val="auto"/>
                <w:lang w:val="en-US" w:eastAsia="zh-CN"/>
              </w:rPr>
              <w:t>造粒废气</w:t>
            </w:r>
            <w:r>
              <w:rPr>
                <w:rFonts w:hint="default" w:ascii="Times New Roman" w:hAnsi="Times New Roman" w:cs="Times New Roman"/>
                <w:color w:val="auto"/>
              </w:rPr>
              <w:t>。</w:t>
            </w:r>
          </w:p>
          <w:p>
            <w:pPr>
              <w:adjustRightInd w:val="0"/>
              <w:snapToGrid w:val="0"/>
              <w:ind w:firstLine="442"/>
              <w:rPr>
                <w:rFonts w:hint="default" w:ascii="Times New Roman" w:hAnsi="Times New Roman" w:cs="Times New Roman"/>
                <w:b/>
                <w:color w:val="auto"/>
                <w:spacing w:val="-10"/>
                <w:szCs w:val="21"/>
              </w:rPr>
            </w:pPr>
            <w:r>
              <w:rPr>
                <w:rFonts w:hint="default" w:ascii="Times New Roman" w:hAnsi="Times New Roman" w:cs="Times New Roman"/>
                <w:b/>
                <w:color w:val="auto"/>
                <w:spacing w:val="-10"/>
                <w:szCs w:val="21"/>
              </w:rPr>
              <w:t>造粒废气（G</w:t>
            </w:r>
            <w:r>
              <w:rPr>
                <w:rFonts w:hint="eastAsia" w:cs="Times New Roman"/>
                <w:b/>
                <w:color w:val="auto"/>
                <w:spacing w:val="-10"/>
                <w:szCs w:val="21"/>
                <w:vertAlign w:val="subscript"/>
                <w:lang w:val="en-US" w:eastAsia="zh-CN"/>
              </w:rPr>
              <w:t>1</w:t>
            </w:r>
            <w:r>
              <w:rPr>
                <w:rFonts w:hint="default" w:ascii="Times New Roman" w:hAnsi="Times New Roman" w:cs="Times New Roman"/>
                <w:b/>
                <w:color w:val="auto"/>
                <w:spacing w:val="-10"/>
                <w:szCs w:val="21"/>
              </w:rPr>
              <w:t>）</w:t>
            </w:r>
          </w:p>
          <w:p>
            <w:pPr>
              <w:ind w:firstLine="440"/>
              <w:rPr>
                <w:rFonts w:hint="default" w:ascii="Times New Roman" w:hAnsi="Times New Roman" w:cs="Times New Roman"/>
                <w:bCs/>
                <w:color w:val="auto"/>
                <w:spacing w:val="-10"/>
                <w:szCs w:val="21"/>
              </w:rPr>
            </w:pPr>
            <w:r>
              <w:rPr>
                <w:rFonts w:hint="default" w:ascii="Times New Roman" w:hAnsi="Times New Roman" w:cs="Times New Roman"/>
                <w:bCs/>
                <w:color w:val="auto"/>
                <w:spacing w:val="-10"/>
                <w:szCs w:val="21"/>
              </w:rPr>
              <w:t>本项目生产车间在造粒过程中，会产生少量的有机废气，参考《排放源统计调查产排污核算方法和系数手册》（2021年）中废弃资源综合利用行业系数手册（C4220）相关内容，有机废气产生量按原材料用量的0.035%计算，其中原材料的使用量为</w:t>
            </w:r>
            <w:r>
              <w:rPr>
                <w:rFonts w:hint="eastAsia" w:cs="Times New Roman"/>
                <w:bCs/>
                <w:color w:val="auto"/>
                <w:spacing w:val="-10"/>
                <w:szCs w:val="21"/>
                <w:lang w:val="en-US" w:eastAsia="zh-CN"/>
              </w:rPr>
              <w:t>75</w:t>
            </w:r>
            <w:r>
              <w:rPr>
                <w:rFonts w:hint="default" w:ascii="Times New Roman" w:hAnsi="Times New Roman" w:cs="Times New Roman"/>
                <w:bCs/>
                <w:color w:val="auto"/>
                <w:spacing w:val="-10"/>
                <w:szCs w:val="21"/>
                <w:lang w:val="en-US" w:eastAsia="zh-CN"/>
              </w:rPr>
              <w:t>50</w:t>
            </w:r>
            <w:r>
              <w:rPr>
                <w:rFonts w:hint="default" w:ascii="Times New Roman" w:hAnsi="Times New Roman" w:cs="Times New Roman"/>
                <w:bCs/>
                <w:color w:val="auto"/>
                <w:spacing w:val="-10"/>
                <w:szCs w:val="21"/>
              </w:rPr>
              <w:t>t，则废气产生量约为</w:t>
            </w:r>
            <w:r>
              <w:rPr>
                <w:rFonts w:hint="eastAsia" w:cs="Times New Roman"/>
                <w:bCs/>
                <w:color w:val="auto"/>
                <w:spacing w:val="-10"/>
                <w:szCs w:val="21"/>
                <w:lang w:val="en-US" w:eastAsia="zh-CN"/>
              </w:rPr>
              <w:t>2.64</w:t>
            </w:r>
            <w:r>
              <w:rPr>
                <w:rFonts w:hint="default" w:ascii="Times New Roman" w:hAnsi="Times New Roman" w:cs="Times New Roman"/>
                <w:bCs/>
                <w:color w:val="auto"/>
                <w:spacing w:val="-10"/>
                <w:szCs w:val="21"/>
              </w:rPr>
              <w:t>t/a，其中，造粒工序运行时间按2400h/a进行计算。</w:t>
            </w:r>
          </w:p>
          <w:p>
            <w:pPr>
              <w:ind w:firstLine="482"/>
              <w:rPr>
                <w:rFonts w:hint="default" w:ascii="Times New Roman" w:hAnsi="Times New Roman" w:cs="Times New Roman"/>
                <w:b/>
                <w:bCs/>
                <w:color w:val="auto"/>
              </w:rPr>
            </w:pPr>
            <w:r>
              <w:rPr>
                <w:rFonts w:hint="default" w:ascii="Times New Roman" w:hAnsi="Times New Roman" w:cs="Times New Roman"/>
                <w:b/>
                <w:bCs/>
                <w:color w:val="auto"/>
              </w:rPr>
              <w:t>治理措施</w:t>
            </w:r>
          </w:p>
          <w:p>
            <w:pPr>
              <w:ind w:firstLine="482"/>
              <w:rPr>
                <w:rFonts w:hint="default" w:ascii="Times New Roman" w:hAnsi="Times New Roman" w:cs="Times New Roman"/>
                <w:color w:val="auto"/>
              </w:rPr>
            </w:pPr>
            <w:r>
              <w:rPr>
                <w:rFonts w:hint="default" w:ascii="Times New Roman" w:hAnsi="Times New Roman" w:cs="Times New Roman"/>
                <w:color w:val="auto"/>
              </w:rPr>
              <w:t>本项目在造粒机出料口采用负压抽吸的方式抽取造粒工序中产生的有机废气（集气罩长</w:t>
            </w:r>
            <w:r>
              <w:rPr>
                <w:rFonts w:hint="default" w:ascii="Times New Roman" w:hAnsi="Times New Roman" w:cs="Times New Roman"/>
                <w:color w:val="auto"/>
                <w:lang w:val="en-US" w:eastAsia="zh-CN"/>
              </w:rPr>
              <w:t>0.5</w:t>
            </w:r>
            <w:r>
              <w:rPr>
                <w:rFonts w:hint="default" w:ascii="Times New Roman" w:hAnsi="Times New Roman" w:cs="Times New Roman"/>
                <w:color w:val="auto"/>
              </w:rPr>
              <w:t>m、宽</w:t>
            </w:r>
            <w:r>
              <w:rPr>
                <w:rFonts w:hint="default" w:ascii="Times New Roman" w:hAnsi="Times New Roman" w:cs="Times New Roman"/>
                <w:color w:val="auto"/>
                <w:lang w:val="en-US" w:eastAsia="zh-CN"/>
              </w:rPr>
              <w:t>0.5</w:t>
            </w:r>
            <w:r>
              <w:rPr>
                <w:rFonts w:hint="default" w:ascii="Times New Roman" w:hAnsi="Times New Roman" w:cs="Times New Roman"/>
                <w:color w:val="auto"/>
              </w:rPr>
              <w:t>m，面积为</w:t>
            </w:r>
            <w:r>
              <w:rPr>
                <w:rFonts w:hint="default" w:ascii="Times New Roman" w:hAnsi="Times New Roman" w:cs="Times New Roman"/>
                <w:color w:val="auto"/>
                <w:lang w:val="en-US" w:eastAsia="zh-CN"/>
              </w:rPr>
              <w:t>0.25</w:t>
            </w:r>
            <w:r>
              <w:rPr>
                <w:rFonts w:hint="default" w:ascii="Times New Roman" w:hAnsi="Times New Roman" w:cs="Times New Roman"/>
                <w:color w:val="auto"/>
              </w:rPr>
              <w:t>m2，离地高度约1.2m</w:t>
            </w:r>
            <w:r>
              <w:rPr>
                <w:rFonts w:hint="default" w:ascii="Times New Roman" w:hAnsi="Times New Roman" w:cs="Times New Roman"/>
                <w:color w:val="auto"/>
                <w:lang w:eastAsia="zh-CN"/>
              </w:rPr>
              <w:t>，</w:t>
            </w:r>
            <w:r>
              <w:rPr>
                <w:rFonts w:hint="default" w:ascii="Times New Roman" w:hAnsi="Times New Roman" w:cs="Times New Roman"/>
                <w:color w:val="auto"/>
              </w:rPr>
              <w:t>收集效率按90%进行计算</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每套造粒生产线的3个出料口均</w:t>
            </w:r>
            <w:r>
              <w:rPr>
                <w:rFonts w:hint="default" w:ascii="Times New Roman" w:hAnsi="Times New Roman" w:cs="Times New Roman"/>
                <w:color w:val="auto"/>
                <w:lang w:eastAsia="zh-CN"/>
              </w:rPr>
              <w:t>设置集气罩</w:t>
            </w:r>
            <w:r>
              <w:rPr>
                <w:rFonts w:hint="default" w:ascii="Times New Roman" w:hAnsi="Times New Roman" w:cs="Times New Roman"/>
                <w:color w:val="auto"/>
              </w:rPr>
              <w:t>），风量按</w:t>
            </w:r>
            <w:r>
              <w:rPr>
                <w:rFonts w:hint="default" w:ascii="Times New Roman" w:hAnsi="Times New Roman" w:cs="Times New Roman"/>
                <w:color w:val="auto"/>
                <w:lang w:eastAsia="zh-CN"/>
              </w:rPr>
              <w:t>8100m</w:t>
            </w:r>
            <w:r>
              <w:rPr>
                <w:rFonts w:hint="default" w:ascii="Times New Roman" w:hAnsi="Times New Roman" w:cs="Times New Roman"/>
                <w:color w:val="auto"/>
              </w:rPr>
              <w:t>3/h计算，经“</w:t>
            </w:r>
            <w:r>
              <w:rPr>
                <w:rFonts w:hint="default" w:ascii="Times New Roman" w:hAnsi="Times New Roman" w:cs="Times New Roman"/>
                <w:color w:val="auto"/>
                <w:lang w:eastAsia="zh-CN"/>
              </w:rPr>
              <w:t>活性炭吸附＋脱附再生催化燃烧</w:t>
            </w:r>
            <w:r>
              <w:rPr>
                <w:rFonts w:hint="default" w:ascii="Times New Roman" w:hAnsi="Times New Roman" w:cs="Times New Roman"/>
                <w:color w:val="auto"/>
              </w:rPr>
              <w:t>（编号</w:t>
            </w:r>
            <w:r>
              <w:rPr>
                <w:rFonts w:hint="default" w:ascii="Times New Roman" w:hAnsi="Times New Roman" w:cs="Times New Roman"/>
                <w:color w:val="auto"/>
                <w:lang w:val="en-US" w:eastAsia="zh-CN"/>
              </w:rPr>
              <w:t>LA</w:t>
            </w:r>
            <w:r>
              <w:rPr>
                <w:rFonts w:hint="default" w:ascii="Times New Roman" w:hAnsi="Times New Roman" w:cs="Times New Roman"/>
                <w:color w:val="auto"/>
              </w:rPr>
              <w:t>-00</w:t>
            </w:r>
            <w:r>
              <w:rPr>
                <w:rFonts w:hint="default" w:ascii="Times New Roman" w:hAnsi="Times New Roman" w:cs="Times New Roman"/>
                <w:color w:val="auto"/>
                <w:lang w:val="en-US" w:eastAsia="zh-CN"/>
              </w:rPr>
              <w:t>1</w:t>
            </w:r>
            <w:r>
              <w:rPr>
                <w:rFonts w:hint="default" w:ascii="Times New Roman" w:hAnsi="Times New Roman" w:cs="Times New Roman"/>
                <w:color w:val="auto"/>
              </w:rPr>
              <w:t>）”处理后，引入15m排气筒</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设计内径Φ按0.4m计算</w:t>
            </w:r>
            <w:r>
              <w:rPr>
                <w:rFonts w:hint="default" w:ascii="Times New Roman" w:hAnsi="Times New Roman" w:cs="Times New Roman"/>
                <w:color w:val="auto"/>
                <w:lang w:eastAsia="zh-CN"/>
              </w:rPr>
              <w:t>）</w:t>
            </w:r>
            <w:r>
              <w:rPr>
                <w:rFonts w:hint="default" w:ascii="Times New Roman" w:hAnsi="Times New Roman" w:cs="Times New Roman"/>
                <w:color w:val="auto"/>
              </w:rPr>
              <w:t>排放，其中，造粒工序运行时间按2400h/a进行计算。</w:t>
            </w:r>
          </w:p>
          <w:p>
            <w:pPr>
              <w:ind w:firstLine="482"/>
              <w:rPr>
                <w:rFonts w:hint="default" w:ascii="Times New Roman" w:hAnsi="Times New Roman" w:cs="Times New Roman"/>
                <w:b/>
                <w:bCs/>
                <w:color w:val="auto"/>
              </w:rPr>
            </w:pPr>
            <w:r>
              <w:rPr>
                <w:rFonts w:hint="default" w:ascii="Times New Roman" w:hAnsi="Times New Roman" w:cs="Times New Roman"/>
                <w:b/>
                <w:bCs/>
                <w:color w:val="auto"/>
              </w:rPr>
              <w:t>风量核算：</w:t>
            </w:r>
          </w:p>
          <w:p>
            <w:pPr>
              <w:ind w:firstLine="480"/>
              <w:rPr>
                <w:rFonts w:hint="default" w:ascii="Times New Roman" w:hAnsi="Times New Roman" w:cs="Times New Roman"/>
                <w:color w:val="auto"/>
              </w:rPr>
            </w:pPr>
            <w:r>
              <w:rPr>
                <w:rFonts w:hint="default" w:ascii="Times New Roman" w:hAnsi="Times New Roman" w:cs="Times New Roman"/>
                <w:color w:val="auto"/>
              </w:rPr>
              <w:t>本项目有机废气经集气罩收集，按照以下经验公式计算得出集气罩所需风量：</w:t>
            </w:r>
          </w:p>
          <w:p>
            <w:pPr>
              <w:ind w:firstLine="482"/>
              <w:jc w:val="center"/>
              <w:rPr>
                <w:rFonts w:hint="default" w:ascii="Times New Roman" w:hAnsi="Times New Roman" w:cs="Times New Roman"/>
                <w:b/>
                <w:bCs/>
                <w:color w:val="auto"/>
              </w:rPr>
            </w:pPr>
            <w:r>
              <w:rPr>
                <w:rFonts w:hint="default" w:ascii="Times New Roman" w:hAnsi="Times New Roman" w:cs="Times New Roman"/>
                <w:b/>
                <w:bCs/>
                <w:color w:val="auto"/>
              </w:rPr>
              <w:t>L=V</w:t>
            </w:r>
            <w:r>
              <w:rPr>
                <w:rFonts w:hint="default" w:ascii="Times New Roman" w:hAnsi="Times New Roman" w:cs="Times New Roman"/>
                <w:b/>
                <w:bCs/>
                <w:color w:val="auto"/>
                <w:vertAlign w:val="subscript"/>
              </w:rPr>
              <w:t>0</w:t>
            </w:r>
            <w:r>
              <w:rPr>
                <w:rFonts w:hint="default" w:ascii="Times New Roman" w:hAnsi="Times New Roman" w:cs="Times New Roman"/>
                <w:b/>
                <w:bCs/>
                <w:color w:val="auto"/>
              </w:rPr>
              <w:t>×F×3600</w:t>
            </w:r>
          </w:p>
          <w:p>
            <w:pPr>
              <w:ind w:firstLine="480"/>
              <w:rPr>
                <w:rFonts w:hint="default" w:ascii="Times New Roman" w:hAnsi="Times New Roman" w:cs="Times New Roman"/>
                <w:color w:val="auto"/>
              </w:rPr>
            </w:pPr>
            <w:r>
              <w:rPr>
                <w:rFonts w:hint="default" w:ascii="Times New Roman" w:hAnsi="Times New Roman" w:cs="Times New Roman"/>
                <w:color w:val="auto"/>
              </w:rPr>
              <w:t>其中：L—风量，m</w:t>
            </w:r>
            <w:r>
              <w:rPr>
                <w:rFonts w:hint="default" w:ascii="Times New Roman" w:hAnsi="Times New Roman" w:cs="Times New Roman"/>
                <w:color w:val="auto"/>
                <w:vertAlign w:val="superscript"/>
              </w:rPr>
              <w:t>3</w:t>
            </w:r>
            <w:r>
              <w:rPr>
                <w:rFonts w:hint="default" w:ascii="Times New Roman" w:hAnsi="Times New Roman" w:cs="Times New Roman"/>
                <w:color w:val="auto"/>
              </w:rPr>
              <w:t>/h；</w:t>
            </w:r>
          </w:p>
          <w:p>
            <w:pPr>
              <w:ind w:firstLine="480"/>
              <w:rPr>
                <w:rFonts w:hint="default" w:ascii="Times New Roman" w:hAnsi="Times New Roman" w:cs="Times New Roman"/>
                <w:color w:val="auto"/>
              </w:rPr>
            </w:pPr>
            <w:r>
              <w:rPr>
                <w:rFonts w:hint="default" w:ascii="Times New Roman" w:hAnsi="Times New Roman" w:cs="Times New Roman"/>
                <w:color w:val="auto"/>
              </w:rPr>
              <w:t xml:space="preserve">      V</w:t>
            </w:r>
            <w:r>
              <w:rPr>
                <w:rFonts w:hint="default" w:ascii="Times New Roman" w:hAnsi="Times New Roman" w:cs="Times New Roman"/>
                <w:color w:val="auto"/>
                <w:vertAlign w:val="subscript"/>
              </w:rPr>
              <w:t>0</w:t>
            </w:r>
            <w:r>
              <w:rPr>
                <w:rFonts w:hint="default" w:ascii="Times New Roman" w:hAnsi="Times New Roman" w:cs="Times New Roman"/>
                <w:color w:val="auto"/>
              </w:rPr>
              <w:t>—罩口平均风速，m/s；</w:t>
            </w:r>
          </w:p>
          <w:p>
            <w:pPr>
              <w:ind w:firstLine="480"/>
              <w:rPr>
                <w:rFonts w:hint="default" w:ascii="Times New Roman" w:hAnsi="Times New Roman" w:cs="Times New Roman"/>
                <w:color w:val="auto"/>
              </w:rPr>
            </w:pPr>
            <w:r>
              <w:rPr>
                <w:rFonts w:hint="default" w:ascii="Times New Roman" w:hAnsi="Times New Roman" w:cs="Times New Roman"/>
                <w:color w:val="auto"/>
              </w:rPr>
              <w:t xml:space="preserve">      F—罩口面积，m</w:t>
            </w:r>
            <w:r>
              <w:rPr>
                <w:rFonts w:hint="default" w:ascii="Times New Roman" w:hAnsi="Times New Roman" w:cs="Times New Roman"/>
                <w:color w:val="auto"/>
                <w:vertAlign w:val="superscript"/>
              </w:rPr>
              <w:t>2</w:t>
            </w:r>
            <w:r>
              <w:rPr>
                <w:rFonts w:hint="default" w:ascii="Times New Roman" w:hAnsi="Times New Roman" w:cs="Times New Roman"/>
                <w:color w:val="auto"/>
              </w:rPr>
              <w:t>。</w:t>
            </w:r>
          </w:p>
          <w:p>
            <w:pPr>
              <w:ind w:firstLine="482"/>
              <w:rPr>
                <w:rFonts w:hint="default" w:ascii="Times New Roman" w:hAnsi="Times New Roman" w:cs="Times New Roman"/>
                <w:color w:val="auto"/>
              </w:rPr>
            </w:pPr>
            <w:r>
              <w:rPr>
                <w:rFonts w:hint="default" w:ascii="Times New Roman" w:hAnsi="Times New Roman" w:cs="Times New Roman"/>
                <w:color w:val="auto"/>
              </w:rPr>
              <w:t>根据《挥发性有机物无组织排放控制标准》（GB37822-2019）：采用外部排风罩的，测量点应选取在距排风罩开口面最远处的VOCs无组织排放位置，控制风速不应低于0.3m/s。本次评价控制风速取1m/s。根据建设单位提供资料，</w:t>
            </w:r>
            <w:r>
              <w:rPr>
                <w:rFonts w:hint="default" w:ascii="Times New Roman" w:hAnsi="Times New Roman" w:cs="Times New Roman"/>
                <w:color w:val="auto"/>
                <w:lang w:val="en-US" w:eastAsia="zh-CN"/>
              </w:rPr>
              <w:t>每套造粒生产线的出料口（一主机两副机，共3个出料口）均</w:t>
            </w:r>
            <w:r>
              <w:rPr>
                <w:rFonts w:hint="default" w:ascii="Times New Roman" w:hAnsi="Times New Roman" w:cs="Times New Roman"/>
                <w:color w:val="auto"/>
              </w:rPr>
              <w:t>设置集气罩，集气罩长</w:t>
            </w:r>
            <w:r>
              <w:rPr>
                <w:rFonts w:hint="default" w:ascii="Times New Roman" w:hAnsi="Times New Roman" w:cs="Times New Roman"/>
                <w:color w:val="auto"/>
                <w:lang w:val="en-US" w:eastAsia="zh-CN"/>
              </w:rPr>
              <w:t>0.5</w:t>
            </w:r>
            <w:r>
              <w:rPr>
                <w:rFonts w:hint="default" w:ascii="Times New Roman" w:hAnsi="Times New Roman" w:cs="Times New Roman"/>
                <w:color w:val="auto"/>
              </w:rPr>
              <w:t>m、宽</w:t>
            </w:r>
            <w:r>
              <w:rPr>
                <w:rFonts w:hint="default" w:ascii="Times New Roman" w:hAnsi="Times New Roman" w:cs="Times New Roman"/>
                <w:color w:val="auto"/>
                <w:lang w:val="en-US" w:eastAsia="zh-CN"/>
              </w:rPr>
              <w:t>0.5</w:t>
            </w:r>
            <w:r>
              <w:rPr>
                <w:rFonts w:hint="default" w:ascii="Times New Roman" w:hAnsi="Times New Roman" w:cs="Times New Roman"/>
                <w:color w:val="auto"/>
              </w:rPr>
              <w:t>m，</w:t>
            </w:r>
            <w:r>
              <w:rPr>
                <w:rFonts w:hint="default" w:ascii="Times New Roman" w:hAnsi="Times New Roman" w:cs="Times New Roman"/>
                <w:color w:val="auto"/>
                <w:lang w:val="en-US" w:eastAsia="zh-CN"/>
              </w:rPr>
              <w:t>总</w:t>
            </w:r>
            <w:r>
              <w:rPr>
                <w:rFonts w:hint="default" w:ascii="Times New Roman" w:hAnsi="Times New Roman" w:cs="Times New Roman"/>
                <w:color w:val="auto"/>
              </w:rPr>
              <w:t>面积为</w:t>
            </w:r>
            <w:r>
              <w:rPr>
                <w:rFonts w:hint="default" w:ascii="Times New Roman" w:hAnsi="Times New Roman" w:cs="Times New Roman"/>
                <w:color w:val="auto"/>
                <w:lang w:val="en-US" w:eastAsia="zh-CN"/>
              </w:rPr>
              <w:t>2.25</w:t>
            </w:r>
            <w:r>
              <w:rPr>
                <w:rFonts w:hint="default" w:ascii="Times New Roman" w:hAnsi="Times New Roman" w:cs="Times New Roman"/>
                <w:color w:val="auto"/>
              </w:rPr>
              <w:t>m2，离地高度约1.2m，因此，本项目集气罩所需风量按</w:t>
            </w:r>
            <w:r>
              <w:rPr>
                <w:rFonts w:hint="default" w:ascii="Times New Roman" w:hAnsi="Times New Roman" w:cs="Times New Roman"/>
                <w:color w:val="auto"/>
                <w:lang w:val="en-US" w:eastAsia="zh-CN"/>
              </w:rPr>
              <w:t>8100</w:t>
            </w:r>
            <w:r>
              <w:rPr>
                <w:rFonts w:hint="default" w:ascii="Times New Roman" w:hAnsi="Times New Roman" w:cs="Times New Roman"/>
                <w:color w:val="auto"/>
              </w:rPr>
              <w:t>m3/h进行计算。</w:t>
            </w:r>
          </w:p>
          <w:p>
            <w:pPr>
              <w:ind w:firstLine="482"/>
              <w:rPr>
                <w:rFonts w:hint="default" w:ascii="Times New Roman" w:hAnsi="Times New Roman" w:cs="Times New Roman"/>
                <w:b/>
                <w:bCs/>
                <w:color w:val="auto"/>
              </w:rPr>
            </w:pPr>
            <w:r>
              <w:rPr>
                <w:rFonts w:hint="eastAsia" w:cs="Times New Roman"/>
                <w:b/>
                <w:bCs/>
                <w:color w:val="auto"/>
                <w:lang w:val="en-US" w:eastAsia="zh-CN"/>
              </w:rPr>
              <w:t>废气</w:t>
            </w:r>
            <w:r>
              <w:rPr>
                <w:rFonts w:hint="default" w:ascii="Times New Roman" w:hAnsi="Times New Roman" w:cs="Times New Roman"/>
                <w:b/>
                <w:bCs/>
                <w:color w:val="auto"/>
                <w:lang w:val="en-US" w:eastAsia="zh-CN"/>
              </w:rPr>
              <w:t>装置</w:t>
            </w:r>
            <w:r>
              <w:rPr>
                <w:rFonts w:hint="default" w:ascii="Times New Roman" w:hAnsi="Times New Roman" w:cs="Times New Roman"/>
                <w:b/>
                <w:bCs/>
                <w:color w:val="auto"/>
              </w:rPr>
              <w:t>处理方案的可行性分析</w:t>
            </w:r>
          </w:p>
          <w:p>
            <w:pPr>
              <w:ind w:firstLine="480"/>
              <w:rPr>
                <w:color w:val="auto"/>
              </w:rPr>
            </w:pPr>
            <w:r>
              <w:rPr>
                <w:color w:val="auto"/>
              </w:rPr>
              <w:t>①、活性炭吸附过程：</w:t>
            </w:r>
          </w:p>
          <w:p>
            <w:pPr>
              <w:ind w:firstLine="480"/>
              <w:rPr>
                <w:color w:val="auto"/>
              </w:rPr>
            </w:pPr>
            <w:r>
              <w:rPr>
                <w:color w:val="auto"/>
              </w:rPr>
              <w:t>车间排出的</w:t>
            </w:r>
            <w:r>
              <w:rPr>
                <w:rFonts w:hint="eastAsia"/>
                <w:color w:val="auto"/>
              </w:rPr>
              <w:t>有机</w:t>
            </w:r>
            <w:r>
              <w:rPr>
                <w:color w:val="auto"/>
              </w:rPr>
              <w:t>废气经管道</w:t>
            </w:r>
            <w:r>
              <w:rPr>
                <w:rFonts w:hint="eastAsia"/>
                <w:color w:val="auto"/>
              </w:rPr>
              <w:t>自然冷却后</w:t>
            </w:r>
            <w:r>
              <w:rPr>
                <w:color w:val="auto"/>
              </w:rPr>
              <w:t>进入活性炭吸附床（总有效体积为</w:t>
            </w:r>
            <w:r>
              <w:rPr>
                <w:rFonts w:hint="eastAsia"/>
                <w:color w:val="auto"/>
                <w:lang w:val="en-US" w:eastAsia="zh-CN"/>
              </w:rPr>
              <w:t>2.0</w:t>
            </w:r>
            <w:r>
              <w:rPr>
                <w:color w:val="auto"/>
              </w:rPr>
              <w:t>m</w:t>
            </w:r>
            <w:r>
              <w:rPr>
                <w:color w:val="auto"/>
                <w:vertAlign w:val="superscript"/>
              </w:rPr>
              <w:t>3</w:t>
            </w:r>
            <w:r>
              <w:rPr>
                <w:color w:val="auto"/>
              </w:rPr>
              <w:t>，单床</w:t>
            </w:r>
            <w:r>
              <w:rPr>
                <w:rFonts w:hint="eastAsia"/>
                <w:color w:val="auto"/>
                <w:lang w:val="en-US" w:eastAsia="zh-CN"/>
              </w:rPr>
              <w:t>1.0</w:t>
            </w:r>
            <w:r>
              <w:rPr>
                <w:color w:val="auto"/>
              </w:rPr>
              <w:t>m</w:t>
            </w:r>
            <w:r>
              <w:rPr>
                <w:color w:val="auto"/>
                <w:vertAlign w:val="superscript"/>
              </w:rPr>
              <w:t>3</w:t>
            </w:r>
            <w:r>
              <w:rPr>
                <w:color w:val="auto"/>
              </w:rPr>
              <w:t>），有机废气穿过活性炭时，废气中的有机成份被吸引到活性炭的微孔中并保留其中，其它气体穿过活性炭后经风机排空。</w:t>
            </w:r>
          </w:p>
          <w:p>
            <w:pPr>
              <w:autoSpaceDE w:val="0"/>
              <w:autoSpaceDN w:val="0"/>
              <w:ind w:firstLine="482"/>
              <w:jc w:val="left"/>
              <w:rPr>
                <w:rFonts w:hint="default"/>
                <w:color w:val="auto"/>
                <w:lang w:val="en-US" w:eastAsia="zh-CN"/>
              </w:rPr>
            </w:pPr>
            <w:r>
              <w:rPr>
                <w:rFonts w:hint="eastAsia"/>
                <w:color w:val="auto"/>
                <w:lang w:val="en-US" w:eastAsia="zh-CN"/>
              </w:rPr>
              <w:t>(注：活性炭的结构应为颗粒活性炭，不宜采用蜂窝活性炭，其中，颗粒活性炭技术指标应至少符合以下要求：碘吸附值不低于800mg/g或四氯化碳吸附率不低于60%)。</w:t>
            </w:r>
          </w:p>
          <w:p>
            <w:pPr>
              <w:ind w:firstLine="480"/>
              <w:rPr>
                <w:color w:val="auto"/>
              </w:rPr>
            </w:pPr>
            <w:r>
              <w:rPr>
                <w:color w:val="auto"/>
              </w:rPr>
              <w:t>②、活性炭再生过程：</w:t>
            </w:r>
          </w:p>
          <w:p>
            <w:pPr>
              <w:ind w:firstLine="480"/>
              <w:rPr>
                <w:color w:val="auto"/>
              </w:rPr>
            </w:pPr>
            <w:r>
              <w:rPr>
                <w:color w:val="auto"/>
              </w:rPr>
              <w:t>活性炭使用一段时间（</w:t>
            </w:r>
            <w:r>
              <w:rPr>
                <w:rFonts w:hint="eastAsia"/>
                <w:color w:val="auto"/>
                <w:u w:val="single"/>
              </w:rPr>
              <w:t>解附周期</w:t>
            </w:r>
            <w:r>
              <w:rPr>
                <w:color w:val="auto"/>
                <w:u w:val="single"/>
              </w:rPr>
              <w:t>按满负荷生产能力估算，单床使用时间约</w:t>
            </w:r>
            <w:r>
              <w:rPr>
                <w:rFonts w:hint="eastAsia"/>
                <w:color w:val="auto"/>
                <w:u w:val="single"/>
                <w:lang w:val="en-US" w:eastAsia="zh-CN"/>
              </w:rPr>
              <w:t>8</w:t>
            </w:r>
            <w:r>
              <w:rPr>
                <w:rFonts w:hint="eastAsia"/>
                <w:color w:val="auto"/>
                <w:u w:val="single"/>
              </w:rPr>
              <w:t>h</w:t>
            </w:r>
            <w:r>
              <w:rPr>
                <w:color w:val="auto"/>
              </w:rPr>
              <w:t>），吸附了一定量的溶剂后，会降低或失去吸附能力，此时活性炭需脱附再生，再生后活性炭重新恢复吸附功能可继续使用。再生时，启动催化燃烧装置预热室电源，将空气预热，预热后的气体送入吸附箱，箱中活性炭受热后，活性炭吸附的</w:t>
            </w:r>
            <w:r>
              <w:rPr>
                <w:rFonts w:hint="eastAsia"/>
                <w:color w:val="auto"/>
              </w:rPr>
              <w:t>有机废气</w:t>
            </w:r>
            <w:r>
              <w:rPr>
                <w:color w:val="auto"/>
              </w:rPr>
              <w:t>挥发出来，</w:t>
            </w:r>
            <w:r>
              <w:rPr>
                <w:rFonts w:hint="eastAsia"/>
                <w:color w:val="auto"/>
              </w:rPr>
              <w:t>有机废气</w:t>
            </w:r>
            <w:r>
              <w:rPr>
                <w:color w:val="auto"/>
              </w:rPr>
              <w:t>经风机送入催化（蜂窝型钯金催化剂</w:t>
            </w:r>
            <w:r>
              <w:rPr>
                <w:rFonts w:hint="eastAsia"/>
                <w:color w:val="auto"/>
              </w:rPr>
              <w:t>，催化剂的有效容积约0.025m</w:t>
            </w:r>
            <w:r>
              <w:rPr>
                <w:rFonts w:hint="eastAsia"/>
                <w:color w:val="auto"/>
                <w:vertAlign w:val="superscript"/>
              </w:rPr>
              <w:t>3</w:t>
            </w:r>
            <w:r>
              <w:rPr>
                <w:color w:val="auto"/>
              </w:rPr>
              <w:t>）燃烧室燃烧，燃烧后分解生成CO</w:t>
            </w:r>
            <w:r>
              <w:rPr>
                <w:color w:val="auto"/>
                <w:vertAlign w:val="subscript"/>
              </w:rPr>
              <w:t>2</w:t>
            </w:r>
            <w:r>
              <w:rPr>
                <w:color w:val="auto"/>
              </w:rPr>
              <w:t>和H</w:t>
            </w:r>
            <w:r>
              <w:rPr>
                <w:color w:val="auto"/>
                <w:vertAlign w:val="subscript"/>
              </w:rPr>
              <w:t>2</w:t>
            </w:r>
            <w:r>
              <w:rPr>
                <w:color w:val="auto"/>
              </w:rPr>
              <w:t>O蒸汽等热空气，热空气一部分回到活性炭吸附箱继续给活性炭加热，叧一部分排空，热空气内部循环多次活性炭即可得到再生。</w:t>
            </w:r>
          </w:p>
          <w:p>
            <w:pPr>
              <w:ind w:firstLine="480"/>
              <w:rPr>
                <w:rFonts w:hint="eastAsia"/>
                <w:color w:val="auto"/>
                <w:lang w:val="en-US" w:eastAsia="zh-CN"/>
              </w:rPr>
            </w:pPr>
            <w:r>
              <w:rPr>
                <w:rFonts w:hint="eastAsia"/>
                <w:color w:val="auto"/>
                <w:lang w:val="en-US" w:eastAsia="zh-CN"/>
              </w:rPr>
              <w:t>③设备运行设置</w:t>
            </w:r>
          </w:p>
          <w:p>
            <w:pPr>
              <w:bidi w:val="0"/>
              <w:rPr>
                <w:color w:val="auto"/>
              </w:rPr>
            </w:pPr>
            <w:r>
              <w:rPr>
                <w:color w:val="auto"/>
              </w:rPr>
              <w:t>本次项目采用双床型活性炭吸附装置</w:t>
            </w:r>
            <w:r>
              <w:rPr>
                <w:rFonts w:hint="eastAsia"/>
                <w:color w:val="auto"/>
                <w:lang w:eastAsia="zh-CN"/>
              </w:rPr>
              <w:t>，</w:t>
            </w:r>
            <w:r>
              <w:rPr>
                <w:rFonts w:hint="eastAsia"/>
                <w:color w:val="auto"/>
                <w:lang w:val="en-US" w:eastAsia="zh-CN"/>
              </w:rPr>
              <w:t>共设置</w:t>
            </w:r>
            <w:r>
              <w:rPr>
                <w:rFonts w:hint="eastAsia"/>
                <w:color w:val="auto"/>
              </w:rPr>
              <w:t>3台风机</w:t>
            </w:r>
            <w:r>
              <w:rPr>
                <w:rFonts w:hint="eastAsia"/>
                <w:color w:val="auto"/>
                <w:lang w:eastAsia="zh-CN"/>
              </w:rPr>
              <w:t>，</w:t>
            </w:r>
            <w:r>
              <w:rPr>
                <w:rFonts w:hint="eastAsia"/>
                <w:color w:val="auto"/>
                <w:lang w:val="en-US" w:eastAsia="zh-CN"/>
              </w:rPr>
              <w:t>其中补冷风机当活性炭吸附床内的温度高于设定值时，脱附风机自动停止，补冷风机会自动启动，补充冷风，降低吸附床内温度，确保安全运行，3台风机不同时运行。</w:t>
            </w:r>
          </w:p>
          <w:p>
            <w:pPr>
              <w:ind w:firstLine="480"/>
              <w:rPr>
                <w:color w:val="auto"/>
              </w:rPr>
            </w:pPr>
            <w:r>
              <w:rPr>
                <w:color w:val="auto"/>
              </w:rPr>
              <w:t>根据环保设备单位提供的</w:t>
            </w:r>
            <w:r>
              <w:rPr>
                <w:rFonts w:hint="eastAsia"/>
                <w:color w:val="auto"/>
              </w:rPr>
              <w:t>有机</w:t>
            </w:r>
            <w:r>
              <w:rPr>
                <w:color w:val="auto"/>
              </w:rPr>
              <w:t>废气处理</w:t>
            </w:r>
            <w:r>
              <w:rPr>
                <w:rFonts w:hint="eastAsia"/>
                <w:color w:val="auto"/>
              </w:rPr>
              <w:t>设备产品说明书</w:t>
            </w:r>
            <w:r>
              <w:rPr>
                <w:color w:val="auto"/>
              </w:rPr>
              <w:t>及业主提供的资料</w:t>
            </w:r>
            <w:r>
              <w:rPr>
                <w:rFonts w:hint="eastAsia"/>
                <w:color w:val="auto"/>
              </w:rPr>
              <w:t>，本次项目的的有机废气处理设备的净化效率≥90%，且设备</w:t>
            </w:r>
            <w:r>
              <w:rPr>
                <w:rFonts w:hint="eastAsia"/>
                <w:b/>
                <w:bCs/>
                <w:color w:val="auto"/>
                <w:u w:val="single"/>
                <w:lang w:val="en-US" w:eastAsia="zh-CN"/>
              </w:rPr>
              <w:t>每天都</w:t>
            </w:r>
            <w:r>
              <w:rPr>
                <w:rFonts w:hint="eastAsia"/>
                <w:b/>
                <w:bCs/>
                <w:color w:val="auto"/>
                <w:u w:val="single"/>
              </w:rPr>
              <w:t>采用催化燃烧的方式解附活性炭</w:t>
            </w:r>
            <w:r>
              <w:rPr>
                <w:rFonts w:hint="eastAsia"/>
                <w:color w:val="auto"/>
              </w:rPr>
              <w:t>，活性炭吸附处于最优运行状态下</w:t>
            </w:r>
            <w:r>
              <w:rPr>
                <w:color w:val="auto"/>
              </w:rPr>
              <w:t>，</w:t>
            </w:r>
            <w:r>
              <w:rPr>
                <w:rFonts w:hint="eastAsia"/>
                <w:color w:val="auto"/>
              </w:rPr>
              <w:t>所以，</w:t>
            </w:r>
            <w:r>
              <w:rPr>
                <w:color w:val="auto"/>
              </w:rPr>
              <w:t>本项目使用“活性炭吸附＋催化燃烧脱附”</w:t>
            </w:r>
            <w:r>
              <w:rPr>
                <w:rFonts w:hint="eastAsia"/>
                <w:color w:val="auto"/>
              </w:rPr>
              <w:t>有机废气处理装置</w:t>
            </w:r>
            <w:r>
              <w:rPr>
                <w:color w:val="auto"/>
              </w:rPr>
              <w:t>处理效率按</w:t>
            </w:r>
            <w:r>
              <w:rPr>
                <w:rFonts w:hint="eastAsia"/>
                <w:color w:val="auto"/>
              </w:rPr>
              <w:t>90</w:t>
            </w:r>
            <w:r>
              <w:rPr>
                <w:color w:val="auto"/>
              </w:rPr>
              <w:t>%计算。</w:t>
            </w:r>
          </w:p>
          <w:p>
            <w:pPr>
              <w:pStyle w:val="11"/>
              <w:jc w:val="center"/>
              <w:rPr>
                <w:rFonts w:hint="default" w:ascii="Times New Roman" w:hAnsi="Times New Roman" w:cs="Times New Roman"/>
                <w:b/>
                <w:bCs/>
                <w:color w:val="auto"/>
              </w:rPr>
            </w:pPr>
            <w:r>
              <w:rPr>
                <w:rFonts w:hint="default" w:ascii="Times New Roman" w:hAnsi="Times New Roman" w:cs="Times New Roman"/>
                <w:b/>
                <w:bCs/>
                <w:color w:val="auto"/>
              </w:rPr>
              <w:t>表4-</w:t>
            </w:r>
            <w:r>
              <w:rPr>
                <w:rFonts w:hint="eastAsia" w:cs="Times New Roman"/>
                <w:b/>
                <w:bCs/>
                <w:color w:val="auto"/>
                <w:lang w:val="en-US" w:eastAsia="zh-CN"/>
              </w:rPr>
              <w:t>1</w:t>
            </w:r>
            <w:r>
              <w:rPr>
                <w:rFonts w:hint="default" w:ascii="Times New Roman" w:hAnsi="Times New Roman" w:cs="Times New Roman"/>
                <w:b/>
                <w:bCs/>
                <w:color w:val="auto"/>
              </w:rPr>
              <w:t xml:space="preserve">   项目VOCs产生及排放一览表</w:t>
            </w:r>
          </w:p>
          <w:tbl>
            <w:tblPr>
              <w:tblStyle w:val="5"/>
              <w:tblW w:w="8791"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90"/>
              <w:gridCol w:w="672"/>
              <w:gridCol w:w="1763"/>
              <w:gridCol w:w="712"/>
              <w:gridCol w:w="700"/>
              <w:gridCol w:w="809"/>
              <w:gridCol w:w="729"/>
              <w:gridCol w:w="975"/>
              <w:gridCol w:w="94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7" w:hRule="atLeast"/>
                <w:jc w:val="center"/>
              </w:trPr>
              <w:tc>
                <w:tcPr>
                  <w:tcW w:w="1490" w:type="dxa"/>
                  <w:tcBorders>
                    <w:tl2br w:val="nil"/>
                    <w:tr2bl w:val="nil"/>
                  </w:tcBorders>
                  <w:vAlign w:val="center"/>
                </w:tcPr>
                <w:p>
                  <w:pPr>
                    <w:pStyle w:val="11"/>
                    <w:jc w:val="center"/>
                    <w:rPr>
                      <w:rFonts w:hint="default" w:ascii="Times New Roman" w:hAnsi="Times New Roman" w:cs="Times New Roman"/>
                      <w:b/>
                      <w:bCs/>
                      <w:color w:val="auto"/>
                    </w:rPr>
                  </w:pPr>
                  <w:r>
                    <w:rPr>
                      <w:rFonts w:hint="default" w:ascii="Times New Roman" w:hAnsi="Times New Roman" w:cs="Times New Roman"/>
                      <w:b/>
                      <w:bCs/>
                      <w:color w:val="auto"/>
                    </w:rPr>
                    <w:t>污染物</w:t>
                  </w:r>
                </w:p>
              </w:tc>
              <w:tc>
                <w:tcPr>
                  <w:tcW w:w="672" w:type="dxa"/>
                  <w:tcBorders>
                    <w:tl2br w:val="nil"/>
                    <w:tr2bl w:val="nil"/>
                  </w:tcBorders>
                  <w:vAlign w:val="center"/>
                </w:tcPr>
                <w:p>
                  <w:pPr>
                    <w:pStyle w:val="11"/>
                    <w:jc w:val="center"/>
                    <w:rPr>
                      <w:rFonts w:hint="default" w:ascii="Times New Roman" w:hAnsi="Times New Roman" w:cs="Times New Roman"/>
                      <w:b/>
                      <w:bCs/>
                      <w:color w:val="auto"/>
                    </w:rPr>
                  </w:pPr>
                  <w:r>
                    <w:rPr>
                      <w:rFonts w:hint="default" w:ascii="Times New Roman" w:hAnsi="Times New Roman" w:cs="Times New Roman"/>
                      <w:b/>
                      <w:bCs/>
                      <w:color w:val="auto"/>
                    </w:rPr>
                    <w:t>产生量</w:t>
                  </w:r>
                </w:p>
              </w:tc>
              <w:tc>
                <w:tcPr>
                  <w:tcW w:w="1763" w:type="dxa"/>
                  <w:tcBorders>
                    <w:tl2br w:val="nil"/>
                    <w:tr2bl w:val="nil"/>
                  </w:tcBorders>
                  <w:vAlign w:val="center"/>
                </w:tcPr>
                <w:p>
                  <w:pPr>
                    <w:pStyle w:val="11"/>
                    <w:jc w:val="center"/>
                    <w:rPr>
                      <w:rFonts w:hint="default" w:ascii="Times New Roman" w:hAnsi="Times New Roman" w:cs="Times New Roman"/>
                      <w:b/>
                      <w:bCs/>
                      <w:color w:val="auto"/>
                    </w:rPr>
                  </w:pPr>
                  <w:r>
                    <w:rPr>
                      <w:rFonts w:hint="default" w:ascii="Times New Roman" w:hAnsi="Times New Roman" w:cs="Times New Roman"/>
                      <w:b/>
                      <w:bCs/>
                      <w:color w:val="auto"/>
                    </w:rPr>
                    <w:t>处理措施</w:t>
                  </w:r>
                </w:p>
              </w:tc>
              <w:tc>
                <w:tcPr>
                  <w:tcW w:w="712" w:type="dxa"/>
                  <w:tcBorders>
                    <w:tl2br w:val="nil"/>
                    <w:tr2bl w:val="nil"/>
                  </w:tcBorders>
                  <w:vAlign w:val="center"/>
                </w:tcPr>
                <w:p>
                  <w:pPr>
                    <w:pStyle w:val="11"/>
                    <w:jc w:val="center"/>
                    <w:rPr>
                      <w:rFonts w:hint="default" w:ascii="Times New Roman" w:hAnsi="Times New Roman" w:cs="Times New Roman"/>
                      <w:b/>
                      <w:bCs/>
                      <w:color w:val="auto"/>
                    </w:rPr>
                  </w:pPr>
                  <w:r>
                    <w:rPr>
                      <w:rFonts w:hint="default" w:ascii="Times New Roman" w:hAnsi="Times New Roman" w:cs="Times New Roman"/>
                      <w:b/>
                      <w:bCs/>
                      <w:color w:val="auto"/>
                    </w:rPr>
                    <w:t>收集量</w:t>
                  </w:r>
                </w:p>
              </w:tc>
              <w:tc>
                <w:tcPr>
                  <w:tcW w:w="700" w:type="dxa"/>
                  <w:tcBorders>
                    <w:tl2br w:val="nil"/>
                    <w:tr2bl w:val="nil"/>
                  </w:tcBorders>
                  <w:vAlign w:val="center"/>
                </w:tcPr>
                <w:p>
                  <w:pPr>
                    <w:pStyle w:val="11"/>
                    <w:jc w:val="center"/>
                    <w:rPr>
                      <w:rFonts w:hint="default" w:ascii="Times New Roman" w:hAnsi="Times New Roman" w:cs="Times New Roman"/>
                      <w:b/>
                      <w:bCs/>
                      <w:color w:val="auto"/>
                    </w:rPr>
                  </w:pPr>
                  <w:r>
                    <w:rPr>
                      <w:rFonts w:hint="default" w:ascii="Times New Roman" w:hAnsi="Times New Roman" w:cs="Times New Roman"/>
                      <w:b/>
                      <w:bCs/>
                      <w:color w:val="auto"/>
                    </w:rPr>
                    <w:t>处理</w:t>
                  </w:r>
                </w:p>
                <w:p>
                  <w:pPr>
                    <w:pStyle w:val="11"/>
                    <w:jc w:val="center"/>
                    <w:rPr>
                      <w:rFonts w:hint="default" w:ascii="Times New Roman" w:hAnsi="Times New Roman" w:cs="Times New Roman"/>
                      <w:b/>
                      <w:bCs/>
                      <w:color w:val="auto"/>
                    </w:rPr>
                  </w:pPr>
                  <w:r>
                    <w:rPr>
                      <w:rFonts w:hint="default" w:ascii="Times New Roman" w:hAnsi="Times New Roman" w:cs="Times New Roman"/>
                      <w:b/>
                      <w:bCs/>
                      <w:color w:val="auto"/>
                    </w:rPr>
                    <w:t>效率</w:t>
                  </w:r>
                </w:p>
              </w:tc>
              <w:tc>
                <w:tcPr>
                  <w:tcW w:w="809" w:type="dxa"/>
                  <w:tcBorders>
                    <w:tl2br w:val="nil"/>
                    <w:tr2bl w:val="nil"/>
                  </w:tcBorders>
                  <w:vAlign w:val="center"/>
                </w:tcPr>
                <w:p>
                  <w:pPr>
                    <w:pStyle w:val="11"/>
                    <w:jc w:val="center"/>
                    <w:rPr>
                      <w:rFonts w:hint="default" w:ascii="Times New Roman" w:hAnsi="Times New Roman" w:cs="Times New Roman"/>
                      <w:b/>
                      <w:bCs/>
                      <w:color w:val="auto"/>
                    </w:rPr>
                  </w:pPr>
                  <w:r>
                    <w:rPr>
                      <w:rFonts w:hint="default" w:ascii="Times New Roman" w:hAnsi="Times New Roman" w:cs="Times New Roman"/>
                      <w:b/>
                      <w:bCs/>
                      <w:color w:val="auto"/>
                    </w:rPr>
                    <w:t>排放</w:t>
                  </w:r>
                </w:p>
                <w:p>
                  <w:pPr>
                    <w:pStyle w:val="11"/>
                    <w:jc w:val="center"/>
                    <w:rPr>
                      <w:rFonts w:hint="default" w:ascii="Times New Roman" w:hAnsi="Times New Roman" w:cs="Times New Roman"/>
                      <w:b/>
                      <w:bCs/>
                      <w:color w:val="auto"/>
                    </w:rPr>
                  </w:pPr>
                  <w:r>
                    <w:rPr>
                      <w:rFonts w:hint="default" w:ascii="Times New Roman" w:hAnsi="Times New Roman" w:cs="Times New Roman"/>
                      <w:b/>
                      <w:bCs/>
                      <w:color w:val="auto"/>
                    </w:rPr>
                    <w:t>浓度</w:t>
                  </w:r>
                </w:p>
              </w:tc>
              <w:tc>
                <w:tcPr>
                  <w:tcW w:w="729" w:type="dxa"/>
                  <w:tcBorders>
                    <w:tl2br w:val="nil"/>
                    <w:tr2bl w:val="nil"/>
                  </w:tcBorders>
                  <w:vAlign w:val="center"/>
                </w:tcPr>
                <w:p>
                  <w:pPr>
                    <w:pStyle w:val="11"/>
                    <w:jc w:val="center"/>
                    <w:rPr>
                      <w:rFonts w:hint="default" w:ascii="Times New Roman" w:hAnsi="Times New Roman" w:cs="Times New Roman"/>
                      <w:b/>
                      <w:bCs/>
                      <w:color w:val="auto"/>
                    </w:rPr>
                  </w:pPr>
                  <w:r>
                    <w:rPr>
                      <w:rFonts w:hint="default" w:ascii="Times New Roman" w:hAnsi="Times New Roman" w:cs="Times New Roman"/>
                      <w:b/>
                      <w:bCs/>
                      <w:color w:val="auto"/>
                    </w:rPr>
                    <w:t>排放</w:t>
                  </w:r>
                </w:p>
                <w:p>
                  <w:pPr>
                    <w:pStyle w:val="11"/>
                    <w:jc w:val="center"/>
                    <w:rPr>
                      <w:rFonts w:hint="default" w:ascii="Times New Roman" w:hAnsi="Times New Roman" w:cs="Times New Roman"/>
                      <w:b/>
                      <w:bCs/>
                      <w:color w:val="auto"/>
                    </w:rPr>
                  </w:pPr>
                  <w:r>
                    <w:rPr>
                      <w:rFonts w:hint="default" w:ascii="Times New Roman" w:hAnsi="Times New Roman" w:cs="Times New Roman"/>
                      <w:b/>
                      <w:bCs/>
                      <w:color w:val="auto"/>
                    </w:rPr>
                    <w:t>速率</w:t>
                  </w:r>
                </w:p>
              </w:tc>
              <w:tc>
                <w:tcPr>
                  <w:tcW w:w="975" w:type="dxa"/>
                  <w:tcBorders>
                    <w:tl2br w:val="nil"/>
                    <w:tr2bl w:val="nil"/>
                  </w:tcBorders>
                  <w:vAlign w:val="center"/>
                </w:tcPr>
                <w:p>
                  <w:pPr>
                    <w:pStyle w:val="11"/>
                    <w:jc w:val="center"/>
                    <w:rPr>
                      <w:rFonts w:hint="default" w:ascii="Times New Roman" w:hAnsi="Times New Roman" w:cs="Times New Roman"/>
                      <w:b/>
                      <w:bCs/>
                      <w:color w:val="auto"/>
                    </w:rPr>
                  </w:pPr>
                  <w:r>
                    <w:rPr>
                      <w:rFonts w:hint="default" w:ascii="Times New Roman" w:hAnsi="Times New Roman" w:cs="Times New Roman"/>
                      <w:b/>
                      <w:bCs/>
                      <w:color w:val="auto"/>
                    </w:rPr>
                    <w:t>有组织排放量</w:t>
                  </w:r>
                </w:p>
              </w:tc>
              <w:tc>
                <w:tcPr>
                  <w:tcW w:w="941" w:type="dxa"/>
                  <w:tcBorders>
                    <w:tl2br w:val="nil"/>
                    <w:tr2bl w:val="nil"/>
                  </w:tcBorders>
                  <w:vAlign w:val="center"/>
                </w:tcPr>
                <w:p>
                  <w:pPr>
                    <w:pStyle w:val="11"/>
                    <w:jc w:val="center"/>
                    <w:rPr>
                      <w:rFonts w:hint="default" w:ascii="Times New Roman" w:hAnsi="Times New Roman" w:cs="Times New Roman"/>
                      <w:b/>
                      <w:bCs/>
                      <w:color w:val="auto"/>
                    </w:rPr>
                  </w:pPr>
                  <w:r>
                    <w:rPr>
                      <w:rFonts w:hint="default" w:ascii="Times New Roman" w:hAnsi="Times New Roman" w:cs="Times New Roman"/>
                      <w:b/>
                      <w:bCs/>
                      <w:color w:val="auto"/>
                    </w:rPr>
                    <w:t>无组织排放量</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7" w:hRule="atLeast"/>
                <w:jc w:val="center"/>
              </w:trPr>
              <w:tc>
                <w:tcPr>
                  <w:tcW w:w="1490" w:type="dxa"/>
                  <w:tcBorders>
                    <w:tl2br w:val="nil"/>
                    <w:tr2bl w:val="nil"/>
                  </w:tcBorders>
                  <w:vAlign w:val="center"/>
                </w:tcPr>
                <w:p>
                  <w:pPr>
                    <w:pStyle w:val="11"/>
                    <w:jc w:val="center"/>
                    <w:rPr>
                      <w:rFonts w:hint="default" w:ascii="Times New Roman" w:hAnsi="Times New Roman" w:cs="Times New Roman"/>
                      <w:b/>
                      <w:bCs/>
                      <w:color w:val="auto"/>
                    </w:rPr>
                  </w:pPr>
                  <w:r>
                    <w:rPr>
                      <w:rFonts w:hint="default" w:ascii="Times New Roman" w:hAnsi="Times New Roman" w:cs="Times New Roman"/>
                      <w:b/>
                      <w:bCs/>
                      <w:color w:val="auto"/>
                    </w:rPr>
                    <w:t>造粒废气（G</w:t>
                  </w:r>
                  <w:r>
                    <w:rPr>
                      <w:rFonts w:hint="eastAsia" w:cs="Times New Roman"/>
                      <w:b/>
                      <w:bCs/>
                      <w:color w:val="auto"/>
                      <w:vertAlign w:val="subscript"/>
                      <w:lang w:val="en-US" w:eastAsia="zh-CN"/>
                    </w:rPr>
                    <w:t>1</w:t>
                  </w:r>
                  <w:r>
                    <w:rPr>
                      <w:rFonts w:hint="default" w:ascii="Times New Roman" w:hAnsi="Times New Roman" w:cs="Times New Roman"/>
                      <w:b/>
                      <w:bCs/>
                      <w:color w:val="auto"/>
                    </w:rPr>
                    <w:t>）</w:t>
                  </w:r>
                </w:p>
              </w:tc>
              <w:tc>
                <w:tcPr>
                  <w:tcW w:w="672" w:type="dxa"/>
                  <w:tcBorders>
                    <w:tl2br w:val="nil"/>
                    <w:tr2bl w:val="nil"/>
                  </w:tcBorders>
                  <w:vAlign w:val="center"/>
                </w:tcPr>
                <w:p>
                  <w:pPr>
                    <w:pStyle w:val="11"/>
                    <w:jc w:val="center"/>
                    <w:rPr>
                      <w:rFonts w:hint="eastAsia" w:cs="Times New Roman"/>
                      <w:color w:val="auto"/>
                      <w:lang w:val="en-US" w:eastAsia="zh-CN"/>
                    </w:rPr>
                  </w:pPr>
                  <w:r>
                    <w:rPr>
                      <w:rFonts w:hint="eastAsia" w:cs="Times New Roman"/>
                      <w:color w:val="auto"/>
                      <w:lang w:val="en-US" w:eastAsia="zh-CN"/>
                    </w:rPr>
                    <w:t>2.64</w:t>
                  </w:r>
                </w:p>
                <w:p>
                  <w:pPr>
                    <w:pStyle w:val="11"/>
                    <w:jc w:val="center"/>
                    <w:rPr>
                      <w:rFonts w:hint="default" w:ascii="Times New Roman" w:hAnsi="Times New Roman" w:cs="Times New Roman"/>
                      <w:color w:val="auto"/>
                    </w:rPr>
                  </w:pPr>
                  <w:r>
                    <w:rPr>
                      <w:rFonts w:hint="default" w:ascii="Times New Roman" w:hAnsi="Times New Roman" w:cs="Times New Roman"/>
                      <w:color w:val="auto"/>
                    </w:rPr>
                    <w:t>t/a</w:t>
                  </w:r>
                </w:p>
              </w:tc>
              <w:tc>
                <w:tcPr>
                  <w:tcW w:w="1763" w:type="dxa"/>
                  <w:tcBorders>
                    <w:tl2br w:val="nil"/>
                    <w:tr2bl w:val="nil"/>
                  </w:tcBorders>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收集后经“</w:t>
                  </w:r>
                  <w:r>
                    <w:rPr>
                      <w:rFonts w:hint="eastAsia" w:cs="Times New Roman"/>
                      <w:color w:val="auto"/>
                      <w:lang w:eastAsia="zh-CN"/>
                    </w:rPr>
                    <w:t>活性炭吸附＋脱附再生催化燃烧</w:t>
                  </w:r>
                  <w:r>
                    <w:rPr>
                      <w:rFonts w:hint="default" w:ascii="Times New Roman" w:hAnsi="Times New Roman" w:cs="Times New Roman"/>
                      <w:color w:val="auto"/>
                    </w:rPr>
                    <w:t>”设备处理+15m高排气筒排放，收集效率按90%计算。</w:t>
                  </w:r>
                </w:p>
              </w:tc>
              <w:tc>
                <w:tcPr>
                  <w:tcW w:w="712" w:type="dxa"/>
                  <w:tcBorders>
                    <w:tl2br w:val="nil"/>
                    <w:tr2bl w:val="nil"/>
                  </w:tcBorders>
                  <w:vAlign w:val="center"/>
                </w:tcPr>
                <w:p>
                  <w:pPr>
                    <w:pStyle w:val="11"/>
                    <w:jc w:val="center"/>
                    <w:rPr>
                      <w:rFonts w:hint="eastAsia" w:cs="Times New Roman"/>
                      <w:color w:val="auto"/>
                      <w:lang w:val="en-US" w:eastAsia="zh-CN"/>
                    </w:rPr>
                  </w:pPr>
                  <w:r>
                    <w:rPr>
                      <w:rFonts w:hint="eastAsia" w:cs="Times New Roman"/>
                      <w:color w:val="auto"/>
                      <w:lang w:val="en-US" w:eastAsia="zh-CN"/>
                    </w:rPr>
                    <w:t>2.38</w:t>
                  </w:r>
                </w:p>
                <w:p>
                  <w:pPr>
                    <w:pStyle w:val="11"/>
                    <w:jc w:val="center"/>
                    <w:rPr>
                      <w:rFonts w:hint="default" w:ascii="Times New Roman" w:hAnsi="Times New Roman" w:cs="Times New Roman"/>
                      <w:color w:val="auto"/>
                    </w:rPr>
                  </w:pPr>
                  <w:r>
                    <w:rPr>
                      <w:rFonts w:hint="default" w:ascii="Times New Roman" w:hAnsi="Times New Roman" w:cs="Times New Roman"/>
                      <w:color w:val="auto"/>
                    </w:rPr>
                    <w:t>t/a</w:t>
                  </w:r>
                </w:p>
              </w:tc>
              <w:tc>
                <w:tcPr>
                  <w:tcW w:w="700" w:type="dxa"/>
                  <w:tcBorders>
                    <w:tl2br w:val="nil"/>
                    <w:tr2bl w:val="nil"/>
                  </w:tcBorders>
                  <w:vAlign w:val="center"/>
                </w:tcPr>
                <w:p>
                  <w:pPr>
                    <w:pStyle w:val="11"/>
                    <w:jc w:val="center"/>
                    <w:rPr>
                      <w:rFonts w:hint="default" w:ascii="Times New Roman" w:hAnsi="Times New Roman" w:cs="Times New Roman"/>
                      <w:color w:val="auto"/>
                    </w:rPr>
                  </w:pPr>
                  <w:r>
                    <w:rPr>
                      <w:rFonts w:hint="eastAsia" w:cs="Times New Roman"/>
                      <w:color w:val="auto"/>
                      <w:lang w:val="en-US" w:eastAsia="zh-CN"/>
                    </w:rPr>
                    <w:t>90</w:t>
                  </w:r>
                  <w:r>
                    <w:rPr>
                      <w:rFonts w:hint="default" w:ascii="Times New Roman" w:hAnsi="Times New Roman" w:cs="Times New Roman"/>
                      <w:color w:val="auto"/>
                    </w:rPr>
                    <w:t>%</w:t>
                  </w:r>
                </w:p>
              </w:tc>
              <w:tc>
                <w:tcPr>
                  <w:tcW w:w="809" w:type="dxa"/>
                  <w:tcBorders>
                    <w:tl2br w:val="nil"/>
                    <w:tr2bl w:val="nil"/>
                  </w:tcBorders>
                  <w:vAlign w:val="center"/>
                </w:tcPr>
                <w:p>
                  <w:pPr>
                    <w:pStyle w:val="11"/>
                    <w:jc w:val="center"/>
                    <w:rPr>
                      <w:rFonts w:hint="default" w:ascii="Times New Roman" w:hAnsi="Times New Roman" w:cs="Times New Roman"/>
                      <w:color w:val="auto"/>
                    </w:rPr>
                  </w:pPr>
                  <w:r>
                    <w:rPr>
                      <w:rFonts w:hint="eastAsia" w:cs="Times New Roman"/>
                      <w:color w:val="auto"/>
                      <w:lang w:val="en-US" w:eastAsia="zh-CN"/>
                    </w:rPr>
                    <w:t>12.35</w:t>
                  </w:r>
                  <w:r>
                    <w:rPr>
                      <w:rFonts w:hint="default" w:ascii="Times New Roman" w:hAnsi="Times New Roman" w:cs="Times New Roman"/>
                      <w:color w:val="auto"/>
                    </w:rPr>
                    <w:t>mg/m</w:t>
                  </w:r>
                  <w:r>
                    <w:rPr>
                      <w:rFonts w:hint="default" w:ascii="Times New Roman" w:hAnsi="Times New Roman" w:cs="Times New Roman"/>
                      <w:color w:val="auto"/>
                      <w:vertAlign w:val="superscript"/>
                    </w:rPr>
                    <w:t>3</w:t>
                  </w:r>
                </w:p>
              </w:tc>
              <w:tc>
                <w:tcPr>
                  <w:tcW w:w="729" w:type="dxa"/>
                  <w:tcBorders>
                    <w:tl2br w:val="nil"/>
                    <w:tr2bl w:val="nil"/>
                  </w:tcBorders>
                  <w:vAlign w:val="center"/>
                </w:tcPr>
                <w:p>
                  <w:pPr>
                    <w:pStyle w:val="11"/>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rPr>
                    <w:t>0.</w:t>
                  </w:r>
                  <w:r>
                    <w:rPr>
                      <w:rFonts w:hint="eastAsia" w:cs="Times New Roman"/>
                      <w:color w:val="auto"/>
                      <w:lang w:val="en-US" w:eastAsia="zh-CN"/>
                    </w:rPr>
                    <w:t>100</w:t>
                  </w:r>
                </w:p>
                <w:p>
                  <w:pPr>
                    <w:pStyle w:val="11"/>
                    <w:jc w:val="center"/>
                    <w:rPr>
                      <w:rFonts w:hint="default" w:ascii="Times New Roman" w:hAnsi="Times New Roman" w:cs="Times New Roman"/>
                      <w:color w:val="auto"/>
                    </w:rPr>
                  </w:pPr>
                  <w:r>
                    <w:rPr>
                      <w:rFonts w:hint="default" w:ascii="Times New Roman" w:hAnsi="Times New Roman" w:cs="Times New Roman"/>
                      <w:color w:val="auto"/>
                    </w:rPr>
                    <w:t>kg/h</w:t>
                  </w:r>
                </w:p>
              </w:tc>
              <w:tc>
                <w:tcPr>
                  <w:tcW w:w="975" w:type="dxa"/>
                  <w:tcBorders>
                    <w:tl2br w:val="nil"/>
                    <w:tr2bl w:val="nil"/>
                  </w:tcBorders>
                  <w:vAlign w:val="center"/>
                </w:tcPr>
                <w:p>
                  <w:pPr>
                    <w:pStyle w:val="11"/>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rPr>
                    <w:t>0.</w:t>
                  </w:r>
                  <w:r>
                    <w:rPr>
                      <w:rFonts w:hint="eastAsia" w:cs="Times New Roman"/>
                      <w:color w:val="auto"/>
                      <w:lang w:val="en-US" w:eastAsia="zh-CN"/>
                    </w:rPr>
                    <w:t>24</w:t>
                  </w:r>
                </w:p>
                <w:p>
                  <w:pPr>
                    <w:pStyle w:val="11"/>
                    <w:jc w:val="center"/>
                    <w:rPr>
                      <w:rFonts w:hint="default" w:ascii="Times New Roman" w:hAnsi="Times New Roman" w:cs="Times New Roman"/>
                      <w:b/>
                      <w:bCs/>
                      <w:color w:val="auto"/>
                    </w:rPr>
                  </w:pPr>
                  <w:r>
                    <w:rPr>
                      <w:rFonts w:hint="default" w:ascii="Times New Roman" w:hAnsi="Times New Roman" w:cs="Times New Roman"/>
                      <w:color w:val="auto"/>
                    </w:rPr>
                    <w:t>t/a</w:t>
                  </w:r>
                </w:p>
              </w:tc>
              <w:tc>
                <w:tcPr>
                  <w:tcW w:w="941" w:type="dxa"/>
                  <w:tcBorders>
                    <w:tl2br w:val="nil"/>
                    <w:tr2bl w:val="nil"/>
                  </w:tcBorders>
                  <w:vAlign w:val="center"/>
                </w:tcPr>
                <w:p>
                  <w:pPr>
                    <w:pStyle w:val="11"/>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rPr>
                    <w:t>0.</w:t>
                  </w:r>
                  <w:r>
                    <w:rPr>
                      <w:rFonts w:hint="eastAsia" w:cs="Times New Roman"/>
                      <w:color w:val="auto"/>
                      <w:lang w:val="en-US" w:eastAsia="zh-CN"/>
                    </w:rPr>
                    <w:t>26</w:t>
                  </w:r>
                </w:p>
                <w:p>
                  <w:pPr>
                    <w:pStyle w:val="11"/>
                    <w:jc w:val="center"/>
                    <w:rPr>
                      <w:rFonts w:hint="default" w:ascii="Times New Roman" w:hAnsi="Times New Roman" w:cs="Times New Roman"/>
                      <w:b/>
                      <w:bCs/>
                      <w:color w:val="auto"/>
                    </w:rPr>
                  </w:pPr>
                  <w:r>
                    <w:rPr>
                      <w:rFonts w:hint="default" w:ascii="Times New Roman" w:hAnsi="Times New Roman" w:cs="Times New Roman"/>
                      <w:color w:val="auto"/>
                    </w:rPr>
                    <w:t>t/a</w:t>
                  </w:r>
                </w:p>
              </w:tc>
            </w:tr>
          </w:tbl>
          <w:p>
            <w:pPr>
              <w:adjustRightInd w:val="0"/>
              <w:snapToGrid w:val="0"/>
              <w:ind w:firstLine="442"/>
              <w:rPr>
                <w:rFonts w:hint="default" w:ascii="Times New Roman" w:hAnsi="Times New Roman" w:cs="Times New Roman"/>
                <w:b w:val="0"/>
                <w:bCs/>
                <w:color w:val="auto"/>
                <w:spacing w:val="-10"/>
                <w:szCs w:val="21"/>
              </w:rPr>
            </w:pPr>
            <w:r>
              <w:rPr>
                <w:rFonts w:hint="eastAsia" w:cs="Times New Roman"/>
                <w:b w:val="0"/>
                <w:bCs/>
                <w:color w:val="auto"/>
                <w:spacing w:val="-10"/>
                <w:szCs w:val="21"/>
                <w:lang w:val="en-US" w:eastAsia="zh-CN"/>
              </w:rPr>
              <w:t>根据表4-1相关内容，项目产生的造粒废气（G</w:t>
            </w:r>
            <w:r>
              <w:rPr>
                <w:rFonts w:hint="eastAsia" w:cs="Times New Roman"/>
                <w:b w:val="0"/>
                <w:bCs/>
                <w:color w:val="auto"/>
                <w:spacing w:val="-10"/>
                <w:szCs w:val="21"/>
                <w:vertAlign w:val="subscript"/>
                <w:lang w:val="en-US" w:eastAsia="zh-CN"/>
              </w:rPr>
              <w:t>1</w:t>
            </w:r>
            <w:r>
              <w:rPr>
                <w:rFonts w:hint="eastAsia" w:cs="Times New Roman"/>
                <w:b w:val="0"/>
                <w:bCs/>
                <w:color w:val="auto"/>
                <w:spacing w:val="-10"/>
                <w:szCs w:val="21"/>
                <w:lang w:val="en-US" w:eastAsia="zh-CN"/>
              </w:rPr>
              <w:t>）等有机废气经处理后的排放浓度分别是12.35mg/m3</w:t>
            </w:r>
            <w:r>
              <w:rPr>
                <w:rFonts w:hint="eastAsia" w:cs="Times New Roman"/>
                <w:b w:val="0"/>
                <w:bCs/>
                <w:color w:val="auto"/>
                <w:spacing w:val="-10"/>
                <w:szCs w:val="21"/>
                <w:vertAlign w:val="baseline"/>
                <w:lang w:val="en-US" w:eastAsia="zh-CN"/>
              </w:rPr>
              <w:t>能满足</w:t>
            </w:r>
            <w:r>
              <w:rPr>
                <w:rFonts w:hint="default" w:ascii="Times New Roman" w:hAnsi="Times New Roman" w:cs="Times New Roman"/>
                <w:b w:val="0"/>
                <w:bCs/>
                <w:color w:val="auto"/>
                <w:spacing w:val="-10"/>
                <w:szCs w:val="21"/>
                <w:lang w:val="en-US" w:eastAsia="zh-CN"/>
              </w:rPr>
              <w:t>《合成树脂工业污染物排放标准》（GB31572-2015）和</w:t>
            </w:r>
            <w:r>
              <w:rPr>
                <w:rFonts w:hint="default" w:ascii="Times New Roman" w:hAnsi="Times New Roman" w:cs="Times New Roman"/>
                <w:b w:val="0"/>
                <w:bCs/>
                <w:color w:val="auto"/>
                <w:spacing w:val="-10"/>
                <w:szCs w:val="21"/>
              </w:rPr>
              <w:t>四川省地方标准《四川省固定污染源大气挥发性有机物排放标准》（DB51/2377-2017）表3</w:t>
            </w:r>
            <w:r>
              <w:rPr>
                <w:rFonts w:hint="eastAsia" w:cs="Times New Roman"/>
                <w:b w:val="0"/>
                <w:bCs/>
                <w:color w:val="auto"/>
                <w:spacing w:val="-10"/>
                <w:szCs w:val="21"/>
                <w:lang w:val="en-US" w:eastAsia="zh-CN"/>
              </w:rPr>
              <w:t>的相关内容中对VOCs最高允许排放限值（60mg/m</w:t>
            </w:r>
            <w:r>
              <w:rPr>
                <w:rFonts w:hint="eastAsia" w:cs="Times New Roman"/>
                <w:b w:val="0"/>
                <w:bCs/>
                <w:color w:val="auto"/>
                <w:spacing w:val="-10"/>
                <w:szCs w:val="21"/>
                <w:vertAlign w:val="superscript"/>
                <w:lang w:val="en-US" w:eastAsia="zh-CN"/>
              </w:rPr>
              <w:t>3</w:t>
            </w:r>
            <w:r>
              <w:rPr>
                <w:rFonts w:hint="eastAsia" w:cs="Times New Roman"/>
                <w:b w:val="0"/>
                <w:bCs/>
                <w:color w:val="auto"/>
                <w:spacing w:val="-10"/>
                <w:szCs w:val="21"/>
                <w:lang w:val="en-US" w:eastAsia="zh-CN"/>
              </w:rPr>
              <w:t>）的要求，只要严格执行相应的环保处理措施，可以做到达标排放</w:t>
            </w:r>
            <w:r>
              <w:rPr>
                <w:rFonts w:hint="default" w:ascii="Times New Roman" w:hAnsi="Times New Roman" w:cs="Times New Roman"/>
                <w:b w:val="0"/>
                <w:bCs/>
                <w:color w:val="auto"/>
                <w:spacing w:val="-10"/>
                <w:szCs w:val="21"/>
              </w:rPr>
              <w:t>。</w:t>
            </w:r>
          </w:p>
          <w:p>
            <w:pPr>
              <w:adjustRightInd w:val="0"/>
              <w:snapToGrid w:val="0"/>
              <w:ind w:firstLine="442"/>
              <w:rPr>
                <w:rFonts w:hint="default" w:ascii="Times New Roman" w:hAnsi="Times New Roman" w:cs="Times New Roman"/>
                <w:b/>
                <w:color w:val="auto"/>
                <w:spacing w:val="-10"/>
                <w:szCs w:val="21"/>
              </w:rPr>
            </w:pPr>
            <w:r>
              <w:rPr>
                <w:rFonts w:hint="default" w:ascii="Times New Roman" w:hAnsi="Times New Roman" w:cs="Times New Roman"/>
                <w:b/>
                <w:color w:val="auto"/>
                <w:spacing w:val="-10"/>
                <w:szCs w:val="21"/>
              </w:rPr>
              <w:t>3、噪声产生及治理</w:t>
            </w:r>
          </w:p>
          <w:p>
            <w:pPr>
              <w:ind w:firstLine="480"/>
              <w:rPr>
                <w:rFonts w:hint="default" w:ascii="Times New Roman" w:hAnsi="Times New Roman" w:cs="Times New Roman"/>
                <w:color w:val="auto"/>
              </w:rPr>
            </w:pPr>
            <w:r>
              <w:rPr>
                <w:rFonts w:hint="default" w:ascii="Times New Roman" w:hAnsi="Times New Roman" w:cs="Times New Roman"/>
                <w:color w:val="auto"/>
              </w:rPr>
              <w:t>项目运行生产后，主要噪声源为各机械设备运行时产生的噪声。所用设备噪声级见表4-</w:t>
            </w:r>
            <w:r>
              <w:rPr>
                <w:rFonts w:hint="eastAsia" w:cs="Times New Roman"/>
                <w:color w:val="auto"/>
                <w:lang w:val="en-US" w:eastAsia="zh-CN"/>
              </w:rPr>
              <w:t>2</w:t>
            </w:r>
            <w:r>
              <w:rPr>
                <w:rFonts w:hint="default" w:ascii="Times New Roman" w:hAnsi="Times New Roman" w:cs="Times New Roman"/>
                <w:color w:val="auto"/>
              </w:rPr>
              <w:t>。</w:t>
            </w:r>
          </w:p>
          <w:p>
            <w:pPr>
              <w:pStyle w:val="11"/>
              <w:jc w:val="center"/>
              <w:rPr>
                <w:rFonts w:hint="default" w:ascii="Times New Roman" w:hAnsi="Times New Roman" w:cs="Times New Roman"/>
                <w:b/>
                <w:bCs/>
                <w:color w:val="auto"/>
              </w:rPr>
            </w:pPr>
            <w:r>
              <w:rPr>
                <w:rFonts w:hint="default" w:ascii="Times New Roman" w:hAnsi="Times New Roman" w:cs="Times New Roman"/>
                <w:b/>
                <w:bCs/>
                <w:color w:val="auto"/>
              </w:rPr>
              <w:t>表4-</w:t>
            </w:r>
            <w:r>
              <w:rPr>
                <w:rFonts w:hint="eastAsia" w:cs="Times New Roman"/>
                <w:b/>
                <w:bCs/>
                <w:color w:val="auto"/>
                <w:lang w:val="en-US" w:eastAsia="zh-CN"/>
              </w:rPr>
              <w:t>2</w:t>
            </w:r>
            <w:r>
              <w:rPr>
                <w:rFonts w:hint="default" w:ascii="Times New Roman" w:hAnsi="Times New Roman" w:cs="Times New Roman"/>
                <w:b/>
                <w:bCs/>
                <w:color w:val="auto"/>
              </w:rPr>
              <w:t xml:space="preserve">  项目主要噪声设备  单位：dB(A)</w:t>
            </w:r>
          </w:p>
          <w:tbl>
            <w:tblPr>
              <w:tblStyle w:val="5"/>
              <w:tblW w:w="8863"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04"/>
              <w:gridCol w:w="806"/>
              <w:gridCol w:w="994"/>
              <w:gridCol w:w="3774"/>
              <w:gridCol w:w="1044"/>
              <w:gridCol w:w="124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04" w:type="dxa"/>
                  <w:vAlign w:val="center"/>
                </w:tcPr>
                <w:p>
                  <w:pPr>
                    <w:pStyle w:val="11"/>
                    <w:jc w:val="center"/>
                    <w:rPr>
                      <w:rFonts w:hint="default" w:ascii="Times New Roman" w:hAnsi="Times New Roman" w:cs="Times New Roman"/>
                      <w:b/>
                      <w:bCs/>
                      <w:color w:val="auto"/>
                    </w:rPr>
                  </w:pPr>
                  <w:r>
                    <w:rPr>
                      <w:rFonts w:hint="default" w:ascii="Times New Roman" w:hAnsi="Times New Roman" w:cs="Times New Roman"/>
                      <w:b/>
                      <w:bCs/>
                      <w:color w:val="auto"/>
                    </w:rPr>
                    <w:t>噪声源</w:t>
                  </w:r>
                </w:p>
              </w:tc>
              <w:tc>
                <w:tcPr>
                  <w:tcW w:w="806" w:type="dxa"/>
                  <w:vAlign w:val="center"/>
                </w:tcPr>
                <w:p>
                  <w:pPr>
                    <w:pStyle w:val="11"/>
                    <w:jc w:val="center"/>
                    <w:rPr>
                      <w:rFonts w:hint="default" w:ascii="Times New Roman" w:hAnsi="Times New Roman" w:cs="Times New Roman"/>
                      <w:b/>
                      <w:bCs/>
                      <w:color w:val="auto"/>
                    </w:rPr>
                  </w:pPr>
                  <w:r>
                    <w:rPr>
                      <w:rFonts w:hint="default" w:ascii="Times New Roman" w:hAnsi="Times New Roman" w:cs="Times New Roman"/>
                      <w:b/>
                      <w:bCs/>
                      <w:color w:val="auto"/>
                    </w:rPr>
                    <w:t>数量(台)</w:t>
                  </w:r>
                </w:p>
              </w:tc>
              <w:tc>
                <w:tcPr>
                  <w:tcW w:w="994" w:type="dxa"/>
                  <w:vAlign w:val="center"/>
                </w:tcPr>
                <w:p>
                  <w:pPr>
                    <w:pStyle w:val="11"/>
                    <w:jc w:val="center"/>
                    <w:rPr>
                      <w:rFonts w:hint="default" w:ascii="Times New Roman" w:hAnsi="Times New Roman" w:cs="Times New Roman"/>
                      <w:b/>
                      <w:bCs/>
                      <w:color w:val="auto"/>
                    </w:rPr>
                  </w:pPr>
                  <w:r>
                    <w:rPr>
                      <w:rFonts w:hint="default" w:ascii="Times New Roman" w:hAnsi="Times New Roman" w:cs="Times New Roman"/>
                      <w:b/>
                      <w:bCs/>
                      <w:color w:val="auto"/>
                    </w:rPr>
                    <w:t>治理前声级</w:t>
                  </w:r>
                </w:p>
              </w:tc>
              <w:tc>
                <w:tcPr>
                  <w:tcW w:w="3774" w:type="dxa"/>
                  <w:vAlign w:val="center"/>
                </w:tcPr>
                <w:p>
                  <w:pPr>
                    <w:pStyle w:val="11"/>
                    <w:jc w:val="center"/>
                    <w:rPr>
                      <w:rFonts w:hint="default" w:ascii="Times New Roman" w:hAnsi="Times New Roman" w:cs="Times New Roman"/>
                      <w:b/>
                      <w:bCs/>
                      <w:color w:val="auto"/>
                    </w:rPr>
                  </w:pPr>
                  <w:r>
                    <w:rPr>
                      <w:rFonts w:hint="default" w:ascii="Times New Roman" w:hAnsi="Times New Roman" w:cs="Times New Roman"/>
                      <w:b/>
                      <w:bCs/>
                      <w:color w:val="auto"/>
                    </w:rPr>
                    <w:t>噪声防治措施</w:t>
                  </w:r>
                </w:p>
              </w:tc>
              <w:tc>
                <w:tcPr>
                  <w:tcW w:w="1044" w:type="dxa"/>
                  <w:vAlign w:val="center"/>
                </w:tcPr>
                <w:p>
                  <w:pPr>
                    <w:pStyle w:val="11"/>
                    <w:jc w:val="center"/>
                    <w:rPr>
                      <w:rFonts w:hint="default" w:ascii="Times New Roman" w:hAnsi="Times New Roman" w:cs="Times New Roman"/>
                      <w:b/>
                      <w:bCs/>
                      <w:color w:val="auto"/>
                    </w:rPr>
                  </w:pPr>
                  <w:r>
                    <w:rPr>
                      <w:rFonts w:hint="default" w:ascii="Times New Roman" w:hAnsi="Times New Roman" w:cs="Times New Roman"/>
                      <w:b/>
                      <w:bCs/>
                      <w:color w:val="auto"/>
                    </w:rPr>
                    <w:t>治理</w:t>
                  </w:r>
                </w:p>
                <w:p>
                  <w:pPr>
                    <w:pStyle w:val="11"/>
                    <w:jc w:val="center"/>
                    <w:rPr>
                      <w:rFonts w:hint="default" w:ascii="Times New Roman" w:hAnsi="Times New Roman" w:cs="Times New Roman"/>
                      <w:b/>
                      <w:bCs/>
                      <w:color w:val="auto"/>
                    </w:rPr>
                  </w:pPr>
                  <w:r>
                    <w:rPr>
                      <w:rFonts w:hint="default" w:ascii="Times New Roman" w:hAnsi="Times New Roman" w:cs="Times New Roman"/>
                      <w:b/>
                      <w:bCs/>
                      <w:color w:val="auto"/>
                    </w:rPr>
                    <w:t>后声级</w:t>
                  </w:r>
                </w:p>
              </w:tc>
              <w:tc>
                <w:tcPr>
                  <w:tcW w:w="1241" w:type="dxa"/>
                  <w:vAlign w:val="center"/>
                </w:tcPr>
                <w:p>
                  <w:pPr>
                    <w:pStyle w:val="11"/>
                    <w:jc w:val="center"/>
                    <w:rPr>
                      <w:rFonts w:hint="default" w:ascii="Times New Roman" w:hAnsi="Times New Roman" w:cs="Times New Roman"/>
                      <w:b/>
                      <w:bCs/>
                      <w:color w:val="auto"/>
                    </w:rPr>
                  </w:pPr>
                  <w:r>
                    <w:rPr>
                      <w:rFonts w:hint="default" w:ascii="Times New Roman" w:hAnsi="Times New Roman" w:cs="Times New Roman"/>
                      <w:b/>
                      <w:bCs/>
                      <w:color w:val="auto"/>
                    </w:rPr>
                    <w:t>持续</w:t>
                  </w:r>
                </w:p>
                <w:p>
                  <w:pPr>
                    <w:pStyle w:val="11"/>
                    <w:jc w:val="center"/>
                    <w:rPr>
                      <w:rFonts w:hint="default" w:ascii="Times New Roman" w:hAnsi="Times New Roman" w:cs="Times New Roman"/>
                      <w:b/>
                      <w:bCs/>
                      <w:color w:val="auto"/>
                    </w:rPr>
                  </w:pPr>
                  <w:r>
                    <w:rPr>
                      <w:rFonts w:hint="default" w:ascii="Times New Roman" w:hAnsi="Times New Roman" w:cs="Times New Roman"/>
                      <w:b/>
                      <w:bCs/>
                      <w:color w:val="auto"/>
                    </w:rPr>
                    <w:t>时间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04"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碎料机</w:t>
                  </w:r>
                </w:p>
                <w:p>
                  <w:pPr>
                    <w:pStyle w:val="11"/>
                    <w:jc w:val="center"/>
                    <w:rPr>
                      <w:rFonts w:hint="default" w:ascii="Times New Roman" w:hAnsi="Times New Roman" w:cs="Times New Roman"/>
                      <w:color w:val="auto"/>
                    </w:rPr>
                  </w:pPr>
                  <w:r>
                    <w:rPr>
                      <w:rFonts w:hint="default" w:ascii="Times New Roman" w:hAnsi="Times New Roman" w:cs="Times New Roman"/>
                      <w:color w:val="auto"/>
                    </w:rPr>
                    <w:t>（湿式）</w:t>
                  </w:r>
                </w:p>
              </w:tc>
              <w:tc>
                <w:tcPr>
                  <w:tcW w:w="806" w:type="dxa"/>
                  <w:vAlign w:val="center"/>
                </w:tcPr>
                <w:p>
                  <w:pPr>
                    <w:pStyle w:val="11"/>
                    <w:jc w:val="center"/>
                    <w:rPr>
                      <w:rFonts w:hint="default" w:ascii="Times New Roman" w:hAnsi="Times New Roman" w:eastAsia="宋体" w:cs="Times New Roman"/>
                      <w:color w:val="auto"/>
                      <w:lang w:eastAsia="zh-CN"/>
                    </w:rPr>
                  </w:pPr>
                  <w:r>
                    <w:rPr>
                      <w:rFonts w:hint="default" w:ascii="Times New Roman" w:hAnsi="Times New Roman" w:cs="Times New Roman"/>
                      <w:color w:val="auto"/>
                      <w:lang w:val="en-US" w:eastAsia="zh-CN"/>
                    </w:rPr>
                    <w:t>2</w:t>
                  </w:r>
                </w:p>
              </w:tc>
              <w:tc>
                <w:tcPr>
                  <w:tcW w:w="994"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85</w:t>
                  </w:r>
                </w:p>
              </w:tc>
              <w:tc>
                <w:tcPr>
                  <w:tcW w:w="3774"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生产车间封闭，合理布局，设置减震装置，基座加固，距离衰减</w:t>
                  </w:r>
                </w:p>
              </w:tc>
              <w:tc>
                <w:tcPr>
                  <w:tcW w:w="1044"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70</w:t>
                  </w:r>
                </w:p>
              </w:tc>
              <w:tc>
                <w:tcPr>
                  <w:tcW w:w="1241"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8h/d</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04"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滚筒机</w:t>
                  </w:r>
                </w:p>
              </w:tc>
              <w:tc>
                <w:tcPr>
                  <w:tcW w:w="806" w:type="dxa"/>
                  <w:vAlign w:val="center"/>
                </w:tcPr>
                <w:p>
                  <w:pPr>
                    <w:pStyle w:val="11"/>
                    <w:jc w:val="center"/>
                    <w:rPr>
                      <w:rFonts w:hint="eastAsia" w:ascii="Times New Roman" w:hAnsi="Times New Roman" w:eastAsia="宋体" w:cs="Times New Roman"/>
                      <w:color w:val="auto"/>
                      <w:lang w:eastAsia="zh-CN"/>
                    </w:rPr>
                  </w:pPr>
                  <w:r>
                    <w:rPr>
                      <w:rFonts w:hint="eastAsia" w:cs="Times New Roman"/>
                      <w:color w:val="auto"/>
                      <w:lang w:val="en-US" w:eastAsia="zh-CN"/>
                    </w:rPr>
                    <w:t>3</w:t>
                  </w:r>
                </w:p>
              </w:tc>
              <w:tc>
                <w:tcPr>
                  <w:tcW w:w="994"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80</w:t>
                  </w:r>
                </w:p>
              </w:tc>
              <w:tc>
                <w:tcPr>
                  <w:tcW w:w="3774"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生产车间封闭，合理布局，设置减震装置，基座加固，距离衰减</w:t>
                  </w:r>
                </w:p>
              </w:tc>
              <w:tc>
                <w:tcPr>
                  <w:tcW w:w="1044"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65</w:t>
                  </w:r>
                </w:p>
              </w:tc>
              <w:tc>
                <w:tcPr>
                  <w:tcW w:w="1241"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4h/d</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04"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提料机</w:t>
                  </w:r>
                </w:p>
              </w:tc>
              <w:tc>
                <w:tcPr>
                  <w:tcW w:w="806" w:type="dxa"/>
                  <w:vAlign w:val="center"/>
                </w:tcPr>
                <w:p>
                  <w:pPr>
                    <w:pStyle w:val="11"/>
                    <w:jc w:val="center"/>
                    <w:rPr>
                      <w:rFonts w:hint="eastAsia" w:ascii="Times New Roman" w:hAnsi="Times New Roman" w:eastAsia="宋体" w:cs="Times New Roman"/>
                      <w:color w:val="auto"/>
                      <w:lang w:eastAsia="zh-CN"/>
                    </w:rPr>
                  </w:pPr>
                  <w:r>
                    <w:rPr>
                      <w:rFonts w:hint="eastAsia" w:cs="Times New Roman"/>
                      <w:color w:val="auto"/>
                      <w:lang w:val="en-US" w:eastAsia="zh-CN"/>
                    </w:rPr>
                    <w:t>3</w:t>
                  </w:r>
                </w:p>
              </w:tc>
              <w:tc>
                <w:tcPr>
                  <w:tcW w:w="994"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80</w:t>
                  </w:r>
                </w:p>
              </w:tc>
              <w:tc>
                <w:tcPr>
                  <w:tcW w:w="3774"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生产车间封闭，合理布局，设置减震装置，基座加固，距离衰减</w:t>
                  </w:r>
                </w:p>
              </w:tc>
              <w:tc>
                <w:tcPr>
                  <w:tcW w:w="1044"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65</w:t>
                  </w:r>
                </w:p>
              </w:tc>
              <w:tc>
                <w:tcPr>
                  <w:tcW w:w="1241"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8h/d</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0" w:hRule="atLeast"/>
                <w:jc w:val="center"/>
              </w:trPr>
              <w:tc>
                <w:tcPr>
                  <w:tcW w:w="1004"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熔融造粒机</w:t>
                  </w:r>
                </w:p>
              </w:tc>
              <w:tc>
                <w:tcPr>
                  <w:tcW w:w="806" w:type="dxa"/>
                  <w:vAlign w:val="center"/>
                </w:tcPr>
                <w:p>
                  <w:pPr>
                    <w:pStyle w:val="11"/>
                    <w:jc w:val="center"/>
                    <w:rPr>
                      <w:rFonts w:hint="eastAsia" w:ascii="Times New Roman" w:hAnsi="Times New Roman" w:eastAsia="宋体" w:cs="Times New Roman"/>
                      <w:color w:val="auto"/>
                      <w:lang w:eastAsia="zh-CN"/>
                    </w:rPr>
                  </w:pPr>
                  <w:r>
                    <w:rPr>
                      <w:rFonts w:hint="eastAsia" w:cs="Times New Roman"/>
                      <w:color w:val="auto"/>
                      <w:lang w:val="en-US" w:eastAsia="zh-CN"/>
                    </w:rPr>
                    <w:t>3</w:t>
                  </w:r>
                </w:p>
              </w:tc>
              <w:tc>
                <w:tcPr>
                  <w:tcW w:w="994"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80</w:t>
                  </w:r>
                </w:p>
              </w:tc>
              <w:tc>
                <w:tcPr>
                  <w:tcW w:w="3774"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生产车间封闭，合理布局，设置减震装置，基座加固，距离衰减</w:t>
                  </w:r>
                </w:p>
              </w:tc>
              <w:tc>
                <w:tcPr>
                  <w:tcW w:w="1044"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65</w:t>
                  </w:r>
                </w:p>
              </w:tc>
              <w:tc>
                <w:tcPr>
                  <w:tcW w:w="1241"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8h/d</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04"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切粒机</w:t>
                  </w:r>
                </w:p>
              </w:tc>
              <w:tc>
                <w:tcPr>
                  <w:tcW w:w="806"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3</w:t>
                  </w:r>
                </w:p>
              </w:tc>
              <w:tc>
                <w:tcPr>
                  <w:tcW w:w="994"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85</w:t>
                  </w:r>
                </w:p>
              </w:tc>
              <w:tc>
                <w:tcPr>
                  <w:tcW w:w="3774"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生产车间封闭，合理布局，设置减震装置，基座加固，距离衰减</w:t>
                  </w:r>
                </w:p>
              </w:tc>
              <w:tc>
                <w:tcPr>
                  <w:tcW w:w="1044"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70</w:t>
                  </w:r>
                </w:p>
              </w:tc>
              <w:tc>
                <w:tcPr>
                  <w:tcW w:w="1241"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6h/d</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04"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抽粒机</w:t>
                  </w:r>
                </w:p>
              </w:tc>
              <w:tc>
                <w:tcPr>
                  <w:tcW w:w="806"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3</w:t>
                  </w:r>
                </w:p>
              </w:tc>
              <w:tc>
                <w:tcPr>
                  <w:tcW w:w="994"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85</w:t>
                  </w:r>
                </w:p>
              </w:tc>
              <w:tc>
                <w:tcPr>
                  <w:tcW w:w="3774"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生产车间封闭，合理布局，设置减震装置，基座加固，距离衰减</w:t>
                  </w:r>
                </w:p>
              </w:tc>
              <w:tc>
                <w:tcPr>
                  <w:tcW w:w="1044"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70</w:t>
                  </w:r>
                </w:p>
              </w:tc>
              <w:tc>
                <w:tcPr>
                  <w:tcW w:w="1241"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6h/d</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04"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风机</w:t>
                  </w:r>
                </w:p>
              </w:tc>
              <w:tc>
                <w:tcPr>
                  <w:tcW w:w="806"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1</w:t>
                  </w:r>
                </w:p>
              </w:tc>
              <w:tc>
                <w:tcPr>
                  <w:tcW w:w="994"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85</w:t>
                  </w:r>
                </w:p>
              </w:tc>
              <w:tc>
                <w:tcPr>
                  <w:tcW w:w="3774"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选用低噪声设备，基础减震，柔性连接，定期维护，生产车间封闭，合理布局，距离衰减</w:t>
                  </w:r>
                </w:p>
              </w:tc>
              <w:tc>
                <w:tcPr>
                  <w:tcW w:w="1044"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70</w:t>
                  </w:r>
                </w:p>
              </w:tc>
              <w:tc>
                <w:tcPr>
                  <w:tcW w:w="1241"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8h/d</w:t>
                  </w:r>
                </w:p>
              </w:tc>
            </w:tr>
          </w:tbl>
          <w:p>
            <w:pPr>
              <w:ind w:firstLine="480"/>
              <w:rPr>
                <w:rFonts w:hint="default" w:ascii="Times New Roman" w:hAnsi="Times New Roman" w:cs="Times New Roman"/>
                <w:color w:val="auto"/>
              </w:rPr>
            </w:pPr>
            <w:r>
              <w:rPr>
                <w:rFonts w:hint="default" w:ascii="Times New Roman" w:hAnsi="Times New Roman" w:cs="Times New Roman"/>
                <w:color w:val="auto"/>
              </w:rPr>
              <w:t>本项目主要采取如下综合降噪措施：</w:t>
            </w:r>
          </w:p>
          <w:p>
            <w:pPr>
              <w:ind w:firstLine="480"/>
              <w:rPr>
                <w:rFonts w:hint="default" w:ascii="Times New Roman" w:hAnsi="Times New Roman" w:cs="Times New Roman"/>
                <w:color w:val="auto"/>
              </w:rPr>
            </w:pPr>
            <w:r>
              <w:rPr>
                <w:rFonts w:hint="default" w:ascii="Times New Roman" w:hAnsi="Times New Roman" w:cs="Times New Roman"/>
                <w:color w:val="auto"/>
              </w:rPr>
              <w:t>1）项目各设备选用低噪声设备；</w:t>
            </w:r>
          </w:p>
          <w:p>
            <w:pPr>
              <w:ind w:firstLine="480"/>
              <w:rPr>
                <w:rFonts w:hint="default" w:ascii="Times New Roman" w:hAnsi="Times New Roman" w:cs="Times New Roman"/>
                <w:color w:val="auto"/>
              </w:rPr>
            </w:pPr>
            <w:r>
              <w:rPr>
                <w:rFonts w:hint="default" w:ascii="Times New Roman" w:hAnsi="Times New Roman" w:cs="Times New Roman"/>
                <w:color w:val="auto"/>
              </w:rPr>
              <w:t>2）合理布置，主要噪声源均布置于建筑物内，利用建筑墙体隔音作用；</w:t>
            </w:r>
          </w:p>
          <w:p>
            <w:pPr>
              <w:ind w:firstLine="480"/>
              <w:rPr>
                <w:rFonts w:hint="default" w:ascii="Times New Roman" w:hAnsi="Times New Roman" w:cs="Times New Roman"/>
                <w:color w:val="auto"/>
              </w:rPr>
            </w:pPr>
            <w:r>
              <w:rPr>
                <w:rFonts w:hint="default" w:ascii="Times New Roman" w:hAnsi="Times New Roman" w:cs="Times New Roman"/>
                <w:color w:val="auto"/>
              </w:rPr>
              <w:t>3）设备安装减震器减震；</w:t>
            </w:r>
          </w:p>
          <w:p>
            <w:pPr>
              <w:ind w:firstLine="480"/>
              <w:rPr>
                <w:rFonts w:hint="default" w:ascii="Times New Roman" w:hAnsi="Times New Roman" w:cs="Times New Roman"/>
                <w:color w:val="auto"/>
              </w:rPr>
            </w:pPr>
            <w:r>
              <w:rPr>
                <w:rFonts w:hint="default" w:ascii="Times New Roman" w:hAnsi="Times New Roman" w:cs="Times New Roman"/>
                <w:color w:val="auto"/>
              </w:rPr>
              <w:t>4）加强生产过程中的设备的维护及操作管理；</w:t>
            </w:r>
          </w:p>
          <w:p>
            <w:pPr>
              <w:ind w:firstLine="480"/>
              <w:rPr>
                <w:rFonts w:hint="default" w:ascii="Times New Roman" w:hAnsi="Times New Roman" w:cs="Times New Roman"/>
                <w:color w:val="auto"/>
              </w:rPr>
            </w:pPr>
            <w:r>
              <w:rPr>
                <w:rFonts w:hint="default" w:ascii="Times New Roman" w:hAnsi="Times New Roman" w:cs="Times New Roman"/>
                <w:color w:val="auto"/>
              </w:rPr>
              <w:t>5）建立设备定期维护、保养的管理制度，以防止设备故障形成的非正常生产噪声；加强职工环保意识教育，提倡文明生产，防止人为噪声。</w:t>
            </w:r>
          </w:p>
          <w:p>
            <w:pPr>
              <w:ind w:firstLine="480"/>
              <w:rPr>
                <w:rFonts w:hint="default" w:ascii="Times New Roman" w:hAnsi="Times New Roman" w:cs="Times New Roman"/>
                <w:color w:val="auto"/>
              </w:rPr>
            </w:pPr>
            <w:r>
              <w:rPr>
                <w:rFonts w:hint="default" w:ascii="Times New Roman" w:hAnsi="Times New Roman" w:cs="Times New Roman"/>
                <w:color w:val="auto"/>
              </w:rPr>
              <w:t>在严格采取上述隔声降噪措施后，项目设备噪声可削减噪声15dB(A)，经衰减其厂界噪声确保达到《工业企业厂界环境噪声排放标准》（GB12348-2008）中3类标准（昼间65dB（A），夜间55dB（A））的要求，从而实现达标排放。</w:t>
            </w:r>
          </w:p>
          <w:p>
            <w:pPr>
              <w:adjustRightInd w:val="0"/>
              <w:snapToGrid w:val="0"/>
              <w:ind w:firstLine="442"/>
              <w:rPr>
                <w:rFonts w:hint="default" w:ascii="Times New Roman" w:hAnsi="Times New Roman" w:cs="Times New Roman"/>
                <w:b/>
                <w:color w:val="auto"/>
                <w:spacing w:val="-10"/>
                <w:szCs w:val="21"/>
              </w:rPr>
            </w:pPr>
            <w:r>
              <w:rPr>
                <w:rFonts w:hint="default" w:ascii="Times New Roman" w:hAnsi="Times New Roman" w:cs="Times New Roman"/>
                <w:b/>
                <w:color w:val="auto"/>
                <w:spacing w:val="-10"/>
                <w:szCs w:val="21"/>
              </w:rPr>
              <w:t>4、固体废弃物产生及治理</w:t>
            </w:r>
          </w:p>
          <w:p>
            <w:pPr>
              <w:ind w:firstLine="480"/>
              <w:rPr>
                <w:rFonts w:hint="default" w:ascii="Times New Roman" w:hAnsi="Times New Roman" w:cs="Times New Roman"/>
                <w:color w:val="auto"/>
              </w:rPr>
            </w:pPr>
            <w:r>
              <w:rPr>
                <w:rFonts w:hint="default" w:ascii="Times New Roman" w:hAnsi="Times New Roman" w:cs="Times New Roman"/>
                <w:color w:val="auto"/>
              </w:rPr>
              <w:t>项目产生的固废主要为不合格产品、边角料、生活垃圾等。</w:t>
            </w:r>
          </w:p>
          <w:p>
            <w:pPr>
              <w:ind w:firstLine="480"/>
              <w:rPr>
                <w:rFonts w:hint="default" w:ascii="Times New Roman" w:hAnsi="Times New Roman" w:cs="Times New Roman"/>
                <w:color w:val="auto"/>
              </w:rPr>
            </w:pPr>
            <w:r>
              <w:rPr>
                <w:rFonts w:hint="default" w:ascii="Times New Roman" w:hAnsi="Times New Roman" w:cs="Times New Roman"/>
                <w:color w:val="auto"/>
              </w:rPr>
              <w:t>（1）办公生活垃圾</w:t>
            </w:r>
          </w:p>
          <w:p>
            <w:pPr>
              <w:ind w:firstLine="480"/>
              <w:rPr>
                <w:rFonts w:hint="default" w:ascii="Times New Roman" w:hAnsi="Times New Roman" w:cs="Times New Roman"/>
                <w:color w:val="auto"/>
              </w:rPr>
            </w:pPr>
            <w:r>
              <w:rPr>
                <w:rFonts w:hint="default" w:ascii="Times New Roman" w:hAnsi="Times New Roman" w:cs="Times New Roman"/>
                <w:color w:val="auto"/>
              </w:rPr>
              <w:t>本项目劳动定员人数为60人，生活垃圾产生量按照0.5kg/人.d计算，则生活垃圾产生量约为30.0kg/d，经垃圾收集点收集后由环卫部门清运。</w:t>
            </w:r>
          </w:p>
          <w:p>
            <w:pPr>
              <w:ind w:firstLine="480"/>
              <w:rPr>
                <w:rFonts w:hint="default" w:ascii="Times New Roman" w:hAnsi="Times New Roman" w:cs="Times New Roman"/>
                <w:color w:val="auto"/>
              </w:rPr>
            </w:pPr>
            <w:r>
              <w:rPr>
                <w:rFonts w:hint="default" w:ascii="Times New Roman" w:hAnsi="Times New Roman" w:cs="Times New Roman"/>
                <w:color w:val="auto"/>
              </w:rPr>
              <w:t>（2）不合格产品</w:t>
            </w:r>
          </w:p>
          <w:p>
            <w:pPr>
              <w:ind w:firstLine="480"/>
              <w:rPr>
                <w:rFonts w:hint="default" w:ascii="Times New Roman" w:hAnsi="Times New Roman" w:cs="Times New Roman"/>
                <w:color w:val="auto"/>
              </w:rPr>
            </w:pPr>
            <w:r>
              <w:rPr>
                <w:rFonts w:hint="default" w:ascii="Times New Roman" w:hAnsi="Times New Roman" w:cs="Times New Roman"/>
                <w:color w:val="auto"/>
              </w:rPr>
              <w:t>本项目车间的再生塑料产品在生产过程中，由于产品批次、重新开机等原因，有部分含杂质较多的再生塑料颗粒（为保证品质，视为不合格产品）产生，经业主单位介绍，车间的不合格产品产生量较少，产生量按</w:t>
            </w:r>
            <w:r>
              <w:rPr>
                <w:rFonts w:hint="eastAsia" w:cs="Times New Roman"/>
                <w:color w:val="auto"/>
                <w:lang w:val="en-US" w:eastAsia="zh-CN"/>
              </w:rPr>
              <w:t>7.36</w:t>
            </w:r>
            <w:r>
              <w:rPr>
                <w:rFonts w:hint="default" w:ascii="Times New Roman" w:hAnsi="Times New Roman" w:cs="Times New Roman"/>
                <w:color w:val="auto"/>
              </w:rPr>
              <w:t>t/a进行计算，该部分不再回用于生产，交由废旧物回收公司进行处理。</w:t>
            </w:r>
          </w:p>
          <w:p>
            <w:pPr>
              <w:ind w:firstLine="480"/>
              <w:rPr>
                <w:rFonts w:hint="default" w:ascii="Times New Roman" w:hAnsi="Times New Roman" w:cs="Times New Roman"/>
                <w:color w:val="auto"/>
              </w:rPr>
            </w:pPr>
            <w:r>
              <w:rPr>
                <w:rFonts w:hint="default" w:ascii="Times New Roman" w:hAnsi="Times New Roman" w:cs="Times New Roman"/>
                <w:color w:val="auto"/>
              </w:rPr>
              <w:t>（</w:t>
            </w:r>
            <w:r>
              <w:rPr>
                <w:rFonts w:hint="eastAsia" w:cs="Times New Roman"/>
                <w:color w:val="auto"/>
                <w:lang w:val="en-US" w:eastAsia="zh-CN"/>
              </w:rPr>
              <w:t>3</w:t>
            </w:r>
            <w:r>
              <w:rPr>
                <w:rFonts w:hint="default" w:ascii="Times New Roman" w:hAnsi="Times New Roman" w:cs="Times New Roman"/>
                <w:color w:val="auto"/>
              </w:rPr>
              <w:t>）废包装材料</w:t>
            </w:r>
          </w:p>
          <w:p>
            <w:pPr>
              <w:ind w:firstLine="480"/>
              <w:rPr>
                <w:rFonts w:hint="default" w:ascii="Times New Roman" w:hAnsi="Times New Roman" w:cs="Times New Roman"/>
                <w:color w:val="auto"/>
              </w:rPr>
            </w:pPr>
            <w:r>
              <w:rPr>
                <w:rFonts w:hint="default" w:ascii="Times New Roman" w:hAnsi="Times New Roman" w:cs="Times New Roman"/>
                <w:color w:val="auto"/>
              </w:rPr>
              <w:t>本项目在生产过程中，会产生部分废包装材料，经业主单位介绍，废包装材料约0.5t/a，交由废旧物回收公司进行处理。</w:t>
            </w:r>
          </w:p>
          <w:p>
            <w:pPr>
              <w:ind w:firstLine="480"/>
              <w:rPr>
                <w:rFonts w:hint="default" w:ascii="Times New Roman" w:hAnsi="Times New Roman" w:cs="Times New Roman"/>
                <w:color w:val="auto"/>
              </w:rPr>
            </w:pPr>
            <w:r>
              <w:rPr>
                <w:rFonts w:hint="default" w:ascii="Times New Roman" w:hAnsi="Times New Roman" w:cs="Times New Roman"/>
                <w:color w:val="auto"/>
              </w:rPr>
              <w:t>（</w:t>
            </w:r>
            <w:r>
              <w:rPr>
                <w:rFonts w:hint="eastAsia" w:cs="Times New Roman"/>
                <w:color w:val="auto"/>
                <w:lang w:val="en-US" w:eastAsia="zh-CN"/>
              </w:rPr>
              <w:t>4</w:t>
            </w:r>
            <w:r>
              <w:rPr>
                <w:rFonts w:hint="default" w:ascii="Times New Roman" w:hAnsi="Times New Roman" w:cs="Times New Roman"/>
                <w:color w:val="auto"/>
              </w:rPr>
              <w:t>）预处理池的污泥</w:t>
            </w:r>
          </w:p>
          <w:p>
            <w:pPr>
              <w:ind w:firstLine="480"/>
              <w:rPr>
                <w:rFonts w:hint="default" w:ascii="Times New Roman" w:hAnsi="Times New Roman" w:cs="Times New Roman"/>
                <w:color w:val="auto"/>
              </w:rPr>
            </w:pPr>
            <w:r>
              <w:rPr>
                <w:rFonts w:hint="default" w:ascii="Times New Roman" w:hAnsi="Times New Roman" w:cs="Times New Roman"/>
                <w:color w:val="auto"/>
              </w:rPr>
              <w:t>本项目其设计容积100m</w:t>
            </w:r>
            <w:r>
              <w:rPr>
                <w:rFonts w:hint="default" w:ascii="Times New Roman" w:hAnsi="Times New Roman" w:cs="Times New Roman"/>
                <w:color w:val="auto"/>
                <w:vertAlign w:val="superscript"/>
              </w:rPr>
              <w:t>3</w:t>
            </w:r>
            <w:r>
              <w:rPr>
                <w:rFonts w:hint="default" w:ascii="Times New Roman" w:hAnsi="Times New Roman" w:cs="Times New Roman"/>
                <w:color w:val="auto"/>
              </w:rPr>
              <w:t>，能满足本次项目的需要，本项目污泥产生量为</w:t>
            </w:r>
            <w:r>
              <w:rPr>
                <w:rFonts w:hint="default" w:ascii="Times New Roman" w:hAnsi="Times New Roman" w:cs="Times New Roman"/>
                <w:color w:val="auto"/>
                <w:lang w:val="en-US" w:eastAsia="zh-CN"/>
              </w:rPr>
              <w:t>约为2.0t</w:t>
            </w:r>
            <w:r>
              <w:rPr>
                <w:rFonts w:hint="default" w:ascii="Times New Roman" w:hAnsi="Times New Roman" w:cs="Times New Roman"/>
                <w:color w:val="auto"/>
              </w:rPr>
              <w:t>/a。项目运营期对预处理池所产生的污泥交由环卫部门定期清理。</w:t>
            </w:r>
          </w:p>
          <w:p>
            <w:pPr>
              <w:adjustRightInd w:val="0"/>
              <w:snapToGrid w:val="0"/>
              <w:ind w:firstLine="480"/>
              <w:jc w:val="left"/>
              <w:rPr>
                <w:rFonts w:hint="default" w:ascii="Times New Roman" w:hAnsi="Times New Roman" w:eastAsia="宋体" w:cs="Times New Roman"/>
                <w:color w:val="auto"/>
                <w:lang w:eastAsia="zh-CN"/>
              </w:rPr>
            </w:pPr>
            <w:r>
              <w:rPr>
                <w:rFonts w:hint="default" w:ascii="Times New Roman" w:hAnsi="Times New Roman" w:cs="Times New Roman"/>
                <w:color w:val="auto"/>
              </w:rPr>
              <w:t>（</w:t>
            </w:r>
            <w:r>
              <w:rPr>
                <w:rFonts w:hint="eastAsia" w:cs="Times New Roman"/>
                <w:color w:val="auto"/>
                <w:lang w:val="en-US" w:eastAsia="zh-CN"/>
              </w:rPr>
              <w:t>5</w:t>
            </w:r>
            <w:r>
              <w:rPr>
                <w:rFonts w:hint="default" w:ascii="Times New Roman" w:hAnsi="Times New Roman" w:cs="Times New Roman"/>
                <w:color w:val="auto"/>
              </w:rPr>
              <w:t>）</w:t>
            </w:r>
            <w:r>
              <w:rPr>
                <w:rFonts w:hint="default" w:ascii="Times New Roman" w:hAnsi="Times New Roman" w:cs="Times New Roman"/>
                <w:color w:val="auto"/>
                <w:lang w:eastAsia="zh-CN"/>
              </w:rPr>
              <w:t>清洗沉淀池泥沙</w:t>
            </w:r>
          </w:p>
          <w:p>
            <w:pPr>
              <w:ind w:firstLine="480"/>
              <w:rPr>
                <w:rFonts w:hint="default" w:ascii="Times New Roman" w:hAnsi="Times New Roman" w:cs="Times New Roman"/>
                <w:color w:val="auto"/>
              </w:rPr>
            </w:pPr>
            <w:r>
              <w:rPr>
                <w:rFonts w:hint="default" w:ascii="Times New Roman" w:hAnsi="Times New Roman" w:cs="Times New Roman"/>
                <w:color w:val="auto"/>
              </w:rPr>
              <w:t>本项目车间</w:t>
            </w:r>
            <w:r>
              <w:rPr>
                <w:rFonts w:hint="default" w:ascii="Times New Roman" w:hAnsi="Times New Roman" w:cs="Times New Roman"/>
                <w:color w:val="auto"/>
                <w:lang w:val="en-US" w:eastAsia="zh-CN"/>
              </w:rPr>
              <w:t>需要定期</w:t>
            </w:r>
            <w:r>
              <w:rPr>
                <w:rFonts w:hint="default" w:ascii="Times New Roman" w:hAnsi="Times New Roman" w:cs="Times New Roman"/>
                <w:color w:val="auto"/>
              </w:rPr>
              <w:t>对沉淀池中泥沙进行处理（3个月1次）</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经业主单位提供资料</w:t>
            </w:r>
            <w:r>
              <w:rPr>
                <w:rFonts w:hint="default" w:ascii="Times New Roman" w:hAnsi="Times New Roman" w:cs="Times New Roman"/>
                <w:color w:val="auto"/>
              </w:rPr>
              <w:t>，</w:t>
            </w:r>
            <w:r>
              <w:rPr>
                <w:rFonts w:hint="default" w:ascii="Times New Roman" w:hAnsi="Times New Roman" w:cs="Times New Roman"/>
                <w:color w:val="auto"/>
                <w:lang w:val="en-US" w:eastAsia="zh-CN"/>
              </w:rPr>
              <w:t>废旧塑料中含泥沙量按原材料的是用量0.</w:t>
            </w:r>
            <w:r>
              <w:rPr>
                <w:rFonts w:hint="eastAsia" w:cs="Times New Roman"/>
                <w:color w:val="auto"/>
                <w:lang w:val="en-US" w:eastAsia="zh-CN"/>
              </w:rPr>
              <w:t>5</w:t>
            </w:r>
            <w:r>
              <w:rPr>
                <w:rFonts w:hint="default" w:ascii="Times New Roman" w:hAnsi="Times New Roman" w:cs="Times New Roman"/>
                <w:color w:val="auto"/>
                <w:lang w:val="en-US" w:eastAsia="zh-CN"/>
              </w:rPr>
              <w:t>%进行估算</w:t>
            </w:r>
            <w:r>
              <w:rPr>
                <w:rFonts w:hint="default" w:ascii="Times New Roman" w:hAnsi="Times New Roman" w:cs="Times New Roman"/>
                <w:color w:val="auto"/>
                <w:lang w:eastAsia="zh-CN"/>
              </w:rPr>
              <w:t>，</w:t>
            </w:r>
            <w:r>
              <w:rPr>
                <w:rFonts w:hint="default" w:ascii="Times New Roman" w:hAnsi="Times New Roman" w:cs="Times New Roman"/>
                <w:color w:val="auto"/>
              </w:rPr>
              <w:t>项目污泥产生量按</w:t>
            </w:r>
            <w:r>
              <w:rPr>
                <w:rFonts w:hint="default" w:ascii="Times New Roman" w:hAnsi="Times New Roman" w:cs="Times New Roman"/>
                <w:color w:val="auto"/>
                <w:lang w:val="en-US" w:eastAsia="zh-CN"/>
              </w:rPr>
              <w:t>约</w:t>
            </w:r>
            <w:r>
              <w:rPr>
                <w:rFonts w:hint="default" w:ascii="Times New Roman" w:hAnsi="Times New Roman" w:cs="Times New Roman"/>
                <w:color w:val="auto"/>
              </w:rPr>
              <w:t>为</w:t>
            </w:r>
            <w:r>
              <w:rPr>
                <w:rFonts w:hint="default" w:ascii="Times New Roman" w:hAnsi="Times New Roman" w:cs="Times New Roman"/>
                <w:color w:val="auto"/>
                <w:lang w:val="en-US" w:eastAsia="zh-CN"/>
              </w:rPr>
              <w:t>4</w:t>
            </w:r>
            <w:r>
              <w:rPr>
                <w:rFonts w:hint="eastAsia" w:cs="Times New Roman"/>
                <w:color w:val="auto"/>
                <w:lang w:val="en-US" w:eastAsia="zh-CN"/>
              </w:rPr>
              <w:t>0</w:t>
            </w:r>
            <w:r>
              <w:rPr>
                <w:rFonts w:hint="default" w:ascii="Times New Roman" w:hAnsi="Times New Roman" w:cs="Times New Roman"/>
                <w:color w:val="auto"/>
                <w:lang w:eastAsia="zh-CN"/>
              </w:rPr>
              <w:t>t/a</w:t>
            </w:r>
            <w:r>
              <w:rPr>
                <w:rFonts w:hint="default" w:ascii="Times New Roman" w:hAnsi="Times New Roman" w:cs="Times New Roman"/>
                <w:color w:val="auto"/>
              </w:rPr>
              <w:t>。项目运营期对清洗水池所产生的泥沙交由环卫部门及时清理。</w:t>
            </w:r>
          </w:p>
          <w:p>
            <w:pPr>
              <w:adjustRightInd w:val="0"/>
              <w:snapToGrid w:val="0"/>
              <w:ind w:firstLine="480"/>
              <w:jc w:val="left"/>
              <w:rPr>
                <w:rFonts w:hint="default" w:ascii="Times New Roman" w:hAnsi="Times New Roman" w:cs="Times New Roman"/>
                <w:color w:val="auto"/>
              </w:rPr>
            </w:pPr>
            <w:r>
              <w:rPr>
                <w:rFonts w:hint="default" w:ascii="Times New Roman" w:hAnsi="Times New Roman" w:cs="Times New Roman"/>
                <w:color w:val="auto"/>
              </w:rPr>
              <w:t>（</w:t>
            </w:r>
            <w:r>
              <w:rPr>
                <w:rFonts w:hint="eastAsia" w:cs="Times New Roman"/>
                <w:color w:val="auto"/>
                <w:lang w:val="en-US" w:eastAsia="zh-CN"/>
              </w:rPr>
              <w:t>6</w:t>
            </w:r>
            <w:r>
              <w:rPr>
                <w:rFonts w:hint="default" w:ascii="Times New Roman" w:hAnsi="Times New Roman" w:cs="Times New Roman"/>
                <w:color w:val="auto"/>
              </w:rPr>
              <w:t>）废机油</w:t>
            </w:r>
          </w:p>
          <w:p>
            <w:pPr>
              <w:adjustRightInd w:val="0"/>
              <w:snapToGrid w:val="0"/>
              <w:ind w:firstLine="480"/>
              <w:jc w:val="left"/>
              <w:rPr>
                <w:rFonts w:hint="default" w:ascii="Times New Roman" w:hAnsi="Times New Roman" w:cs="Times New Roman"/>
                <w:color w:val="auto"/>
              </w:rPr>
            </w:pPr>
            <w:r>
              <w:rPr>
                <w:rFonts w:hint="default" w:ascii="Times New Roman" w:hAnsi="Times New Roman" w:cs="Times New Roman"/>
                <w:color w:val="auto"/>
              </w:rPr>
              <w:t>项目设备进行维修养护时更换下来的废机油，</w:t>
            </w:r>
            <w:r>
              <w:rPr>
                <w:rFonts w:hint="default" w:ascii="Times New Roman" w:hAnsi="Times New Roman" w:cs="Times New Roman"/>
                <w:b/>
                <w:bCs/>
                <w:color w:val="auto"/>
                <w:u w:val="single"/>
              </w:rPr>
              <w:t>在设备下方设置防渗托盘收集废机油</w:t>
            </w:r>
            <w:r>
              <w:rPr>
                <w:rFonts w:hint="default" w:ascii="Times New Roman" w:hAnsi="Times New Roman" w:cs="Times New Roman"/>
                <w:color w:val="auto"/>
              </w:rPr>
              <w:t>，根据业主提供的资料，产生量为0.01t/a，经收集后暂存于危废间，交由有资质单位进行合理处理处置。</w:t>
            </w:r>
          </w:p>
          <w:p>
            <w:pPr>
              <w:adjustRightInd w:val="0"/>
              <w:snapToGrid w:val="0"/>
              <w:ind w:firstLine="480"/>
              <w:jc w:val="left"/>
              <w:rPr>
                <w:rFonts w:hint="default" w:ascii="Times New Roman" w:hAnsi="Times New Roman" w:cs="Times New Roman"/>
                <w:color w:val="auto"/>
              </w:rPr>
            </w:pPr>
            <w:r>
              <w:rPr>
                <w:rFonts w:hint="default" w:ascii="Times New Roman" w:hAnsi="Times New Roman" w:cs="Times New Roman"/>
                <w:color w:val="auto"/>
              </w:rPr>
              <w:t>（</w:t>
            </w:r>
            <w:r>
              <w:rPr>
                <w:rFonts w:hint="eastAsia" w:cs="Times New Roman"/>
                <w:color w:val="auto"/>
                <w:lang w:val="en-US" w:eastAsia="zh-CN"/>
              </w:rPr>
              <w:t>7</w:t>
            </w:r>
            <w:r>
              <w:rPr>
                <w:rFonts w:hint="default" w:ascii="Times New Roman" w:hAnsi="Times New Roman" w:cs="Times New Roman"/>
                <w:color w:val="auto"/>
              </w:rPr>
              <w:t>）废液压油</w:t>
            </w:r>
          </w:p>
          <w:p>
            <w:pPr>
              <w:adjustRightInd w:val="0"/>
              <w:snapToGrid w:val="0"/>
              <w:ind w:firstLine="480"/>
              <w:jc w:val="left"/>
              <w:rPr>
                <w:rFonts w:hint="default" w:ascii="Times New Roman" w:hAnsi="Times New Roman" w:cs="Times New Roman"/>
                <w:color w:val="auto"/>
              </w:rPr>
            </w:pPr>
            <w:r>
              <w:rPr>
                <w:rFonts w:hint="default" w:ascii="Times New Roman" w:hAnsi="Times New Roman" w:cs="Times New Roman"/>
                <w:color w:val="auto"/>
              </w:rPr>
              <w:t>项目设备进行维修养护时更换下来的废液压油，</w:t>
            </w:r>
            <w:r>
              <w:rPr>
                <w:rFonts w:hint="default" w:ascii="Times New Roman" w:hAnsi="Times New Roman" w:cs="Times New Roman"/>
                <w:b/>
                <w:bCs/>
                <w:color w:val="auto"/>
                <w:u w:val="single"/>
              </w:rPr>
              <w:t>在设备下方设置防渗托盘收集废液压油</w:t>
            </w:r>
            <w:r>
              <w:rPr>
                <w:rFonts w:hint="default" w:ascii="Times New Roman" w:hAnsi="Times New Roman" w:cs="Times New Roman"/>
                <w:color w:val="auto"/>
              </w:rPr>
              <w:t>，根据业主提供的资料，产生量为0.005t/a，经收集后暂存于危废间，交由有资质单位进行合理处理处置。</w:t>
            </w:r>
          </w:p>
          <w:p>
            <w:pPr>
              <w:adjustRightInd w:val="0"/>
              <w:snapToGrid w:val="0"/>
              <w:ind w:firstLine="480"/>
              <w:jc w:val="left"/>
              <w:rPr>
                <w:rFonts w:hint="default" w:ascii="Times New Roman" w:hAnsi="Times New Roman" w:cs="Times New Roman"/>
                <w:color w:val="auto"/>
              </w:rPr>
            </w:pPr>
            <w:r>
              <w:rPr>
                <w:rFonts w:hint="default" w:ascii="Times New Roman" w:hAnsi="Times New Roman" w:cs="Times New Roman"/>
                <w:color w:val="auto"/>
              </w:rPr>
              <w:t>（</w:t>
            </w:r>
            <w:r>
              <w:rPr>
                <w:rFonts w:hint="eastAsia" w:cs="Times New Roman"/>
                <w:color w:val="auto"/>
                <w:lang w:val="en-US" w:eastAsia="zh-CN"/>
              </w:rPr>
              <w:t>8</w:t>
            </w:r>
            <w:r>
              <w:rPr>
                <w:rFonts w:hint="default" w:ascii="Times New Roman" w:hAnsi="Times New Roman" w:cs="Times New Roman"/>
                <w:color w:val="auto"/>
              </w:rPr>
              <w:t>）废机油、液压油桶</w:t>
            </w:r>
          </w:p>
          <w:p>
            <w:pPr>
              <w:adjustRightInd w:val="0"/>
              <w:snapToGrid w:val="0"/>
              <w:ind w:firstLine="480"/>
              <w:jc w:val="left"/>
              <w:rPr>
                <w:rFonts w:hint="default" w:ascii="Times New Roman" w:hAnsi="Times New Roman" w:cs="Times New Roman"/>
                <w:color w:val="auto"/>
              </w:rPr>
            </w:pPr>
            <w:r>
              <w:rPr>
                <w:rFonts w:hint="default" w:ascii="Times New Roman" w:hAnsi="Times New Roman" w:cs="Times New Roman"/>
                <w:color w:val="auto"/>
              </w:rPr>
              <w:t>项目设备进行维修养护时更换下来的废机油桶，根据业主提供的资料，产生量为0.005t/a，经收集后暂存于危废间，交由有资质单位进行合理处理处置。</w:t>
            </w:r>
          </w:p>
          <w:p>
            <w:pPr>
              <w:adjustRightInd w:val="0"/>
              <w:snapToGrid w:val="0"/>
              <w:ind w:firstLine="480"/>
              <w:jc w:val="left"/>
              <w:rPr>
                <w:rFonts w:hint="default" w:ascii="Times New Roman" w:hAnsi="Times New Roman" w:cs="Times New Roman"/>
                <w:color w:val="auto"/>
              </w:rPr>
            </w:pPr>
            <w:r>
              <w:rPr>
                <w:rFonts w:hint="default" w:ascii="Times New Roman" w:hAnsi="Times New Roman" w:cs="Times New Roman"/>
                <w:color w:val="auto"/>
              </w:rPr>
              <w:t>（</w:t>
            </w:r>
            <w:r>
              <w:rPr>
                <w:rFonts w:hint="eastAsia" w:cs="Times New Roman"/>
                <w:color w:val="auto"/>
                <w:lang w:val="en-US" w:eastAsia="zh-CN"/>
              </w:rPr>
              <w:t>9</w:t>
            </w:r>
            <w:r>
              <w:rPr>
                <w:rFonts w:hint="default" w:ascii="Times New Roman" w:hAnsi="Times New Roman" w:cs="Times New Roman"/>
                <w:color w:val="auto"/>
              </w:rPr>
              <w:t>）废过滤滤芯</w:t>
            </w:r>
          </w:p>
          <w:p>
            <w:pPr>
              <w:adjustRightInd w:val="0"/>
              <w:snapToGrid w:val="0"/>
              <w:ind w:firstLine="480"/>
              <w:jc w:val="left"/>
              <w:rPr>
                <w:rFonts w:hint="default" w:ascii="Times New Roman" w:hAnsi="Times New Roman" w:cs="Times New Roman"/>
                <w:color w:val="auto"/>
              </w:rPr>
            </w:pPr>
            <w:r>
              <w:rPr>
                <w:rFonts w:hint="default" w:ascii="Times New Roman" w:hAnsi="Times New Roman" w:cs="Times New Roman"/>
                <w:color w:val="auto"/>
              </w:rPr>
              <w:t>项目造粒设备需要定期更换过滤滤芯（多层钢纤维网，沾染极少量的塑料残渣杂质），根据业主提供的资料，进行维修养护时（更换周期按1年4次计算）更换下来的废过滤滤芯产生量为0.01t/a，经收集后暂存于危废间，交由有资质单位进行合理处理处置。</w:t>
            </w:r>
          </w:p>
          <w:p>
            <w:pPr>
              <w:adjustRightInd w:val="0"/>
              <w:snapToGrid w:val="0"/>
              <w:ind w:firstLine="480"/>
              <w:jc w:val="left"/>
              <w:rPr>
                <w:rFonts w:hint="default" w:ascii="Times New Roman" w:hAnsi="Times New Roman" w:cs="Times New Roman"/>
                <w:color w:val="auto"/>
              </w:rPr>
            </w:pPr>
            <w:r>
              <w:rPr>
                <w:rFonts w:hint="default" w:ascii="Times New Roman" w:hAnsi="Times New Roman" w:cs="Times New Roman"/>
                <w:color w:val="auto"/>
              </w:rPr>
              <w:t>（</w:t>
            </w:r>
            <w:r>
              <w:rPr>
                <w:rFonts w:hint="eastAsia" w:cs="Times New Roman"/>
                <w:color w:val="auto"/>
                <w:lang w:val="en-US" w:eastAsia="zh-CN"/>
              </w:rPr>
              <w:t>10</w:t>
            </w:r>
            <w:r>
              <w:rPr>
                <w:rFonts w:hint="default" w:ascii="Times New Roman" w:hAnsi="Times New Roman" w:cs="Times New Roman"/>
                <w:color w:val="auto"/>
              </w:rPr>
              <w:t>）废活性炭</w:t>
            </w:r>
          </w:p>
          <w:p>
            <w:pPr>
              <w:adjustRightInd w:val="0"/>
              <w:snapToGrid w:val="0"/>
              <w:ind w:firstLine="480"/>
              <w:jc w:val="both"/>
              <w:rPr>
                <w:rFonts w:hint="default" w:ascii="Times New Roman" w:hAnsi="Times New Roman" w:cs="Times New Roman"/>
                <w:color w:val="auto"/>
                <w:lang w:eastAsia="zh-CN"/>
              </w:rPr>
            </w:pPr>
            <w:r>
              <w:rPr>
                <w:rFonts w:hint="default" w:ascii="Times New Roman" w:hAnsi="Times New Roman" w:cs="Times New Roman"/>
                <w:color w:val="auto"/>
              </w:rPr>
              <w:t>根据《废气收集参数和最少活性炭装填量参考表》相关内容，本项目的风量5000m</w:t>
            </w:r>
            <w:r>
              <w:rPr>
                <w:rFonts w:hint="default" w:ascii="Times New Roman" w:hAnsi="Times New Roman" w:cs="Times New Roman"/>
                <w:color w:val="auto"/>
                <w:vertAlign w:val="superscript"/>
              </w:rPr>
              <w:t>3</w:t>
            </w:r>
            <w:r>
              <w:rPr>
                <w:rFonts w:hint="default" w:ascii="Times New Roman" w:hAnsi="Times New Roman" w:cs="Times New Roman"/>
                <w:color w:val="auto"/>
              </w:rPr>
              <w:t>/h</w:t>
            </w:r>
            <w:r>
              <w:rPr>
                <w:rFonts w:hint="eastAsia" w:cs="Times New Roman"/>
                <w:color w:val="auto"/>
                <w:lang w:val="en-US" w:eastAsia="zh-CN"/>
              </w:rPr>
              <w:t>≤Q=81</w:t>
            </w:r>
            <w:r>
              <w:rPr>
                <w:rFonts w:hint="default" w:ascii="Times New Roman" w:hAnsi="Times New Roman" w:cs="Times New Roman"/>
                <w:color w:val="auto"/>
              </w:rPr>
              <w:t>00m</w:t>
            </w:r>
            <w:r>
              <w:rPr>
                <w:rFonts w:hint="default" w:ascii="Times New Roman" w:hAnsi="Times New Roman" w:cs="Times New Roman"/>
                <w:color w:val="auto"/>
                <w:vertAlign w:val="superscript"/>
              </w:rPr>
              <w:t>3</w:t>
            </w:r>
            <w:r>
              <w:rPr>
                <w:rFonts w:hint="default" w:ascii="Times New Roman" w:hAnsi="Times New Roman" w:cs="Times New Roman"/>
                <w:color w:val="auto"/>
              </w:rPr>
              <w:t>/h</w:t>
            </w:r>
            <w:r>
              <w:rPr>
                <w:rFonts w:hint="default" w:ascii="Times New Roman" w:hAnsi="Times New Roman" w:cs="Times New Roman"/>
                <w:color w:val="auto"/>
                <w:lang w:val="en-US" w:eastAsia="zh-CN"/>
              </w:rPr>
              <w:t>≤</w:t>
            </w:r>
            <w:r>
              <w:rPr>
                <w:rFonts w:hint="eastAsia" w:cs="Times New Roman"/>
                <w:color w:val="auto"/>
                <w:lang w:val="en-US" w:eastAsia="zh-CN"/>
              </w:rPr>
              <w:t>10</w:t>
            </w:r>
            <w:r>
              <w:rPr>
                <w:rFonts w:hint="default" w:ascii="Times New Roman" w:hAnsi="Times New Roman" w:cs="Times New Roman"/>
                <w:color w:val="auto"/>
                <w:lang w:val="en-US" w:eastAsia="zh-CN"/>
              </w:rPr>
              <w:t>00m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lang w:val="en-US" w:eastAsia="zh-CN"/>
              </w:rPr>
              <w:t>/h</w:t>
            </w:r>
            <w:r>
              <w:rPr>
                <w:rFonts w:hint="default" w:ascii="Times New Roman" w:hAnsi="Times New Roman" w:cs="Times New Roman"/>
                <w:color w:val="auto"/>
              </w:rPr>
              <w:t>，VOCs 初始浓度范围≤200mg/m</w:t>
            </w:r>
            <w:r>
              <w:rPr>
                <w:rFonts w:hint="default" w:ascii="Times New Roman" w:hAnsi="Times New Roman" w:cs="Times New Roman"/>
                <w:color w:val="auto"/>
                <w:vertAlign w:val="superscript"/>
              </w:rPr>
              <w:t>3</w:t>
            </w:r>
            <w:r>
              <w:rPr>
                <w:rFonts w:hint="default" w:ascii="Times New Roman" w:hAnsi="Times New Roman" w:cs="Times New Roman"/>
                <w:color w:val="auto"/>
              </w:rPr>
              <w:t>，活性炭最少装填量取值按</w:t>
            </w:r>
            <w:r>
              <w:rPr>
                <w:rFonts w:hint="eastAsia" w:cs="Times New Roman"/>
                <w:color w:val="auto"/>
                <w:lang w:val="en-US" w:eastAsia="zh-CN"/>
              </w:rPr>
              <w:t>1.0t</w:t>
            </w:r>
            <w:r>
              <w:rPr>
                <w:rFonts w:hint="default" w:ascii="Times New Roman" w:hAnsi="Times New Roman" w:cs="Times New Roman"/>
                <w:color w:val="auto"/>
              </w:rPr>
              <w:t>进行计算，活性炭密度一般为0.45g-0.65g/cm</w:t>
            </w:r>
            <w:r>
              <w:rPr>
                <w:rFonts w:hint="default" w:ascii="Times New Roman" w:hAnsi="Times New Roman" w:cs="Times New Roman"/>
                <w:color w:val="auto"/>
                <w:vertAlign w:val="superscript"/>
              </w:rPr>
              <w:t>3</w:t>
            </w:r>
            <w:r>
              <w:rPr>
                <w:rFonts w:hint="default" w:ascii="Times New Roman" w:hAnsi="Times New Roman" w:cs="Times New Roman"/>
                <w:color w:val="auto"/>
              </w:rPr>
              <w:t>（本项目取值0.5），则活性炭最少装填量取值按</w:t>
            </w:r>
            <w:r>
              <w:rPr>
                <w:rFonts w:hint="eastAsia" w:cs="Times New Roman"/>
                <w:color w:val="auto"/>
                <w:lang w:val="en-US" w:eastAsia="zh-CN"/>
              </w:rPr>
              <w:t>2</w:t>
            </w:r>
            <w:r>
              <w:rPr>
                <w:rFonts w:hint="default" w:ascii="Times New Roman" w:hAnsi="Times New Roman" w:cs="Times New Roman"/>
                <w:color w:val="auto"/>
              </w:rPr>
              <w:t>m</w:t>
            </w:r>
            <w:r>
              <w:rPr>
                <w:rFonts w:hint="default" w:ascii="Times New Roman" w:hAnsi="Times New Roman" w:cs="Times New Roman"/>
                <w:color w:val="auto"/>
                <w:vertAlign w:val="superscript"/>
              </w:rPr>
              <w:t>3</w:t>
            </w:r>
            <w:r>
              <w:rPr>
                <w:rFonts w:hint="default" w:ascii="Times New Roman" w:hAnsi="Times New Roman" w:cs="Times New Roman"/>
                <w:color w:val="auto"/>
              </w:rPr>
              <w:t>进行计算</w:t>
            </w:r>
            <w:r>
              <w:rPr>
                <w:rFonts w:hint="default" w:ascii="Times New Roman" w:hAnsi="Times New Roman" w:cs="Times New Roman"/>
                <w:color w:val="auto"/>
                <w:lang w:eastAsia="zh-CN"/>
              </w:rPr>
              <w:t>。</w:t>
            </w:r>
          </w:p>
          <w:p>
            <w:pPr>
              <w:adjustRightInd w:val="0"/>
              <w:snapToGrid w:val="0"/>
              <w:ind w:firstLine="480"/>
              <w:jc w:val="both"/>
              <w:rPr>
                <w:rFonts w:hint="default" w:ascii="Times New Roman" w:hAnsi="Times New Roman" w:cs="Times New Roman"/>
                <w:color w:val="auto"/>
                <w:lang w:val="en-US" w:eastAsia="zh-CN"/>
              </w:rPr>
            </w:pPr>
            <w:r>
              <w:rPr>
                <w:rFonts w:hint="eastAsia" w:cs="Times New Roman"/>
                <w:color w:val="auto"/>
                <w:lang w:val="en-US" w:eastAsia="zh-CN"/>
              </w:rPr>
              <w:t>本项目产生的有机废气处理装置采用“活性炭吸附＋脱附再生催化燃烧”的处理工艺”，活性炭可循环使用。因此，本项目的活性炭使用量根据活性炭最少装填量进行计算，废活性炭属于危险废物，编号为HW49，危险代码为900-041-49，</w:t>
            </w:r>
            <w:r>
              <w:rPr>
                <w:rFonts w:hint="default" w:ascii="Times New Roman" w:hAnsi="Times New Roman" w:cs="Times New Roman"/>
                <w:color w:val="auto"/>
              </w:rPr>
              <w:t>有机废气的活性炭使用量为</w:t>
            </w:r>
            <w:r>
              <w:rPr>
                <w:rFonts w:hint="eastAsia" w:cs="Times New Roman"/>
                <w:color w:val="auto"/>
                <w:lang w:val="en-US" w:eastAsia="zh-CN"/>
              </w:rPr>
              <w:t>1.0</w:t>
            </w:r>
            <w:r>
              <w:rPr>
                <w:rFonts w:hint="default" w:ascii="Times New Roman" w:hAnsi="Times New Roman" w:cs="Times New Roman"/>
                <w:color w:val="auto"/>
              </w:rPr>
              <w:t>t/a，</w:t>
            </w:r>
            <w:r>
              <w:rPr>
                <w:rFonts w:hint="eastAsia" w:cs="Times New Roman"/>
                <w:color w:val="auto"/>
                <w:lang w:val="en-US" w:eastAsia="zh-CN"/>
              </w:rPr>
              <w:t>因损耗等原因，活性炭每年</w:t>
            </w:r>
            <w:r>
              <w:rPr>
                <w:rFonts w:hint="default" w:ascii="Times New Roman" w:hAnsi="Times New Roman" w:cs="Times New Roman"/>
                <w:color w:val="auto"/>
              </w:rPr>
              <w:t>更换</w:t>
            </w:r>
            <w:r>
              <w:rPr>
                <w:rFonts w:hint="eastAsia" w:cs="Times New Roman"/>
                <w:color w:val="auto"/>
                <w:lang w:val="en-US" w:eastAsia="zh-CN"/>
              </w:rPr>
              <w:t>1次</w:t>
            </w:r>
            <w:r>
              <w:rPr>
                <w:rFonts w:hint="default" w:ascii="Times New Roman" w:hAnsi="Times New Roman" w:cs="Times New Roman"/>
                <w:color w:val="auto"/>
              </w:rPr>
              <w:t>，每次更换</w:t>
            </w:r>
            <w:r>
              <w:rPr>
                <w:rFonts w:hint="eastAsia" w:cs="Times New Roman"/>
                <w:color w:val="auto"/>
                <w:lang w:val="en-US" w:eastAsia="zh-CN"/>
              </w:rPr>
              <w:t>下来的废活性炭</w:t>
            </w:r>
            <w:r>
              <w:rPr>
                <w:rFonts w:hint="default" w:ascii="Times New Roman" w:hAnsi="Times New Roman" w:cs="Times New Roman"/>
                <w:color w:val="auto"/>
              </w:rPr>
              <w:t>量约</w:t>
            </w:r>
            <w:r>
              <w:rPr>
                <w:rFonts w:hint="eastAsia" w:cs="Times New Roman"/>
                <w:color w:val="auto"/>
                <w:lang w:val="en-US" w:eastAsia="zh-CN"/>
              </w:rPr>
              <w:t>1.0</w:t>
            </w:r>
            <w:r>
              <w:rPr>
                <w:rFonts w:hint="default" w:ascii="Times New Roman" w:hAnsi="Times New Roman" w:cs="Times New Roman"/>
                <w:color w:val="auto"/>
              </w:rPr>
              <w:t>t，经收集后暂存于危废间，交由有资质单位进行合理处理处置。</w:t>
            </w:r>
          </w:p>
          <w:p>
            <w:pPr>
              <w:pStyle w:val="11"/>
              <w:jc w:val="center"/>
              <w:rPr>
                <w:rFonts w:hint="default" w:ascii="Times New Roman" w:hAnsi="Times New Roman" w:cs="Times New Roman"/>
                <w:b/>
                <w:bCs/>
                <w:color w:val="auto"/>
              </w:rPr>
            </w:pPr>
            <w:r>
              <w:rPr>
                <w:rFonts w:hint="default" w:ascii="Times New Roman" w:hAnsi="Times New Roman" w:cs="Times New Roman"/>
                <w:b/>
                <w:bCs/>
                <w:color w:val="auto"/>
              </w:rPr>
              <w:t>表4-</w:t>
            </w:r>
            <w:r>
              <w:rPr>
                <w:rFonts w:hint="default" w:ascii="Times New Roman" w:hAnsi="Times New Roman" w:cs="Times New Roman"/>
                <w:b/>
                <w:bCs/>
                <w:color w:val="auto"/>
                <w:lang w:val="en-US" w:eastAsia="zh-CN"/>
              </w:rPr>
              <w:t>4</w:t>
            </w:r>
            <w:r>
              <w:rPr>
                <w:rFonts w:hint="default" w:ascii="Times New Roman" w:hAnsi="Times New Roman" w:cs="Times New Roman"/>
                <w:b/>
                <w:bCs/>
                <w:color w:val="auto"/>
              </w:rPr>
              <w:t xml:space="preserve">  项目固体废物产生及处置情况一览表</w:t>
            </w:r>
          </w:p>
          <w:tbl>
            <w:tblPr>
              <w:tblStyle w:val="5"/>
              <w:tblW w:w="866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281"/>
              <w:gridCol w:w="1308"/>
              <w:gridCol w:w="1687"/>
              <w:gridCol w:w="339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2281" w:type="dxa"/>
                  <w:vAlign w:val="center"/>
                </w:tcPr>
                <w:p>
                  <w:pPr>
                    <w:pStyle w:val="11"/>
                    <w:jc w:val="center"/>
                    <w:rPr>
                      <w:rFonts w:hint="default" w:ascii="Times New Roman" w:hAnsi="Times New Roman" w:cs="Times New Roman"/>
                      <w:b/>
                      <w:bCs/>
                      <w:color w:val="auto"/>
                    </w:rPr>
                  </w:pPr>
                  <w:r>
                    <w:rPr>
                      <w:rFonts w:hint="default" w:ascii="Times New Roman" w:hAnsi="Times New Roman" w:cs="Times New Roman"/>
                      <w:b/>
                      <w:bCs/>
                      <w:color w:val="auto"/>
                    </w:rPr>
                    <w:t>固体废物名称</w:t>
                  </w:r>
                </w:p>
              </w:tc>
              <w:tc>
                <w:tcPr>
                  <w:tcW w:w="1308" w:type="dxa"/>
                  <w:vAlign w:val="center"/>
                </w:tcPr>
                <w:p>
                  <w:pPr>
                    <w:pStyle w:val="11"/>
                    <w:jc w:val="center"/>
                    <w:rPr>
                      <w:rFonts w:hint="default" w:ascii="Times New Roman" w:hAnsi="Times New Roman" w:cs="Times New Roman"/>
                      <w:b/>
                      <w:bCs/>
                      <w:color w:val="auto"/>
                    </w:rPr>
                  </w:pPr>
                  <w:r>
                    <w:rPr>
                      <w:rFonts w:hint="default" w:ascii="Times New Roman" w:hAnsi="Times New Roman" w:cs="Times New Roman"/>
                      <w:b/>
                      <w:bCs/>
                      <w:color w:val="auto"/>
                    </w:rPr>
                    <w:t>产生量</w:t>
                  </w:r>
                </w:p>
              </w:tc>
              <w:tc>
                <w:tcPr>
                  <w:tcW w:w="1687" w:type="dxa"/>
                  <w:vAlign w:val="center"/>
                </w:tcPr>
                <w:p>
                  <w:pPr>
                    <w:pStyle w:val="11"/>
                    <w:jc w:val="center"/>
                    <w:rPr>
                      <w:rFonts w:hint="default" w:ascii="Times New Roman" w:hAnsi="Times New Roman" w:cs="Times New Roman"/>
                      <w:b/>
                      <w:bCs/>
                      <w:color w:val="auto"/>
                    </w:rPr>
                  </w:pPr>
                  <w:r>
                    <w:rPr>
                      <w:rFonts w:hint="default" w:ascii="Times New Roman" w:hAnsi="Times New Roman" w:cs="Times New Roman"/>
                      <w:b/>
                      <w:bCs/>
                      <w:color w:val="auto"/>
                    </w:rPr>
                    <w:t>废物性质</w:t>
                  </w:r>
                </w:p>
              </w:tc>
              <w:tc>
                <w:tcPr>
                  <w:tcW w:w="3393" w:type="dxa"/>
                  <w:vAlign w:val="center"/>
                </w:tcPr>
                <w:p>
                  <w:pPr>
                    <w:pStyle w:val="11"/>
                    <w:jc w:val="center"/>
                    <w:rPr>
                      <w:rFonts w:hint="default" w:ascii="Times New Roman" w:hAnsi="Times New Roman" w:cs="Times New Roman"/>
                      <w:b/>
                      <w:bCs/>
                      <w:color w:val="auto"/>
                    </w:rPr>
                  </w:pPr>
                  <w:r>
                    <w:rPr>
                      <w:rFonts w:hint="default" w:ascii="Times New Roman" w:hAnsi="Times New Roman" w:cs="Times New Roman"/>
                      <w:b/>
                      <w:bCs/>
                      <w:color w:val="auto"/>
                    </w:rPr>
                    <w:t>处置方式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2281"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生活垃圾</w:t>
                  </w:r>
                </w:p>
              </w:tc>
              <w:tc>
                <w:tcPr>
                  <w:tcW w:w="1308"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9t/a</w:t>
                  </w:r>
                </w:p>
              </w:tc>
              <w:tc>
                <w:tcPr>
                  <w:tcW w:w="1687"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生活垃圾</w:t>
                  </w:r>
                </w:p>
              </w:tc>
              <w:tc>
                <w:tcPr>
                  <w:tcW w:w="3393"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交由环卫部门清运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2281"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预处理池污泥</w:t>
                  </w:r>
                </w:p>
              </w:tc>
              <w:tc>
                <w:tcPr>
                  <w:tcW w:w="1308"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lang w:val="en-US" w:eastAsia="zh-CN"/>
                    </w:rPr>
                    <w:t>2.0</w:t>
                  </w:r>
                  <w:r>
                    <w:rPr>
                      <w:rFonts w:hint="default" w:ascii="Times New Roman" w:hAnsi="Times New Roman" w:cs="Times New Roman"/>
                      <w:color w:val="auto"/>
                    </w:rPr>
                    <w:t>t/a</w:t>
                  </w:r>
                </w:p>
              </w:tc>
              <w:tc>
                <w:tcPr>
                  <w:tcW w:w="1687"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生活垃圾</w:t>
                  </w:r>
                </w:p>
              </w:tc>
              <w:tc>
                <w:tcPr>
                  <w:tcW w:w="3393"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交由环卫部门清运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2281" w:type="dxa"/>
                  <w:vAlign w:val="center"/>
                </w:tcPr>
                <w:p>
                  <w:pPr>
                    <w:pStyle w:val="11"/>
                    <w:jc w:val="center"/>
                    <w:rPr>
                      <w:rFonts w:hint="default" w:ascii="Times New Roman" w:hAnsi="Times New Roman" w:eastAsia="宋体" w:cs="Times New Roman"/>
                      <w:color w:val="auto"/>
                      <w:lang w:eastAsia="zh-CN"/>
                    </w:rPr>
                  </w:pPr>
                  <w:r>
                    <w:rPr>
                      <w:rFonts w:hint="default" w:ascii="Times New Roman" w:hAnsi="Times New Roman" w:cs="Times New Roman"/>
                      <w:color w:val="auto"/>
                      <w:lang w:eastAsia="zh-CN"/>
                    </w:rPr>
                    <w:t>清洗沉淀池泥沙</w:t>
                  </w:r>
                </w:p>
              </w:tc>
              <w:tc>
                <w:tcPr>
                  <w:tcW w:w="1308" w:type="dxa"/>
                  <w:vAlign w:val="center"/>
                </w:tcPr>
                <w:p>
                  <w:pPr>
                    <w:pStyle w:val="11"/>
                    <w:jc w:val="center"/>
                    <w:rPr>
                      <w:rFonts w:hint="default" w:ascii="Times New Roman" w:hAnsi="Times New Roman" w:cs="Times New Roman"/>
                      <w:color w:val="auto"/>
                    </w:rPr>
                  </w:pPr>
                  <w:r>
                    <w:rPr>
                      <w:rFonts w:hint="eastAsia" w:cs="Times New Roman"/>
                      <w:color w:val="auto"/>
                      <w:lang w:val="en-US" w:eastAsia="zh-CN"/>
                    </w:rPr>
                    <w:t>40</w:t>
                  </w:r>
                  <w:r>
                    <w:rPr>
                      <w:rFonts w:hint="default" w:ascii="Times New Roman" w:hAnsi="Times New Roman" w:cs="Times New Roman"/>
                      <w:color w:val="auto"/>
                      <w:lang w:val="en-US" w:eastAsia="zh-CN"/>
                    </w:rPr>
                    <w:t>t/a</w:t>
                  </w:r>
                </w:p>
              </w:tc>
              <w:tc>
                <w:tcPr>
                  <w:tcW w:w="1687"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一般工业固废</w:t>
                  </w:r>
                </w:p>
              </w:tc>
              <w:tc>
                <w:tcPr>
                  <w:tcW w:w="3393"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交由环卫部门清运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2281"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废包装材料</w:t>
                  </w:r>
                </w:p>
              </w:tc>
              <w:tc>
                <w:tcPr>
                  <w:tcW w:w="1308"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0.5t/a</w:t>
                  </w:r>
                </w:p>
              </w:tc>
              <w:tc>
                <w:tcPr>
                  <w:tcW w:w="1687"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一般工业固废</w:t>
                  </w:r>
                </w:p>
              </w:tc>
              <w:tc>
                <w:tcPr>
                  <w:tcW w:w="3393"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交由废旧物回收公司回收处理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2281"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不合格产品</w:t>
                  </w:r>
                </w:p>
              </w:tc>
              <w:tc>
                <w:tcPr>
                  <w:tcW w:w="1308" w:type="dxa"/>
                  <w:vAlign w:val="center"/>
                </w:tcPr>
                <w:p>
                  <w:pPr>
                    <w:pStyle w:val="11"/>
                    <w:jc w:val="center"/>
                    <w:rPr>
                      <w:rFonts w:hint="default" w:ascii="Times New Roman" w:hAnsi="Times New Roman" w:cs="Times New Roman"/>
                      <w:color w:val="auto"/>
                    </w:rPr>
                  </w:pPr>
                  <w:r>
                    <w:rPr>
                      <w:rFonts w:hint="eastAsia" w:cs="Times New Roman"/>
                      <w:color w:val="auto"/>
                      <w:lang w:val="en-US" w:eastAsia="zh-CN"/>
                    </w:rPr>
                    <w:t>7.36</w:t>
                  </w:r>
                  <w:r>
                    <w:rPr>
                      <w:rFonts w:hint="default" w:ascii="Times New Roman" w:hAnsi="Times New Roman" w:cs="Times New Roman"/>
                      <w:color w:val="auto"/>
                    </w:rPr>
                    <w:t>t/a</w:t>
                  </w:r>
                </w:p>
              </w:tc>
              <w:tc>
                <w:tcPr>
                  <w:tcW w:w="1687"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一般工业固废</w:t>
                  </w:r>
                </w:p>
              </w:tc>
              <w:tc>
                <w:tcPr>
                  <w:tcW w:w="3393"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交由废旧物回收公司进行处理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2281"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废机油</w:t>
                  </w:r>
                </w:p>
              </w:tc>
              <w:tc>
                <w:tcPr>
                  <w:tcW w:w="1308"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0.010t/a</w:t>
                  </w:r>
                </w:p>
              </w:tc>
              <w:tc>
                <w:tcPr>
                  <w:tcW w:w="1687"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危险废物</w:t>
                  </w:r>
                </w:p>
              </w:tc>
              <w:tc>
                <w:tcPr>
                  <w:tcW w:w="3393" w:type="dxa"/>
                  <w:vMerge w:val="restart"/>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交由危废单位处理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2281"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废液压油</w:t>
                  </w:r>
                </w:p>
              </w:tc>
              <w:tc>
                <w:tcPr>
                  <w:tcW w:w="1308"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0.005t/a</w:t>
                  </w:r>
                </w:p>
              </w:tc>
              <w:tc>
                <w:tcPr>
                  <w:tcW w:w="1687"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危险废物</w:t>
                  </w:r>
                </w:p>
              </w:tc>
              <w:tc>
                <w:tcPr>
                  <w:tcW w:w="3393" w:type="dxa"/>
                  <w:vMerge w:val="continue"/>
                  <w:vAlign w:val="center"/>
                </w:tcPr>
                <w:p>
                  <w:pPr>
                    <w:pStyle w:val="11"/>
                    <w:jc w:val="center"/>
                    <w:rPr>
                      <w:rFonts w:hint="default" w:ascii="Times New Roman" w:hAnsi="Times New Roman" w:cs="Times New Roman"/>
                      <w:color w:va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2281"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废机油、液压油桶</w:t>
                  </w:r>
                </w:p>
              </w:tc>
              <w:tc>
                <w:tcPr>
                  <w:tcW w:w="1308"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0.005t/a</w:t>
                  </w:r>
                </w:p>
              </w:tc>
              <w:tc>
                <w:tcPr>
                  <w:tcW w:w="1687"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危险废物</w:t>
                  </w:r>
                </w:p>
              </w:tc>
              <w:tc>
                <w:tcPr>
                  <w:tcW w:w="3393" w:type="dxa"/>
                  <w:vMerge w:val="continue"/>
                  <w:vAlign w:val="center"/>
                </w:tcPr>
                <w:p>
                  <w:pPr>
                    <w:pStyle w:val="11"/>
                    <w:jc w:val="center"/>
                    <w:rPr>
                      <w:rFonts w:hint="default" w:ascii="Times New Roman" w:hAnsi="Times New Roman" w:cs="Times New Roman"/>
                      <w:color w:va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2281"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废过滤滤芯</w:t>
                  </w:r>
                </w:p>
              </w:tc>
              <w:tc>
                <w:tcPr>
                  <w:tcW w:w="1308"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0.010t/a</w:t>
                  </w:r>
                </w:p>
              </w:tc>
              <w:tc>
                <w:tcPr>
                  <w:tcW w:w="1687"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危险废物</w:t>
                  </w:r>
                </w:p>
              </w:tc>
              <w:tc>
                <w:tcPr>
                  <w:tcW w:w="3393" w:type="dxa"/>
                  <w:vMerge w:val="continue"/>
                  <w:vAlign w:val="center"/>
                </w:tcPr>
                <w:p>
                  <w:pPr>
                    <w:pStyle w:val="11"/>
                    <w:jc w:val="center"/>
                    <w:rPr>
                      <w:rFonts w:hint="default" w:ascii="Times New Roman" w:hAnsi="Times New Roman" w:cs="Times New Roman"/>
                      <w:color w:va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2281"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废活性炭</w:t>
                  </w:r>
                </w:p>
              </w:tc>
              <w:tc>
                <w:tcPr>
                  <w:tcW w:w="1308" w:type="dxa"/>
                  <w:vAlign w:val="center"/>
                </w:tcPr>
                <w:p>
                  <w:pPr>
                    <w:pStyle w:val="11"/>
                    <w:jc w:val="center"/>
                    <w:rPr>
                      <w:rFonts w:hint="default" w:ascii="Times New Roman" w:hAnsi="Times New Roman" w:cs="Times New Roman"/>
                      <w:color w:val="auto"/>
                    </w:rPr>
                  </w:pPr>
                  <w:r>
                    <w:rPr>
                      <w:rFonts w:hint="eastAsia" w:cs="Times New Roman"/>
                      <w:color w:val="auto"/>
                      <w:lang w:val="en-US" w:eastAsia="zh-CN"/>
                    </w:rPr>
                    <w:t>1</w:t>
                  </w:r>
                  <w:r>
                    <w:rPr>
                      <w:rFonts w:hint="default" w:ascii="Times New Roman" w:hAnsi="Times New Roman" w:cs="Times New Roman"/>
                      <w:color w:val="auto"/>
                    </w:rPr>
                    <w:t>t/a</w:t>
                  </w:r>
                </w:p>
              </w:tc>
              <w:tc>
                <w:tcPr>
                  <w:tcW w:w="1687"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危险废物</w:t>
                  </w:r>
                </w:p>
              </w:tc>
              <w:tc>
                <w:tcPr>
                  <w:tcW w:w="3393" w:type="dxa"/>
                  <w:vMerge w:val="continue"/>
                  <w:vAlign w:val="center"/>
                </w:tcPr>
                <w:p>
                  <w:pPr>
                    <w:pStyle w:val="11"/>
                    <w:jc w:val="center"/>
                    <w:rPr>
                      <w:rFonts w:hint="default" w:ascii="Times New Roman" w:hAnsi="Times New Roman" w:cs="Times New Roman"/>
                      <w:color w:val="auto"/>
                    </w:rPr>
                  </w:pPr>
                </w:p>
              </w:tc>
            </w:tr>
          </w:tbl>
          <w:p>
            <w:pPr>
              <w:adjustRightInd w:val="0"/>
              <w:snapToGrid w:val="0"/>
              <w:ind w:firstLine="480"/>
              <w:rPr>
                <w:rFonts w:hint="default" w:ascii="Times New Roman" w:hAnsi="Times New Roman" w:cs="Times New Roman"/>
                <w:color w:val="auto"/>
              </w:rPr>
            </w:pPr>
            <w:r>
              <w:rPr>
                <w:rFonts w:hint="default" w:ascii="Times New Roman" w:hAnsi="Times New Roman" w:cs="Times New Roman"/>
                <w:color w:val="auto"/>
              </w:rPr>
              <w:t>本项目应设置一般工业固体废物暂存区和危险废物贮存区，其中一般固废储存区面积约100m</w:t>
            </w:r>
            <w:r>
              <w:rPr>
                <w:rFonts w:hint="default" w:ascii="Times New Roman" w:hAnsi="Times New Roman" w:cs="Times New Roman"/>
                <w:color w:val="auto"/>
                <w:vertAlign w:val="superscript"/>
              </w:rPr>
              <w:t>2</w:t>
            </w:r>
            <w:r>
              <w:rPr>
                <w:rFonts w:hint="default" w:ascii="Times New Roman" w:hAnsi="Times New Roman" w:cs="Times New Roman"/>
                <w:color w:val="auto"/>
              </w:rPr>
              <w:t>，危废储存区面积约为</w:t>
            </w:r>
            <w:r>
              <w:rPr>
                <w:rFonts w:hint="eastAsia" w:cs="Times New Roman"/>
                <w:color w:val="auto"/>
                <w:lang w:val="en-US" w:eastAsia="zh-CN"/>
              </w:rPr>
              <w:t>20</w:t>
            </w:r>
            <w:r>
              <w:rPr>
                <w:rFonts w:hint="default" w:ascii="Times New Roman" w:hAnsi="Times New Roman" w:cs="Times New Roman"/>
                <w:color w:val="auto"/>
              </w:rPr>
              <w:t>m</w:t>
            </w:r>
            <w:r>
              <w:rPr>
                <w:rFonts w:hint="default" w:ascii="Times New Roman" w:hAnsi="Times New Roman" w:cs="Times New Roman"/>
                <w:color w:val="auto"/>
                <w:vertAlign w:val="superscript"/>
              </w:rPr>
              <w:t>2</w:t>
            </w:r>
            <w:r>
              <w:rPr>
                <w:rFonts w:hint="default" w:ascii="Times New Roman" w:hAnsi="Times New Roman" w:cs="Times New Roman"/>
                <w:color w:val="auto"/>
              </w:rPr>
              <w:t>。各种固体废物分类存放，一般工业固体废物分类存放，不露天堆放，</w:t>
            </w:r>
            <w:r>
              <w:rPr>
                <w:rFonts w:hint="default" w:ascii="Times New Roman" w:hAnsi="Times New Roman" w:cs="Times New Roman"/>
                <w:b/>
                <w:bCs/>
                <w:color w:val="auto"/>
                <w:u w:val="single"/>
              </w:rPr>
              <w:t>场地基础进行防渗处理</w:t>
            </w:r>
            <w:r>
              <w:rPr>
                <w:rFonts w:hint="default" w:ascii="Times New Roman" w:hAnsi="Times New Roman" w:cs="Times New Roman"/>
                <w:color w:val="auto"/>
              </w:rPr>
              <w:t>。危险废物贮存区采用独立密闭区。危险废物分类存放，准确清楚登记危险物质的数量，危险废物贮存场所设置警示标志和标识牌、贮存容器粘贴标识标签，由专业技术人员负责这些物质的回收、储存、运输和销售的跟踪和管理工作，所有这些流程操作应符合有关管理和技术规定。相关场所应该有禁止无关人员入内的告示，相关的存放容器、场地的设计应该满足《危险废物贮存污染控制标准》（GB18597-2001）及其修改单的相关要求。</w:t>
            </w:r>
          </w:p>
          <w:p>
            <w:pPr>
              <w:adjustRightInd w:val="0"/>
              <w:snapToGrid w:val="0"/>
              <w:ind w:firstLine="480"/>
              <w:rPr>
                <w:rFonts w:hint="default" w:ascii="Times New Roman" w:hAnsi="Times New Roman" w:cs="Times New Roman"/>
                <w:color w:val="auto"/>
              </w:rPr>
            </w:pPr>
            <w:r>
              <w:rPr>
                <w:rFonts w:hint="default" w:ascii="Times New Roman" w:hAnsi="Times New Roman" w:cs="Times New Roman"/>
                <w:color w:val="auto"/>
              </w:rPr>
              <w:t>项目危险废物产生情况统计见表4-</w:t>
            </w:r>
            <w:r>
              <w:rPr>
                <w:rFonts w:hint="default" w:ascii="Times New Roman" w:hAnsi="Times New Roman" w:cs="Times New Roman"/>
                <w:color w:val="auto"/>
                <w:lang w:val="en-US" w:eastAsia="zh-CN"/>
              </w:rPr>
              <w:t>5</w:t>
            </w:r>
            <w:r>
              <w:rPr>
                <w:rFonts w:hint="default" w:ascii="Times New Roman" w:hAnsi="Times New Roman" w:cs="Times New Roman"/>
                <w:color w:val="auto"/>
              </w:rPr>
              <w:t>。</w:t>
            </w:r>
          </w:p>
          <w:p>
            <w:pPr>
              <w:pStyle w:val="11"/>
              <w:jc w:val="center"/>
              <w:rPr>
                <w:rFonts w:hint="default" w:ascii="Times New Roman" w:hAnsi="Times New Roman" w:cs="Times New Roman"/>
                <w:b/>
                <w:bCs/>
                <w:color w:val="auto"/>
              </w:rPr>
            </w:pPr>
            <w:r>
              <w:rPr>
                <w:rFonts w:hint="default" w:ascii="Times New Roman" w:hAnsi="Times New Roman" w:cs="Times New Roman"/>
                <w:b/>
                <w:bCs/>
                <w:color w:val="auto"/>
              </w:rPr>
              <w:t>表4-</w:t>
            </w:r>
            <w:r>
              <w:rPr>
                <w:rFonts w:hint="default" w:ascii="Times New Roman" w:hAnsi="Times New Roman" w:cs="Times New Roman"/>
                <w:b/>
                <w:bCs/>
                <w:color w:val="auto"/>
                <w:lang w:val="en-US" w:eastAsia="zh-CN"/>
              </w:rPr>
              <w:t>5</w:t>
            </w:r>
            <w:r>
              <w:rPr>
                <w:rFonts w:hint="default" w:ascii="Times New Roman" w:hAnsi="Times New Roman" w:cs="Times New Roman"/>
                <w:b/>
                <w:bCs/>
                <w:color w:val="auto"/>
              </w:rPr>
              <w:t xml:space="preserve">    危险废弃物储存形式与储存量</w:t>
            </w:r>
          </w:p>
          <w:tbl>
            <w:tblPr>
              <w:tblStyle w:val="5"/>
              <w:tblW w:w="8973"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313"/>
              <w:gridCol w:w="825"/>
              <w:gridCol w:w="723"/>
              <w:gridCol w:w="721"/>
              <w:gridCol w:w="1136"/>
              <w:gridCol w:w="600"/>
              <w:gridCol w:w="720"/>
              <w:gridCol w:w="823"/>
              <w:gridCol w:w="675"/>
              <w:gridCol w:w="700"/>
              <w:gridCol w:w="737"/>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4" w:hRule="atLeast"/>
                <w:jc w:val="center"/>
              </w:trPr>
              <w:tc>
                <w:tcPr>
                  <w:tcW w:w="1313" w:type="dxa"/>
                  <w:vAlign w:val="center"/>
                </w:tcPr>
                <w:p>
                  <w:pPr>
                    <w:pStyle w:val="11"/>
                    <w:jc w:val="center"/>
                    <w:rPr>
                      <w:rFonts w:hint="default" w:ascii="Times New Roman" w:hAnsi="Times New Roman" w:cs="Times New Roman"/>
                      <w:b/>
                      <w:bCs/>
                      <w:color w:val="auto"/>
                    </w:rPr>
                  </w:pPr>
                  <w:r>
                    <w:rPr>
                      <w:rFonts w:hint="default" w:ascii="Times New Roman" w:hAnsi="Times New Roman" w:cs="Times New Roman"/>
                      <w:b/>
                      <w:bCs/>
                      <w:color w:val="auto"/>
                    </w:rPr>
                    <w:t>危险废物名称</w:t>
                  </w:r>
                </w:p>
              </w:tc>
              <w:tc>
                <w:tcPr>
                  <w:tcW w:w="825" w:type="dxa"/>
                  <w:vAlign w:val="center"/>
                </w:tcPr>
                <w:p>
                  <w:pPr>
                    <w:pStyle w:val="11"/>
                    <w:jc w:val="center"/>
                    <w:rPr>
                      <w:rFonts w:hint="default" w:ascii="Times New Roman" w:hAnsi="Times New Roman" w:cs="Times New Roman"/>
                      <w:b/>
                      <w:bCs/>
                      <w:color w:val="auto"/>
                    </w:rPr>
                  </w:pPr>
                  <w:r>
                    <w:rPr>
                      <w:rFonts w:hint="default" w:ascii="Times New Roman" w:hAnsi="Times New Roman" w:cs="Times New Roman"/>
                      <w:b/>
                      <w:bCs/>
                      <w:color w:val="auto"/>
                    </w:rPr>
                    <w:t>危险废物</w:t>
                  </w:r>
                </w:p>
                <w:p>
                  <w:pPr>
                    <w:pStyle w:val="11"/>
                    <w:jc w:val="center"/>
                    <w:rPr>
                      <w:rFonts w:hint="default" w:ascii="Times New Roman" w:hAnsi="Times New Roman" w:cs="Times New Roman"/>
                      <w:b/>
                      <w:bCs/>
                      <w:color w:val="auto"/>
                    </w:rPr>
                  </w:pPr>
                  <w:r>
                    <w:rPr>
                      <w:rFonts w:hint="default" w:ascii="Times New Roman" w:hAnsi="Times New Roman" w:cs="Times New Roman"/>
                      <w:b/>
                      <w:bCs/>
                      <w:color w:val="auto"/>
                    </w:rPr>
                    <w:t>类别</w:t>
                  </w:r>
                </w:p>
              </w:tc>
              <w:tc>
                <w:tcPr>
                  <w:tcW w:w="723" w:type="dxa"/>
                  <w:vAlign w:val="center"/>
                </w:tcPr>
                <w:p>
                  <w:pPr>
                    <w:pStyle w:val="11"/>
                    <w:jc w:val="center"/>
                    <w:rPr>
                      <w:rFonts w:hint="default" w:ascii="Times New Roman" w:hAnsi="Times New Roman" w:cs="Times New Roman"/>
                      <w:b/>
                      <w:bCs/>
                      <w:color w:val="auto"/>
                    </w:rPr>
                  </w:pPr>
                  <w:r>
                    <w:rPr>
                      <w:rFonts w:hint="default" w:ascii="Times New Roman" w:hAnsi="Times New Roman" w:cs="Times New Roman"/>
                      <w:b/>
                      <w:bCs/>
                      <w:color w:val="auto"/>
                    </w:rPr>
                    <w:t>危险废物</w:t>
                  </w:r>
                </w:p>
                <w:p>
                  <w:pPr>
                    <w:pStyle w:val="11"/>
                    <w:jc w:val="center"/>
                    <w:rPr>
                      <w:rFonts w:hint="default" w:ascii="Times New Roman" w:hAnsi="Times New Roman" w:cs="Times New Roman"/>
                      <w:b/>
                      <w:bCs/>
                      <w:color w:val="auto"/>
                    </w:rPr>
                  </w:pPr>
                  <w:r>
                    <w:rPr>
                      <w:rFonts w:hint="default" w:ascii="Times New Roman" w:hAnsi="Times New Roman" w:cs="Times New Roman"/>
                      <w:b/>
                      <w:bCs/>
                      <w:color w:val="auto"/>
                    </w:rPr>
                    <w:t>代码</w:t>
                  </w:r>
                </w:p>
              </w:tc>
              <w:tc>
                <w:tcPr>
                  <w:tcW w:w="721" w:type="dxa"/>
                  <w:vAlign w:val="center"/>
                </w:tcPr>
                <w:p>
                  <w:pPr>
                    <w:pStyle w:val="11"/>
                    <w:jc w:val="center"/>
                    <w:rPr>
                      <w:rFonts w:hint="default" w:ascii="Times New Roman" w:hAnsi="Times New Roman" w:cs="Times New Roman"/>
                      <w:b/>
                      <w:bCs/>
                      <w:color w:val="auto"/>
                    </w:rPr>
                  </w:pPr>
                  <w:r>
                    <w:rPr>
                      <w:rFonts w:hint="default" w:ascii="Times New Roman" w:hAnsi="Times New Roman" w:cs="Times New Roman"/>
                      <w:b/>
                      <w:bCs/>
                      <w:color w:val="auto"/>
                    </w:rPr>
                    <w:t>产生量</w:t>
                  </w:r>
                </w:p>
              </w:tc>
              <w:tc>
                <w:tcPr>
                  <w:tcW w:w="1136" w:type="dxa"/>
                  <w:vAlign w:val="center"/>
                </w:tcPr>
                <w:p>
                  <w:pPr>
                    <w:pStyle w:val="11"/>
                    <w:jc w:val="center"/>
                    <w:rPr>
                      <w:rFonts w:hint="default" w:ascii="Times New Roman" w:hAnsi="Times New Roman" w:cs="Times New Roman"/>
                      <w:b/>
                      <w:bCs/>
                      <w:color w:val="auto"/>
                    </w:rPr>
                  </w:pPr>
                  <w:r>
                    <w:rPr>
                      <w:rFonts w:hint="default" w:ascii="Times New Roman" w:hAnsi="Times New Roman" w:cs="Times New Roman"/>
                      <w:b/>
                      <w:bCs/>
                      <w:color w:val="auto"/>
                    </w:rPr>
                    <w:t>产生工序及装置</w:t>
                  </w:r>
                </w:p>
              </w:tc>
              <w:tc>
                <w:tcPr>
                  <w:tcW w:w="600" w:type="dxa"/>
                  <w:vAlign w:val="center"/>
                </w:tcPr>
                <w:p>
                  <w:pPr>
                    <w:pStyle w:val="11"/>
                    <w:jc w:val="center"/>
                    <w:rPr>
                      <w:rFonts w:hint="default" w:ascii="Times New Roman" w:hAnsi="Times New Roman" w:cs="Times New Roman"/>
                      <w:b/>
                      <w:bCs/>
                      <w:color w:val="auto"/>
                    </w:rPr>
                  </w:pPr>
                  <w:r>
                    <w:rPr>
                      <w:rFonts w:hint="default" w:ascii="Times New Roman" w:hAnsi="Times New Roman" w:cs="Times New Roman"/>
                      <w:b/>
                      <w:bCs/>
                      <w:color w:val="auto"/>
                    </w:rPr>
                    <w:t>形态</w:t>
                  </w:r>
                </w:p>
              </w:tc>
              <w:tc>
                <w:tcPr>
                  <w:tcW w:w="720" w:type="dxa"/>
                  <w:vAlign w:val="center"/>
                </w:tcPr>
                <w:p>
                  <w:pPr>
                    <w:pStyle w:val="11"/>
                    <w:jc w:val="center"/>
                    <w:rPr>
                      <w:rFonts w:hint="default" w:ascii="Times New Roman" w:hAnsi="Times New Roman" w:cs="Times New Roman"/>
                      <w:b/>
                      <w:bCs/>
                      <w:color w:val="auto"/>
                    </w:rPr>
                  </w:pPr>
                  <w:r>
                    <w:rPr>
                      <w:rFonts w:hint="default" w:ascii="Times New Roman" w:hAnsi="Times New Roman" w:cs="Times New Roman"/>
                      <w:b/>
                      <w:bCs/>
                      <w:color w:val="auto"/>
                    </w:rPr>
                    <w:t>主要成分</w:t>
                  </w:r>
                </w:p>
              </w:tc>
              <w:tc>
                <w:tcPr>
                  <w:tcW w:w="823" w:type="dxa"/>
                  <w:vAlign w:val="center"/>
                </w:tcPr>
                <w:p>
                  <w:pPr>
                    <w:pStyle w:val="11"/>
                    <w:jc w:val="center"/>
                    <w:rPr>
                      <w:rFonts w:hint="default" w:ascii="Times New Roman" w:hAnsi="Times New Roman" w:cs="Times New Roman"/>
                      <w:b/>
                      <w:bCs/>
                      <w:color w:val="auto"/>
                    </w:rPr>
                  </w:pPr>
                  <w:r>
                    <w:rPr>
                      <w:rFonts w:hint="default" w:ascii="Times New Roman" w:hAnsi="Times New Roman" w:cs="Times New Roman"/>
                      <w:b/>
                      <w:bCs/>
                      <w:color w:val="auto"/>
                    </w:rPr>
                    <w:t>有害成分</w:t>
                  </w:r>
                </w:p>
              </w:tc>
              <w:tc>
                <w:tcPr>
                  <w:tcW w:w="675" w:type="dxa"/>
                  <w:vAlign w:val="center"/>
                </w:tcPr>
                <w:p>
                  <w:pPr>
                    <w:pStyle w:val="11"/>
                    <w:jc w:val="center"/>
                    <w:rPr>
                      <w:rFonts w:hint="default" w:ascii="Times New Roman" w:hAnsi="Times New Roman" w:cs="Times New Roman"/>
                      <w:b/>
                      <w:bCs/>
                      <w:color w:val="auto"/>
                    </w:rPr>
                  </w:pPr>
                  <w:r>
                    <w:rPr>
                      <w:rFonts w:hint="default" w:ascii="Times New Roman" w:hAnsi="Times New Roman" w:cs="Times New Roman"/>
                      <w:b/>
                      <w:bCs/>
                      <w:color w:val="auto"/>
                    </w:rPr>
                    <w:t>产废周期</w:t>
                  </w:r>
                </w:p>
              </w:tc>
              <w:tc>
                <w:tcPr>
                  <w:tcW w:w="700" w:type="dxa"/>
                  <w:vAlign w:val="center"/>
                </w:tcPr>
                <w:p>
                  <w:pPr>
                    <w:pStyle w:val="11"/>
                    <w:jc w:val="center"/>
                    <w:rPr>
                      <w:rFonts w:hint="default" w:ascii="Times New Roman" w:hAnsi="Times New Roman" w:cs="Times New Roman"/>
                      <w:b/>
                      <w:bCs/>
                      <w:color w:val="auto"/>
                    </w:rPr>
                  </w:pPr>
                  <w:r>
                    <w:rPr>
                      <w:rFonts w:hint="default" w:ascii="Times New Roman" w:hAnsi="Times New Roman" w:cs="Times New Roman"/>
                      <w:b/>
                      <w:bCs/>
                      <w:color w:val="auto"/>
                    </w:rPr>
                    <w:t>危险特性</w:t>
                  </w:r>
                </w:p>
              </w:tc>
              <w:tc>
                <w:tcPr>
                  <w:tcW w:w="737" w:type="dxa"/>
                  <w:vAlign w:val="center"/>
                </w:tcPr>
                <w:p>
                  <w:pPr>
                    <w:pStyle w:val="11"/>
                    <w:jc w:val="center"/>
                    <w:rPr>
                      <w:rFonts w:hint="default" w:ascii="Times New Roman" w:hAnsi="Times New Roman" w:cs="Times New Roman"/>
                      <w:b/>
                      <w:bCs/>
                      <w:color w:val="auto"/>
                    </w:rPr>
                  </w:pPr>
                  <w:r>
                    <w:rPr>
                      <w:rFonts w:hint="default" w:ascii="Times New Roman" w:hAnsi="Times New Roman" w:cs="Times New Roman"/>
                      <w:b/>
                      <w:bCs/>
                      <w:color w:val="auto"/>
                    </w:rPr>
                    <w:t>污染防治措施</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4" w:hRule="atLeast"/>
                <w:jc w:val="center"/>
              </w:trPr>
              <w:tc>
                <w:tcPr>
                  <w:tcW w:w="1313"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废机油</w:t>
                  </w:r>
                </w:p>
              </w:tc>
              <w:tc>
                <w:tcPr>
                  <w:tcW w:w="825"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HW08</w:t>
                  </w:r>
                </w:p>
              </w:tc>
              <w:tc>
                <w:tcPr>
                  <w:tcW w:w="723"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900-217-08</w:t>
                  </w:r>
                </w:p>
              </w:tc>
              <w:tc>
                <w:tcPr>
                  <w:tcW w:w="721"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0.010t/a</w:t>
                  </w:r>
                </w:p>
              </w:tc>
              <w:tc>
                <w:tcPr>
                  <w:tcW w:w="1136"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生产过程/机械设备</w:t>
                  </w:r>
                </w:p>
              </w:tc>
              <w:tc>
                <w:tcPr>
                  <w:tcW w:w="600"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液体</w:t>
                  </w:r>
                </w:p>
              </w:tc>
              <w:tc>
                <w:tcPr>
                  <w:tcW w:w="720"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矿物质油</w:t>
                  </w:r>
                </w:p>
              </w:tc>
              <w:tc>
                <w:tcPr>
                  <w:tcW w:w="823"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矿物质油</w:t>
                  </w:r>
                </w:p>
              </w:tc>
              <w:tc>
                <w:tcPr>
                  <w:tcW w:w="675"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半年</w:t>
                  </w:r>
                </w:p>
              </w:tc>
              <w:tc>
                <w:tcPr>
                  <w:tcW w:w="700"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T</w:t>
                  </w:r>
                </w:p>
              </w:tc>
              <w:tc>
                <w:tcPr>
                  <w:tcW w:w="737" w:type="dxa"/>
                  <w:vMerge w:val="restart"/>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危废间暂存后交由有资质的单位处理</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4" w:hRule="atLeast"/>
                <w:jc w:val="center"/>
              </w:trPr>
              <w:tc>
                <w:tcPr>
                  <w:tcW w:w="1313"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废液压油</w:t>
                  </w:r>
                </w:p>
              </w:tc>
              <w:tc>
                <w:tcPr>
                  <w:tcW w:w="825"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HW08</w:t>
                  </w:r>
                </w:p>
              </w:tc>
              <w:tc>
                <w:tcPr>
                  <w:tcW w:w="723"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900-217-08</w:t>
                  </w:r>
                </w:p>
              </w:tc>
              <w:tc>
                <w:tcPr>
                  <w:tcW w:w="721"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0.005t/a</w:t>
                  </w:r>
                </w:p>
              </w:tc>
              <w:tc>
                <w:tcPr>
                  <w:tcW w:w="1136"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生产过程/机械设备</w:t>
                  </w:r>
                </w:p>
              </w:tc>
              <w:tc>
                <w:tcPr>
                  <w:tcW w:w="600"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液体</w:t>
                  </w:r>
                </w:p>
              </w:tc>
              <w:tc>
                <w:tcPr>
                  <w:tcW w:w="720"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矿物质油</w:t>
                  </w:r>
                </w:p>
              </w:tc>
              <w:tc>
                <w:tcPr>
                  <w:tcW w:w="823"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矿物质油</w:t>
                  </w:r>
                </w:p>
              </w:tc>
              <w:tc>
                <w:tcPr>
                  <w:tcW w:w="675"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半年</w:t>
                  </w:r>
                </w:p>
              </w:tc>
              <w:tc>
                <w:tcPr>
                  <w:tcW w:w="700"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T</w:t>
                  </w:r>
                </w:p>
              </w:tc>
              <w:tc>
                <w:tcPr>
                  <w:tcW w:w="737" w:type="dxa"/>
                  <w:vMerge w:val="continue"/>
                  <w:vAlign w:val="center"/>
                </w:tcPr>
                <w:p>
                  <w:pPr>
                    <w:pStyle w:val="11"/>
                    <w:jc w:val="center"/>
                    <w:rPr>
                      <w:rFonts w:hint="default" w:ascii="Times New Roman" w:hAnsi="Times New Roman" w:cs="Times New Roman"/>
                      <w:color w:val="auto"/>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21" w:hRule="atLeast"/>
                <w:jc w:val="center"/>
              </w:trPr>
              <w:tc>
                <w:tcPr>
                  <w:tcW w:w="1313"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废油桶</w:t>
                  </w:r>
                </w:p>
              </w:tc>
              <w:tc>
                <w:tcPr>
                  <w:tcW w:w="825"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HW49</w:t>
                  </w:r>
                </w:p>
              </w:tc>
              <w:tc>
                <w:tcPr>
                  <w:tcW w:w="723"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900-041-49</w:t>
                  </w:r>
                </w:p>
              </w:tc>
              <w:tc>
                <w:tcPr>
                  <w:tcW w:w="721"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0.005t/a</w:t>
                  </w:r>
                </w:p>
              </w:tc>
              <w:tc>
                <w:tcPr>
                  <w:tcW w:w="1136"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生产过程/机械设备</w:t>
                  </w:r>
                </w:p>
              </w:tc>
              <w:tc>
                <w:tcPr>
                  <w:tcW w:w="600"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固体</w:t>
                  </w:r>
                </w:p>
              </w:tc>
              <w:tc>
                <w:tcPr>
                  <w:tcW w:w="720"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w:t>
                  </w:r>
                </w:p>
              </w:tc>
              <w:tc>
                <w:tcPr>
                  <w:tcW w:w="823"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矿物质油</w:t>
                  </w:r>
                </w:p>
              </w:tc>
              <w:tc>
                <w:tcPr>
                  <w:tcW w:w="675"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半年</w:t>
                  </w:r>
                </w:p>
              </w:tc>
              <w:tc>
                <w:tcPr>
                  <w:tcW w:w="700"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T</w:t>
                  </w:r>
                </w:p>
              </w:tc>
              <w:tc>
                <w:tcPr>
                  <w:tcW w:w="737" w:type="dxa"/>
                  <w:vMerge w:val="continue"/>
                  <w:vAlign w:val="center"/>
                </w:tcPr>
                <w:p>
                  <w:pPr>
                    <w:pStyle w:val="11"/>
                    <w:jc w:val="center"/>
                    <w:rPr>
                      <w:rFonts w:hint="default" w:ascii="Times New Roman" w:hAnsi="Times New Roman" w:cs="Times New Roman"/>
                      <w:color w:val="auto"/>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21" w:hRule="atLeast"/>
                <w:jc w:val="center"/>
              </w:trPr>
              <w:tc>
                <w:tcPr>
                  <w:tcW w:w="1313"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废过滤滤芯</w:t>
                  </w:r>
                </w:p>
              </w:tc>
              <w:tc>
                <w:tcPr>
                  <w:tcW w:w="825"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HW49</w:t>
                  </w:r>
                </w:p>
              </w:tc>
              <w:tc>
                <w:tcPr>
                  <w:tcW w:w="723"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990-041-49</w:t>
                  </w:r>
                </w:p>
              </w:tc>
              <w:tc>
                <w:tcPr>
                  <w:tcW w:w="721"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0.010t/a</w:t>
                  </w:r>
                </w:p>
              </w:tc>
              <w:tc>
                <w:tcPr>
                  <w:tcW w:w="1136" w:type="dxa"/>
                  <w:vAlign w:val="center"/>
                </w:tcPr>
                <w:p>
                  <w:pPr>
                    <w:pStyle w:val="11"/>
                    <w:rPr>
                      <w:rFonts w:hint="default" w:ascii="Times New Roman" w:hAnsi="Times New Roman" w:cs="Times New Roman"/>
                      <w:color w:val="auto"/>
                    </w:rPr>
                  </w:pPr>
                  <w:r>
                    <w:rPr>
                      <w:rFonts w:hint="default" w:ascii="Times New Roman" w:hAnsi="Times New Roman" w:cs="Times New Roman"/>
                      <w:color w:val="auto"/>
                    </w:rPr>
                    <w:t>生产过程</w:t>
                  </w:r>
                </w:p>
              </w:tc>
              <w:tc>
                <w:tcPr>
                  <w:tcW w:w="600"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固体</w:t>
                  </w:r>
                </w:p>
              </w:tc>
              <w:tc>
                <w:tcPr>
                  <w:tcW w:w="720"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w:t>
                  </w:r>
                </w:p>
              </w:tc>
              <w:tc>
                <w:tcPr>
                  <w:tcW w:w="823"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有机物等</w:t>
                  </w:r>
                </w:p>
              </w:tc>
              <w:tc>
                <w:tcPr>
                  <w:tcW w:w="675"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3个月</w:t>
                  </w:r>
                </w:p>
              </w:tc>
              <w:tc>
                <w:tcPr>
                  <w:tcW w:w="700"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T</w:t>
                  </w:r>
                </w:p>
              </w:tc>
              <w:tc>
                <w:tcPr>
                  <w:tcW w:w="737" w:type="dxa"/>
                  <w:vMerge w:val="continue"/>
                  <w:vAlign w:val="center"/>
                </w:tcPr>
                <w:p>
                  <w:pPr>
                    <w:pStyle w:val="11"/>
                    <w:jc w:val="center"/>
                    <w:rPr>
                      <w:rFonts w:hint="default" w:ascii="Times New Roman" w:hAnsi="Times New Roman" w:cs="Times New Roman"/>
                      <w:color w:val="auto"/>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21" w:hRule="atLeast"/>
                <w:jc w:val="center"/>
              </w:trPr>
              <w:tc>
                <w:tcPr>
                  <w:tcW w:w="1313"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废活性炭</w:t>
                  </w:r>
                </w:p>
              </w:tc>
              <w:tc>
                <w:tcPr>
                  <w:tcW w:w="825"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HW49</w:t>
                  </w:r>
                </w:p>
              </w:tc>
              <w:tc>
                <w:tcPr>
                  <w:tcW w:w="723"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990-041-49</w:t>
                  </w:r>
                </w:p>
              </w:tc>
              <w:tc>
                <w:tcPr>
                  <w:tcW w:w="721" w:type="dxa"/>
                  <w:vAlign w:val="center"/>
                </w:tcPr>
                <w:p>
                  <w:pPr>
                    <w:pStyle w:val="11"/>
                    <w:jc w:val="center"/>
                    <w:rPr>
                      <w:rFonts w:hint="eastAsia" w:cs="Times New Roman"/>
                      <w:color w:val="auto"/>
                      <w:lang w:val="en-US" w:eastAsia="zh-CN"/>
                    </w:rPr>
                  </w:pPr>
                  <w:r>
                    <w:rPr>
                      <w:rFonts w:hint="eastAsia" w:cs="Times New Roman"/>
                      <w:color w:val="auto"/>
                      <w:lang w:val="en-US" w:eastAsia="zh-CN"/>
                    </w:rPr>
                    <w:t>1</w:t>
                  </w:r>
                </w:p>
                <w:p>
                  <w:pPr>
                    <w:pStyle w:val="11"/>
                    <w:jc w:val="center"/>
                    <w:rPr>
                      <w:rFonts w:hint="default" w:ascii="Times New Roman" w:hAnsi="Times New Roman" w:cs="Times New Roman"/>
                      <w:color w:val="auto"/>
                    </w:rPr>
                  </w:pPr>
                  <w:r>
                    <w:rPr>
                      <w:rFonts w:hint="default" w:ascii="Times New Roman" w:hAnsi="Times New Roman" w:cs="Times New Roman"/>
                      <w:color w:val="auto"/>
                    </w:rPr>
                    <w:t>t/a</w:t>
                  </w:r>
                </w:p>
              </w:tc>
              <w:tc>
                <w:tcPr>
                  <w:tcW w:w="1136" w:type="dxa"/>
                  <w:vAlign w:val="center"/>
                </w:tcPr>
                <w:p>
                  <w:pPr>
                    <w:pStyle w:val="11"/>
                    <w:rPr>
                      <w:rFonts w:hint="default" w:ascii="Times New Roman" w:hAnsi="Times New Roman" w:cs="Times New Roman"/>
                      <w:color w:val="auto"/>
                    </w:rPr>
                  </w:pPr>
                  <w:r>
                    <w:rPr>
                      <w:rFonts w:hint="default" w:ascii="Times New Roman" w:hAnsi="Times New Roman" w:cs="Times New Roman"/>
                      <w:color w:val="auto"/>
                    </w:rPr>
                    <w:t>废气处理</w:t>
                  </w:r>
                </w:p>
              </w:tc>
              <w:tc>
                <w:tcPr>
                  <w:tcW w:w="600"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固体</w:t>
                  </w:r>
                </w:p>
              </w:tc>
              <w:tc>
                <w:tcPr>
                  <w:tcW w:w="720" w:type="dxa"/>
                  <w:vAlign w:val="center"/>
                </w:tcPr>
                <w:p>
                  <w:pPr>
                    <w:pStyle w:val="11"/>
                    <w:rPr>
                      <w:rFonts w:hint="default" w:ascii="Times New Roman" w:hAnsi="Times New Roman" w:cs="Times New Roman"/>
                      <w:color w:val="auto"/>
                    </w:rPr>
                  </w:pPr>
                  <w:r>
                    <w:rPr>
                      <w:rFonts w:hint="default" w:ascii="Times New Roman" w:hAnsi="Times New Roman" w:cs="Times New Roman"/>
                      <w:color w:val="auto"/>
                    </w:rPr>
                    <w:t>活性炭</w:t>
                  </w:r>
                </w:p>
              </w:tc>
              <w:tc>
                <w:tcPr>
                  <w:tcW w:w="823"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有机物等</w:t>
                  </w:r>
                </w:p>
              </w:tc>
              <w:tc>
                <w:tcPr>
                  <w:tcW w:w="675"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3个月</w:t>
                  </w:r>
                </w:p>
              </w:tc>
              <w:tc>
                <w:tcPr>
                  <w:tcW w:w="700"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T</w:t>
                  </w:r>
                </w:p>
              </w:tc>
              <w:tc>
                <w:tcPr>
                  <w:tcW w:w="737" w:type="dxa"/>
                  <w:vMerge w:val="continue"/>
                  <w:vAlign w:val="center"/>
                </w:tcPr>
                <w:p>
                  <w:pPr>
                    <w:pStyle w:val="11"/>
                    <w:jc w:val="center"/>
                    <w:rPr>
                      <w:rFonts w:hint="default" w:ascii="Times New Roman" w:hAnsi="Times New Roman" w:cs="Times New Roman"/>
                      <w:color w:val="auto"/>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5" w:hRule="atLeast"/>
                <w:jc w:val="center"/>
              </w:trPr>
              <w:tc>
                <w:tcPr>
                  <w:tcW w:w="8973" w:type="dxa"/>
                  <w:gridSpan w:val="11"/>
                  <w:vAlign w:val="center"/>
                </w:tcPr>
                <w:p>
                  <w:pPr>
                    <w:pStyle w:val="11"/>
                    <w:jc w:val="both"/>
                    <w:rPr>
                      <w:rFonts w:hint="default" w:ascii="Times New Roman" w:hAnsi="Times New Roman" w:cs="Times New Roman"/>
                      <w:color w:val="auto"/>
                    </w:rPr>
                  </w:pPr>
                  <w:r>
                    <w:rPr>
                      <w:rFonts w:hint="default" w:ascii="Times New Roman" w:hAnsi="Times New Roman" w:cs="Times New Roman"/>
                      <w:color w:val="auto"/>
                    </w:rPr>
                    <w:t>注：废物代码参考《国家危险分类管理名录》（2021版）；</w:t>
                  </w:r>
                </w:p>
              </w:tc>
            </w:tr>
          </w:tbl>
          <w:p>
            <w:pPr>
              <w:adjustRightInd w:val="0"/>
              <w:snapToGrid w:val="0"/>
              <w:ind w:firstLine="480"/>
              <w:rPr>
                <w:rFonts w:hint="default" w:ascii="Times New Roman" w:hAnsi="Times New Roman" w:cs="Times New Roman"/>
                <w:color w:val="auto"/>
              </w:rPr>
            </w:pPr>
            <w:r>
              <w:rPr>
                <w:rFonts w:hint="default" w:ascii="Times New Roman" w:hAnsi="Times New Roman" w:cs="Times New Roman"/>
                <w:color w:val="auto"/>
              </w:rPr>
              <w:t>环评要求采取的措施：</w:t>
            </w:r>
          </w:p>
          <w:p>
            <w:pPr>
              <w:adjustRightInd w:val="0"/>
              <w:snapToGrid w:val="0"/>
              <w:ind w:firstLine="480"/>
              <w:rPr>
                <w:rFonts w:hint="default" w:ascii="Times New Roman" w:hAnsi="Times New Roman" w:cs="Times New Roman"/>
                <w:color w:val="auto"/>
              </w:rPr>
            </w:pPr>
            <w:r>
              <w:rPr>
                <w:rFonts w:hint="default" w:ascii="Times New Roman" w:hAnsi="Times New Roman" w:cs="Times New Roman"/>
                <w:color w:val="auto"/>
              </w:rPr>
              <w:t>A、本次环评要求项目单独设置危废暂存间1个，</w:t>
            </w:r>
            <w:r>
              <w:rPr>
                <w:rFonts w:hint="default" w:ascii="Times New Roman" w:hAnsi="Times New Roman" w:cs="Times New Roman"/>
                <w:b/>
                <w:bCs/>
                <w:color w:val="auto"/>
                <w:u w:val="single"/>
              </w:rPr>
              <w:t>采用2mmHDPE土工膜+防渗水泥进行防渗处理</w:t>
            </w:r>
            <w:r>
              <w:rPr>
                <w:rFonts w:hint="default" w:ascii="Times New Roman" w:hAnsi="Times New Roman" w:cs="Times New Roman"/>
                <w:color w:val="auto"/>
              </w:rPr>
              <w:t>，并设置危险废物识别标志。</w:t>
            </w:r>
          </w:p>
          <w:p>
            <w:pPr>
              <w:adjustRightInd w:val="0"/>
              <w:snapToGrid w:val="0"/>
              <w:ind w:firstLine="480"/>
              <w:rPr>
                <w:rFonts w:hint="default" w:ascii="Times New Roman" w:hAnsi="Times New Roman" w:cs="Times New Roman"/>
                <w:color w:val="auto"/>
              </w:rPr>
            </w:pPr>
            <w:r>
              <w:rPr>
                <w:rFonts w:hint="default" w:ascii="Times New Roman" w:hAnsi="Times New Roman" w:cs="Times New Roman"/>
                <w:color w:val="auto"/>
              </w:rPr>
              <w:t>B、建设单位应建立相应的危废管理台帐，按照国家有关危险废物申报登记、转移联单等管理制度的要求，向当地环境保护部门进行危险废物的申报、转移。</w:t>
            </w:r>
          </w:p>
          <w:p>
            <w:pPr>
              <w:adjustRightInd w:val="0"/>
              <w:snapToGrid w:val="0"/>
              <w:ind w:firstLine="480"/>
              <w:rPr>
                <w:rFonts w:hint="default" w:ascii="Times New Roman" w:hAnsi="Times New Roman" w:cs="Times New Roman"/>
                <w:color w:val="auto"/>
              </w:rPr>
            </w:pPr>
            <w:r>
              <w:rPr>
                <w:rFonts w:hint="default" w:ascii="Times New Roman" w:hAnsi="Times New Roman" w:cs="Times New Roman"/>
                <w:color w:val="auto"/>
              </w:rPr>
              <w:t>C、作为危险废物情况的记录，记录上须注明危险废物的名称、来源、数量、特性和包装容器的类别、入库日期、存放库位、废物出库日期及接收单位名称，危险废物的记录和货单在危险废物回去后应继续保留3a。</w:t>
            </w:r>
          </w:p>
          <w:p>
            <w:pPr>
              <w:adjustRightInd w:val="0"/>
              <w:snapToGrid w:val="0"/>
              <w:ind w:firstLine="480"/>
              <w:rPr>
                <w:rFonts w:hint="default" w:ascii="Times New Roman" w:hAnsi="Times New Roman" w:cs="Times New Roman"/>
                <w:color w:val="auto"/>
              </w:rPr>
            </w:pPr>
            <w:r>
              <w:rPr>
                <w:rFonts w:hint="default" w:ascii="Times New Roman" w:hAnsi="Times New Roman" w:cs="Times New Roman"/>
                <w:color w:val="auto"/>
              </w:rPr>
              <w:t>D、定期对所贮存的危险废物包装容器及贮存设施进行检查，发现破损，应及时采取措施清理更换。</w:t>
            </w:r>
          </w:p>
          <w:p>
            <w:pPr>
              <w:adjustRightInd w:val="0"/>
              <w:snapToGrid w:val="0"/>
              <w:ind w:firstLine="480"/>
              <w:rPr>
                <w:rFonts w:hint="default" w:ascii="Times New Roman" w:hAnsi="Times New Roman" w:cs="Times New Roman"/>
                <w:color w:val="auto"/>
              </w:rPr>
            </w:pPr>
            <w:r>
              <w:rPr>
                <w:rFonts w:hint="default" w:ascii="Times New Roman" w:hAnsi="Times New Roman" w:cs="Times New Roman"/>
                <w:color w:val="auto"/>
              </w:rPr>
              <w:t>E、装载液体、半固体危险废物的容器内须留足够空间，容器顶部与液体表面之间保留100mm以上的空间，盛装危险废物的容器上必须粘贴具有危险废物性质、成分、安全措施、产生单位的信息标签，不得将不相容的废物混合或合并存放。</w:t>
            </w:r>
          </w:p>
          <w:p>
            <w:pPr>
              <w:adjustRightInd w:val="0"/>
              <w:snapToGrid w:val="0"/>
              <w:ind w:firstLine="480"/>
              <w:rPr>
                <w:rFonts w:hint="default" w:ascii="Times New Roman" w:hAnsi="Times New Roman" w:cs="Times New Roman"/>
                <w:color w:val="auto"/>
              </w:rPr>
            </w:pPr>
            <w:r>
              <w:rPr>
                <w:rFonts w:hint="default" w:ascii="Times New Roman" w:hAnsi="Times New Roman" w:cs="Times New Roman"/>
                <w:color w:val="auto"/>
              </w:rPr>
              <w:t>综上，项目各类固废均做到了合理处置，不会形成二次污染。</w:t>
            </w:r>
          </w:p>
          <w:p>
            <w:pPr>
              <w:adjustRightInd w:val="0"/>
              <w:snapToGrid w:val="0"/>
              <w:ind w:firstLine="440"/>
              <w:rPr>
                <w:rFonts w:hint="default" w:ascii="Times New Roman" w:hAnsi="Times New Roman" w:cs="Times New Roman"/>
                <w:bCs/>
                <w:color w:val="auto"/>
                <w:spacing w:val="-10"/>
                <w:szCs w:val="21"/>
              </w:rPr>
            </w:pPr>
            <w:r>
              <w:rPr>
                <w:rFonts w:hint="default" w:ascii="Times New Roman" w:hAnsi="Times New Roman" w:cs="Times New Roman"/>
                <w:bCs/>
                <w:color w:val="auto"/>
                <w:spacing w:val="-10"/>
                <w:szCs w:val="21"/>
              </w:rPr>
              <w:t>（二）运营期环境影响分析</w:t>
            </w:r>
          </w:p>
          <w:p>
            <w:pPr>
              <w:adjustRightInd w:val="0"/>
              <w:snapToGrid w:val="0"/>
              <w:ind w:firstLine="442"/>
              <w:rPr>
                <w:rFonts w:hint="default" w:ascii="Times New Roman" w:hAnsi="Times New Roman" w:cs="Times New Roman"/>
                <w:b/>
                <w:color w:val="auto"/>
                <w:spacing w:val="-10"/>
                <w:szCs w:val="21"/>
              </w:rPr>
            </w:pPr>
            <w:r>
              <w:rPr>
                <w:rFonts w:hint="default" w:ascii="Times New Roman" w:hAnsi="Times New Roman" w:cs="Times New Roman"/>
                <w:b/>
                <w:color w:val="auto"/>
                <w:spacing w:val="-10"/>
                <w:szCs w:val="21"/>
              </w:rPr>
              <w:t>1、地表水</w:t>
            </w:r>
          </w:p>
          <w:p>
            <w:pPr>
              <w:keepNext w:val="0"/>
              <w:keepLines w:val="0"/>
              <w:pageBreakBefore w:val="0"/>
              <w:widowControl w:val="0"/>
              <w:kinsoku/>
              <w:wordWrap/>
              <w:overflowPunct/>
              <w:topLinePunct w:val="0"/>
              <w:autoSpaceDE/>
              <w:autoSpaceDN/>
              <w:bidi w:val="0"/>
              <w:adjustRightInd w:val="0"/>
              <w:snapToGrid w:val="0"/>
              <w:ind w:left="0" w:leftChars="0" w:firstLine="440" w:firstLineChars="200"/>
              <w:textAlignment w:val="auto"/>
              <w:rPr>
                <w:rFonts w:hint="default" w:ascii="Times New Roman" w:hAnsi="Times New Roman" w:cs="Times New Roman"/>
                <w:bCs/>
                <w:color w:val="auto"/>
                <w:spacing w:val="-10"/>
                <w:szCs w:val="21"/>
              </w:rPr>
            </w:pPr>
            <w:r>
              <w:rPr>
                <w:rFonts w:hint="default" w:ascii="Times New Roman" w:hAnsi="Times New Roman" w:cs="Times New Roman"/>
                <w:bCs/>
                <w:color w:val="auto"/>
                <w:spacing w:val="-10"/>
                <w:szCs w:val="21"/>
              </w:rPr>
              <w:t>由工程分析可知，本项目废水主要包括员工生活污水。</w:t>
            </w:r>
          </w:p>
          <w:p>
            <w:pPr>
              <w:keepNext w:val="0"/>
              <w:keepLines w:val="0"/>
              <w:pageBreakBefore w:val="0"/>
              <w:widowControl w:val="0"/>
              <w:kinsoku/>
              <w:wordWrap/>
              <w:overflowPunct/>
              <w:topLinePunct w:val="0"/>
              <w:autoSpaceDE/>
              <w:autoSpaceDN/>
              <w:bidi w:val="0"/>
              <w:adjustRightInd w:val="0"/>
              <w:snapToGrid w:val="0"/>
              <w:ind w:left="0" w:leftChars="0" w:firstLine="480" w:firstLineChars="200"/>
              <w:jc w:val="left"/>
              <w:textAlignment w:val="auto"/>
              <w:rPr>
                <w:rFonts w:hint="default" w:ascii="Times New Roman" w:hAnsi="Times New Roman" w:cs="Times New Roman"/>
                <w:color w:val="auto"/>
              </w:rPr>
            </w:pPr>
            <w:bookmarkStart w:id="37" w:name="_Toc317239135"/>
            <w:bookmarkStart w:id="38" w:name="_Toc317240306"/>
            <w:bookmarkStart w:id="39" w:name="_Toc317240867"/>
            <w:r>
              <w:rPr>
                <w:rFonts w:hint="default" w:ascii="Times New Roman" w:hAnsi="Times New Roman" w:cs="Times New Roman"/>
                <w:color w:val="auto"/>
              </w:rPr>
              <w:t>项目在厂房建设过程已设置预处理池，有效容积约为100m</w:t>
            </w:r>
            <w:r>
              <w:rPr>
                <w:rFonts w:hint="default" w:ascii="Times New Roman" w:hAnsi="Times New Roman" w:cs="Times New Roman"/>
                <w:color w:val="auto"/>
                <w:vertAlign w:val="superscript"/>
              </w:rPr>
              <w:t>3</w:t>
            </w:r>
            <w:r>
              <w:rPr>
                <w:rFonts w:hint="default" w:ascii="Times New Roman" w:hAnsi="Times New Roman" w:cs="Times New Roman"/>
                <w:color w:val="auto"/>
              </w:rPr>
              <w:t>，本项目的污水排放量为</w:t>
            </w:r>
            <w:r>
              <w:rPr>
                <w:rFonts w:hint="default" w:ascii="Times New Roman" w:hAnsi="Times New Roman" w:cs="Times New Roman"/>
                <w:color w:val="auto"/>
                <w:lang w:eastAsia="zh-CN"/>
              </w:rPr>
              <w:t>5.23</w:t>
            </w:r>
            <w:r>
              <w:rPr>
                <w:rFonts w:hint="default" w:ascii="Times New Roman" w:hAnsi="Times New Roman" w:cs="Times New Roman"/>
                <w:color w:val="auto"/>
              </w:rPr>
              <w:t>m</w:t>
            </w:r>
            <w:r>
              <w:rPr>
                <w:rFonts w:hint="default" w:ascii="Times New Roman" w:hAnsi="Times New Roman" w:cs="Times New Roman"/>
                <w:color w:val="auto"/>
                <w:vertAlign w:val="superscript"/>
              </w:rPr>
              <w:t>3</w:t>
            </w:r>
            <w:r>
              <w:rPr>
                <w:rFonts w:hint="default" w:ascii="Times New Roman" w:hAnsi="Times New Roman" w:cs="Times New Roman"/>
                <w:color w:val="auto"/>
              </w:rPr>
              <w:t>/d，板项目生活污水经预处理池处理达标后排入园区管网，进入工业污水处理厂后排入</w:t>
            </w:r>
            <w:r>
              <w:rPr>
                <w:rFonts w:hint="eastAsia" w:cs="Times New Roman"/>
                <w:color w:val="auto"/>
                <w:lang w:val="en-US" w:eastAsia="zh-CN"/>
              </w:rPr>
              <w:t>州河（后河）</w:t>
            </w:r>
            <w:r>
              <w:rPr>
                <w:rFonts w:hint="default" w:ascii="Times New Roman" w:hAnsi="Times New Roman" w:cs="Times New Roman"/>
                <w:color w:val="auto"/>
              </w:rPr>
              <w:t>。</w:t>
            </w:r>
          </w:p>
          <w:p>
            <w:pPr>
              <w:adjustRightInd w:val="0"/>
              <w:snapToGrid w:val="0"/>
              <w:ind w:firstLine="442"/>
              <w:rPr>
                <w:rFonts w:hint="default" w:ascii="Times New Roman" w:hAnsi="Times New Roman" w:cs="Times New Roman"/>
                <w:b/>
                <w:color w:val="auto"/>
                <w:spacing w:val="-10"/>
                <w:szCs w:val="21"/>
              </w:rPr>
            </w:pPr>
            <w:r>
              <w:rPr>
                <w:rFonts w:hint="default" w:ascii="Times New Roman" w:hAnsi="Times New Roman" w:cs="Times New Roman"/>
                <w:b/>
                <w:color w:val="auto"/>
                <w:spacing w:val="-10"/>
                <w:szCs w:val="21"/>
              </w:rPr>
              <w:t>2、环境空气影响分析</w:t>
            </w:r>
            <w:bookmarkEnd w:id="37"/>
            <w:bookmarkEnd w:id="38"/>
            <w:bookmarkEnd w:id="39"/>
          </w:p>
          <w:p>
            <w:pPr>
              <w:adjustRightInd w:val="0"/>
              <w:snapToGrid w:val="0"/>
              <w:ind w:firstLine="480"/>
              <w:rPr>
                <w:rFonts w:hint="default" w:ascii="Times New Roman" w:hAnsi="Times New Roman" w:cs="Times New Roman"/>
                <w:color w:val="auto"/>
              </w:rPr>
            </w:pPr>
            <w:r>
              <w:rPr>
                <w:rFonts w:hint="default" w:ascii="Times New Roman" w:hAnsi="Times New Roman" w:cs="Times New Roman"/>
                <w:color w:val="auto"/>
              </w:rPr>
              <w:t>本项目在产品的生产过程中，主要会产生有机废气等大气污染物。</w:t>
            </w:r>
          </w:p>
          <w:p>
            <w:pPr>
              <w:adjustRightInd w:val="0"/>
              <w:snapToGrid w:val="0"/>
              <w:ind w:firstLine="480"/>
              <w:rPr>
                <w:rFonts w:hint="default" w:ascii="Times New Roman" w:hAnsi="Times New Roman" w:cs="Times New Roman"/>
                <w:color w:val="auto"/>
              </w:rPr>
            </w:pPr>
            <w:r>
              <w:rPr>
                <w:rFonts w:hint="default" w:ascii="Times New Roman" w:hAnsi="Times New Roman" w:cs="Times New Roman"/>
                <w:color w:val="auto"/>
              </w:rPr>
              <w:t>造粒废气：采用1套“两级活性炭吸附”装置（</w:t>
            </w:r>
            <w:r>
              <w:rPr>
                <w:rFonts w:hint="eastAsia" w:cs="Times New Roman"/>
                <w:color w:val="auto"/>
                <w:lang w:val="en-US" w:eastAsia="zh-CN"/>
              </w:rPr>
              <w:t>LA</w:t>
            </w:r>
            <w:r>
              <w:rPr>
                <w:rFonts w:hint="default" w:ascii="Times New Roman" w:hAnsi="Times New Roman" w:cs="Times New Roman"/>
                <w:color w:val="auto"/>
              </w:rPr>
              <w:t>-00</w:t>
            </w:r>
            <w:r>
              <w:rPr>
                <w:rFonts w:hint="eastAsia" w:cs="Times New Roman"/>
                <w:color w:val="auto"/>
                <w:lang w:val="en-US" w:eastAsia="zh-CN"/>
              </w:rPr>
              <w:t>1</w:t>
            </w:r>
            <w:r>
              <w:rPr>
                <w:rFonts w:hint="default" w:ascii="Times New Roman" w:hAnsi="Times New Roman" w:cs="Times New Roman"/>
                <w:color w:val="auto"/>
              </w:rPr>
              <w:t>）处理后经15m高排气筒排放(风量按</w:t>
            </w:r>
            <w:r>
              <w:rPr>
                <w:rFonts w:hint="eastAsia" w:cs="Times New Roman"/>
                <w:color w:val="auto"/>
                <w:lang w:eastAsia="zh-CN"/>
              </w:rPr>
              <w:t>10800m</w:t>
            </w:r>
            <w:r>
              <w:rPr>
                <w:rFonts w:hint="default" w:ascii="Times New Roman" w:hAnsi="Times New Roman" w:cs="Times New Roman"/>
                <w:color w:val="auto"/>
                <w:vertAlign w:val="superscript"/>
              </w:rPr>
              <w:t>3</w:t>
            </w:r>
            <w:r>
              <w:rPr>
                <w:rFonts w:hint="default" w:ascii="Times New Roman" w:hAnsi="Times New Roman" w:cs="Times New Roman"/>
                <w:color w:val="auto"/>
              </w:rPr>
              <w:t>/h计算）。</w:t>
            </w:r>
          </w:p>
          <w:p>
            <w:pPr>
              <w:adjustRightInd w:val="0"/>
              <w:snapToGrid w:val="0"/>
              <w:ind w:firstLine="480"/>
              <w:rPr>
                <w:rFonts w:hint="default" w:ascii="Times New Roman" w:hAnsi="Times New Roman" w:cs="Times New Roman"/>
                <w:color w:val="auto"/>
              </w:rPr>
            </w:pPr>
            <w:r>
              <w:rPr>
                <w:rFonts w:hint="default" w:ascii="Times New Roman" w:hAnsi="Times New Roman" w:cs="Times New Roman"/>
                <w:color w:val="auto"/>
              </w:rPr>
              <w:t>综上所述，本项目产生废气量较少，通过采取措施后，废气浓度及排放速率达到排放标准要求，不会对周围大气环境造成明显影响。</w:t>
            </w:r>
          </w:p>
          <w:p>
            <w:pPr>
              <w:adjustRightInd w:val="0"/>
              <w:snapToGrid w:val="0"/>
              <w:ind w:firstLine="442"/>
              <w:rPr>
                <w:rFonts w:hint="default" w:ascii="Times New Roman" w:hAnsi="Times New Roman" w:cs="Times New Roman"/>
                <w:b/>
                <w:color w:val="auto"/>
                <w:spacing w:val="-10"/>
                <w:szCs w:val="21"/>
              </w:rPr>
            </w:pPr>
            <w:r>
              <w:rPr>
                <w:rFonts w:hint="default" w:ascii="Times New Roman" w:hAnsi="Times New Roman" w:cs="Times New Roman"/>
                <w:b/>
                <w:color w:val="auto"/>
                <w:spacing w:val="-10"/>
                <w:szCs w:val="21"/>
              </w:rPr>
              <w:t>3、声环境影响分析</w:t>
            </w:r>
          </w:p>
          <w:p>
            <w:pPr>
              <w:adjustRightInd w:val="0"/>
              <w:snapToGrid w:val="0"/>
              <w:ind w:firstLine="480"/>
              <w:rPr>
                <w:rFonts w:hint="default" w:ascii="Times New Roman" w:hAnsi="Times New Roman" w:cs="Times New Roman"/>
                <w:color w:val="auto"/>
              </w:rPr>
            </w:pPr>
            <w:bookmarkStart w:id="40" w:name="_Toc317240868"/>
            <w:bookmarkStart w:id="41" w:name="_Toc317240307"/>
            <w:bookmarkStart w:id="42" w:name="_Toc317239136"/>
            <w:r>
              <w:rPr>
                <w:rFonts w:hint="default" w:ascii="Times New Roman" w:hAnsi="Times New Roman" w:cs="Times New Roman"/>
                <w:color w:val="auto"/>
              </w:rPr>
              <w:t>源强分析</w:t>
            </w:r>
          </w:p>
          <w:p>
            <w:pPr>
              <w:adjustRightInd w:val="0"/>
              <w:snapToGrid w:val="0"/>
              <w:ind w:firstLine="480"/>
              <w:rPr>
                <w:rFonts w:hint="default" w:ascii="Times New Roman" w:hAnsi="Times New Roman" w:cs="Times New Roman"/>
                <w:color w:val="auto"/>
              </w:rPr>
            </w:pPr>
            <w:r>
              <w:rPr>
                <w:rFonts w:hint="default" w:ascii="Times New Roman" w:hAnsi="Times New Roman" w:cs="Times New Roman"/>
                <w:color w:val="auto"/>
              </w:rPr>
              <w:t>项目产生噪声设备主要造粒机、破碎机等机械设备，先计算各具体噪声源（</w:t>
            </w:r>
            <w:r>
              <w:rPr>
                <w:rFonts w:hint="default" w:ascii="Times New Roman" w:hAnsi="Times New Roman" w:cs="Times New Roman"/>
                <w:color w:val="auto"/>
                <w:lang w:val="en-US" w:eastAsia="zh-CN"/>
              </w:rPr>
              <w:t>同一类设备声源叠加后按设备预设中心位置估算厂界距离</w:t>
            </w:r>
            <w:r>
              <w:rPr>
                <w:rFonts w:hint="default" w:ascii="Times New Roman" w:hAnsi="Times New Roman" w:cs="Times New Roman"/>
                <w:color w:val="auto"/>
              </w:rPr>
              <w:t>）经衰减后至各厂界处的噪声值，然后再将噪声值进行叠加计算贡献值。</w:t>
            </w:r>
          </w:p>
          <w:p>
            <w:pPr>
              <w:pStyle w:val="11"/>
              <w:jc w:val="center"/>
              <w:rPr>
                <w:rFonts w:hint="default" w:ascii="Times New Roman" w:hAnsi="Times New Roman" w:cs="Times New Roman"/>
                <w:b/>
                <w:bCs/>
                <w:color w:val="auto"/>
              </w:rPr>
            </w:pPr>
          </w:p>
          <w:p>
            <w:pPr>
              <w:adjustRightInd w:val="0"/>
              <w:snapToGrid w:val="0"/>
              <w:ind w:firstLine="480"/>
              <w:rPr>
                <w:rFonts w:hint="default" w:ascii="Times New Roman" w:hAnsi="Times New Roman" w:cs="Times New Roman"/>
                <w:color w:val="auto"/>
              </w:rPr>
            </w:pPr>
            <w:r>
              <w:rPr>
                <w:rFonts w:hint="default" w:ascii="Times New Roman" w:hAnsi="Times New Roman" w:cs="Times New Roman"/>
                <w:color w:val="auto"/>
              </w:rPr>
              <w:t>拟采取的措施及达标情况</w:t>
            </w:r>
          </w:p>
          <w:p>
            <w:pPr>
              <w:adjustRightInd w:val="0"/>
              <w:snapToGrid w:val="0"/>
              <w:ind w:firstLine="480"/>
              <w:rPr>
                <w:rFonts w:hint="default" w:ascii="Times New Roman" w:hAnsi="Times New Roman" w:cs="Times New Roman"/>
                <w:color w:val="auto"/>
              </w:rPr>
            </w:pPr>
            <w:r>
              <w:rPr>
                <w:rFonts w:hint="default" w:ascii="Times New Roman" w:hAnsi="Times New Roman" w:cs="Times New Roman"/>
                <w:color w:val="auto"/>
              </w:rPr>
              <w:t>①合理布置噪声源，优化总图布置；②选型上使用国内先进的低噪声设备，从声源上降低设备本身噪声；③对高噪声设备进行基础减震、单独隔声措施；</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 4 \* GB3 </w:instrText>
            </w:r>
            <w:r>
              <w:rPr>
                <w:rFonts w:hint="default" w:ascii="Times New Roman" w:hAnsi="Times New Roman" w:cs="Times New Roman"/>
                <w:color w:val="auto"/>
              </w:rPr>
              <w:fldChar w:fldCharType="separate"/>
            </w:r>
            <w:r>
              <w:rPr>
                <w:rFonts w:hint="default" w:ascii="Times New Roman" w:hAnsi="Times New Roman" w:cs="Times New Roman"/>
                <w:color w:val="auto"/>
              </w:rPr>
              <w:t>④</w:t>
            </w:r>
            <w:r>
              <w:rPr>
                <w:rFonts w:hint="default" w:ascii="Times New Roman" w:hAnsi="Times New Roman" w:cs="Times New Roman"/>
                <w:color w:val="auto"/>
              </w:rPr>
              <w:fldChar w:fldCharType="end"/>
            </w:r>
            <w:r>
              <w:rPr>
                <w:rFonts w:hint="default" w:ascii="Times New Roman" w:hAnsi="Times New Roman" w:cs="Times New Roman"/>
                <w:color w:val="auto"/>
              </w:rPr>
              <w:t>定期对设备维修管理，维持设备处于良好的运转状态。项目对主要噪声源采取了基础减振、生产车间隔声、吸声等措施，通过采取这些措施，项目设备噪声可削减噪声15dB(A)。</w:t>
            </w:r>
          </w:p>
          <w:p>
            <w:pPr>
              <w:adjustRightInd w:val="0"/>
              <w:snapToGrid w:val="0"/>
              <w:ind w:firstLine="482"/>
              <w:rPr>
                <w:rFonts w:hint="default" w:ascii="Times New Roman" w:hAnsi="Times New Roman" w:cs="Times New Roman"/>
                <w:b/>
                <w:bCs/>
                <w:color w:val="auto"/>
              </w:rPr>
            </w:pPr>
            <w:r>
              <w:rPr>
                <w:rFonts w:hint="default" w:ascii="Times New Roman" w:hAnsi="Times New Roman" w:cs="Times New Roman"/>
                <w:b/>
                <w:bCs/>
                <w:color w:val="auto"/>
              </w:rPr>
              <w:t>预测模式</w:t>
            </w:r>
          </w:p>
          <w:p>
            <w:pPr>
              <w:adjustRightInd w:val="0"/>
              <w:snapToGrid w:val="0"/>
              <w:ind w:firstLine="482"/>
              <w:rPr>
                <w:rFonts w:hint="default" w:ascii="Times New Roman" w:hAnsi="Times New Roman" w:cs="Times New Roman"/>
                <w:color w:val="auto"/>
              </w:rPr>
            </w:pPr>
            <w:r>
              <w:rPr>
                <w:rFonts w:hint="default" w:ascii="Times New Roman" w:hAnsi="Times New Roman" w:cs="Times New Roman"/>
                <w:color w:val="auto"/>
              </w:rPr>
              <w:t>根据《环境影响评价技术导则</w:t>
            </w:r>
            <w:r>
              <w:rPr>
                <w:rFonts w:hint="default" w:ascii="Times New Roman" w:hAnsi="Times New Roman" w:cs="Times New Roman"/>
                <w:color w:val="auto"/>
                <w:lang w:val="en-US" w:eastAsia="zh-CN"/>
              </w:rPr>
              <w:t xml:space="preserve"> </w:t>
            </w:r>
            <w:r>
              <w:rPr>
                <w:rFonts w:hint="default" w:ascii="Times New Roman" w:hAnsi="Times New Roman" w:cs="Times New Roman"/>
                <w:color w:val="auto"/>
              </w:rPr>
              <w:t>声环境》（HJ2.4-</w:t>
            </w:r>
            <w:r>
              <w:rPr>
                <w:rFonts w:hint="default" w:ascii="Times New Roman" w:hAnsi="Times New Roman" w:cs="Times New Roman"/>
                <w:color w:val="auto"/>
                <w:lang w:val="en-US" w:eastAsia="zh-CN"/>
              </w:rPr>
              <w:t>2021</w:t>
            </w:r>
            <w:r>
              <w:rPr>
                <w:rFonts w:hint="default" w:ascii="Times New Roman" w:hAnsi="Times New Roman" w:cs="Times New Roman"/>
                <w:color w:val="auto"/>
              </w:rPr>
              <w:t>）相关</w:t>
            </w:r>
            <w:r>
              <w:rPr>
                <w:rFonts w:hint="default" w:ascii="Times New Roman" w:hAnsi="Times New Roman" w:cs="Times New Roman"/>
                <w:color w:val="auto"/>
                <w:lang w:val="en-US" w:eastAsia="zh-CN"/>
              </w:rPr>
              <w:t>推荐模式进行预测，用A.1式进行计算，模式如下：</w:t>
            </w:r>
          </w:p>
          <w:p>
            <w:pPr>
              <w:bidi w:val="0"/>
              <w:rPr>
                <w:rFonts w:hint="default" w:ascii="Times New Roman" w:hAnsi="Times New Roman" w:cs="Times New Roman"/>
              </w:rPr>
            </w:pPr>
            <w:r>
              <w:rPr>
                <w:rFonts w:hint="default" w:ascii="Times New Roman" w:hAnsi="Times New Roman" w:cs="Times New Roman"/>
                <w:lang w:val="en-US" w:eastAsia="zh-CN"/>
              </w:rPr>
              <w:t xml:space="preserve">①室外声源 </w:t>
            </w:r>
          </w:p>
          <w:p>
            <w:pPr>
              <w:bidi w:val="0"/>
              <w:rPr>
                <w:rFonts w:hint="default" w:ascii="Times New Roman" w:hAnsi="Times New Roman" w:cs="Times New Roman"/>
              </w:rPr>
            </w:pPr>
            <w:r>
              <w:rPr>
                <w:rFonts w:hint="default" w:ascii="Times New Roman" w:hAnsi="Times New Roman" w:cs="Times New Roman"/>
                <w:lang w:val="en-US" w:eastAsia="zh-CN"/>
              </w:rPr>
              <w:t xml:space="preserve">在预测点的声压级计算： </w:t>
            </w:r>
          </w:p>
          <w:p>
            <w:pPr>
              <w:bidi w:val="0"/>
              <w:jc w:val="center"/>
              <w:rPr>
                <w:rFonts w:hint="default" w:ascii="Times New Roman" w:hAnsi="Times New Roman" w:cs="Times New Roman"/>
                <w:b/>
                <w:bCs/>
              </w:rPr>
            </w:pPr>
            <w:r>
              <w:rPr>
                <w:rFonts w:hint="default" w:ascii="Times New Roman" w:hAnsi="Times New Roman" w:cs="Times New Roman"/>
                <w:b/>
                <w:bCs/>
                <w:lang w:val="en-US" w:eastAsia="zh-CN"/>
              </w:rPr>
              <w:t>L</w:t>
            </w:r>
            <w:r>
              <w:rPr>
                <w:rFonts w:hint="default" w:ascii="Times New Roman" w:hAnsi="Times New Roman" w:cs="Times New Roman"/>
                <w:b/>
                <w:bCs/>
                <w:vertAlign w:val="subscript"/>
                <w:lang w:val="en-US" w:eastAsia="zh-CN"/>
              </w:rPr>
              <w:t>p</w:t>
            </w:r>
            <w:r>
              <w:rPr>
                <w:rFonts w:hint="default" w:ascii="Times New Roman" w:hAnsi="Times New Roman" w:cs="Times New Roman"/>
                <w:b/>
                <w:bCs/>
                <w:lang w:val="en-US" w:eastAsia="zh-CN"/>
              </w:rPr>
              <w:t>(r)＝L</w:t>
            </w:r>
            <w:r>
              <w:rPr>
                <w:rFonts w:hint="default" w:ascii="Times New Roman" w:hAnsi="Times New Roman" w:cs="Times New Roman"/>
                <w:b/>
                <w:bCs/>
                <w:vertAlign w:val="subscript"/>
                <w:lang w:val="en-US" w:eastAsia="zh-CN"/>
              </w:rPr>
              <w:t>w</w:t>
            </w:r>
            <w:r>
              <w:rPr>
                <w:rFonts w:hint="default" w:ascii="Times New Roman" w:hAnsi="Times New Roman" w:cs="Times New Roman"/>
                <w:b/>
                <w:bCs/>
                <w:lang w:val="en-US" w:eastAsia="zh-CN"/>
              </w:rPr>
              <w:t>+D</w:t>
            </w:r>
            <w:r>
              <w:rPr>
                <w:rFonts w:hint="default" w:ascii="Times New Roman" w:hAnsi="Times New Roman" w:cs="Times New Roman"/>
                <w:b/>
                <w:bCs/>
                <w:vertAlign w:val="subscript"/>
                <w:lang w:val="en-US" w:eastAsia="zh-CN"/>
              </w:rPr>
              <w:t>C</w:t>
            </w:r>
            <w:r>
              <w:rPr>
                <w:rFonts w:hint="default" w:ascii="Times New Roman" w:hAnsi="Times New Roman" w:cs="Times New Roman"/>
                <w:b/>
                <w:bCs/>
                <w:lang w:val="en-US" w:eastAsia="zh-CN"/>
              </w:rPr>
              <w:t>－(A</w:t>
            </w:r>
            <w:r>
              <w:rPr>
                <w:rFonts w:hint="default" w:ascii="Times New Roman" w:hAnsi="Times New Roman" w:cs="Times New Roman"/>
                <w:b/>
                <w:bCs/>
                <w:vertAlign w:val="subscript"/>
                <w:lang w:val="en-US" w:eastAsia="zh-CN"/>
              </w:rPr>
              <w:t>div</w:t>
            </w:r>
            <w:r>
              <w:rPr>
                <w:rFonts w:hint="default" w:ascii="Times New Roman" w:hAnsi="Times New Roman" w:cs="Times New Roman"/>
                <w:b/>
                <w:bCs/>
                <w:lang w:val="en-US" w:eastAsia="zh-CN"/>
              </w:rPr>
              <w:t>＋A</w:t>
            </w:r>
            <w:r>
              <w:rPr>
                <w:rFonts w:hint="default" w:ascii="Times New Roman" w:hAnsi="Times New Roman" w:cs="Times New Roman"/>
                <w:b/>
                <w:bCs/>
                <w:vertAlign w:val="subscript"/>
                <w:lang w:val="en-US" w:eastAsia="zh-CN"/>
              </w:rPr>
              <w:t>atm</w:t>
            </w:r>
            <w:r>
              <w:rPr>
                <w:rFonts w:hint="default" w:ascii="Times New Roman" w:hAnsi="Times New Roman" w:cs="Times New Roman"/>
                <w:b/>
                <w:bCs/>
                <w:lang w:val="en-US" w:eastAsia="zh-CN"/>
              </w:rPr>
              <w:t>＋A</w:t>
            </w:r>
            <w:r>
              <w:rPr>
                <w:rFonts w:hint="default" w:ascii="Times New Roman" w:hAnsi="Times New Roman" w:cs="Times New Roman"/>
                <w:b/>
                <w:bCs/>
                <w:vertAlign w:val="subscript"/>
                <w:lang w:val="en-US" w:eastAsia="zh-CN"/>
              </w:rPr>
              <w:t>gr</w:t>
            </w:r>
            <w:r>
              <w:rPr>
                <w:rFonts w:hint="default" w:ascii="Times New Roman" w:hAnsi="Times New Roman" w:cs="Times New Roman"/>
                <w:b/>
                <w:bCs/>
                <w:lang w:val="en-US" w:eastAsia="zh-CN"/>
              </w:rPr>
              <w:t>＋A</w:t>
            </w:r>
            <w:r>
              <w:rPr>
                <w:rFonts w:hint="default" w:ascii="Times New Roman" w:hAnsi="Times New Roman" w:cs="Times New Roman"/>
                <w:b/>
                <w:bCs/>
                <w:vertAlign w:val="subscript"/>
                <w:lang w:val="en-US" w:eastAsia="zh-CN"/>
              </w:rPr>
              <w:t>bar</w:t>
            </w:r>
            <w:r>
              <w:rPr>
                <w:rFonts w:hint="default" w:ascii="Times New Roman" w:hAnsi="Times New Roman" w:cs="Times New Roman"/>
                <w:b/>
                <w:bCs/>
                <w:lang w:val="en-US" w:eastAsia="zh-CN"/>
              </w:rPr>
              <w:t>＋A</w:t>
            </w:r>
            <w:r>
              <w:rPr>
                <w:rFonts w:hint="default" w:ascii="Times New Roman" w:hAnsi="Times New Roman" w:cs="Times New Roman"/>
                <w:b/>
                <w:bCs/>
                <w:vertAlign w:val="subscript"/>
                <w:lang w:val="en-US" w:eastAsia="zh-CN"/>
              </w:rPr>
              <w:t>misc</w:t>
            </w:r>
            <w:r>
              <w:rPr>
                <w:rFonts w:hint="default" w:ascii="Times New Roman" w:hAnsi="Times New Roman" w:cs="Times New Roman"/>
                <w:b/>
                <w:bCs/>
                <w:lang w:val="en-US" w:eastAsia="zh-CN"/>
              </w:rPr>
              <w:t>)</w:t>
            </w:r>
          </w:p>
          <w:p>
            <w:pPr>
              <w:bidi w:val="0"/>
              <w:rPr>
                <w:rFonts w:hint="default" w:ascii="Times New Roman" w:hAnsi="Times New Roman" w:cs="Times New Roman"/>
                <w:lang w:val="en-US" w:eastAsia="zh-CN"/>
              </w:rPr>
            </w:pPr>
            <w:r>
              <w:rPr>
                <w:rFonts w:hint="default" w:ascii="Times New Roman" w:hAnsi="Times New Roman" w:cs="Times New Roman"/>
                <w:lang w:val="en-US" w:eastAsia="zh-CN"/>
              </w:rPr>
              <w:t>式中：L</w:t>
            </w:r>
            <w:r>
              <w:rPr>
                <w:rFonts w:hint="default" w:ascii="Times New Roman" w:hAnsi="Times New Roman" w:cs="Times New Roman"/>
                <w:vertAlign w:val="subscript"/>
                <w:lang w:val="en-US" w:eastAsia="zh-CN"/>
              </w:rPr>
              <w:t>p</w:t>
            </w:r>
            <w:r>
              <w:rPr>
                <w:rFonts w:hint="default" w:ascii="Times New Roman" w:hAnsi="Times New Roman" w:cs="Times New Roman"/>
                <w:lang w:val="en-US" w:eastAsia="zh-CN"/>
              </w:rPr>
              <w:t>(r)—预测点处声压级，dB；L</w:t>
            </w:r>
            <w:r>
              <w:rPr>
                <w:rFonts w:hint="default" w:ascii="Times New Roman" w:hAnsi="Times New Roman" w:cs="Times New Roman"/>
                <w:vertAlign w:val="subscript"/>
                <w:lang w:val="en-US" w:eastAsia="zh-CN"/>
              </w:rPr>
              <w:t>w</w:t>
            </w:r>
            <w:r>
              <w:rPr>
                <w:rFonts w:hint="default" w:ascii="Times New Roman" w:hAnsi="Times New Roman" w:cs="Times New Roman"/>
                <w:lang w:val="en-US" w:eastAsia="zh-CN"/>
              </w:rPr>
              <w:t>—由点声源产生的声功率级（A计权或倍频带），dB；D</w:t>
            </w:r>
            <w:r>
              <w:rPr>
                <w:rFonts w:hint="default" w:ascii="Times New Roman" w:hAnsi="Times New Roman" w:cs="Times New Roman"/>
                <w:vertAlign w:val="subscript"/>
                <w:lang w:val="en-US" w:eastAsia="zh-CN"/>
              </w:rPr>
              <w:t>C</w:t>
            </w:r>
            <w:r>
              <w:rPr>
                <w:rFonts w:hint="default" w:ascii="Times New Roman" w:hAnsi="Times New Roman" w:cs="Times New Roman"/>
                <w:lang w:val="en-US" w:eastAsia="zh-CN"/>
              </w:rPr>
              <w:t>—指向性校正，它描述点声源的等效连续声压级与产生声功率级</w:t>
            </w:r>
            <w:r>
              <w:rPr>
                <w:rFonts w:hint="eastAsia" w:cs="Times New Roman"/>
                <w:lang w:val="en-US" w:eastAsia="zh-CN"/>
              </w:rPr>
              <w:t>；</w:t>
            </w:r>
            <w:r>
              <w:rPr>
                <w:rFonts w:hint="default" w:ascii="Times New Roman" w:hAnsi="Times New Roman" w:cs="Times New Roman"/>
                <w:lang w:val="en-US" w:eastAsia="zh-CN"/>
              </w:rPr>
              <w:t>L</w:t>
            </w:r>
            <w:r>
              <w:rPr>
                <w:rFonts w:hint="default" w:ascii="Times New Roman" w:hAnsi="Times New Roman" w:cs="Times New Roman"/>
                <w:vertAlign w:val="subscript"/>
                <w:lang w:val="en-US" w:eastAsia="zh-CN"/>
              </w:rPr>
              <w:t>w</w:t>
            </w:r>
            <w:r>
              <w:rPr>
                <w:rFonts w:hint="default" w:ascii="Times New Roman" w:hAnsi="Times New Roman" w:cs="Times New Roman"/>
                <w:lang w:val="en-US" w:eastAsia="zh-CN"/>
              </w:rPr>
              <w:t>的全向点声源在规定方向的声级的偏差程度，dB；A</w:t>
            </w:r>
            <w:r>
              <w:rPr>
                <w:rFonts w:hint="default" w:ascii="Times New Roman" w:hAnsi="Times New Roman" w:cs="Times New Roman"/>
                <w:vertAlign w:val="subscript"/>
                <w:lang w:val="en-US" w:eastAsia="zh-CN"/>
              </w:rPr>
              <w:t>div</w:t>
            </w:r>
            <w:r>
              <w:rPr>
                <w:rFonts w:hint="default" w:ascii="Times New Roman" w:hAnsi="Times New Roman" w:cs="Times New Roman"/>
                <w:lang w:val="en-US" w:eastAsia="zh-CN"/>
              </w:rPr>
              <w:t>—几何发散引起的衰减，dB；A</w:t>
            </w:r>
            <w:r>
              <w:rPr>
                <w:rFonts w:hint="default" w:ascii="Times New Roman" w:hAnsi="Times New Roman" w:cs="Times New Roman"/>
                <w:vertAlign w:val="subscript"/>
                <w:lang w:val="en-US" w:eastAsia="zh-CN"/>
              </w:rPr>
              <w:t>atm</w:t>
            </w:r>
            <w:r>
              <w:rPr>
                <w:rFonts w:hint="default" w:ascii="Times New Roman" w:hAnsi="Times New Roman" w:cs="Times New Roman"/>
                <w:lang w:val="en-US" w:eastAsia="zh-CN"/>
              </w:rPr>
              <w:t>—大气吸收引起的衰减，dB；A</w:t>
            </w:r>
            <w:r>
              <w:rPr>
                <w:rFonts w:hint="default" w:ascii="Times New Roman" w:hAnsi="Times New Roman" w:cs="Times New Roman"/>
                <w:vertAlign w:val="subscript"/>
                <w:lang w:val="en-US" w:eastAsia="zh-CN"/>
              </w:rPr>
              <w:t>gr</w:t>
            </w:r>
            <w:r>
              <w:rPr>
                <w:rFonts w:hint="default" w:ascii="Times New Roman" w:hAnsi="Times New Roman" w:cs="Times New Roman"/>
                <w:lang w:val="en-US" w:eastAsia="zh-CN"/>
              </w:rPr>
              <w:t>—地面效应引起的衰减，dB；A</w:t>
            </w:r>
            <w:r>
              <w:rPr>
                <w:rFonts w:hint="default" w:ascii="Times New Roman" w:hAnsi="Times New Roman" w:cs="Times New Roman"/>
                <w:vertAlign w:val="subscript"/>
                <w:lang w:val="en-US" w:eastAsia="zh-CN"/>
              </w:rPr>
              <w:t>bar</w:t>
            </w:r>
            <w:r>
              <w:rPr>
                <w:rFonts w:hint="default" w:ascii="Times New Roman" w:hAnsi="Times New Roman" w:cs="Times New Roman"/>
                <w:lang w:val="en-US" w:eastAsia="zh-CN"/>
              </w:rPr>
              <w:t>—障碍物屏蔽引起的衰减，dB；A</w:t>
            </w:r>
            <w:r>
              <w:rPr>
                <w:rFonts w:hint="default" w:ascii="Times New Roman" w:hAnsi="Times New Roman" w:cs="Times New Roman"/>
                <w:vertAlign w:val="subscript"/>
                <w:lang w:val="en-US" w:eastAsia="zh-CN"/>
              </w:rPr>
              <w:t>misc</w:t>
            </w:r>
            <w:r>
              <w:rPr>
                <w:rFonts w:hint="default" w:ascii="Times New Roman" w:hAnsi="Times New Roman" w:cs="Times New Roman"/>
                <w:lang w:val="en-US" w:eastAsia="zh-CN"/>
              </w:rPr>
              <w:t>—其他多方面效应引起的衰减，dB。</w:t>
            </w:r>
          </w:p>
          <w:p>
            <w:pPr>
              <w:bidi w:val="0"/>
              <w:rPr>
                <w:rFonts w:hint="default" w:ascii="Times New Roman" w:hAnsi="Times New Roman" w:cs="Times New Roman"/>
                <w:lang w:val="en-US" w:eastAsia="zh-CN"/>
              </w:rPr>
            </w:pPr>
            <w:r>
              <w:rPr>
                <w:rFonts w:hint="default" w:ascii="Times New Roman" w:hAnsi="Times New Roman" w:cs="Times New Roman"/>
                <w:lang w:val="en-US" w:eastAsia="zh-CN"/>
              </w:rPr>
              <w:t>参数确定</w:t>
            </w:r>
          </w:p>
          <w:p>
            <w:pPr>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①声波几何发散引起的A声级衰减量：点声源A</w:t>
            </w:r>
            <w:r>
              <w:rPr>
                <w:rFonts w:hint="default" w:ascii="Times New Roman" w:hAnsi="Times New Roman" w:cs="Times New Roman"/>
                <w:color w:val="auto"/>
                <w:vertAlign w:val="subscript"/>
                <w:lang w:val="en-US" w:eastAsia="zh-CN"/>
              </w:rPr>
              <w:t>div</w:t>
            </w:r>
            <w:r>
              <w:rPr>
                <w:rFonts w:hint="default" w:ascii="Times New Roman" w:hAnsi="Times New Roman" w:cs="Times New Roman"/>
                <w:color w:val="auto"/>
                <w:lang w:val="en-US" w:eastAsia="zh-CN"/>
              </w:rPr>
              <w:t>=201g(r/r</w:t>
            </w:r>
            <w:r>
              <w:rPr>
                <w:rFonts w:hint="default" w:ascii="Times New Roman" w:hAnsi="Times New Roman" w:cs="Times New Roman"/>
                <w:color w:val="auto"/>
                <w:vertAlign w:val="subscript"/>
                <w:lang w:val="en-US" w:eastAsia="zh-CN"/>
              </w:rPr>
              <w:t>0</w:t>
            </w:r>
            <w:r>
              <w:rPr>
                <w:rFonts w:hint="default" w:ascii="Times New Roman" w:hAnsi="Times New Roman" w:cs="Times New Roman"/>
                <w:color w:val="auto"/>
                <w:lang w:val="en-US" w:eastAsia="zh-CN"/>
              </w:rPr>
              <w:t>)②空气吸收衰减量A</w:t>
            </w:r>
            <w:r>
              <w:rPr>
                <w:rFonts w:hint="default" w:ascii="Times New Roman" w:hAnsi="Times New Roman" w:cs="Times New Roman"/>
                <w:color w:val="auto"/>
                <w:vertAlign w:val="subscript"/>
                <w:lang w:val="en-US" w:eastAsia="zh-CN"/>
              </w:rPr>
              <w:t>atm</w:t>
            </w:r>
            <w:r>
              <w:rPr>
                <w:rFonts w:hint="default" w:ascii="Times New Roman" w:hAnsi="Times New Roman" w:cs="Times New Roman"/>
                <w:color w:val="auto"/>
                <w:lang w:val="en-US" w:eastAsia="zh-CN"/>
              </w:rPr>
              <w:t>：拟建项目噪声以中低频为主，空气吸收性衰减很少，预测时可忽略不计。③遮挡物引起的衰减量A</w:t>
            </w:r>
            <w:r>
              <w:rPr>
                <w:rFonts w:hint="default" w:ascii="Times New Roman" w:hAnsi="Times New Roman" w:cs="Times New Roman"/>
                <w:color w:val="auto"/>
                <w:vertAlign w:val="subscript"/>
                <w:lang w:val="en-US" w:eastAsia="zh-CN"/>
              </w:rPr>
              <w:t>bar</w:t>
            </w:r>
            <w:r>
              <w:rPr>
                <w:rFonts w:hint="default" w:ascii="Times New Roman" w:hAnsi="Times New Roman" w:cs="Times New Roman"/>
                <w:color w:val="auto"/>
                <w:lang w:val="en-US" w:eastAsia="zh-CN"/>
              </w:rPr>
              <w:t>：噪声在向外传播过程中将受到厂房或其它车间的阻挡影响，从而引起声能量的衰减，具体衰减根据不同声级的传播途径而定，一般取0~30dB（A），本次环评取15dB（A）。④地面效应引起的声级衰减量A</w:t>
            </w:r>
            <w:r>
              <w:rPr>
                <w:rFonts w:hint="default" w:ascii="Times New Roman" w:hAnsi="Times New Roman" w:cs="Times New Roman"/>
                <w:color w:val="auto"/>
                <w:vertAlign w:val="subscript"/>
                <w:lang w:val="en-US" w:eastAsia="zh-CN"/>
              </w:rPr>
              <w:t>gr</w:t>
            </w:r>
            <w:r>
              <w:rPr>
                <w:rFonts w:hint="default" w:ascii="Times New Roman" w:hAnsi="Times New Roman" w:cs="Times New Roman"/>
                <w:color w:val="auto"/>
                <w:lang w:val="en-US" w:eastAsia="zh-CN"/>
              </w:rPr>
              <w:t>：根据项目总平面布置和噪声源强及外环境状况，可以忽略本项附加衰减量。⑤其他多方面效应引起的声级衰减量A</w:t>
            </w:r>
            <w:r>
              <w:rPr>
                <w:rFonts w:hint="default" w:ascii="Times New Roman" w:hAnsi="Times New Roman" w:cs="Times New Roman"/>
                <w:color w:val="auto"/>
                <w:vertAlign w:val="subscript"/>
                <w:lang w:val="en-US" w:eastAsia="zh-CN"/>
              </w:rPr>
              <w:t>misc</w:t>
            </w:r>
            <w:r>
              <w:rPr>
                <w:rFonts w:hint="default" w:ascii="Times New Roman" w:hAnsi="Times New Roman" w:cs="Times New Roman"/>
                <w:color w:val="auto"/>
                <w:lang w:val="en-US" w:eastAsia="zh-CN"/>
              </w:rPr>
              <w:t>：其他衰减包括通过工业场所的衰减，通过房屋群的衰减等。一般情况下，不考虑自然条件（如风、温度梯度、雾）变化引起的附加修正。</w:t>
            </w:r>
            <w:r>
              <w:rPr>
                <w:rFonts w:hint="eastAsia" w:cs="Times New Roman"/>
                <w:color w:val="auto"/>
                <w:lang w:val="en-US" w:eastAsia="zh-CN"/>
              </w:rPr>
              <w:t>⑥指向性校正，对辐射到自由空间的全向点声源，D</w:t>
            </w:r>
            <w:r>
              <w:rPr>
                <w:rFonts w:hint="eastAsia" w:cs="Times New Roman"/>
                <w:color w:val="auto"/>
                <w:vertAlign w:val="subscript"/>
                <w:lang w:val="en-US" w:eastAsia="zh-CN"/>
              </w:rPr>
              <w:t>c</w:t>
            </w:r>
            <w:r>
              <w:rPr>
                <w:rFonts w:hint="eastAsia" w:cs="Times New Roman"/>
                <w:color w:val="auto"/>
                <w:lang w:val="en-US" w:eastAsia="zh-CN"/>
              </w:rPr>
              <w:t>=0dB。</w:t>
            </w:r>
          </w:p>
          <w:p>
            <w:pPr>
              <w:pStyle w:val="11"/>
              <w:jc w:val="center"/>
              <w:rPr>
                <w:rFonts w:hint="default" w:ascii="Times New Roman" w:hAnsi="Times New Roman" w:cs="Times New Roman"/>
                <w:b/>
                <w:bCs/>
                <w:color w:val="auto"/>
              </w:rPr>
            </w:pPr>
            <w:r>
              <w:rPr>
                <w:rFonts w:hint="default" w:ascii="Times New Roman" w:hAnsi="Times New Roman" w:cs="Times New Roman"/>
                <w:b/>
                <w:bCs/>
                <w:color w:val="auto"/>
              </w:rPr>
              <w:t>表4-</w:t>
            </w:r>
            <w:r>
              <w:rPr>
                <w:rFonts w:hint="eastAsia" w:cs="Times New Roman"/>
                <w:b/>
                <w:bCs/>
                <w:color w:val="auto"/>
                <w:lang w:val="en-US" w:eastAsia="zh-CN"/>
              </w:rPr>
              <w:t>6</w:t>
            </w:r>
            <w:r>
              <w:rPr>
                <w:rFonts w:hint="default" w:ascii="Times New Roman" w:hAnsi="Times New Roman" w:cs="Times New Roman"/>
                <w:b/>
                <w:bCs/>
                <w:color w:val="auto"/>
              </w:rPr>
              <w:t xml:space="preserve">    项目主要</w:t>
            </w:r>
            <w:r>
              <w:rPr>
                <w:rFonts w:hint="eastAsia" w:cs="Times New Roman"/>
                <w:b/>
                <w:bCs/>
                <w:color w:val="auto"/>
                <w:lang w:val="en-US" w:eastAsia="zh-CN"/>
              </w:rPr>
              <w:t>室外</w:t>
            </w:r>
            <w:r>
              <w:rPr>
                <w:rFonts w:hint="default" w:ascii="Times New Roman" w:hAnsi="Times New Roman" w:cs="Times New Roman"/>
                <w:b/>
                <w:bCs/>
                <w:color w:val="auto"/>
              </w:rPr>
              <w:t xml:space="preserve">噪声设备情况汇总表  </w:t>
            </w:r>
          </w:p>
          <w:tbl>
            <w:tblPr>
              <w:tblStyle w:val="5"/>
              <w:tblW w:w="9114"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63"/>
              <w:gridCol w:w="1250"/>
              <w:gridCol w:w="700"/>
              <w:gridCol w:w="1137"/>
              <w:gridCol w:w="675"/>
              <w:gridCol w:w="725"/>
              <w:gridCol w:w="538"/>
              <w:gridCol w:w="675"/>
              <w:gridCol w:w="625"/>
              <w:gridCol w:w="737"/>
              <w:gridCol w:w="488"/>
              <w:gridCol w:w="70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863" w:type="dxa"/>
                  <w:vMerge w:val="restart"/>
                  <w:vAlign w:val="center"/>
                </w:tcPr>
                <w:p>
                  <w:pPr>
                    <w:pStyle w:val="11"/>
                    <w:jc w:val="center"/>
                    <w:rPr>
                      <w:rFonts w:hint="default" w:ascii="Times New Roman" w:hAnsi="Times New Roman" w:cs="Times New Roman"/>
                      <w:b/>
                      <w:bCs/>
                      <w:color w:val="auto"/>
                    </w:rPr>
                  </w:pPr>
                  <w:r>
                    <w:rPr>
                      <w:rFonts w:hint="default" w:ascii="Times New Roman" w:hAnsi="Times New Roman" w:cs="Times New Roman"/>
                      <w:b/>
                      <w:bCs/>
                      <w:color w:val="auto"/>
                    </w:rPr>
                    <w:t>设备</w:t>
                  </w:r>
                </w:p>
                <w:p>
                  <w:pPr>
                    <w:pStyle w:val="11"/>
                    <w:jc w:val="center"/>
                    <w:rPr>
                      <w:rFonts w:hint="default" w:ascii="Times New Roman" w:hAnsi="Times New Roman" w:cs="Times New Roman"/>
                      <w:b/>
                      <w:bCs/>
                      <w:color w:val="auto"/>
                    </w:rPr>
                  </w:pPr>
                  <w:r>
                    <w:rPr>
                      <w:rFonts w:hint="default" w:ascii="Times New Roman" w:hAnsi="Times New Roman" w:cs="Times New Roman"/>
                      <w:b/>
                      <w:bCs/>
                      <w:color w:val="auto"/>
                    </w:rPr>
                    <w:t>名称</w:t>
                  </w:r>
                </w:p>
              </w:tc>
              <w:tc>
                <w:tcPr>
                  <w:tcW w:w="1250" w:type="dxa"/>
                  <w:vMerge w:val="restart"/>
                  <w:vAlign w:val="center"/>
                </w:tcPr>
                <w:p>
                  <w:pPr>
                    <w:pStyle w:val="11"/>
                    <w:jc w:val="center"/>
                    <w:rPr>
                      <w:rFonts w:hint="default" w:ascii="Times New Roman" w:hAnsi="Times New Roman" w:cs="Times New Roman"/>
                      <w:b/>
                      <w:bCs/>
                      <w:color w:val="auto"/>
                    </w:rPr>
                  </w:pPr>
                  <w:r>
                    <w:rPr>
                      <w:rFonts w:hint="default" w:ascii="Times New Roman" w:hAnsi="Times New Roman" w:cs="Times New Roman"/>
                      <w:b/>
                      <w:bCs/>
                      <w:color w:val="auto"/>
                    </w:rPr>
                    <w:t>治理后</w:t>
                  </w:r>
                </w:p>
                <w:p>
                  <w:pPr>
                    <w:pStyle w:val="11"/>
                    <w:jc w:val="center"/>
                    <w:rPr>
                      <w:rFonts w:hint="default" w:ascii="Times New Roman" w:hAnsi="Times New Roman" w:cs="Times New Roman"/>
                      <w:b/>
                      <w:bCs/>
                      <w:color w:val="auto"/>
                    </w:rPr>
                  </w:pPr>
                  <w:r>
                    <w:rPr>
                      <w:rFonts w:hint="default" w:ascii="Times New Roman" w:hAnsi="Times New Roman" w:cs="Times New Roman"/>
                      <w:b/>
                      <w:bCs/>
                      <w:color w:val="auto"/>
                    </w:rPr>
                    <w:t>声级</w:t>
                  </w:r>
                  <w:r>
                    <w:rPr>
                      <w:rFonts w:hint="default" w:ascii="Times New Roman" w:hAnsi="Times New Roman" w:cs="Times New Roman"/>
                      <w:color w:val="auto"/>
                      <w:kern w:val="2"/>
                    </w:rPr>
                    <w:t>dB(A)</w:t>
                  </w:r>
                </w:p>
              </w:tc>
              <w:tc>
                <w:tcPr>
                  <w:tcW w:w="700" w:type="dxa"/>
                  <w:vMerge w:val="restart"/>
                  <w:vAlign w:val="center"/>
                </w:tcPr>
                <w:p>
                  <w:pPr>
                    <w:pStyle w:val="11"/>
                    <w:jc w:val="center"/>
                    <w:rPr>
                      <w:rFonts w:hint="default" w:ascii="Times New Roman" w:hAnsi="Times New Roman" w:cs="Times New Roman"/>
                      <w:b/>
                      <w:bCs/>
                      <w:color w:val="auto"/>
                    </w:rPr>
                  </w:pPr>
                  <w:r>
                    <w:rPr>
                      <w:rFonts w:hint="default" w:ascii="Times New Roman" w:hAnsi="Times New Roman" w:cs="Times New Roman"/>
                      <w:b/>
                      <w:bCs/>
                      <w:color w:val="auto"/>
                    </w:rPr>
                    <w:t>数量(台)</w:t>
                  </w:r>
                </w:p>
              </w:tc>
              <w:tc>
                <w:tcPr>
                  <w:tcW w:w="1137" w:type="dxa"/>
                  <w:vMerge w:val="restart"/>
                  <w:vAlign w:val="center"/>
                </w:tcPr>
                <w:p>
                  <w:pPr>
                    <w:pStyle w:val="11"/>
                    <w:jc w:val="center"/>
                    <w:rPr>
                      <w:rFonts w:hint="default" w:ascii="Times New Roman" w:hAnsi="Times New Roman" w:cs="Times New Roman"/>
                      <w:b/>
                      <w:bCs/>
                      <w:color w:val="auto"/>
                    </w:rPr>
                  </w:pPr>
                  <w:r>
                    <w:rPr>
                      <w:rFonts w:hint="default" w:ascii="Times New Roman" w:hAnsi="Times New Roman" w:cs="Times New Roman"/>
                      <w:b/>
                      <w:bCs/>
                      <w:color w:val="auto"/>
                      <w:lang w:val="en-US" w:eastAsia="zh-CN"/>
                    </w:rPr>
                    <w:t>叠加</w:t>
                  </w:r>
                  <w:r>
                    <w:rPr>
                      <w:rFonts w:hint="default" w:ascii="Times New Roman" w:hAnsi="Times New Roman" w:cs="Times New Roman"/>
                      <w:b/>
                      <w:bCs/>
                      <w:color w:val="auto"/>
                    </w:rPr>
                    <w:t>后声级</w:t>
                  </w:r>
                  <w:r>
                    <w:rPr>
                      <w:rFonts w:hint="default" w:ascii="Times New Roman" w:hAnsi="Times New Roman" w:cs="Times New Roman"/>
                      <w:color w:val="auto"/>
                      <w:kern w:val="2"/>
                    </w:rPr>
                    <w:t>dB(A)</w:t>
                  </w:r>
                </w:p>
              </w:tc>
              <w:tc>
                <w:tcPr>
                  <w:tcW w:w="5164" w:type="dxa"/>
                  <w:gridSpan w:val="8"/>
                  <w:vAlign w:val="center"/>
                </w:tcPr>
                <w:p>
                  <w:pPr>
                    <w:pStyle w:val="11"/>
                    <w:jc w:val="center"/>
                    <w:rPr>
                      <w:rFonts w:hint="default" w:ascii="Times New Roman" w:hAnsi="Times New Roman" w:cs="Times New Roman"/>
                      <w:b/>
                      <w:bCs/>
                      <w:color w:val="auto"/>
                    </w:rPr>
                  </w:pPr>
                  <w:r>
                    <w:rPr>
                      <w:rFonts w:hint="default" w:ascii="Times New Roman" w:hAnsi="Times New Roman" w:cs="Times New Roman"/>
                      <w:b/>
                      <w:bCs/>
                      <w:color w:val="auto"/>
                    </w:rPr>
                    <w:t>距离生产车间边界距离（m）/距离衰减后声级dB(A)</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863" w:type="dxa"/>
                  <w:vMerge w:val="continue"/>
                  <w:vAlign w:val="center"/>
                </w:tcPr>
                <w:p>
                  <w:pPr>
                    <w:pStyle w:val="11"/>
                    <w:jc w:val="center"/>
                    <w:rPr>
                      <w:rFonts w:hint="default" w:ascii="Times New Roman" w:hAnsi="Times New Roman" w:cs="Times New Roman"/>
                      <w:b/>
                      <w:bCs/>
                      <w:color w:val="auto"/>
                    </w:rPr>
                  </w:pPr>
                </w:p>
              </w:tc>
              <w:tc>
                <w:tcPr>
                  <w:tcW w:w="1250" w:type="dxa"/>
                  <w:vMerge w:val="continue"/>
                  <w:vAlign w:val="center"/>
                </w:tcPr>
                <w:p>
                  <w:pPr>
                    <w:pStyle w:val="11"/>
                    <w:jc w:val="center"/>
                    <w:rPr>
                      <w:rFonts w:hint="default" w:ascii="Times New Roman" w:hAnsi="Times New Roman" w:cs="Times New Roman"/>
                      <w:b/>
                      <w:bCs/>
                      <w:color w:val="auto"/>
                    </w:rPr>
                  </w:pPr>
                </w:p>
              </w:tc>
              <w:tc>
                <w:tcPr>
                  <w:tcW w:w="700" w:type="dxa"/>
                  <w:vMerge w:val="continue"/>
                  <w:vAlign w:val="center"/>
                </w:tcPr>
                <w:p>
                  <w:pPr>
                    <w:pStyle w:val="11"/>
                    <w:jc w:val="center"/>
                    <w:rPr>
                      <w:rFonts w:hint="default" w:ascii="Times New Roman" w:hAnsi="Times New Roman" w:cs="Times New Roman"/>
                      <w:b/>
                      <w:bCs/>
                      <w:color w:val="auto"/>
                    </w:rPr>
                  </w:pPr>
                </w:p>
              </w:tc>
              <w:tc>
                <w:tcPr>
                  <w:tcW w:w="1137" w:type="dxa"/>
                  <w:vMerge w:val="continue"/>
                  <w:vAlign w:val="center"/>
                </w:tcPr>
                <w:p>
                  <w:pPr>
                    <w:pStyle w:val="11"/>
                    <w:jc w:val="center"/>
                    <w:rPr>
                      <w:rFonts w:hint="default" w:ascii="Times New Roman" w:hAnsi="Times New Roman" w:cs="Times New Roman"/>
                      <w:b/>
                      <w:bCs/>
                      <w:color w:val="auto"/>
                    </w:rPr>
                  </w:pPr>
                </w:p>
              </w:tc>
              <w:tc>
                <w:tcPr>
                  <w:tcW w:w="675" w:type="dxa"/>
                  <w:vAlign w:val="center"/>
                </w:tcPr>
                <w:p>
                  <w:pPr>
                    <w:pStyle w:val="11"/>
                    <w:jc w:val="center"/>
                    <w:rPr>
                      <w:rFonts w:hint="default" w:ascii="Times New Roman" w:hAnsi="Times New Roman" w:cs="Times New Roman"/>
                      <w:b/>
                      <w:bCs/>
                      <w:color w:val="auto"/>
                      <w:kern w:val="2"/>
                    </w:rPr>
                  </w:pPr>
                  <w:r>
                    <w:rPr>
                      <w:rFonts w:hint="default" w:ascii="Times New Roman" w:hAnsi="Times New Roman" w:cs="Times New Roman"/>
                      <w:b/>
                      <w:bCs/>
                      <w:color w:val="auto"/>
                    </w:rPr>
                    <w:t>西</w:t>
                  </w:r>
                </w:p>
              </w:tc>
              <w:tc>
                <w:tcPr>
                  <w:tcW w:w="725" w:type="dxa"/>
                  <w:vAlign w:val="center"/>
                </w:tcPr>
                <w:p>
                  <w:pPr>
                    <w:pStyle w:val="11"/>
                    <w:jc w:val="center"/>
                    <w:rPr>
                      <w:rFonts w:hint="default" w:ascii="Times New Roman" w:hAnsi="Times New Roman" w:cs="Times New Roman"/>
                      <w:b/>
                      <w:bCs/>
                      <w:color w:val="auto"/>
                    </w:rPr>
                  </w:pPr>
                  <w:r>
                    <w:rPr>
                      <w:rFonts w:hint="default" w:ascii="Times New Roman" w:hAnsi="Times New Roman" w:cs="Times New Roman"/>
                      <w:b/>
                      <w:bCs/>
                      <w:color w:val="auto"/>
                    </w:rPr>
                    <w:t>声级</w:t>
                  </w:r>
                </w:p>
              </w:tc>
              <w:tc>
                <w:tcPr>
                  <w:tcW w:w="538" w:type="dxa"/>
                  <w:vAlign w:val="center"/>
                </w:tcPr>
                <w:p>
                  <w:pPr>
                    <w:pStyle w:val="11"/>
                    <w:jc w:val="center"/>
                    <w:rPr>
                      <w:rFonts w:hint="default" w:ascii="Times New Roman" w:hAnsi="Times New Roman" w:cs="Times New Roman"/>
                      <w:b/>
                      <w:bCs/>
                      <w:color w:val="auto"/>
                      <w:kern w:val="2"/>
                    </w:rPr>
                  </w:pPr>
                  <w:r>
                    <w:rPr>
                      <w:rFonts w:hint="default" w:ascii="Times New Roman" w:hAnsi="Times New Roman" w:cs="Times New Roman"/>
                      <w:b/>
                      <w:bCs/>
                      <w:color w:val="auto"/>
                    </w:rPr>
                    <w:t>北</w:t>
                  </w:r>
                </w:p>
              </w:tc>
              <w:tc>
                <w:tcPr>
                  <w:tcW w:w="675" w:type="dxa"/>
                  <w:vAlign w:val="center"/>
                </w:tcPr>
                <w:p>
                  <w:pPr>
                    <w:pStyle w:val="11"/>
                    <w:jc w:val="center"/>
                    <w:rPr>
                      <w:rFonts w:hint="default" w:ascii="Times New Roman" w:hAnsi="Times New Roman" w:cs="Times New Roman"/>
                      <w:b/>
                      <w:bCs/>
                      <w:color w:val="auto"/>
                    </w:rPr>
                  </w:pPr>
                  <w:r>
                    <w:rPr>
                      <w:rFonts w:hint="default" w:ascii="Times New Roman" w:hAnsi="Times New Roman" w:cs="Times New Roman"/>
                      <w:b/>
                      <w:bCs/>
                      <w:color w:val="auto"/>
                    </w:rPr>
                    <w:t>声级</w:t>
                  </w:r>
                </w:p>
              </w:tc>
              <w:tc>
                <w:tcPr>
                  <w:tcW w:w="625" w:type="dxa"/>
                  <w:vAlign w:val="center"/>
                </w:tcPr>
                <w:p>
                  <w:pPr>
                    <w:pStyle w:val="11"/>
                    <w:jc w:val="center"/>
                    <w:rPr>
                      <w:rFonts w:hint="default" w:ascii="Times New Roman" w:hAnsi="Times New Roman" w:cs="Times New Roman"/>
                      <w:b/>
                      <w:bCs/>
                      <w:color w:val="auto"/>
                      <w:kern w:val="2"/>
                    </w:rPr>
                  </w:pPr>
                  <w:r>
                    <w:rPr>
                      <w:rFonts w:hint="default" w:ascii="Times New Roman" w:hAnsi="Times New Roman" w:cs="Times New Roman"/>
                      <w:b/>
                      <w:bCs/>
                      <w:color w:val="auto"/>
                    </w:rPr>
                    <w:t>东</w:t>
                  </w:r>
                </w:p>
              </w:tc>
              <w:tc>
                <w:tcPr>
                  <w:tcW w:w="737" w:type="dxa"/>
                  <w:vAlign w:val="center"/>
                </w:tcPr>
                <w:p>
                  <w:pPr>
                    <w:pStyle w:val="11"/>
                    <w:jc w:val="center"/>
                    <w:rPr>
                      <w:rFonts w:hint="default" w:ascii="Times New Roman" w:hAnsi="Times New Roman" w:cs="Times New Roman"/>
                      <w:b/>
                      <w:bCs/>
                      <w:color w:val="auto"/>
                    </w:rPr>
                  </w:pPr>
                  <w:r>
                    <w:rPr>
                      <w:rFonts w:hint="default" w:ascii="Times New Roman" w:hAnsi="Times New Roman" w:cs="Times New Roman"/>
                      <w:b/>
                      <w:bCs/>
                      <w:color w:val="auto"/>
                    </w:rPr>
                    <w:t>声级</w:t>
                  </w:r>
                </w:p>
              </w:tc>
              <w:tc>
                <w:tcPr>
                  <w:tcW w:w="488" w:type="dxa"/>
                  <w:vAlign w:val="center"/>
                </w:tcPr>
                <w:p>
                  <w:pPr>
                    <w:pStyle w:val="11"/>
                    <w:jc w:val="center"/>
                    <w:rPr>
                      <w:rFonts w:hint="default" w:ascii="Times New Roman" w:hAnsi="Times New Roman" w:cs="Times New Roman"/>
                      <w:b/>
                      <w:bCs/>
                      <w:color w:val="auto"/>
                      <w:kern w:val="2"/>
                    </w:rPr>
                  </w:pPr>
                  <w:r>
                    <w:rPr>
                      <w:rFonts w:hint="default" w:ascii="Times New Roman" w:hAnsi="Times New Roman" w:cs="Times New Roman"/>
                      <w:b/>
                      <w:bCs/>
                      <w:color w:val="auto"/>
                    </w:rPr>
                    <w:t>南</w:t>
                  </w:r>
                </w:p>
              </w:tc>
              <w:tc>
                <w:tcPr>
                  <w:tcW w:w="701" w:type="dxa"/>
                  <w:vAlign w:val="center"/>
                </w:tcPr>
                <w:p>
                  <w:pPr>
                    <w:pStyle w:val="11"/>
                    <w:jc w:val="center"/>
                    <w:rPr>
                      <w:rFonts w:hint="default" w:ascii="Times New Roman" w:hAnsi="Times New Roman" w:cs="Times New Roman"/>
                      <w:b/>
                      <w:bCs/>
                      <w:color w:val="auto"/>
                    </w:rPr>
                  </w:pPr>
                  <w:r>
                    <w:rPr>
                      <w:rFonts w:hint="default" w:ascii="Times New Roman" w:hAnsi="Times New Roman" w:cs="Times New Roman"/>
                      <w:b/>
                      <w:bCs/>
                      <w:color w:val="auto"/>
                    </w:rPr>
                    <w:t>声级</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3"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风机</w:t>
                  </w:r>
                </w:p>
              </w:tc>
              <w:tc>
                <w:tcPr>
                  <w:tcW w:w="1250" w:type="dxa"/>
                  <w:vAlign w:val="center"/>
                </w:tcPr>
                <w:p>
                  <w:pPr>
                    <w:pStyle w:val="11"/>
                    <w:jc w:val="center"/>
                    <w:rPr>
                      <w:rFonts w:hint="default" w:ascii="Times New Roman" w:hAnsi="Times New Roman" w:cs="Times New Roman"/>
                      <w:color w:val="auto"/>
                      <w:kern w:val="2"/>
                    </w:rPr>
                  </w:pPr>
                  <w:r>
                    <w:rPr>
                      <w:rFonts w:hint="default" w:ascii="Times New Roman" w:hAnsi="Times New Roman" w:cs="Times New Roman"/>
                      <w:color w:val="auto"/>
                    </w:rPr>
                    <w:t>70</w:t>
                  </w:r>
                </w:p>
              </w:tc>
              <w:tc>
                <w:tcPr>
                  <w:tcW w:w="700"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1</w:t>
                  </w:r>
                </w:p>
              </w:tc>
              <w:tc>
                <w:tcPr>
                  <w:tcW w:w="1137" w:type="dxa"/>
                  <w:vAlign w:val="center"/>
                </w:tcPr>
                <w:p>
                  <w:pPr>
                    <w:pStyle w:val="11"/>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rPr>
                    <w:t>70</w:t>
                  </w:r>
                  <w:r>
                    <w:rPr>
                      <w:rFonts w:hint="default" w:ascii="Times New Roman" w:hAnsi="Times New Roman" w:cs="Times New Roman"/>
                      <w:color w:val="auto"/>
                      <w:lang w:val="en-US" w:eastAsia="zh-CN"/>
                    </w:rPr>
                    <w:t>.0</w:t>
                  </w:r>
                </w:p>
              </w:tc>
              <w:tc>
                <w:tcPr>
                  <w:tcW w:w="675" w:type="dxa"/>
                  <w:vAlign w:val="center"/>
                </w:tcPr>
                <w:p>
                  <w:pPr>
                    <w:pStyle w:val="11"/>
                    <w:jc w:val="center"/>
                    <w:rPr>
                      <w:rFonts w:hint="default" w:ascii="Times New Roman" w:hAnsi="Times New Roman" w:eastAsia="宋体" w:cs="Times New Roman"/>
                      <w:color w:val="auto"/>
                      <w:kern w:val="2"/>
                      <w:lang w:val="en-US" w:eastAsia="zh-CN"/>
                    </w:rPr>
                  </w:pPr>
                  <w:r>
                    <w:rPr>
                      <w:rFonts w:hint="eastAsia" w:cs="Times New Roman"/>
                      <w:color w:val="auto"/>
                      <w:kern w:val="2"/>
                      <w:lang w:val="en-US" w:eastAsia="zh-CN"/>
                    </w:rPr>
                    <w:t>60</w:t>
                  </w:r>
                </w:p>
              </w:tc>
              <w:tc>
                <w:tcPr>
                  <w:tcW w:w="725" w:type="dxa"/>
                  <w:vAlign w:val="center"/>
                </w:tcPr>
                <w:p>
                  <w:pPr>
                    <w:pStyle w:val="11"/>
                    <w:jc w:val="center"/>
                    <w:rPr>
                      <w:rFonts w:hint="default" w:ascii="Times New Roman" w:hAnsi="Times New Roman" w:eastAsia="宋体" w:cs="Times New Roman"/>
                      <w:b/>
                      <w:bCs/>
                      <w:color w:val="auto"/>
                      <w:lang w:val="en-US" w:eastAsia="zh-CN"/>
                    </w:rPr>
                  </w:pPr>
                  <w:r>
                    <w:rPr>
                      <w:rFonts w:hint="eastAsia" w:cs="Times New Roman"/>
                      <w:b/>
                      <w:bCs/>
                      <w:color w:val="auto"/>
                      <w:lang w:val="en-US" w:eastAsia="zh-CN"/>
                    </w:rPr>
                    <w:t>34.4</w:t>
                  </w:r>
                </w:p>
              </w:tc>
              <w:tc>
                <w:tcPr>
                  <w:tcW w:w="538" w:type="dxa"/>
                  <w:vAlign w:val="center"/>
                </w:tcPr>
                <w:p>
                  <w:pPr>
                    <w:pStyle w:val="11"/>
                    <w:jc w:val="center"/>
                    <w:rPr>
                      <w:rFonts w:hint="default" w:ascii="Times New Roman" w:hAnsi="Times New Roman" w:eastAsia="宋体" w:cs="Times New Roman"/>
                      <w:color w:val="auto"/>
                      <w:kern w:val="2"/>
                      <w:lang w:val="en-US" w:eastAsia="zh-CN"/>
                    </w:rPr>
                  </w:pPr>
                  <w:r>
                    <w:rPr>
                      <w:rFonts w:hint="eastAsia" w:cs="Times New Roman"/>
                      <w:color w:val="auto"/>
                      <w:kern w:val="2"/>
                      <w:lang w:val="en-US" w:eastAsia="zh-CN"/>
                    </w:rPr>
                    <w:t>30</w:t>
                  </w:r>
                </w:p>
              </w:tc>
              <w:tc>
                <w:tcPr>
                  <w:tcW w:w="675" w:type="dxa"/>
                  <w:vAlign w:val="center"/>
                </w:tcPr>
                <w:p>
                  <w:pPr>
                    <w:pStyle w:val="11"/>
                    <w:jc w:val="center"/>
                    <w:rPr>
                      <w:rFonts w:hint="default" w:ascii="Times New Roman" w:hAnsi="Times New Roman" w:eastAsia="宋体" w:cs="Times New Roman"/>
                      <w:b/>
                      <w:bCs/>
                      <w:color w:val="auto"/>
                      <w:lang w:val="en-US" w:eastAsia="zh-CN"/>
                    </w:rPr>
                  </w:pPr>
                  <w:r>
                    <w:rPr>
                      <w:rFonts w:hint="eastAsia" w:cs="Times New Roman"/>
                      <w:b/>
                      <w:bCs/>
                      <w:color w:val="auto"/>
                      <w:lang w:val="en-US" w:eastAsia="zh-CN"/>
                    </w:rPr>
                    <w:t>40.5</w:t>
                  </w:r>
                </w:p>
              </w:tc>
              <w:tc>
                <w:tcPr>
                  <w:tcW w:w="625" w:type="dxa"/>
                  <w:vAlign w:val="center"/>
                </w:tcPr>
                <w:p>
                  <w:pPr>
                    <w:pStyle w:val="11"/>
                    <w:jc w:val="center"/>
                    <w:rPr>
                      <w:rFonts w:hint="default" w:ascii="Times New Roman" w:hAnsi="Times New Roman" w:eastAsia="宋体" w:cs="Times New Roman"/>
                      <w:color w:val="auto"/>
                      <w:kern w:val="2"/>
                      <w:lang w:val="en-US" w:eastAsia="zh-CN"/>
                    </w:rPr>
                  </w:pPr>
                  <w:r>
                    <w:rPr>
                      <w:rFonts w:hint="eastAsia" w:cs="Times New Roman"/>
                      <w:color w:val="auto"/>
                      <w:kern w:val="2"/>
                      <w:lang w:val="en-US" w:eastAsia="zh-CN"/>
                    </w:rPr>
                    <w:t>15</w:t>
                  </w:r>
                </w:p>
              </w:tc>
              <w:tc>
                <w:tcPr>
                  <w:tcW w:w="737" w:type="dxa"/>
                  <w:vAlign w:val="center"/>
                </w:tcPr>
                <w:p>
                  <w:pPr>
                    <w:pStyle w:val="11"/>
                    <w:jc w:val="center"/>
                    <w:rPr>
                      <w:rFonts w:hint="default" w:ascii="Times New Roman" w:hAnsi="Times New Roman" w:eastAsia="宋体" w:cs="Times New Roman"/>
                      <w:b/>
                      <w:bCs/>
                      <w:color w:val="auto"/>
                      <w:lang w:val="en-US" w:eastAsia="zh-CN"/>
                    </w:rPr>
                  </w:pPr>
                  <w:r>
                    <w:rPr>
                      <w:rFonts w:hint="eastAsia" w:cs="Times New Roman"/>
                      <w:b/>
                      <w:bCs/>
                      <w:color w:val="auto"/>
                      <w:lang w:val="en-US" w:eastAsia="zh-CN"/>
                    </w:rPr>
                    <w:t>50.0</w:t>
                  </w:r>
                </w:p>
              </w:tc>
              <w:tc>
                <w:tcPr>
                  <w:tcW w:w="488" w:type="dxa"/>
                  <w:vAlign w:val="center"/>
                </w:tcPr>
                <w:p>
                  <w:pPr>
                    <w:pStyle w:val="11"/>
                    <w:jc w:val="center"/>
                    <w:rPr>
                      <w:rFonts w:hint="default" w:ascii="Times New Roman" w:hAnsi="Times New Roman" w:eastAsia="宋体" w:cs="Times New Roman"/>
                      <w:color w:val="auto"/>
                      <w:kern w:val="2"/>
                      <w:lang w:val="en-US" w:eastAsia="zh-CN"/>
                    </w:rPr>
                  </w:pPr>
                  <w:r>
                    <w:rPr>
                      <w:rFonts w:hint="eastAsia" w:cs="Times New Roman"/>
                      <w:color w:val="auto"/>
                      <w:kern w:val="2"/>
                      <w:lang w:val="en-US" w:eastAsia="zh-CN"/>
                    </w:rPr>
                    <w:t>30</w:t>
                  </w:r>
                </w:p>
              </w:tc>
              <w:tc>
                <w:tcPr>
                  <w:tcW w:w="701" w:type="dxa"/>
                  <w:vAlign w:val="center"/>
                </w:tcPr>
                <w:p>
                  <w:pPr>
                    <w:pStyle w:val="11"/>
                    <w:jc w:val="center"/>
                    <w:rPr>
                      <w:rFonts w:hint="default" w:ascii="Times New Roman" w:hAnsi="Times New Roman" w:eastAsia="宋体" w:cs="Times New Roman"/>
                      <w:b/>
                      <w:bCs/>
                      <w:color w:val="auto"/>
                      <w:kern w:val="2"/>
                      <w:lang w:val="en-US" w:eastAsia="zh-CN"/>
                    </w:rPr>
                  </w:pPr>
                  <w:r>
                    <w:rPr>
                      <w:rFonts w:hint="eastAsia" w:cs="Times New Roman"/>
                      <w:b/>
                      <w:bCs/>
                      <w:color w:val="auto"/>
                      <w:lang w:val="en-US" w:eastAsia="zh-CN"/>
                    </w:rPr>
                    <w:t>40.5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3" w:type="dxa"/>
                  <w:vAlign w:val="center"/>
                </w:tcPr>
                <w:p>
                  <w:pPr>
                    <w:pStyle w:val="11"/>
                    <w:jc w:val="center"/>
                    <w:rPr>
                      <w:rFonts w:hint="default" w:ascii="Times New Roman" w:hAnsi="Times New Roman" w:cs="Times New Roman"/>
                      <w:b/>
                      <w:bCs/>
                      <w:color w:val="auto"/>
                    </w:rPr>
                  </w:pPr>
                  <w:r>
                    <w:rPr>
                      <w:rFonts w:hint="default" w:ascii="Times New Roman" w:hAnsi="Times New Roman" w:cs="Times New Roman"/>
                      <w:b/>
                      <w:bCs/>
                      <w:color w:val="auto"/>
                    </w:rPr>
                    <w:t>贡献值</w:t>
                  </w:r>
                </w:p>
              </w:tc>
              <w:tc>
                <w:tcPr>
                  <w:tcW w:w="3087" w:type="dxa"/>
                  <w:gridSpan w:val="3"/>
                  <w:vAlign w:val="center"/>
                </w:tcPr>
                <w:p>
                  <w:pPr>
                    <w:pStyle w:val="11"/>
                    <w:jc w:val="center"/>
                    <w:rPr>
                      <w:rFonts w:hint="default" w:ascii="Times New Roman" w:hAnsi="Times New Roman" w:cs="Times New Roman"/>
                      <w:b/>
                      <w:bCs/>
                      <w:color w:val="auto"/>
                    </w:rPr>
                  </w:pPr>
                  <w:r>
                    <w:rPr>
                      <w:rFonts w:hint="default" w:ascii="Times New Roman" w:hAnsi="Times New Roman" w:cs="Times New Roman"/>
                      <w:b/>
                      <w:bCs/>
                      <w:color w:val="auto"/>
                    </w:rPr>
                    <w:t>/</w:t>
                  </w:r>
                </w:p>
              </w:tc>
              <w:tc>
                <w:tcPr>
                  <w:tcW w:w="675" w:type="dxa"/>
                  <w:vAlign w:val="center"/>
                </w:tcPr>
                <w:p>
                  <w:pPr>
                    <w:pStyle w:val="11"/>
                    <w:jc w:val="center"/>
                    <w:rPr>
                      <w:rFonts w:hint="default" w:ascii="Times New Roman" w:hAnsi="Times New Roman" w:cs="Times New Roman"/>
                      <w:b/>
                      <w:bCs/>
                      <w:color w:val="auto"/>
                    </w:rPr>
                  </w:pPr>
                  <w:r>
                    <w:rPr>
                      <w:rFonts w:hint="default" w:ascii="Times New Roman" w:hAnsi="Times New Roman" w:cs="Times New Roman"/>
                      <w:b/>
                      <w:bCs/>
                      <w:color w:val="auto"/>
                    </w:rPr>
                    <w:t>/</w:t>
                  </w:r>
                </w:p>
              </w:tc>
              <w:tc>
                <w:tcPr>
                  <w:tcW w:w="725" w:type="dxa"/>
                  <w:vAlign w:val="center"/>
                </w:tcPr>
                <w:p>
                  <w:pPr>
                    <w:pStyle w:val="11"/>
                    <w:jc w:val="center"/>
                    <w:rPr>
                      <w:rFonts w:hint="default" w:ascii="Times New Roman" w:hAnsi="Times New Roman" w:eastAsia="宋体" w:cs="Times New Roman"/>
                      <w:b/>
                      <w:bCs/>
                      <w:color w:val="auto"/>
                      <w:lang w:val="en-US" w:eastAsia="zh-CN"/>
                    </w:rPr>
                  </w:pPr>
                  <w:r>
                    <w:rPr>
                      <w:rFonts w:hint="eastAsia" w:cs="Times New Roman"/>
                      <w:b/>
                      <w:bCs/>
                      <w:color w:val="auto"/>
                      <w:lang w:val="en-US" w:eastAsia="zh-CN"/>
                    </w:rPr>
                    <w:t>34.4</w:t>
                  </w:r>
                </w:p>
              </w:tc>
              <w:tc>
                <w:tcPr>
                  <w:tcW w:w="538" w:type="dxa"/>
                  <w:vAlign w:val="center"/>
                </w:tcPr>
                <w:p>
                  <w:pPr>
                    <w:pStyle w:val="11"/>
                    <w:jc w:val="center"/>
                    <w:rPr>
                      <w:rFonts w:hint="default" w:ascii="Times New Roman" w:hAnsi="Times New Roman" w:cs="Times New Roman"/>
                      <w:b/>
                      <w:bCs/>
                      <w:color w:val="auto"/>
                      <w:kern w:val="2"/>
                    </w:rPr>
                  </w:pPr>
                  <w:r>
                    <w:rPr>
                      <w:rFonts w:hint="default" w:ascii="Times New Roman" w:hAnsi="Times New Roman" w:cs="Times New Roman"/>
                      <w:b/>
                      <w:bCs/>
                      <w:color w:val="auto"/>
                      <w:kern w:val="2"/>
                    </w:rPr>
                    <w:t>/</w:t>
                  </w:r>
                </w:p>
              </w:tc>
              <w:tc>
                <w:tcPr>
                  <w:tcW w:w="675" w:type="dxa"/>
                  <w:vAlign w:val="center"/>
                </w:tcPr>
                <w:p>
                  <w:pPr>
                    <w:pStyle w:val="11"/>
                    <w:jc w:val="center"/>
                    <w:rPr>
                      <w:rFonts w:hint="default" w:ascii="Times New Roman" w:hAnsi="Times New Roman" w:eastAsia="宋体" w:cs="Times New Roman"/>
                      <w:b/>
                      <w:bCs/>
                      <w:color w:val="auto"/>
                      <w:lang w:val="en-US" w:eastAsia="zh-CN"/>
                    </w:rPr>
                  </w:pPr>
                  <w:r>
                    <w:rPr>
                      <w:rFonts w:hint="eastAsia" w:cs="Times New Roman"/>
                      <w:b/>
                      <w:bCs/>
                      <w:color w:val="auto"/>
                      <w:lang w:val="en-US" w:eastAsia="zh-CN"/>
                    </w:rPr>
                    <w:t>40.5</w:t>
                  </w:r>
                </w:p>
              </w:tc>
              <w:tc>
                <w:tcPr>
                  <w:tcW w:w="625" w:type="dxa"/>
                  <w:vAlign w:val="center"/>
                </w:tcPr>
                <w:p>
                  <w:pPr>
                    <w:pStyle w:val="11"/>
                    <w:jc w:val="center"/>
                    <w:rPr>
                      <w:rFonts w:hint="default" w:ascii="Times New Roman" w:hAnsi="Times New Roman" w:cs="Times New Roman"/>
                      <w:b/>
                      <w:bCs/>
                      <w:color w:val="auto"/>
                    </w:rPr>
                  </w:pPr>
                  <w:r>
                    <w:rPr>
                      <w:rFonts w:hint="default" w:ascii="Times New Roman" w:hAnsi="Times New Roman" w:cs="Times New Roman"/>
                      <w:b/>
                      <w:bCs/>
                      <w:color w:val="auto"/>
                    </w:rPr>
                    <w:t>/</w:t>
                  </w:r>
                </w:p>
              </w:tc>
              <w:tc>
                <w:tcPr>
                  <w:tcW w:w="737" w:type="dxa"/>
                  <w:vAlign w:val="center"/>
                </w:tcPr>
                <w:p>
                  <w:pPr>
                    <w:pStyle w:val="11"/>
                    <w:jc w:val="center"/>
                    <w:rPr>
                      <w:rFonts w:hint="default" w:ascii="Times New Roman" w:hAnsi="Times New Roman" w:eastAsia="宋体" w:cs="Times New Roman"/>
                      <w:b/>
                      <w:bCs/>
                      <w:color w:val="auto"/>
                      <w:lang w:val="en-US" w:eastAsia="zh-CN"/>
                    </w:rPr>
                  </w:pPr>
                  <w:r>
                    <w:rPr>
                      <w:rFonts w:hint="eastAsia" w:cs="Times New Roman"/>
                      <w:b/>
                      <w:bCs/>
                      <w:color w:val="auto"/>
                      <w:lang w:val="en-US" w:eastAsia="zh-CN"/>
                    </w:rPr>
                    <w:t>50.0</w:t>
                  </w:r>
                </w:p>
              </w:tc>
              <w:tc>
                <w:tcPr>
                  <w:tcW w:w="488" w:type="dxa"/>
                  <w:vAlign w:val="center"/>
                </w:tcPr>
                <w:p>
                  <w:pPr>
                    <w:pStyle w:val="11"/>
                    <w:jc w:val="center"/>
                    <w:rPr>
                      <w:rFonts w:hint="default" w:ascii="Times New Roman" w:hAnsi="Times New Roman" w:cs="Times New Roman"/>
                      <w:b/>
                      <w:bCs/>
                      <w:color w:val="auto"/>
                      <w:kern w:val="2"/>
                    </w:rPr>
                  </w:pPr>
                  <w:r>
                    <w:rPr>
                      <w:rFonts w:hint="default" w:ascii="Times New Roman" w:hAnsi="Times New Roman" w:cs="Times New Roman"/>
                      <w:b/>
                      <w:bCs/>
                      <w:color w:val="auto"/>
                      <w:kern w:val="2"/>
                    </w:rPr>
                    <w:t>/</w:t>
                  </w:r>
                </w:p>
              </w:tc>
              <w:tc>
                <w:tcPr>
                  <w:tcW w:w="701" w:type="dxa"/>
                  <w:vAlign w:val="center"/>
                </w:tcPr>
                <w:p>
                  <w:pPr>
                    <w:pStyle w:val="11"/>
                    <w:jc w:val="center"/>
                    <w:rPr>
                      <w:rFonts w:hint="default" w:ascii="Times New Roman" w:hAnsi="Times New Roman" w:eastAsia="宋体" w:cs="Times New Roman"/>
                      <w:b/>
                      <w:bCs/>
                      <w:color w:val="auto"/>
                      <w:kern w:val="2"/>
                      <w:lang w:val="en-US" w:eastAsia="zh-CN"/>
                    </w:rPr>
                  </w:pPr>
                  <w:r>
                    <w:rPr>
                      <w:rFonts w:hint="eastAsia" w:cs="Times New Roman"/>
                      <w:b/>
                      <w:bCs/>
                      <w:color w:val="auto"/>
                      <w:lang w:val="en-US" w:eastAsia="zh-CN"/>
                    </w:rPr>
                    <w:t>40.5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14" w:type="dxa"/>
                  <w:gridSpan w:val="12"/>
                  <w:vAlign w:val="center"/>
                </w:tcPr>
                <w:p>
                  <w:pPr>
                    <w:pStyle w:val="11"/>
                    <w:ind w:firstLine="210" w:firstLineChars="100"/>
                    <w:jc w:val="both"/>
                    <w:rPr>
                      <w:rFonts w:hint="default" w:ascii="Times New Roman" w:hAnsi="Times New Roman" w:eastAsia="宋体" w:cs="Times New Roman"/>
                      <w:b/>
                      <w:bCs/>
                      <w:color w:val="auto"/>
                      <w:kern w:val="2"/>
                      <w:lang w:val="en-US" w:eastAsia="zh-CN"/>
                    </w:rPr>
                  </w:pPr>
                  <w:r>
                    <w:rPr>
                      <w:rFonts w:hint="default" w:ascii="Times New Roman" w:hAnsi="Times New Roman" w:cs="Times New Roman"/>
                      <w:color w:val="auto"/>
                      <w:kern w:val="2"/>
                    </w:rPr>
                    <w:t>注：机械设备按2m*</w:t>
                  </w:r>
                  <w:r>
                    <w:rPr>
                      <w:rFonts w:hint="eastAsia" w:cs="Times New Roman"/>
                      <w:color w:val="auto"/>
                      <w:kern w:val="2"/>
                      <w:lang w:val="en-US" w:eastAsia="zh-CN"/>
                    </w:rPr>
                    <w:t>1</w:t>
                  </w:r>
                  <w:r>
                    <w:rPr>
                      <w:rFonts w:hint="default" w:ascii="Times New Roman" w:hAnsi="Times New Roman" w:cs="Times New Roman"/>
                      <w:color w:val="auto"/>
                      <w:kern w:val="2"/>
                    </w:rPr>
                    <w:t>m计</w:t>
                  </w:r>
                  <w:r>
                    <w:rPr>
                      <w:rFonts w:hint="default" w:ascii="Times New Roman" w:hAnsi="Times New Roman" w:cs="Times New Roman"/>
                      <w:color w:val="auto"/>
                      <w:kern w:val="2"/>
                      <w:lang w:val="en-US" w:eastAsia="zh-CN"/>
                    </w:rPr>
                    <w:t>；</w:t>
                  </w:r>
                </w:p>
              </w:tc>
            </w:tr>
          </w:tbl>
          <w:p>
            <w:pPr>
              <w:adjustRightInd w:val="0"/>
              <w:snapToGrid w:val="0"/>
              <w:ind w:firstLine="482"/>
              <w:rPr>
                <w:rFonts w:hint="default" w:ascii="Times New Roman" w:hAnsi="Times New Roman" w:cs="Times New Roman"/>
                <w:b w:val="0"/>
                <w:bCs w:val="0"/>
                <w:color w:val="auto"/>
              </w:rPr>
            </w:pPr>
            <w:r>
              <w:rPr>
                <w:rFonts w:hint="default" w:ascii="Times New Roman" w:hAnsi="Times New Roman" w:cs="Times New Roman"/>
                <w:b w:val="0"/>
                <w:bCs w:val="0"/>
                <w:color w:val="auto"/>
                <w:lang w:val="en-US" w:eastAsia="zh-CN"/>
              </w:rPr>
              <w:t>②室内声源在预测点的声压级计算：</w:t>
            </w:r>
          </w:p>
          <w:p>
            <w:pPr>
              <w:adjustRightInd w:val="0"/>
              <w:snapToGrid w:val="0"/>
              <w:ind w:firstLine="482"/>
              <w:rPr>
                <w:rFonts w:hint="default" w:ascii="Times New Roman" w:hAnsi="Times New Roman" w:cs="Times New Roman"/>
                <w:b w:val="0"/>
                <w:bCs w:val="0"/>
                <w:color w:val="auto"/>
              </w:rPr>
            </w:pPr>
            <w:r>
              <w:rPr>
                <w:rFonts w:hint="default" w:ascii="Times New Roman" w:hAnsi="Times New Roman" w:cs="Times New Roman"/>
                <w:b w:val="0"/>
                <w:bCs w:val="0"/>
                <w:color w:val="auto"/>
                <w:lang w:val="en-US" w:eastAsia="zh-CN"/>
              </w:rPr>
              <w:t>首先计算某个室内声源在靠近围护结构处的声压级:</w:t>
            </w:r>
          </w:p>
          <w:p>
            <w:pPr>
              <w:adjustRightInd w:val="0"/>
              <w:snapToGrid w:val="0"/>
              <w:ind w:firstLine="482"/>
              <w:jc w:val="center"/>
              <w:rPr>
                <w:rFonts w:hint="default" w:ascii="Times New Roman" w:hAnsi="Times New Roman" w:cs="Times New Roman"/>
                <w:b/>
                <w:bCs/>
                <w:color w:val="auto"/>
              </w:rPr>
            </w:pPr>
            <w:r>
              <w:rPr>
                <w:rFonts w:hint="default" w:ascii="Times New Roman" w:hAnsi="Times New Roman" w:cs="Times New Roman"/>
                <w:b/>
                <w:bCs/>
                <w:color w:val="auto"/>
                <w:position w:val="-32"/>
                <w:lang w:val="en-US" w:eastAsia="zh-CN"/>
              </w:rPr>
              <w:object>
                <v:shape id="_x0000_i1025" o:spt="75" type="#_x0000_t75" style="height:27.35pt;width:127.25pt;" o:ole="t" filled="f" o:preferrelative="t" stroked="f" coordsize="21600,21600">
                  <v:path/>
                  <v:fill on="f" focussize="0,0"/>
                  <v:stroke on="f"/>
                  <v:imagedata r:id="rId27" o:title=""/>
                  <o:lock v:ext="edit" aspectratio="t"/>
                  <w10:wrap type="none"/>
                  <w10:anchorlock/>
                </v:shape>
                <o:OLEObject Type="Embed" ProgID="Equation.KSEE3" ShapeID="_x0000_i1025" DrawAspect="Content" ObjectID="_1468075725" r:id="rId26">
                  <o:LockedField>false</o:LockedField>
                </o:OLEObject>
              </w:object>
            </w:r>
          </w:p>
          <w:p>
            <w:pPr>
              <w:adjustRightInd w:val="0"/>
              <w:snapToGrid w:val="0"/>
              <w:ind w:firstLine="482"/>
              <w:rPr>
                <w:rFonts w:hint="default" w:ascii="Times New Roman" w:hAnsi="Times New Roman" w:cs="Times New Roman"/>
                <w:b w:val="0"/>
                <w:bCs w:val="0"/>
                <w:color w:val="auto"/>
              </w:rPr>
            </w:pPr>
            <w:r>
              <w:rPr>
                <w:rFonts w:hint="default" w:ascii="Times New Roman" w:hAnsi="Times New Roman" w:cs="Times New Roman"/>
                <w:b w:val="0"/>
                <w:bCs w:val="0"/>
                <w:color w:val="auto"/>
              </w:rPr>
              <w:t>式中:L</w:t>
            </w:r>
            <w:r>
              <w:rPr>
                <w:rFonts w:hint="default" w:ascii="Times New Roman" w:hAnsi="Times New Roman" w:cs="Times New Roman"/>
                <w:b w:val="0"/>
                <w:bCs w:val="0"/>
                <w:color w:val="auto"/>
                <w:vertAlign w:val="subscript"/>
              </w:rPr>
              <w:t>p1</w:t>
            </w:r>
            <w:r>
              <w:rPr>
                <w:rFonts w:hint="default" w:ascii="Times New Roman" w:hAnsi="Times New Roman" w:cs="Times New Roman"/>
                <w:b w:val="0"/>
                <w:bCs w:val="0"/>
                <w:color w:val="auto"/>
              </w:rPr>
              <w:t>靠近开口处（或窗户）室内某倍频带的声压级或A声级，dB；L</w:t>
            </w:r>
            <w:r>
              <w:rPr>
                <w:rFonts w:hint="default" w:ascii="Times New Roman" w:hAnsi="Times New Roman" w:cs="Times New Roman"/>
                <w:b w:val="0"/>
                <w:bCs w:val="0"/>
                <w:color w:val="auto"/>
                <w:vertAlign w:val="subscript"/>
              </w:rPr>
              <w:t>w</w:t>
            </w:r>
            <w:r>
              <w:rPr>
                <w:rFonts w:hint="default" w:ascii="Times New Roman" w:hAnsi="Times New Roman" w:cs="Times New Roman"/>
                <w:b w:val="0"/>
                <w:bCs w:val="0"/>
                <w:color w:val="auto"/>
              </w:rPr>
              <w:t>—点声源声功率级（A计权或倍频带），dB；</w:t>
            </w:r>
            <w:r>
              <w:rPr>
                <w:rFonts w:hint="default" w:ascii="Times New Roman" w:hAnsi="Times New Roman" w:cs="Times New Roman"/>
                <w:b w:val="0"/>
                <w:bCs w:val="0"/>
                <w:color w:val="auto"/>
                <w:lang w:val="en-US" w:eastAsia="zh-CN"/>
              </w:rPr>
              <w:t>Q—指向性因数；通常对无指向性声源，当声源放在房间中心时，Q=1；当放在一面墙的中心时，Q=2；当放在两面墙夹角处时，Q=4；当放在三面墙夹角处时，Q=8；R—房间常数；R=Sα/（1-α），S为房间内表面面积，</w:t>
            </w:r>
            <w:r>
              <w:rPr>
                <w:rFonts w:hint="eastAsia" w:cs="Times New Roman"/>
                <w:b w:val="0"/>
                <w:bCs w:val="0"/>
                <w:color w:val="auto"/>
                <w:lang w:val="en-US" w:eastAsia="zh-CN"/>
              </w:rPr>
              <w:t>取3000</w:t>
            </w:r>
            <w:r>
              <w:rPr>
                <w:rFonts w:hint="default" w:ascii="Times New Roman" w:hAnsi="Times New Roman" w:cs="Times New Roman"/>
                <w:b w:val="0"/>
                <w:bCs w:val="0"/>
                <w:color w:val="auto"/>
                <w:lang w:val="en-US" w:eastAsia="zh-CN"/>
              </w:rPr>
              <w:t>m</w:t>
            </w:r>
            <w:r>
              <w:rPr>
                <w:rFonts w:hint="default" w:ascii="Times New Roman" w:hAnsi="Times New Roman" w:cs="Times New Roman"/>
                <w:b w:val="0"/>
                <w:bCs w:val="0"/>
                <w:color w:val="auto"/>
                <w:vertAlign w:val="superscript"/>
                <w:lang w:val="en-US" w:eastAsia="zh-CN"/>
              </w:rPr>
              <w:t>2</w:t>
            </w:r>
            <w:r>
              <w:rPr>
                <w:rFonts w:hint="eastAsia" w:cs="Times New Roman"/>
                <w:b w:val="0"/>
                <w:bCs w:val="0"/>
                <w:color w:val="auto"/>
                <w:lang w:val="en-US" w:eastAsia="zh-CN"/>
              </w:rPr>
              <w:t>，</w:t>
            </w:r>
            <w:r>
              <w:rPr>
                <w:rFonts w:hint="default" w:ascii="Times New Roman" w:hAnsi="Times New Roman" w:cs="Times New Roman"/>
                <w:b w:val="0"/>
                <w:bCs w:val="0"/>
                <w:color w:val="auto"/>
                <w:lang w:val="en-US" w:eastAsia="zh-CN"/>
              </w:rPr>
              <w:t>α为平均吸声系数</w:t>
            </w:r>
            <w:r>
              <w:rPr>
                <w:rFonts w:hint="eastAsia" w:cs="Times New Roman"/>
                <w:b w:val="0"/>
                <w:bCs w:val="0"/>
                <w:color w:val="auto"/>
                <w:lang w:val="en-US" w:eastAsia="zh-CN"/>
              </w:rPr>
              <w:t>，取0.1</w:t>
            </w:r>
            <w:r>
              <w:rPr>
                <w:rFonts w:hint="default" w:ascii="Times New Roman" w:hAnsi="Times New Roman" w:cs="Times New Roman"/>
                <w:b w:val="0"/>
                <w:bCs w:val="0"/>
                <w:color w:val="auto"/>
                <w:lang w:val="en-US" w:eastAsia="zh-CN"/>
              </w:rPr>
              <w:t>；r—声源到靠近围护结构某点处的距离，m。</w:t>
            </w:r>
          </w:p>
          <w:p>
            <w:pPr>
              <w:adjustRightInd w:val="0"/>
              <w:snapToGrid w:val="0"/>
              <w:ind w:firstLine="482"/>
              <w:rPr>
                <w:rFonts w:hint="default" w:ascii="Times New Roman" w:hAnsi="Times New Roman" w:cs="Times New Roman"/>
                <w:b w:val="0"/>
                <w:bCs w:val="0"/>
                <w:color w:val="auto"/>
              </w:rPr>
            </w:pPr>
            <w:r>
              <w:rPr>
                <w:rFonts w:hint="default" w:ascii="Times New Roman" w:hAnsi="Times New Roman" w:cs="Times New Roman"/>
                <w:b w:val="0"/>
                <w:bCs w:val="0"/>
                <w:color w:val="auto"/>
                <w:lang w:val="en-US" w:eastAsia="zh-CN"/>
              </w:rPr>
              <w:t>然后计算出所有室内声源在围护结构处产生的i倍频带叠加声压级：</w:t>
            </w:r>
          </w:p>
          <w:p>
            <w:pPr>
              <w:adjustRightInd w:val="0"/>
              <w:snapToGrid w:val="0"/>
              <w:ind w:left="0" w:leftChars="0" w:firstLine="0" w:firstLineChars="0"/>
              <w:jc w:val="center"/>
              <w:rPr>
                <w:rFonts w:hint="default" w:ascii="Times New Roman" w:hAnsi="Times New Roman" w:cs="Times New Roman"/>
                <w:b w:val="0"/>
                <w:bCs w:val="0"/>
                <w:color w:val="auto"/>
              </w:rPr>
            </w:pPr>
            <w:r>
              <w:rPr>
                <w:rFonts w:hint="default" w:ascii="Times New Roman" w:hAnsi="Times New Roman" w:cs="Times New Roman"/>
                <w:b w:val="0"/>
                <w:bCs w:val="0"/>
                <w:color w:val="auto"/>
                <w:position w:val="-26"/>
                <w:lang w:val="en-US" w:eastAsia="zh-CN"/>
              </w:rPr>
              <w:object>
                <v:shape id="_x0000_i1026" o:spt="75" type="#_x0000_t75" style="height:40.2pt;width:139.55pt;" o:ole="t" filled="f" o:preferrelative="t" stroked="f" coordsize="21600,21600">
                  <v:path/>
                  <v:fill on="f" focussize="0,0"/>
                  <v:stroke on="f"/>
                  <v:imagedata r:id="rId29" o:title=""/>
                  <o:lock v:ext="edit" aspectratio="t"/>
                  <w10:wrap type="none"/>
                  <w10:anchorlock/>
                </v:shape>
                <o:OLEObject Type="Embed" ProgID="Equation.KSEE3" ShapeID="_x0000_i1026" DrawAspect="Content" ObjectID="_1468075726" r:id="rId28">
                  <o:LockedField>false</o:LockedField>
                </o:OLEObject>
              </w:object>
            </w:r>
          </w:p>
          <w:p>
            <w:pPr>
              <w:adjustRightInd w:val="0"/>
              <w:snapToGrid w:val="0"/>
              <w:ind w:firstLine="482"/>
              <w:rPr>
                <w:rFonts w:hint="default" w:ascii="Times New Roman" w:hAnsi="Times New Roman" w:cs="Times New Roman"/>
                <w:b w:val="0"/>
                <w:bCs w:val="0"/>
                <w:color w:val="auto"/>
              </w:rPr>
            </w:pPr>
            <w:r>
              <w:rPr>
                <w:rFonts w:hint="default" w:ascii="Times New Roman" w:hAnsi="Times New Roman" w:cs="Times New Roman"/>
                <w:b w:val="0"/>
                <w:bCs w:val="0"/>
                <w:color w:val="auto"/>
                <w:lang w:val="en-US" w:eastAsia="zh-CN"/>
              </w:rPr>
              <w:t>式中：L</w:t>
            </w:r>
            <w:r>
              <w:rPr>
                <w:rFonts w:hint="default" w:ascii="Times New Roman" w:hAnsi="Times New Roman" w:cs="Times New Roman"/>
                <w:b w:val="0"/>
                <w:bCs w:val="0"/>
                <w:color w:val="auto"/>
                <w:vertAlign w:val="subscript"/>
                <w:lang w:val="en-US" w:eastAsia="zh-CN"/>
              </w:rPr>
              <w:t>pli</w:t>
            </w:r>
            <w:r>
              <w:rPr>
                <w:rFonts w:hint="default" w:ascii="Times New Roman" w:hAnsi="Times New Roman" w:cs="Times New Roman"/>
                <w:b w:val="0"/>
                <w:bCs w:val="0"/>
                <w:color w:val="auto"/>
                <w:lang w:val="en-US" w:eastAsia="zh-CN"/>
              </w:rPr>
              <w:t>（T）—靠近围护结构处室内N个声源i倍频带的叠加声压级，dB；L</w:t>
            </w:r>
            <w:r>
              <w:rPr>
                <w:rFonts w:hint="default" w:ascii="Times New Roman" w:hAnsi="Times New Roman" w:cs="Times New Roman"/>
                <w:b w:val="0"/>
                <w:bCs w:val="0"/>
                <w:color w:val="auto"/>
                <w:vertAlign w:val="subscript"/>
                <w:lang w:val="en-US" w:eastAsia="zh-CN"/>
              </w:rPr>
              <w:t>pli</w:t>
            </w:r>
            <w:r>
              <w:rPr>
                <w:rFonts w:hint="default" w:ascii="Times New Roman" w:hAnsi="Times New Roman" w:cs="Times New Roman"/>
                <w:b w:val="0"/>
                <w:bCs w:val="0"/>
                <w:color w:val="auto"/>
                <w:lang w:val="en-US" w:eastAsia="zh-CN"/>
              </w:rPr>
              <w:t>—室内j声源i倍频带的声压级，dB；N—室内声源总数。</w:t>
            </w:r>
          </w:p>
          <w:p>
            <w:pPr>
              <w:adjustRightInd w:val="0"/>
              <w:snapToGrid w:val="0"/>
              <w:ind w:firstLine="482"/>
              <w:rPr>
                <w:rFonts w:hint="default" w:ascii="Times New Roman" w:hAnsi="Times New Roman" w:cs="Times New Roman"/>
                <w:b w:val="0"/>
                <w:bCs w:val="0"/>
                <w:color w:val="auto"/>
              </w:rPr>
            </w:pPr>
            <w:r>
              <w:rPr>
                <w:rFonts w:hint="eastAsia" w:cs="Times New Roman"/>
                <w:b w:val="0"/>
                <w:bCs w:val="0"/>
                <w:color w:val="auto"/>
                <w:lang w:val="en-US" w:eastAsia="zh-CN"/>
              </w:rPr>
              <w:t>然后按室外声源预测方法</w:t>
            </w:r>
            <w:r>
              <w:rPr>
                <w:rFonts w:hint="default" w:ascii="Times New Roman" w:hAnsi="Times New Roman" w:cs="Times New Roman"/>
                <w:b w:val="0"/>
                <w:bCs w:val="0"/>
                <w:color w:val="auto"/>
                <w:lang w:val="en-US" w:eastAsia="zh-CN"/>
              </w:rPr>
              <w:t>计算等效声源在预测点产生的声级。</w:t>
            </w:r>
          </w:p>
          <w:p>
            <w:pPr>
              <w:pStyle w:val="11"/>
              <w:jc w:val="center"/>
              <w:rPr>
                <w:rFonts w:hint="default" w:ascii="Times New Roman" w:hAnsi="Times New Roman" w:cs="Times New Roman"/>
                <w:b/>
                <w:bCs/>
                <w:color w:val="auto"/>
              </w:rPr>
            </w:pPr>
            <w:r>
              <w:rPr>
                <w:rFonts w:hint="default" w:ascii="Times New Roman" w:hAnsi="Times New Roman" w:cs="Times New Roman"/>
                <w:b/>
                <w:bCs/>
                <w:color w:val="auto"/>
              </w:rPr>
              <w:t>表4-</w:t>
            </w:r>
            <w:r>
              <w:rPr>
                <w:rFonts w:hint="eastAsia" w:cs="Times New Roman"/>
                <w:b/>
                <w:bCs/>
                <w:color w:val="auto"/>
                <w:lang w:val="en-US" w:eastAsia="zh-CN"/>
              </w:rPr>
              <w:t>7</w:t>
            </w:r>
            <w:r>
              <w:rPr>
                <w:rFonts w:hint="default" w:ascii="Times New Roman" w:hAnsi="Times New Roman" w:cs="Times New Roman"/>
                <w:b/>
                <w:bCs/>
                <w:color w:val="auto"/>
              </w:rPr>
              <w:t xml:space="preserve">    项目主要</w:t>
            </w:r>
            <w:r>
              <w:rPr>
                <w:rFonts w:hint="eastAsia" w:cs="Times New Roman"/>
                <w:b/>
                <w:bCs/>
                <w:color w:val="auto"/>
                <w:lang w:val="en-US" w:eastAsia="zh-CN"/>
              </w:rPr>
              <w:t>室内</w:t>
            </w:r>
            <w:r>
              <w:rPr>
                <w:rFonts w:hint="default" w:ascii="Times New Roman" w:hAnsi="Times New Roman" w:cs="Times New Roman"/>
                <w:b/>
                <w:bCs/>
                <w:color w:val="auto"/>
              </w:rPr>
              <w:t xml:space="preserve">噪声设备情况汇总表  </w:t>
            </w:r>
          </w:p>
          <w:tbl>
            <w:tblPr>
              <w:tblStyle w:val="5"/>
              <w:tblW w:w="9114"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72"/>
              <w:gridCol w:w="1141"/>
              <w:gridCol w:w="700"/>
              <w:gridCol w:w="1137"/>
              <w:gridCol w:w="675"/>
              <w:gridCol w:w="725"/>
              <w:gridCol w:w="538"/>
              <w:gridCol w:w="675"/>
              <w:gridCol w:w="625"/>
              <w:gridCol w:w="737"/>
              <w:gridCol w:w="488"/>
              <w:gridCol w:w="70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972" w:type="dxa"/>
                  <w:vMerge w:val="restart"/>
                  <w:vAlign w:val="center"/>
                </w:tcPr>
                <w:p>
                  <w:pPr>
                    <w:pStyle w:val="11"/>
                    <w:jc w:val="center"/>
                    <w:rPr>
                      <w:rFonts w:hint="default" w:ascii="Times New Roman" w:hAnsi="Times New Roman" w:cs="Times New Roman"/>
                      <w:b/>
                      <w:bCs/>
                      <w:color w:val="auto"/>
                    </w:rPr>
                  </w:pPr>
                  <w:r>
                    <w:rPr>
                      <w:rFonts w:hint="default" w:ascii="Times New Roman" w:hAnsi="Times New Roman" w:cs="Times New Roman"/>
                      <w:b/>
                      <w:bCs/>
                      <w:color w:val="auto"/>
                    </w:rPr>
                    <w:t>设备</w:t>
                  </w:r>
                </w:p>
                <w:p>
                  <w:pPr>
                    <w:pStyle w:val="11"/>
                    <w:jc w:val="center"/>
                    <w:rPr>
                      <w:rFonts w:hint="default" w:ascii="Times New Roman" w:hAnsi="Times New Roman" w:cs="Times New Roman"/>
                      <w:b/>
                      <w:bCs/>
                      <w:color w:val="auto"/>
                    </w:rPr>
                  </w:pPr>
                  <w:r>
                    <w:rPr>
                      <w:rFonts w:hint="default" w:ascii="Times New Roman" w:hAnsi="Times New Roman" w:cs="Times New Roman"/>
                      <w:b/>
                      <w:bCs/>
                      <w:color w:val="auto"/>
                    </w:rPr>
                    <w:t>名称</w:t>
                  </w:r>
                </w:p>
              </w:tc>
              <w:tc>
                <w:tcPr>
                  <w:tcW w:w="1141" w:type="dxa"/>
                  <w:vMerge w:val="restart"/>
                  <w:vAlign w:val="center"/>
                </w:tcPr>
                <w:p>
                  <w:pPr>
                    <w:pStyle w:val="11"/>
                    <w:jc w:val="center"/>
                    <w:rPr>
                      <w:rFonts w:hint="default" w:ascii="Times New Roman" w:hAnsi="Times New Roman" w:cs="Times New Roman"/>
                      <w:b/>
                      <w:bCs/>
                      <w:color w:val="auto"/>
                    </w:rPr>
                  </w:pPr>
                  <w:r>
                    <w:rPr>
                      <w:rFonts w:hint="default" w:ascii="Times New Roman" w:hAnsi="Times New Roman" w:cs="Times New Roman"/>
                      <w:b/>
                      <w:bCs/>
                      <w:color w:val="auto"/>
                    </w:rPr>
                    <w:t>治理后</w:t>
                  </w:r>
                </w:p>
                <w:p>
                  <w:pPr>
                    <w:pStyle w:val="11"/>
                    <w:jc w:val="center"/>
                    <w:rPr>
                      <w:rFonts w:hint="default" w:ascii="Times New Roman" w:hAnsi="Times New Roman" w:cs="Times New Roman"/>
                      <w:b/>
                      <w:bCs/>
                      <w:color w:val="auto"/>
                    </w:rPr>
                  </w:pPr>
                  <w:r>
                    <w:rPr>
                      <w:rFonts w:hint="default" w:ascii="Times New Roman" w:hAnsi="Times New Roman" w:cs="Times New Roman"/>
                      <w:b/>
                      <w:bCs/>
                      <w:color w:val="auto"/>
                    </w:rPr>
                    <w:t>声级</w:t>
                  </w:r>
                  <w:r>
                    <w:rPr>
                      <w:rFonts w:hint="default" w:ascii="Times New Roman" w:hAnsi="Times New Roman" w:cs="Times New Roman"/>
                      <w:color w:val="auto"/>
                      <w:kern w:val="2"/>
                    </w:rPr>
                    <w:t>dB(A)</w:t>
                  </w:r>
                </w:p>
              </w:tc>
              <w:tc>
                <w:tcPr>
                  <w:tcW w:w="700" w:type="dxa"/>
                  <w:vMerge w:val="restart"/>
                  <w:vAlign w:val="center"/>
                </w:tcPr>
                <w:p>
                  <w:pPr>
                    <w:pStyle w:val="11"/>
                    <w:jc w:val="center"/>
                    <w:rPr>
                      <w:rFonts w:hint="default" w:ascii="Times New Roman" w:hAnsi="Times New Roman" w:cs="Times New Roman"/>
                      <w:b/>
                      <w:bCs/>
                      <w:color w:val="auto"/>
                    </w:rPr>
                  </w:pPr>
                  <w:r>
                    <w:rPr>
                      <w:rFonts w:hint="default" w:ascii="Times New Roman" w:hAnsi="Times New Roman" w:cs="Times New Roman"/>
                      <w:b/>
                      <w:bCs/>
                      <w:color w:val="auto"/>
                    </w:rPr>
                    <w:t>数量(台)</w:t>
                  </w:r>
                </w:p>
              </w:tc>
              <w:tc>
                <w:tcPr>
                  <w:tcW w:w="1137" w:type="dxa"/>
                  <w:vMerge w:val="restart"/>
                  <w:vAlign w:val="center"/>
                </w:tcPr>
                <w:p>
                  <w:pPr>
                    <w:pStyle w:val="11"/>
                    <w:jc w:val="center"/>
                    <w:rPr>
                      <w:rFonts w:hint="default" w:ascii="Times New Roman" w:hAnsi="Times New Roman" w:cs="Times New Roman"/>
                      <w:b/>
                      <w:bCs/>
                      <w:color w:val="auto"/>
                    </w:rPr>
                  </w:pPr>
                  <w:r>
                    <w:rPr>
                      <w:rFonts w:hint="default" w:ascii="Times New Roman" w:hAnsi="Times New Roman" w:cs="Times New Roman"/>
                      <w:b/>
                      <w:bCs/>
                      <w:color w:val="auto"/>
                      <w:lang w:val="en-US" w:eastAsia="zh-CN"/>
                    </w:rPr>
                    <w:t>叠加</w:t>
                  </w:r>
                  <w:r>
                    <w:rPr>
                      <w:rFonts w:hint="default" w:ascii="Times New Roman" w:hAnsi="Times New Roman" w:cs="Times New Roman"/>
                      <w:b/>
                      <w:bCs/>
                      <w:color w:val="auto"/>
                    </w:rPr>
                    <w:t>后声级</w:t>
                  </w:r>
                  <w:r>
                    <w:rPr>
                      <w:rFonts w:hint="default" w:ascii="Times New Roman" w:hAnsi="Times New Roman" w:cs="Times New Roman"/>
                      <w:color w:val="auto"/>
                      <w:kern w:val="2"/>
                    </w:rPr>
                    <w:t>dB(A)</w:t>
                  </w:r>
                </w:p>
              </w:tc>
              <w:tc>
                <w:tcPr>
                  <w:tcW w:w="5164" w:type="dxa"/>
                  <w:gridSpan w:val="8"/>
                  <w:vAlign w:val="center"/>
                </w:tcPr>
                <w:p>
                  <w:pPr>
                    <w:pStyle w:val="11"/>
                    <w:jc w:val="center"/>
                    <w:rPr>
                      <w:rFonts w:hint="default" w:ascii="Times New Roman" w:hAnsi="Times New Roman" w:cs="Times New Roman"/>
                      <w:b/>
                      <w:bCs/>
                      <w:color w:val="auto"/>
                    </w:rPr>
                  </w:pPr>
                  <w:r>
                    <w:rPr>
                      <w:rFonts w:hint="default" w:ascii="Times New Roman" w:hAnsi="Times New Roman" w:cs="Times New Roman"/>
                      <w:b/>
                      <w:bCs/>
                      <w:color w:val="auto"/>
                    </w:rPr>
                    <w:t>距离生产车间边界距离（m）/距离衰减后声级dB(A)</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972" w:type="dxa"/>
                  <w:vMerge w:val="continue"/>
                  <w:vAlign w:val="center"/>
                </w:tcPr>
                <w:p>
                  <w:pPr>
                    <w:pStyle w:val="11"/>
                    <w:jc w:val="center"/>
                    <w:rPr>
                      <w:rFonts w:hint="default" w:ascii="Times New Roman" w:hAnsi="Times New Roman" w:cs="Times New Roman"/>
                      <w:b/>
                      <w:bCs/>
                      <w:color w:val="auto"/>
                    </w:rPr>
                  </w:pPr>
                </w:p>
              </w:tc>
              <w:tc>
                <w:tcPr>
                  <w:tcW w:w="1141" w:type="dxa"/>
                  <w:vMerge w:val="continue"/>
                  <w:vAlign w:val="center"/>
                </w:tcPr>
                <w:p>
                  <w:pPr>
                    <w:pStyle w:val="11"/>
                    <w:jc w:val="center"/>
                    <w:rPr>
                      <w:rFonts w:hint="default" w:ascii="Times New Roman" w:hAnsi="Times New Roman" w:cs="Times New Roman"/>
                      <w:b/>
                      <w:bCs/>
                      <w:color w:val="auto"/>
                    </w:rPr>
                  </w:pPr>
                </w:p>
              </w:tc>
              <w:tc>
                <w:tcPr>
                  <w:tcW w:w="700" w:type="dxa"/>
                  <w:vMerge w:val="continue"/>
                  <w:vAlign w:val="center"/>
                </w:tcPr>
                <w:p>
                  <w:pPr>
                    <w:pStyle w:val="11"/>
                    <w:jc w:val="center"/>
                    <w:rPr>
                      <w:rFonts w:hint="default" w:ascii="Times New Roman" w:hAnsi="Times New Roman" w:cs="Times New Roman"/>
                      <w:b/>
                      <w:bCs/>
                      <w:color w:val="auto"/>
                    </w:rPr>
                  </w:pPr>
                </w:p>
              </w:tc>
              <w:tc>
                <w:tcPr>
                  <w:tcW w:w="1137" w:type="dxa"/>
                  <w:vMerge w:val="continue"/>
                  <w:vAlign w:val="center"/>
                </w:tcPr>
                <w:p>
                  <w:pPr>
                    <w:pStyle w:val="11"/>
                    <w:jc w:val="center"/>
                    <w:rPr>
                      <w:rFonts w:hint="default" w:ascii="Times New Roman" w:hAnsi="Times New Roman" w:cs="Times New Roman"/>
                      <w:b/>
                      <w:bCs/>
                      <w:color w:val="auto"/>
                    </w:rPr>
                  </w:pPr>
                </w:p>
              </w:tc>
              <w:tc>
                <w:tcPr>
                  <w:tcW w:w="675" w:type="dxa"/>
                  <w:vAlign w:val="center"/>
                </w:tcPr>
                <w:p>
                  <w:pPr>
                    <w:pStyle w:val="11"/>
                    <w:jc w:val="center"/>
                    <w:rPr>
                      <w:rFonts w:hint="default" w:ascii="Times New Roman" w:hAnsi="Times New Roman" w:cs="Times New Roman"/>
                      <w:b/>
                      <w:bCs/>
                      <w:color w:val="auto"/>
                      <w:kern w:val="2"/>
                    </w:rPr>
                  </w:pPr>
                  <w:r>
                    <w:rPr>
                      <w:rFonts w:hint="default" w:ascii="Times New Roman" w:hAnsi="Times New Roman" w:cs="Times New Roman"/>
                      <w:b/>
                      <w:bCs/>
                      <w:color w:val="auto"/>
                    </w:rPr>
                    <w:t>西</w:t>
                  </w:r>
                </w:p>
              </w:tc>
              <w:tc>
                <w:tcPr>
                  <w:tcW w:w="725" w:type="dxa"/>
                  <w:vAlign w:val="center"/>
                </w:tcPr>
                <w:p>
                  <w:pPr>
                    <w:pStyle w:val="11"/>
                    <w:jc w:val="center"/>
                    <w:rPr>
                      <w:rFonts w:hint="default" w:ascii="Times New Roman" w:hAnsi="Times New Roman" w:cs="Times New Roman"/>
                      <w:b/>
                      <w:bCs/>
                      <w:color w:val="auto"/>
                    </w:rPr>
                  </w:pPr>
                  <w:r>
                    <w:rPr>
                      <w:rFonts w:hint="default" w:ascii="Times New Roman" w:hAnsi="Times New Roman" w:cs="Times New Roman"/>
                      <w:b/>
                      <w:bCs/>
                      <w:color w:val="auto"/>
                    </w:rPr>
                    <w:t>声级</w:t>
                  </w:r>
                </w:p>
              </w:tc>
              <w:tc>
                <w:tcPr>
                  <w:tcW w:w="538" w:type="dxa"/>
                  <w:vAlign w:val="center"/>
                </w:tcPr>
                <w:p>
                  <w:pPr>
                    <w:pStyle w:val="11"/>
                    <w:jc w:val="center"/>
                    <w:rPr>
                      <w:rFonts w:hint="default" w:ascii="Times New Roman" w:hAnsi="Times New Roman" w:cs="Times New Roman"/>
                      <w:b/>
                      <w:bCs/>
                      <w:color w:val="auto"/>
                      <w:kern w:val="2"/>
                    </w:rPr>
                  </w:pPr>
                  <w:r>
                    <w:rPr>
                      <w:rFonts w:hint="default" w:ascii="Times New Roman" w:hAnsi="Times New Roman" w:cs="Times New Roman"/>
                      <w:b/>
                      <w:bCs/>
                      <w:color w:val="auto"/>
                    </w:rPr>
                    <w:t>北</w:t>
                  </w:r>
                </w:p>
              </w:tc>
              <w:tc>
                <w:tcPr>
                  <w:tcW w:w="675" w:type="dxa"/>
                  <w:vAlign w:val="center"/>
                </w:tcPr>
                <w:p>
                  <w:pPr>
                    <w:pStyle w:val="11"/>
                    <w:jc w:val="center"/>
                    <w:rPr>
                      <w:rFonts w:hint="default" w:ascii="Times New Roman" w:hAnsi="Times New Roman" w:cs="Times New Roman"/>
                      <w:b/>
                      <w:bCs/>
                      <w:color w:val="auto"/>
                    </w:rPr>
                  </w:pPr>
                  <w:r>
                    <w:rPr>
                      <w:rFonts w:hint="default" w:ascii="Times New Roman" w:hAnsi="Times New Roman" w:cs="Times New Roman"/>
                      <w:b/>
                      <w:bCs/>
                      <w:color w:val="auto"/>
                    </w:rPr>
                    <w:t>声级</w:t>
                  </w:r>
                </w:p>
              </w:tc>
              <w:tc>
                <w:tcPr>
                  <w:tcW w:w="625" w:type="dxa"/>
                  <w:vAlign w:val="center"/>
                </w:tcPr>
                <w:p>
                  <w:pPr>
                    <w:pStyle w:val="11"/>
                    <w:jc w:val="center"/>
                    <w:rPr>
                      <w:rFonts w:hint="default" w:ascii="Times New Roman" w:hAnsi="Times New Roman" w:cs="Times New Roman"/>
                      <w:b/>
                      <w:bCs/>
                      <w:color w:val="auto"/>
                      <w:kern w:val="2"/>
                    </w:rPr>
                  </w:pPr>
                  <w:r>
                    <w:rPr>
                      <w:rFonts w:hint="default" w:ascii="Times New Roman" w:hAnsi="Times New Roman" w:cs="Times New Roman"/>
                      <w:b/>
                      <w:bCs/>
                      <w:color w:val="auto"/>
                    </w:rPr>
                    <w:t>东</w:t>
                  </w:r>
                </w:p>
              </w:tc>
              <w:tc>
                <w:tcPr>
                  <w:tcW w:w="737" w:type="dxa"/>
                  <w:vAlign w:val="center"/>
                </w:tcPr>
                <w:p>
                  <w:pPr>
                    <w:pStyle w:val="11"/>
                    <w:jc w:val="center"/>
                    <w:rPr>
                      <w:rFonts w:hint="default" w:ascii="Times New Roman" w:hAnsi="Times New Roman" w:cs="Times New Roman"/>
                      <w:b/>
                      <w:bCs/>
                      <w:color w:val="auto"/>
                    </w:rPr>
                  </w:pPr>
                  <w:r>
                    <w:rPr>
                      <w:rFonts w:hint="default" w:ascii="Times New Roman" w:hAnsi="Times New Roman" w:cs="Times New Roman"/>
                      <w:b/>
                      <w:bCs/>
                      <w:color w:val="auto"/>
                    </w:rPr>
                    <w:t>声级</w:t>
                  </w:r>
                </w:p>
              </w:tc>
              <w:tc>
                <w:tcPr>
                  <w:tcW w:w="488" w:type="dxa"/>
                  <w:vAlign w:val="center"/>
                </w:tcPr>
                <w:p>
                  <w:pPr>
                    <w:pStyle w:val="11"/>
                    <w:jc w:val="center"/>
                    <w:rPr>
                      <w:rFonts w:hint="default" w:ascii="Times New Roman" w:hAnsi="Times New Roman" w:cs="Times New Roman"/>
                      <w:b/>
                      <w:bCs/>
                      <w:color w:val="auto"/>
                      <w:kern w:val="2"/>
                    </w:rPr>
                  </w:pPr>
                  <w:r>
                    <w:rPr>
                      <w:rFonts w:hint="default" w:ascii="Times New Roman" w:hAnsi="Times New Roman" w:cs="Times New Roman"/>
                      <w:b/>
                      <w:bCs/>
                      <w:color w:val="auto"/>
                    </w:rPr>
                    <w:t>南</w:t>
                  </w:r>
                </w:p>
              </w:tc>
              <w:tc>
                <w:tcPr>
                  <w:tcW w:w="701" w:type="dxa"/>
                  <w:vAlign w:val="center"/>
                </w:tcPr>
                <w:p>
                  <w:pPr>
                    <w:pStyle w:val="11"/>
                    <w:jc w:val="center"/>
                    <w:rPr>
                      <w:rFonts w:hint="default" w:ascii="Times New Roman" w:hAnsi="Times New Roman" w:cs="Times New Roman"/>
                      <w:b/>
                      <w:bCs/>
                      <w:color w:val="auto"/>
                    </w:rPr>
                  </w:pPr>
                  <w:r>
                    <w:rPr>
                      <w:rFonts w:hint="default" w:ascii="Times New Roman" w:hAnsi="Times New Roman" w:cs="Times New Roman"/>
                      <w:b/>
                      <w:bCs/>
                      <w:color w:val="auto"/>
                    </w:rPr>
                    <w:t>声级</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72"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碎料机</w:t>
                  </w:r>
                </w:p>
                <w:p>
                  <w:pPr>
                    <w:pStyle w:val="11"/>
                    <w:jc w:val="center"/>
                    <w:rPr>
                      <w:rFonts w:hint="default" w:ascii="Times New Roman" w:hAnsi="Times New Roman" w:cs="Times New Roman"/>
                      <w:color w:val="auto"/>
                    </w:rPr>
                  </w:pPr>
                  <w:r>
                    <w:rPr>
                      <w:rFonts w:hint="default" w:ascii="Times New Roman" w:hAnsi="Times New Roman" w:cs="Times New Roman"/>
                      <w:color w:val="auto"/>
                    </w:rPr>
                    <w:t>（湿式）</w:t>
                  </w:r>
                </w:p>
              </w:tc>
              <w:tc>
                <w:tcPr>
                  <w:tcW w:w="1141"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70</w:t>
                  </w:r>
                </w:p>
              </w:tc>
              <w:tc>
                <w:tcPr>
                  <w:tcW w:w="700" w:type="dxa"/>
                  <w:vAlign w:val="center"/>
                </w:tcPr>
                <w:p>
                  <w:pPr>
                    <w:pStyle w:val="11"/>
                    <w:jc w:val="center"/>
                    <w:rPr>
                      <w:rFonts w:hint="default" w:ascii="Times New Roman" w:hAnsi="Times New Roman" w:eastAsia="宋体" w:cs="Times New Roman"/>
                      <w:color w:val="auto"/>
                      <w:lang w:eastAsia="zh-CN"/>
                    </w:rPr>
                  </w:pPr>
                  <w:r>
                    <w:rPr>
                      <w:rFonts w:hint="default" w:ascii="Times New Roman" w:hAnsi="Times New Roman" w:cs="Times New Roman"/>
                      <w:color w:val="auto"/>
                      <w:lang w:val="en-US" w:eastAsia="zh-CN"/>
                    </w:rPr>
                    <w:t>2</w:t>
                  </w:r>
                </w:p>
              </w:tc>
              <w:tc>
                <w:tcPr>
                  <w:tcW w:w="1137" w:type="dxa"/>
                  <w:vAlign w:val="center"/>
                </w:tcPr>
                <w:p>
                  <w:pPr>
                    <w:pStyle w:val="11"/>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rPr>
                    <w:t>7</w:t>
                  </w:r>
                  <w:r>
                    <w:rPr>
                      <w:rFonts w:hint="default" w:ascii="Times New Roman" w:hAnsi="Times New Roman" w:cs="Times New Roman"/>
                      <w:color w:val="auto"/>
                      <w:lang w:val="en-US" w:eastAsia="zh-CN"/>
                    </w:rPr>
                    <w:t>3.0</w:t>
                  </w:r>
                </w:p>
              </w:tc>
              <w:tc>
                <w:tcPr>
                  <w:tcW w:w="675" w:type="dxa"/>
                  <w:vAlign w:val="center"/>
                </w:tcPr>
                <w:p>
                  <w:pPr>
                    <w:pStyle w:val="11"/>
                    <w:jc w:val="center"/>
                    <w:rPr>
                      <w:rFonts w:hint="default" w:ascii="Times New Roman" w:hAnsi="Times New Roman" w:eastAsia="宋体" w:cs="Times New Roman"/>
                      <w:color w:val="auto"/>
                      <w:lang w:val="en-US" w:eastAsia="zh-CN"/>
                    </w:rPr>
                  </w:pPr>
                  <w:r>
                    <w:rPr>
                      <w:rFonts w:hint="eastAsia" w:cs="Times New Roman"/>
                      <w:color w:val="auto"/>
                      <w:lang w:val="en-US" w:eastAsia="zh-CN"/>
                    </w:rPr>
                    <w:t>50</w:t>
                  </w:r>
                </w:p>
              </w:tc>
              <w:tc>
                <w:tcPr>
                  <w:tcW w:w="725" w:type="dxa"/>
                  <w:vAlign w:val="center"/>
                </w:tcPr>
                <w:p>
                  <w:pPr>
                    <w:pStyle w:val="11"/>
                    <w:jc w:val="center"/>
                    <w:rPr>
                      <w:rFonts w:hint="default" w:ascii="Times New Roman" w:hAnsi="Times New Roman" w:eastAsia="宋体" w:cs="Times New Roman"/>
                      <w:b/>
                      <w:bCs/>
                      <w:color w:val="auto"/>
                      <w:lang w:val="en-US" w:eastAsia="zh-CN"/>
                    </w:rPr>
                  </w:pPr>
                  <w:r>
                    <w:rPr>
                      <w:rFonts w:hint="eastAsia" w:cs="Times New Roman"/>
                      <w:b/>
                      <w:bCs/>
                      <w:color w:val="auto"/>
                      <w:lang w:val="en-US" w:eastAsia="zh-CN"/>
                    </w:rPr>
                    <w:t>39.0</w:t>
                  </w:r>
                </w:p>
              </w:tc>
              <w:tc>
                <w:tcPr>
                  <w:tcW w:w="538" w:type="dxa"/>
                  <w:vAlign w:val="center"/>
                </w:tcPr>
                <w:p>
                  <w:pPr>
                    <w:pStyle w:val="11"/>
                    <w:jc w:val="center"/>
                    <w:rPr>
                      <w:rFonts w:hint="default" w:ascii="Times New Roman" w:hAnsi="Times New Roman" w:eastAsia="宋体" w:cs="Times New Roman"/>
                      <w:color w:val="auto"/>
                      <w:kern w:val="2"/>
                      <w:lang w:val="en-US" w:eastAsia="zh-CN"/>
                    </w:rPr>
                  </w:pPr>
                  <w:r>
                    <w:rPr>
                      <w:rFonts w:hint="eastAsia" w:cs="Times New Roman"/>
                      <w:color w:val="auto"/>
                      <w:kern w:val="2"/>
                      <w:lang w:val="en-US" w:eastAsia="zh-CN"/>
                    </w:rPr>
                    <w:t>40</w:t>
                  </w:r>
                </w:p>
              </w:tc>
              <w:tc>
                <w:tcPr>
                  <w:tcW w:w="675" w:type="dxa"/>
                  <w:vAlign w:val="center"/>
                </w:tcPr>
                <w:p>
                  <w:pPr>
                    <w:pStyle w:val="11"/>
                    <w:jc w:val="center"/>
                    <w:rPr>
                      <w:rFonts w:hint="default" w:ascii="Times New Roman" w:hAnsi="Times New Roman" w:eastAsia="宋体" w:cs="Times New Roman"/>
                      <w:b/>
                      <w:bCs/>
                      <w:color w:val="auto"/>
                      <w:lang w:val="en-US" w:eastAsia="zh-CN"/>
                    </w:rPr>
                  </w:pPr>
                  <w:r>
                    <w:rPr>
                      <w:rFonts w:hint="eastAsia" w:cs="Times New Roman"/>
                      <w:b/>
                      <w:bCs/>
                      <w:color w:val="auto"/>
                      <w:lang w:val="en-US" w:eastAsia="zh-CN"/>
                    </w:rPr>
                    <w:t>41.0</w:t>
                  </w:r>
                </w:p>
              </w:tc>
              <w:tc>
                <w:tcPr>
                  <w:tcW w:w="625" w:type="dxa"/>
                  <w:vAlign w:val="center"/>
                </w:tcPr>
                <w:p>
                  <w:pPr>
                    <w:pStyle w:val="11"/>
                    <w:jc w:val="center"/>
                    <w:rPr>
                      <w:rFonts w:hint="default" w:ascii="Times New Roman" w:hAnsi="Times New Roman" w:eastAsia="宋体" w:cs="Times New Roman"/>
                      <w:color w:val="auto"/>
                      <w:lang w:val="en-US" w:eastAsia="zh-CN"/>
                    </w:rPr>
                  </w:pPr>
                  <w:r>
                    <w:rPr>
                      <w:rFonts w:hint="eastAsia" w:cs="Times New Roman"/>
                      <w:color w:val="auto"/>
                      <w:lang w:val="en-US" w:eastAsia="zh-CN"/>
                    </w:rPr>
                    <w:t>25</w:t>
                  </w:r>
                </w:p>
              </w:tc>
              <w:tc>
                <w:tcPr>
                  <w:tcW w:w="737" w:type="dxa"/>
                  <w:vAlign w:val="center"/>
                </w:tcPr>
                <w:p>
                  <w:pPr>
                    <w:pStyle w:val="11"/>
                    <w:jc w:val="center"/>
                    <w:rPr>
                      <w:rFonts w:hint="default" w:ascii="Times New Roman" w:hAnsi="Times New Roman" w:eastAsia="宋体" w:cs="Times New Roman"/>
                      <w:b/>
                      <w:bCs/>
                      <w:color w:val="auto"/>
                      <w:lang w:val="en-US" w:eastAsia="zh-CN"/>
                    </w:rPr>
                  </w:pPr>
                  <w:r>
                    <w:rPr>
                      <w:rFonts w:hint="eastAsia" w:cs="Times New Roman"/>
                      <w:b/>
                      <w:bCs/>
                      <w:color w:val="auto"/>
                      <w:lang w:val="en-US" w:eastAsia="zh-CN"/>
                    </w:rPr>
                    <w:t>45.0</w:t>
                  </w:r>
                </w:p>
              </w:tc>
              <w:tc>
                <w:tcPr>
                  <w:tcW w:w="488" w:type="dxa"/>
                  <w:vAlign w:val="center"/>
                </w:tcPr>
                <w:p>
                  <w:pPr>
                    <w:pStyle w:val="11"/>
                    <w:jc w:val="center"/>
                    <w:rPr>
                      <w:rFonts w:hint="default" w:ascii="Times New Roman" w:hAnsi="Times New Roman" w:eastAsia="宋体" w:cs="Times New Roman"/>
                      <w:color w:val="auto"/>
                      <w:kern w:val="2"/>
                      <w:lang w:val="en-US" w:eastAsia="zh-CN"/>
                    </w:rPr>
                  </w:pPr>
                  <w:r>
                    <w:rPr>
                      <w:rFonts w:hint="eastAsia" w:cs="Times New Roman"/>
                      <w:color w:val="auto"/>
                      <w:kern w:val="2"/>
                      <w:lang w:val="en-US" w:eastAsia="zh-CN"/>
                    </w:rPr>
                    <w:t>20</w:t>
                  </w:r>
                </w:p>
              </w:tc>
              <w:tc>
                <w:tcPr>
                  <w:tcW w:w="701" w:type="dxa"/>
                  <w:vAlign w:val="center"/>
                </w:tcPr>
                <w:p>
                  <w:pPr>
                    <w:pStyle w:val="11"/>
                    <w:jc w:val="center"/>
                    <w:rPr>
                      <w:rFonts w:hint="default" w:ascii="Times New Roman" w:hAnsi="Times New Roman" w:eastAsia="宋体" w:cs="Times New Roman"/>
                      <w:b/>
                      <w:bCs/>
                      <w:color w:val="auto"/>
                      <w:lang w:val="en-US" w:eastAsia="zh-CN"/>
                    </w:rPr>
                  </w:pPr>
                  <w:r>
                    <w:rPr>
                      <w:rFonts w:hint="eastAsia" w:cs="Times New Roman"/>
                      <w:b/>
                      <w:bCs/>
                      <w:color w:val="auto"/>
                      <w:lang w:val="en-US" w:eastAsia="zh-CN"/>
                    </w:rPr>
                    <w:t>47.0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72"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滚筒机</w:t>
                  </w:r>
                </w:p>
              </w:tc>
              <w:tc>
                <w:tcPr>
                  <w:tcW w:w="1141"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65</w:t>
                  </w:r>
                </w:p>
              </w:tc>
              <w:tc>
                <w:tcPr>
                  <w:tcW w:w="700"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5</w:t>
                  </w:r>
                </w:p>
              </w:tc>
              <w:tc>
                <w:tcPr>
                  <w:tcW w:w="1137" w:type="dxa"/>
                  <w:vAlign w:val="center"/>
                </w:tcPr>
                <w:p>
                  <w:pPr>
                    <w:pStyle w:val="11"/>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rPr>
                    <w:t>7</w:t>
                  </w:r>
                  <w:r>
                    <w:rPr>
                      <w:rFonts w:hint="default" w:ascii="Times New Roman" w:hAnsi="Times New Roman" w:cs="Times New Roman"/>
                      <w:color w:val="auto"/>
                      <w:lang w:val="en-US" w:eastAsia="zh-CN"/>
                    </w:rPr>
                    <w:t>2.0</w:t>
                  </w:r>
                </w:p>
              </w:tc>
              <w:tc>
                <w:tcPr>
                  <w:tcW w:w="675" w:type="dxa"/>
                  <w:vAlign w:val="center"/>
                </w:tcPr>
                <w:p>
                  <w:pPr>
                    <w:pStyle w:val="11"/>
                    <w:jc w:val="center"/>
                    <w:rPr>
                      <w:rFonts w:hint="default" w:ascii="Times New Roman" w:hAnsi="Times New Roman" w:eastAsia="宋体" w:cs="Times New Roman"/>
                      <w:color w:val="auto"/>
                      <w:sz w:val="21"/>
                      <w:szCs w:val="21"/>
                      <w:lang w:val="en-US" w:eastAsia="zh-CN" w:bidi="ar-SA"/>
                    </w:rPr>
                  </w:pPr>
                  <w:r>
                    <w:rPr>
                      <w:rFonts w:hint="eastAsia" w:cs="Times New Roman"/>
                      <w:color w:val="auto"/>
                      <w:lang w:val="en-US" w:eastAsia="zh-CN"/>
                    </w:rPr>
                    <w:t>53</w:t>
                  </w:r>
                </w:p>
              </w:tc>
              <w:tc>
                <w:tcPr>
                  <w:tcW w:w="725" w:type="dxa"/>
                  <w:vAlign w:val="center"/>
                </w:tcPr>
                <w:p>
                  <w:pPr>
                    <w:pStyle w:val="11"/>
                    <w:jc w:val="center"/>
                    <w:rPr>
                      <w:rFonts w:hint="default" w:ascii="Times New Roman" w:hAnsi="Times New Roman" w:eastAsia="宋体" w:cs="Times New Roman"/>
                      <w:b/>
                      <w:bCs/>
                      <w:color w:val="auto"/>
                      <w:sz w:val="21"/>
                      <w:szCs w:val="21"/>
                      <w:lang w:val="en-US" w:eastAsia="zh-CN" w:bidi="ar-SA"/>
                    </w:rPr>
                  </w:pPr>
                  <w:r>
                    <w:rPr>
                      <w:rFonts w:hint="eastAsia" w:cs="Times New Roman"/>
                      <w:b/>
                      <w:bCs/>
                      <w:color w:val="auto"/>
                      <w:sz w:val="21"/>
                      <w:szCs w:val="21"/>
                      <w:lang w:val="en-US" w:eastAsia="zh-CN" w:bidi="ar-SA"/>
                    </w:rPr>
                    <w:t>37.5</w:t>
                  </w:r>
                </w:p>
              </w:tc>
              <w:tc>
                <w:tcPr>
                  <w:tcW w:w="538" w:type="dxa"/>
                  <w:vAlign w:val="center"/>
                </w:tcPr>
                <w:p>
                  <w:pPr>
                    <w:pStyle w:val="11"/>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lang w:val="en-US" w:eastAsia="zh-CN"/>
                    </w:rPr>
                    <w:t>40</w:t>
                  </w:r>
                </w:p>
              </w:tc>
              <w:tc>
                <w:tcPr>
                  <w:tcW w:w="675" w:type="dxa"/>
                  <w:vAlign w:val="center"/>
                </w:tcPr>
                <w:p>
                  <w:pPr>
                    <w:pStyle w:val="11"/>
                    <w:jc w:val="center"/>
                    <w:rPr>
                      <w:rFonts w:hint="default" w:ascii="Times New Roman" w:hAnsi="Times New Roman" w:eastAsia="宋体" w:cs="Times New Roman"/>
                      <w:b/>
                      <w:bCs/>
                      <w:color w:val="auto"/>
                      <w:sz w:val="21"/>
                      <w:szCs w:val="21"/>
                      <w:lang w:val="en-US" w:eastAsia="zh-CN" w:bidi="ar-SA"/>
                    </w:rPr>
                  </w:pPr>
                  <w:r>
                    <w:rPr>
                      <w:rFonts w:hint="eastAsia" w:cs="Times New Roman"/>
                      <w:b/>
                      <w:bCs/>
                      <w:color w:val="auto"/>
                      <w:sz w:val="21"/>
                      <w:szCs w:val="21"/>
                      <w:lang w:val="en-US" w:eastAsia="zh-CN" w:bidi="ar-SA"/>
                    </w:rPr>
                    <w:t>40.0</w:t>
                  </w:r>
                </w:p>
              </w:tc>
              <w:tc>
                <w:tcPr>
                  <w:tcW w:w="625" w:type="dxa"/>
                  <w:vAlign w:val="center"/>
                </w:tcPr>
                <w:p>
                  <w:pPr>
                    <w:pStyle w:val="11"/>
                    <w:jc w:val="center"/>
                    <w:rPr>
                      <w:rFonts w:hint="default" w:ascii="Times New Roman" w:hAnsi="Times New Roman" w:eastAsia="宋体" w:cs="Times New Roman"/>
                      <w:color w:val="auto"/>
                      <w:sz w:val="21"/>
                      <w:szCs w:val="21"/>
                      <w:lang w:val="en-US" w:eastAsia="zh-CN" w:bidi="ar-SA"/>
                    </w:rPr>
                  </w:pPr>
                  <w:r>
                    <w:rPr>
                      <w:rFonts w:hint="eastAsia" w:cs="Times New Roman"/>
                      <w:color w:val="auto"/>
                      <w:lang w:val="en-US" w:eastAsia="zh-CN"/>
                    </w:rPr>
                    <w:t>22</w:t>
                  </w:r>
                </w:p>
              </w:tc>
              <w:tc>
                <w:tcPr>
                  <w:tcW w:w="737" w:type="dxa"/>
                  <w:vAlign w:val="center"/>
                </w:tcPr>
                <w:p>
                  <w:pPr>
                    <w:pStyle w:val="11"/>
                    <w:jc w:val="center"/>
                    <w:rPr>
                      <w:rFonts w:hint="default" w:ascii="Times New Roman" w:hAnsi="Times New Roman" w:eastAsia="宋体" w:cs="Times New Roman"/>
                      <w:b/>
                      <w:bCs/>
                      <w:color w:val="auto"/>
                      <w:sz w:val="21"/>
                      <w:szCs w:val="21"/>
                      <w:lang w:val="en-US" w:eastAsia="zh-CN" w:bidi="ar-SA"/>
                    </w:rPr>
                  </w:pPr>
                  <w:r>
                    <w:rPr>
                      <w:rFonts w:hint="eastAsia" w:cs="Times New Roman"/>
                      <w:b/>
                      <w:bCs/>
                      <w:color w:val="auto"/>
                      <w:sz w:val="21"/>
                      <w:szCs w:val="21"/>
                      <w:lang w:val="en-US" w:eastAsia="zh-CN" w:bidi="ar-SA"/>
                    </w:rPr>
                    <w:t>45.2</w:t>
                  </w:r>
                </w:p>
              </w:tc>
              <w:tc>
                <w:tcPr>
                  <w:tcW w:w="488" w:type="dxa"/>
                  <w:vAlign w:val="center"/>
                </w:tcPr>
                <w:p>
                  <w:pPr>
                    <w:pStyle w:val="11"/>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lang w:val="en-US" w:eastAsia="zh-CN"/>
                    </w:rPr>
                    <w:t>20</w:t>
                  </w:r>
                </w:p>
              </w:tc>
              <w:tc>
                <w:tcPr>
                  <w:tcW w:w="701" w:type="dxa"/>
                  <w:vAlign w:val="center"/>
                </w:tcPr>
                <w:p>
                  <w:pPr>
                    <w:pStyle w:val="11"/>
                    <w:jc w:val="center"/>
                    <w:rPr>
                      <w:rFonts w:hint="default" w:ascii="Times New Roman" w:hAnsi="Times New Roman" w:eastAsia="宋体" w:cs="Times New Roman"/>
                      <w:b/>
                      <w:bCs/>
                      <w:color w:val="auto"/>
                      <w:lang w:val="en-US" w:eastAsia="zh-CN"/>
                    </w:rPr>
                  </w:pPr>
                  <w:r>
                    <w:rPr>
                      <w:rFonts w:hint="eastAsia" w:cs="Times New Roman"/>
                      <w:b/>
                      <w:bCs/>
                      <w:color w:val="auto"/>
                      <w:lang w:val="en-US" w:eastAsia="zh-CN"/>
                    </w:rPr>
                    <w:t>46.0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72"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提料机</w:t>
                  </w:r>
                </w:p>
              </w:tc>
              <w:tc>
                <w:tcPr>
                  <w:tcW w:w="1141"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65</w:t>
                  </w:r>
                </w:p>
              </w:tc>
              <w:tc>
                <w:tcPr>
                  <w:tcW w:w="700"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2</w:t>
                  </w:r>
                </w:p>
              </w:tc>
              <w:tc>
                <w:tcPr>
                  <w:tcW w:w="1137" w:type="dxa"/>
                  <w:vAlign w:val="center"/>
                </w:tcPr>
                <w:p>
                  <w:pPr>
                    <w:pStyle w:val="11"/>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lang w:val="en-US" w:eastAsia="zh-CN"/>
                    </w:rPr>
                    <w:t>68.0</w:t>
                  </w:r>
                </w:p>
              </w:tc>
              <w:tc>
                <w:tcPr>
                  <w:tcW w:w="675" w:type="dxa"/>
                  <w:vAlign w:val="center"/>
                </w:tcPr>
                <w:p>
                  <w:pPr>
                    <w:pStyle w:val="11"/>
                    <w:jc w:val="center"/>
                    <w:rPr>
                      <w:rFonts w:hint="default" w:ascii="Times New Roman" w:hAnsi="Times New Roman" w:eastAsia="宋体" w:cs="Times New Roman"/>
                      <w:color w:val="auto"/>
                      <w:lang w:val="en-US" w:eastAsia="zh-CN"/>
                    </w:rPr>
                  </w:pPr>
                  <w:r>
                    <w:rPr>
                      <w:rFonts w:hint="eastAsia" w:cs="Times New Roman"/>
                      <w:color w:val="auto"/>
                      <w:lang w:val="en-US" w:eastAsia="zh-CN"/>
                    </w:rPr>
                    <w:t>48</w:t>
                  </w:r>
                </w:p>
              </w:tc>
              <w:tc>
                <w:tcPr>
                  <w:tcW w:w="725" w:type="dxa"/>
                  <w:vAlign w:val="center"/>
                </w:tcPr>
                <w:p>
                  <w:pPr>
                    <w:pStyle w:val="11"/>
                    <w:jc w:val="center"/>
                    <w:rPr>
                      <w:rFonts w:hint="default" w:ascii="Times New Roman" w:hAnsi="Times New Roman" w:eastAsia="宋体" w:cs="Times New Roman"/>
                      <w:b/>
                      <w:bCs/>
                      <w:color w:val="auto"/>
                      <w:lang w:val="en-US" w:eastAsia="zh-CN"/>
                    </w:rPr>
                  </w:pPr>
                  <w:r>
                    <w:rPr>
                      <w:rFonts w:hint="eastAsia" w:cs="Times New Roman"/>
                      <w:b/>
                      <w:bCs/>
                      <w:color w:val="auto"/>
                      <w:lang w:val="en-US" w:eastAsia="zh-CN"/>
                    </w:rPr>
                    <w:t>34.3</w:t>
                  </w:r>
                </w:p>
              </w:tc>
              <w:tc>
                <w:tcPr>
                  <w:tcW w:w="538" w:type="dxa"/>
                  <w:vAlign w:val="center"/>
                </w:tcPr>
                <w:p>
                  <w:pPr>
                    <w:pStyle w:val="11"/>
                    <w:jc w:val="center"/>
                    <w:rPr>
                      <w:rFonts w:hint="default" w:ascii="Times New Roman" w:hAnsi="Times New Roman" w:eastAsia="宋体" w:cs="Times New Roman"/>
                      <w:color w:val="auto"/>
                      <w:kern w:val="2"/>
                      <w:lang w:val="en-US" w:eastAsia="zh-CN"/>
                    </w:rPr>
                  </w:pPr>
                  <w:r>
                    <w:rPr>
                      <w:rFonts w:hint="eastAsia" w:cs="Times New Roman"/>
                      <w:color w:val="auto"/>
                      <w:kern w:val="2"/>
                      <w:lang w:val="en-US" w:eastAsia="zh-CN"/>
                    </w:rPr>
                    <w:t>40</w:t>
                  </w:r>
                </w:p>
              </w:tc>
              <w:tc>
                <w:tcPr>
                  <w:tcW w:w="675" w:type="dxa"/>
                  <w:vAlign w:val="center"/>
                </w:tcPr>
                <w:p>
                  <w:pPr>
                    <w:pStyle w:val="11"/>
                    <w:jc w:val="center"/>
                    <w:rPr>
                      <w:rFonts w:hint="default" w:ascii="Times New Roman" w:hAnsi="Times New Roman" w:eastAsia="宋体" w:cs="Times New Roman"/>
                      <w:b/>
                      <w:bCs/>
                      <w:color w:val="auto"/>
                      <w:lang w:val="en-US" w:eastAsia="zh-CN"/>
                    </w:rPr>
                  </w:pPr>
                  <w:r>
                    <w:rPr>
                      <w:rFonts w:hint="eastAsia" w:cs="Times New Roman"/>
                      <w:b/>
                      <w:bCs/>
                      <w:color w:val="auto"/>
                      <w:lang w:val="en-US" w:eastAsia="zh-CN"/>
                    </w:rPr>
                    <w:t>36.0</w:t>
                  </w:r>
                </w:p>
              </w:tc>
              <w:tc>
                <w:tcPr>
                  <w:tcW w:w="625" w:type="dxa"/>
                  <w:vAlign w:val="center"/>
                </w:tcPr>
                <w:p>
                  <w:pPr>
                    <w:pStyle w:val="11"/>
                    <w:jc w:val="center"/>
                    <w:rPr>
                      <w:rFonts w:hint="default" w:ascii="Times New Roman" w:hAnsi="Times New Roman" w:eastAsia="宋体" w:cs="Times New Roman"/>
                      <w:color w:val="auto"/>
                      <w:lang w:val="en-US" w:eastAsia="zh-CN"/>
                    </w:rPr>
                  </w:pPr>
                  <w:r>
                    <w:rPr>
                      <w:rFonts w:hint="eastAsia" w:cs="Times New Roman"/>
                      <w:color w:val="auto"/>
                      <w:lang w:val="en-US" w:eastAsia="zh-CN"/>
                    </w:rPr>
                    <w:t>27</w:t>
                  </w:r>
                </w:p>
              </w:tc>
              <w:tc>
                <w:tcPr>
                  <w:tcW w:w="737" w:type="dxa"/>
                  <w:vAlign w:val="center"/>
                </w:tcPr>
                <w:p>
                  <w:pPr>
                    <w:pStyle w:val="11"/>
                    <w:jc w:val="center"/>
                    <w:rPr>
                      <w:rFonts w:hint="default" w:ascii="Times New Roman" w:hAnsi="Times New Roman" w:eastAsia="宋体" w:cs="Times New Roman"/>
                      <w:b/>
                      <w:bCs/>
                      <w:color w:val="auto"/>
                      <w:lang w:val="en-US" w:eastAsia="zh-CN"/>
                    </w:rPr>
                  </w:pPr>
                  <w:r>
                    <w:rPr>
                      <w:rFonts w:hint="eastAsia" w:cs="Times New Roman"/>
                      <w:b/>
                      <w:bCs/>
                      <w:color w:val="auto"/>
                      <w:lang w:val="en-US" w:eastAsia="zh-CN"/>
                    </w:rPr>
                    <w:t>39.4</w:t>
                  </w:r>
                </w:p>
              </w:tc>
              <w:tc>
                <w:tcPr>
                  <w:tcW w:w="488" w:type="dxa"/>
                  <w:vAlign w:val="center"/>
                </w:tcPr>
                <w:p>
                  <w:pPr>
                    <w:pStyle w:val="11"/>
                    <w:jc w:val="center"/>
                    <w:rPr>
                      <w:rFonts w:hint="default" w:ascii="Times New Roman" w:hAnsi="Times New Roman" w:eastAsia="宋体" w:cs="Times New Roman"/>
                      <w:color w:val="auto"/>
                      <w:kern w:val="2"/>
                      <w:lang w:val="en-US" w:eastAsia="zh-CN"/>
                    </w:rPr>
                  </w:pPr>
                  <w:r>
                    <w:rPr>
                      <w:rFonts w:hint="eastAsia" w:cs="Times New Roman"/>
                      <w:color w:val="auto"/>
                      <w:kern w:val="2"/>
                      <w:lang w:val="en-US" w:eastAsia="zh-CN"/>
                    </w:rPr>
                    <w:t>20</w:t>
                  </w:r>
                </w:p>
              </w:tc>
              <w:tc>
                <w:tcPr>
                  <w:tcW w:w="701" w:type="dxa"/>
                  <w:vAlign w:val="center"/>
                </w:tcPr>
                <w:p>
                  <w:pPr>
                    <w:pStyle w:val="11"/>
                    <w:jc w:val="center"/>
                    <w:rPr>
                      <w:rFonts w:hint="default" w:ascii="Times New Roman" w:hAnsi="Times New Roman" w:eastAsia="宋体" w:cs="Times New Roman"/>
                      <w:b/>
                      <w:bCs/>
                      <w:color w:val="auto"/>
                      <w:lang w:val="en-US" w:eastAsia="zh-CN"/>
                    </w:rPr>
                  </w:pPr>
                  <w:r>
                    <w:rPr>
                      <w:rFonts w:hint="eastAsia" w:cs="Times New Roman"/>
                      <w:b/>
                      <w:bCs/>
                      <w:color w:val="auto"/>
                      <w:lang w:val="en-US" w:eastAsia="zh-CN"/>
                    </w:rPr>
                    <w:t>42.0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72"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熔融</w:t>
                  </w:r>
                </w:p>
                <w:p>
                  <w:pPr>
                    <w:pStyle w:val="11"/>
                    <w:jc w:val="center"/>
                    <w:rPr>
                      <w:rFonts w:hint="default" w:ascii="Times New Roman" w:hAnsi="Times New Roman" w:cs="Times New Roman"/>
                      <w:color w:val="auto"/>
                    </w:rPr>
                  </w:pPr>
                  <w:r>
                    <w:rPr>
                      <w:rFonts w:hint="default" w:ascii="Times New Roman" w:hAnsi="Times New Roman" w:cs="Times New Roman"/>
                      <w:color w:val="auto"/>
                    </w:rPr>
                    <w:t>造粒机</w:t>
                  </w:r>
                </w:p>
              </w:tc>
              <w:tc>
                <w:tcPr>
                  <w:tcW w:w="1141"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65</w:t>
                  </w:r>
                </w:p>
              </w:tc>
              <w:tc>
                <w:tcPr>
                  <w:tcW w:w="700"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2</w:t>
                  </w:r>
                </w:p>
              </w:tc>
              <w:tc>
                <w:tcPr>
                  <w:tcW w:w="1137" w:type="dxa"/>
                  <w:vAlign w:val="center"/>
                </w:tcPr>
                <w:p>
                  <w:pPr>
                    <w:pStyle w:val="11"/>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lang w:val="en-US" w:eastAsia="zh-CN"/>
                    </w:rPr>
                    <w:t>68.0</w:t>
                  </w:r>
                </w:p>
              </w:tc>
              <w:tc>
                <w:tcPr>
                  <w:tcW w:w="675" w:type="dxa"/>
                  <w:vAlign w:val="center"/>
                </w:tcPr>
                <w:p>
                  <w:pPr>
                    <w:pStyle w:val="11"/>
                    <w:jc w:val="center"/>
                    <w:rPr>
                      <w:rFonts w:hint="default" w:ascii="Times New Roman" w:hAnsi="Times New Roman" w:eastAsia="宋体" w:cs="Times New Roman"/>
                      <w:color w:val="auto"/>
                      <w:lang w:val="en-US" w:eastAsia="zh-CN"/>
                    </w:rPr>
                  </w:pPr>
                  <w:r>
                    <w:rPr>
                      <w:rFonts w:hint="eastAsia" w:cs="Times New Roman"/>
                      <w:color w:val="auto"/>
                      <w:lang w:val="en-US" w:eastAsia="zh-CN"/>
                    </w:rPr>
                    <w:t>38</w:t>
                  </w:r>
                </w:p>
              </w:tc>
              <w:tc>
                <w:tcPr>
                  <w:tcW w:w="725" w:type="dxa"/>
                  <w:vAlign w:val="center"/>
                </w:tcPr>
                <w:p>
                  <w:pPr>
                    <w:pStyle w:val="11"/>
                    <w:jc w:val="center"/>
                    <w:rPr>
                      <w:rFonts w:hint="default" w:ascii="Times New Roman" w:hAnsi="Times New Roman" w:eastAsia="宋体" w:cs="Times New Roman"/>
                      <w:b/>
                      <w:bCs/>
                      <w:color w:val="auto"/>
                      <w:lang w:val="en-US" w:eastAsia="zh-CN"/>
                    </w:rPr>
                  </w:pPr>
                  <w:r>
                    <w:rPr>
                      <w:rFonts w:hint="eastAsia" w:cs="Times New Roman"/>
                      <w:b/>
                      <w:bCs/>
                      <w:color w:val="auto"/>
                      <w:lang w:val="en-US" w:eastAsia="zh-CN"/>
                    </w:rPr>
                    <w:t>36.4</w:t>
                  </w:r>
                </w:p>
              </w:tc>
              <w:tc>
                <w:tcPr>
                  <w:tcW w:w="538" w:type="dxa"/>
                  <w:vAlign w:val="center"/>
                </w:tcPr>
                <w:p>
                  <w:pPr>
                    <w:pStyle w:val="11"/>
                    <w:jc w:val="center"/>
                    <w:rPr>
                      <w:rFonts w:hint="default" w:ascii="Times New Roman" w:hAnsi="Times New Roman" w:eastAsia="宋体" w:cs="Times New Roman"/>
                      <w:color w:val="auto"/>
                      <w:kern w:val="2"/>
                      <w:lang w:val="en-US" w:eastAsia="zh-CN"/>
                    </w:rPr>
                  </w:pPr>
                  <w:r>
                    <w:rPr>
                      <w:rFonts w:hint="eastAsia" w:cs="Times New Roman"/>
                      <w:color w:val="auto"/>
                      <w:kern w:val="2"/>
                      <w:lang w:val="en-US" w:eastAsia="zh-CN"/>
                    </w:rPr>
                    <w:t>30</w:t>
                  </w:r>
                </w:p>
              </w:tc>
              <w:tc>
                <w:tcPr>
                  <w:tcW w:w="675" w:type="dxa"/>
                  <w:vAlign w:val="center"/>
                </w:tcPr>
                <w:p>
                  <w:pPr>
                    <w:pStyle w:val="11"/>
                    <w:jc w:val="center"/>
                    <w:rPr>
                      <w:rFonts w:hint="default" w:ascii="Times New Roman" w:hAnsi="Times New Roman" w:eastAsia="宋体" w:cs="Times New Roman"/>
                      <w:b/>
                      <w:bCs/>
                      <w:color w:val="auto"/>
                      <w:lang w:val="en-US" w:eastAsia="zh-CN"/>
                    </w:rPr>
                  </w:pPr>
                  <w:r>
                    <w:rPr>
                      <w:rFonts w:hint="eastAsia" w:cs="Times New Roman"/>
                      <w:b/>
                      <w:bCs/>
                      <w:color w:val="auto"/>
                      <w:lang w:val="en-US" w:eastAsia="zh-CN"/>
                    </w:rPr>
                    <w:t>38.5</w:t>
                  </w:r>
                </w:p>
              </w:tc>
              <w:tc>
                <w:tcPr>
                  <w:tcW w:w="625" w:type="dxa"/>
                  <w:vAlign w:val="center"/>
                </w:tcPr>
                <w:p>
                  <w:pPr>
                    <w:pStyle w:val="11"/>
                    <w:jc w:val="center"/>
                    <w:rPr>
                      <w:rFonts w:hint="default" w:ascii="Times New Roman" w:hAnsi="Times New Roman" w:eastAsia="宋体" w:cs="Times New Roman"/>
                      <w:color w:val="auto"/>
                      <w:lang w:val="en-US" w:eastAsia="zh-CN"/>
                    </w:rPr>
                  </w:pPr>
                  <w:r>
                    <w:rPr>
                      <w:rFonts w:hint="eastAsia" w:cs="Times New Roman"/>
                      <w:color w:val="auto"/>
                      <w:lang w:val="en-US" w:eastAsia="zh-CN"/>
                    </w:rPr>
                    <w:t>37</w:t>
                  </w:r>
                </w:p>
              </w:tc>
              <w:tc>
                <w:tcPr>
                  <w:tcW w:w="737" w:type="dxa"/>
                  <w:vAlign w:val="center"/>
                </w:tcPr>
                <w:p>
                  <w:pPr>
                    <w:pStyle w:val="11"/>
                    <w:jc w:val="center"/>
                    <w:rPr>
                      <w:rFonts w:hint="default" w:ascii="Times New Roman" w:hAnsi="Times New Roman" w:cs="Times New Roman"/>
                      <w:b/>
                      <w:bCs/>
                      <w:color w:val="auto"/>
                    </w:rPr>
                  </w:pPr>
                  <w:r>
                    <w:rPr>
                      <w:rFonts w:hint="eastAsia" w:cs="Times New Roman"/>
                      <w:b/>
                      <w:bCs/>
                      <w:color w:val="auto"/>
                      <w:lang w:val="en-US" w:eastAsia="zh-CN"/>
                    </w:rPr>
                    <w:t>36.6</w:t>
                  </w:r>
                </w:p>
              </w:tc>
              <w:tc>
                <w:tcPr>
                  <w:tcW w:w="488" w:type="dxa"/>
                  <w:vAlign w:val="center"/>
                </w:tcPr>
                <w:p>
                  <w:pPr>
                    <w:pStyle w:val="11"/>
                    <w:jc w:val="center"/>
                    <w:rPr>
                      <w:rFonts w:hint="default" w:ascii="Times New Roman" w:hAnsi="Times New Roman" w:eastAsia="宋体" w:cs="Times New Roman"/>
                      <w:color w:val="auto"/>
                      <w:kern w:val="2"/>
                      <w:lang w:val="en-US" w:eastAsia="zh-CN"/>
                    </w:rPr>
                  </w:pPr>
                  <w:r>
                    <w:rPr>
                      <w:rFonts w:hint="eastAsia" w:cs="Times New Roman"/>
                      <w:color w:val="auto"/>
                      <w:kern w:val="2"/>
                      <w:lang w:val="en-US" w:eastAsia="zh-CN"/>
                    </w:rPr>
                    <w:t>30</w:t>
                  </w:r>
                </w:p>
              </w:tc>
              <w:tc>
                <w:tcPr>
                  <w:tcW w:w="701" w:type="dxa"/>
                  <w:vAlign w:val="center"/>
                </w:tcPr>
                <w:p>
                  <w:pPr>
                    <w:pStyle w:val="11"/>
                    <w:jc w:val="center"/>
                    <w:rPr>
                      <w:rFonts w:hint="default" w:ascii="Times New Roman" w:hAnsi="Times New Roman" w:cs="Times New Roman"/>
                      <w:b/>
                      <w:bCs/>
                      <w:color w:val="auto"/>
                    </w:rPr>
                  </w:pPr>
                  <w:r>
                    <w:rPr>
                      <w:rFonts w:hint="eastAsia" w:cs="Times New Roman"/>
                      <w:b/>
                      <w:bCs/>
                      <w:color w:val="auto"/>
                      <w:lang w:val="en-US" w:eastAsia="zh-CN"/>
                    </w:rPr>
                    <w:t>38.5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72"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切粒机</w:t>
                  </w:r>
                </w:p>
              </w:tc>
              <w:tc>
                <w:tcPr>
                  <w:tcW w:w="1141"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70</w:t>
                  </w:r>
                </w:p>
              </w:tc>
              <w:tc>
                <w:tcPr>
                  <w:tcW w:w="700"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3</w:t>
                  </w:r>
                </w:p>
              </w:tc>
              <w:tc>
                <w:tcPr>
                  <w:tcW w:w="1137" w:type="dxa"/>
                  <w:vAlign w:val="center"/>
                </w:tcPr>
                <w:p>
                  <w:pPr>
                    <w:pStyle w:val="11"/>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rPr>
                    <w:t>7</w:t>
                  </w:r>
                  <w:r>
                    <w:rPr>
                      <w:rFonts w:hint="default" w:ascii="Times New Roman" w:hAnsi="Times New Roman" w:cs="Times New Roman"/>
                      <w:color w:val="auto"/>
                      <w:lang w:val="en-US" w:eastAsia="zh-CN"/>
                    </w:rPr>
                    <w:t>4.8</w:t>
                  </w:r>
                </w:p>
              </w:tc>
              <w:tc>
                <w:tcPr>
                  <w:tcW w:w="675" w:type="dxa"/>
                  <w:vAlign w:val="center"/>
                </w:tcPr>
                <w:p>
                  <w:pPr>
                    <w:pStyle w:val="11"/>
                    <w:jc w:val="center"/>
                    <w:rPr>
                      <w:rFonts w:hint="default" w:ascii="Times New Roman" w:hAnsi="Times New Roman" w:eastAsia="宋体" w:cs="Times New Roman"/>
                      <w:color w:val="auto"/>
                      <w:lang w:val="en-US" w:eastAsia="zh-CN"/>
                    </w:rPr>
                  </w:pPr>
                  <w:r>
                    <w:rPr>
                      <w:rFonts w:hint="eastAsia" w:cs="Times New Roman"/>
                      <w:color w:val="auto"/>
                      <w:lang w:val="en-US" w:eastAsia="zh-CN"/>
                    </w:rPr>
                    <w:t>35</w:t>
                  </w:r>
                </w:p>
              </w:tc>
              <w:tc>
                <w:tcPr>
                  <w:tcW w:w="725" w:type="dxa"/>
                  <w:vAlign w:val="center"/>
                </w:tcPr>
                <w:p>
                  <w:pPr>
                    <w:pStyle w:val="11"/>
                    <w:jc w:val="center"/>
                    <w:rPr>
                      <w:rFonts w:hint="default" w:ascii="Times New Roman" w:hAnsi="Times New Roman" w:eastAsia="宋体" w:cs="Times New Roman"/>
                      <w:b/>
                      <w:bCs/>
                      <w:color w:val="auto"/>
                      <w:lang w:val="en-US" w:eastAsia="zh-CN"/>
                    </w:rPr>
                  </w:pPr>
                  <w:r>
                    <w:rPr>
                      <w:rFonts w:hint="eastAsia" w:cs="Times New Roman"/>
                      <w:b/>
                      <w:bCs/>
                      <w:color w:val="auto"/>
                      <w:lang w:val="en-US" w:eastAsia="zh-CN"/>
                    </w:rPr>
                    <w:t>43.9</w:t>
                  </w:r>
                </w:p>
              </w:tc>
              <w:tc>
                <w:tcPr>
                  <w:tcW w:w="538" w:type="dxa"/>
                  <w:vAlign w:val="center"/>
                </w:tcPr>
                <w:p>
                  <w:pPr>
                    <w:pStyle w:val="11"/>
                    <w:jc w:val="center"/>
                    <w:rPr>
                      <w:rFonts w:hint="default" w:ascii="Times New Roman" w:hAnsi="Times New Roman" w:eastAsia="宋体" w:cs="Times New Roman"/>
                      <w:color w:val="auto"/>
                      <w:kern w:val="2"/>
                      <w:lang w:val="en-US" w:eastAsia="zh-CN"/>
                    </w:rPr>
                  </w:pPr>
                  <w:r>
                    <w:rPr>
                      <w:rFonts w:hint="eastAsia" w:cs="Times New Roman"/>
                      <w:color w:val="auto"/>
                      <w:kern w:val="2"/>
                      <w:lang w:val="en-US" w:eastAsia="zh-CN"/>
                    </w:rPr>
                    <w:t>30</w:t>
                  </w:r>
                </w:p>
              </w:tc>
              <w:tc>
                <w:tcPr>
                  <w:tcW w:w="675" w:type="dxa"/>
                  <w:vAlign w:val="center"/>
                </w:tcPr>
                <w:p>
                  <w:pPr>
                    <w:pStyle w:val="11"/>
                    <w:jc w:val="center"/>
                    <w:rPr>
                      <w:rFonts w:hint="default" w:ascii="Times New Roman" w:hAnsi="Times New Roman" w:eastAsia="宋体" w:cs="Times New Roman"/>
                      <w:b/>
                      <w:bCs/>
                      <w:color w:val="auto"/>
                      <w:lang w:val="en-US" w:eastAsia="zh-CN"/>
                    </w:rPr>
                  </w:pPr>
                  <w:r>
                    <w:rPr>
                      <w:rFonts w:hint="eastAsia" w:cs="Times New Roman"/>
                      <w:b/>
                      <w:bCs/>
                      <w:color w:val="auto"/>
                      <w:lang w:val="en-US" w:eastAsia="zh-CN"/>
                    </w:rPr>
                    <w:t>45.3</w:t>
                  </w:r>
                </w:p>
              </w:tc>
              <w:tc>
                <w:tcPr>
                  <w:tcW w:w="625" w:type="dxa"/>
                  <w:vAlign w:val="center"/>
                </w:tcPr>
                <w:p>
                  <w:pPr>
                    <w:pStyle w:val="11"/>
                    <w:jc w:val="center"/>
                    <w:rPr>
                      <w:rFonts w:hint="default" w:ascii="Times New Roman" w:hAnsi="Times New Roman" w:eastAsia="宋体" w:cs="Times New Roman"/>
                      <w:color w:val="auto"/>
                      <w:lang w:val="en-US" w:eastAsia="zh-CN"/>
                    </w:rPr>
                  </w:pPr>
                  <w:r>
                    <w:rPr>
                      <w:rFonts w:hint="eastAsia" w:cs="Times New Roman"/>
                      <w:color w:val="auto"/>
                      <w:lang w:val="en-US" w:eastAsia="zh-CN"/>
                    </w:rPr>
                    <w:t>40</w:t>
                  </w:r>
                </w:p>
              </w:tc>
              <w:tc>
                <w:tcPr>
                  <w:tcW w:w="737" w:type="dxa"/>
                  <w:vAlign w:val="center"/>
                </w:tcPr>
                <w:p>
                  <w:pPr>
                    <w:pStyle w:val="11"/>
                    <w:jc w:val="center"/>
                    <w:rPr>
                      <w:rFonts w:hint="default" w:ascii="Times New Roman" w:hAnsi="Times New Roman" w:eastAsia="宋体" w:cs="Times New Roman"/>
                      <w:b/>
                      <w:bCs/>
                      <w:color w:val="auto"/>
                      <w:lang w:val="en-US" w:eastAsia="zh-CN"/>
                    </w:rPr>
                  </w:pPr>
                  <w:r>
                    <w:rPr>
                      <w:rFonts w:hint="eastAsia" w:cs="Times New Roman"/>
                      <w:b/>
                      <w:bCs/>
                      <w:color w:val="auto"/>
                      <w:lang w:val="en-US" w:eastAsia="zh-CN"/>
                    </w:rPr>
                    <w:t>42.8</w:t>
                  </w:r>
                </w:p>
              </w:tc>
              <w:tc>
                <w:tcPr>
                  <w:tcW w:w="488" w:type="dxa"/>
                  <w:vAlign w:val="center"/>
                </w:tcPr>
                <w:p>
                  <w:pPr>
                    <w:pStyle w:val="11"/>
                    <w:jc w:val="center"/>
                    <w:rPr>
                      <w:rFonts w:hint="default" w:ascii="Times New Roman" w:hAnsi="Times New Roman" w:eastAsia="宋体" w:cs="Times New Roman"/>
                      <w:color w:val="auto"/>
                      <w:kern w:val="2"/>
                      <w:lang w:val="en-US" w:eastAsia="zh-CN"/>
                    </w:rPr>
                  </w:pPr>
                  <w:r>
                    <w:rPr>
                      <w:rFonts w:hint="eastAsia" w:cs="Times New Roman"/>
                      <w:color w:val="auto"/>
                      <w:kern w:val="2"/>
                      <w:lang w:val="en-US" w:eastAsia="zh-CN"/>
                    </w:rPr>
                    <w:t>30</w:t>
                  </w:r>
                </w:p>
              </w:tc>
              <w:tc>
                <w:tcPr>
                  <w:tcW w:w="701" w:type="dxa"/>
                  <w:vAlign w:val="center"/>
                </w:tcPr>
                <w:p>
                  <w:pPr>
                    <w:pStyle w:val="11"/>
                    <w:jc w:val="center"/>
                    <w:rPr>
                      <w:rFonts w:hint="default" w:ascii="Times New Roman" w:hAnsi="Times New Roman" w:eastAsia="宋体" w:cs="Times New Roman"/>
                      <w:b/>
                      <w:bCs/>
                      <w:color w:val="auto"/>
                      <w:lang w:val="en-US" w:eastAsia="zh-CN"/>
                    </w:rPr>
                  </w:pPr>
                  <w:r>
                    <w:rPr>
                      <w:rFonts w:hint="eastAsia" w:cs="Times New Roman"/>
                      <w:b/>
                      <w:bCs/>
                      <w:color w:val="auto"/>
                      <w:lang w:val="en-US" w:eastAsia="zh-CN"/>
                    </w:rPr>
                    <w:t>45.3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72"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抽粒机</w:t>
                  </w:r>
                </w:p>
              </w:tc>
              <w:tc>
                <w:tcPr>
                  <w:tcW w:w="1141"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70</w:t>
                  </w:r>
                </w:p>
              </w:tc>
              <w:tc>
                <w:tcPr>
                  <w:tcW w:w="700"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3</w:t>
                  </w:r>
                </w:p>
              </w:tc>
              <w:tc>
                <w:tcPr>
                  <w:tcW w:w="1137" w:type="dxa"/>
                  <w:vAlign w:val="center"/>
                </w:tcPr>
                <w:p>
                  <w:pPr>
                    <w:pStyle w:val="11"/>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rPr>
                    <w:t>7</w:t>
                  </w:r>
                  <w:r>
                    <w:rPr>
                      <w:rFonts w:hint="default" w:ascii="Times New Roman" w:hAnsi="Times New Roman" w:cs="Times New Roman"/>
                      <w:color w:val="auto"/>
                      <w:lang w:val="en-US" w:eastAsia="zh-CN"/>
                    </w:rPr>
                    <w:t>4.8</w:t>
                  </w:r>
                </w:p>
              </w:tc>
              <w:tc>
                <w:tcPr>
                  <w:tcW w:w="675" w:type="dxa"/>
                  <w:vAlign w:val="center"/>
                </w:tcPr>
                <w:p>
                  <w:pPr>
                    <w:pStyle w:val="11"/>
                    <w:jc w:val="center"/>
                    <w:rPr>
                      <w:rFonts w:hint="default" w:ascii="Times New Roman" w:hAnsi="Times New Roman" w:eastAsia="宋体" w:cs="Times New Roman"/>
                      <w:color w:val="auto"/>
                      <w:sz w:val="21"/>
                      <w:szCs w:val="21"/>
                      <w:lang w:val="en-US" w:eastAsia="zh-CN" w:bidi="ar-SA"/>
                    </w:rPr>
                  </w:pPr>
                  <w:r>
                    <w:rPr>
                      <w:rFonts w:hint="eastAsia" w:cs="Times New Roman"/>
                      <w:color w:val="auto"/>
                      <w:lang w:val="en-US" w:eastAsia="zh-CN"/>
                    </w:rPr>
                    <w:t>33</w:t>
                  </w:r>
                </w:p>
              </w:tc>
              <w:tc>
                <w:tcPr>
                  <w:tcW w:w="725" w:type="dxa"/>
                  <w:vAlign w:val="center"/>
                </w:tcPr>
                <w:p>
                  <w:pPr>
                    <w:pStyle w:val="11"/>
                    <w:jc w:val="center"/>
                    <w:rPr>
                      <w:rFonts w:hint="default" w:ascii="Times New Roman" w:hAnsi="Times New Roman" w:eastAsia="宋体" w:cs="Times New Roman"/>
                      <w:b/>
                      <w:bCs/>
                      <w:color w:val="auto"/>
                      <w:sz w:val="21"/>
                      <w:szCs w:val="21"/>
                      <w:lang w:val="en-US" w:eastAsia="zh-CN" w:bidi="ar-SA"/>
                    </w:rPr>
                  </w:pPr>
                  <w:r>
                    <w:rPr>
                      <w:rFonts w:hint="eastAsia" w:cs="Times New Roman"/>
                      <w:b/>
                      <w:bCs/>
                      <w:color w:val="auto"/>
                      <w:sz w:val="21"/>
                      <w:szCs w:val="21"/>
                      <w:lang w:val="en-US" w:eastAsia="zh-CN" w:bidi="ar-SA"/>
                    </w:rPr>
                    <w:t>44.4</w:t>
                  </w:r>
                </w:p>
              </w:tc>
              <w:tc>
                <w:tcPr>
                  <w:tcW w:w="538" w:type="dxa"/>
                  <w:vAlign w:val="center"/>
                </w:tcPr>
                <w:p>
                  <w:pPr>
                    <w:pStyle w:val="11"/>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lang w:val="en-US" w:eastAsia="zh-CN"/>
                    </w:rPr>
                    <w:t>30</w:t>
                  </w:r>
                </w:p>
              </w:tc>
              <w:tc>
                <w:tcPr>
                  <w:tcW w:w="675" w:type="dxa"/>
                  <w:vAlign w:val="center"/>
                </w:tcPr>
                <w:p>
                  <w:pPr>
                    <w:pStyle w:val="11"/>
                    <w:jc w:val="center"/>
                    <w:rPr>
                      <w:rFonts w:hint="default" w:ascii="Times New Roman" w:hAnsi="Times New Roman" w:eastAsia="宋体" w:cs="Times New Roman"/>
                      <w:b/>
                      <w:bCs/>
                      <w:color w:val="auto"/>
                      <w:sz w:val="21"/>
                      <w:szCs w:val="21"/>
                      <w:lang w:val="en-US" w:eastAsia="zh-CN" w:bidi="ar-SA"/>
                    </w:rPr>
                  </w:pPr>
                  <w:r>
                    <w:rPr>
                      <w:rFonts w:hint="eastAsia" w:cs="Times New Roman"/>
                      <w:b/>
                      <w:bCs/>
                      <w:color w:val="auto"/>
                      <w:lang w:val="en-US" w:eastAsia="zh-CN"/>
                    </w:rPr>
                    <w:t>45.3</w:t>
                  </w:r>
                </w:p>
              </w:tc>
              <w:tc>
                <w:tcPr>
                  <w:tcW w:w="625" w:type="dxa"/>
                  <w:vAlign w:val="center"/>
                </w:tcPr>
                <w:p>
                  <w:pPr>
                    <w:pStyle w:val="11"/>
                    <w:jc w:val="center"/>
                    <w:rPr>
                      <w:rFonts w:hint="default" w:ascii="Times New Roman" w:hAnsi="Times New Roman" w:eastAsia="宋体" w:cs="Times New Roman"/>
                      <w:color w:val="auto"/>
                      <w:sz w:val="21"/>
                      <w:szCs w:val="21"/>
                      <w:lang w:val="en-US" w:eastAsia="zh-CN" w:bidi="ar-SA"/>
                    </w:rPr>
                  </w:pPr>
                  <w:r>
                    <w:rPr>
                      <w:rFonts w:hint="eastAsia" w:cs="Times New Roman"/>
                      <w:color w:val="auto"/>
                      <w:lang w:val="en-US" w:eastAsia="zh-CN"/>
                    </w:rPr>
                    <w:t>42</w:t>
                  </w:r>
                </w:p>
              </w:tc>
              <w:tc>
                <w:tcPr>
                  <w:tcW w:w="737" w:type="dxa"/>
                  <w:vAlign w:val="center"/>
                </w:tcPr>
                <w:p>
                  <w:pPr>
                    <w:pStyle w:val="11"/>
                    <w:jc w:val="center"/>
                    <w:rPr>
                      <w:rFonts w:hint="default" w:ascii="Times New Roman" w:hAnsi="Times New Roman" w:eastAsia="宋体" w:cs="Times New Roman"/>
                      <w:b/>
                      <w:bCs/>
                      <w:color w:val="auto"/>
                      <w:sz w:val="21"/>
                      <w:szCs w:val="21"/>
                      <w:lang w:val="en-US" w:eastAsia="zh-CN" w:bidi="ar-SA"/>
                    </w:rPr>
                  </w:pPr>
                  <w:r>
                    <w:rPr>
                      <w:rFonts w:hint="eastAsia" w:cs="Times New Roman"/>
                      <w:b/>
                      <w:bCs/>
                      <w:color w:val="auto"/>
                      <w:sz w:val="21"/>
                      <w:szCs w:val="21"/>
                      <w:lang w:val="en-US" w:eastAsia="zh-CN" w:bidi="ar-SA"/>
                    </w:rPr>
                    <w:t>42.3</w:t>
                  </w:r>
                </w:p>
              </w:tc>
              <w:tc>
                <w:tcPr>
                  <w:tcW w:w="488" w:type="dxa"/>
                  <w:vAlign w:val="center"/>
                </w:tcPr>
                <w:p>
                  <w:pPr>
                    <w:pStyle w:val="11"/>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lang w:val="en-US" w:eastAsia="zh-CN"/>
                    </w:rPr>
                    <w:t>30</w:t>
                  </w:r>
                </w:p>
              </w:tc>
              <w:tc>
                <w:tcPr>
                  <w:tcW w:w="701" w:type="dxa"/>
                  <w:vAlign w:val="center"/>
                </w:tcPr>
                <w:p>
                  <w:pPr>
                    <w:pStyle w:val="11"/>
                    <w:jc w:val="center"/>
                    <w:rPr>
                      <w:rFonts w:hint="default" w:ascii="Times New Roman" w:hAnsi="Times New Roman" w:eastAsia="宋体" w:cs="Times New Roman"/>
                      <w:b/>
                      <w:bCs/>
                      <w:color w:val="auto"/>
                      <w:sz w:val="21"/>
                      <w:szCs w:val="21"/>
                      <w:lang w:val="en-US" w:eastAsia="zh-CN" w:bidi="ar-SA"/>
                    </w:rPr>
                  </w:pPr>
                  <w:r>
                    <w:rPr>
                      <w:rFonts w:hint="eastAsia" w:cs="Times New Roman"/>
                      <w:b/>
                      <w:bCs/>
                      <w:color w:val="auto"/>
                      <w:lang w:val="en-US" w:eastAsia="zh-CN"/>
                    </w:rPr>
                    <w:t>45.3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72" w:type="dxa"/>
                  <w:vAlign w:val="center"/>
                </w:tcPr>
                <w:p>
                  <w:pPr>
                    <w:pStyle w:val="11"/>
                    <w:jc w:val="center"/>
                    <w:rPr>
                      <w:rFonts w:hint="default" w:ascii="Times New Roman" w:hAnsi="Times New Roman" w:cs="Times New Roman"/>
                      <w:b/>
                      <w:bCs/>
                      <w:color w:val="auto"/>
                    </w:rPr>
                  </w:pPr>
                  <w:r>
                    <w:rPr>
                      <w:rFonts w:hint="default" w:ascii="Times New Roman" w:hAnsi="Times New Roman" w:cs="Times New Roman"/>
                      <w:b/>
                      <w:bCs/>
                      <w:color w:val="auto"/>
                    </w:rPr>
                    <w:t>贡献值</w:t>
                  </w:r>
                </w:p>
              </w:tc>
              <w:tc>
                <w:tcPr>
                  <w:tcW w:w="2978" w:type="dxa"/>
                  <w:gridSpan w:val="3"/>
                  <w:vAlign w:val="center"/>
                </w:tcPr>
                <w:p>
                  <w:pPr>
                    <w:pStyle w:val="11"/>
                    <w:jc w:val="center"/>
                    <w:rPr>
                      <w:rFonts w:hint="default" w:ascii="Times New Roman" w:hAnsi="Times New Roman" w:cs="Times New Roman"/>
                      <w:b/>
                      <w:bCs/>
                      <w:color w:val="auto"/>
                    </w:rPr>
                  </w:pPr>
                  <w:r>
                    <w:rPr>
                      <w:rFonts w:hint="default" w:ascii="Times New Roman" w:hAnsi="Times New Roman" w:cs="Times New Roman"/>
                      <w:b/>
                      <w:bCs/>
                      <w:color w:val="auto"/>
                    </w:rPr>
                    <w:t>/</w:t>
                  </w:r>
                </w:p>
              </w:tc>
              <w:tc>
                <w:tcPr>
                  <w:tcW w:w="675" w:type="dxa"/>
                  <w:vAlign w:val="center"/>
                </w:tcPr>
                <w:p>
                  <w:pPr>
                    <w:pStyle w:val="11"/>
                    <w:jc w:val="center"/>
                    <w:rPr>
                      <w:rFonts w:hint="default" w:ascii="Times New Roman" w:hAnsi="Times New Roman" w:cs="Times New Roman"/>
                      <w:b/>
                      <w:bCs/>
                      <w:color w:val="auto"/>
                    </w:rPr>
                  </w:pPr>
                  <w:r>
                    <w:rPr>
                      <w:rFonts w:hint="default" w:ascii="Times New Roman" w:hAnsi="Times New Roman" w:cs="Times New Roman"/>
                      <w:b/>
                      <w:bCs/>
                      <w:color w:val="auto"/>
                    </w:rPr>
                    <w:t>/</w:t>
                  </w:r>
                </w:p>
              </w:tc>
              <w:tc>
                <w:tcPr>
                  <w:tcW w:w="725" w:type="dxa"/>
                  <w:vAlign w:val="center"/>
                </w:tcPr>
                <w:p>
                  <w:pPr>
                    <w:pStyle w:val="11"/>
                    <w:jc w:val="center"/>
                    <w:rPr>
                      <w:rFonts w:hint="default" w:ascii="Times New Roman" w:hAnsi="Times New Roman" w:eastAsia="宋体" w:cs="Times New Roman"/>
                      <w:b/>
                      <w:bCs/>
                      <w:color w:val="auto"/>
                      <w:lang w:val="en-US" w:eastAsia="zh-CN"/>
                    </w:rPr>
                  </w:pPr>
                  <w:r>
                    <w:rPr>
                      <w:rFonts w:hint="eastAsia" w:cs="Times New Roman"/>
                      <w:b/>
                      <w:bCs/>
                      <w:color w:val="auto"/>
                      <w:lang w:val="en-US" w:eastAsia="zh-CN"/>
                    </w:rPr>
                    <w:t>48.6</w:t>
                  </w:r>
                </w:p>
              </w:tc>
              <w:tc>
                <w:tcPr>
                  <w:tcW w:w="538" w:type="dxa"/>
                  <w:vAlign w:val="center"/>
                </w:tcPr>
                <w:p>
                  <w:pPr>
                    <w:pStyle w:val="11"/>
                    <w:jc w:val="center"/>
                    <w:rPr>
                      <w:rFonts w:hint="default" w:ascii="Times New Roman" w:hAnsi="Times New Roman" w:cs="Times New Roman"/>
                      <w:b/>
                      <w:bCs/>
                      <w:color w:val="auto"/>
                      <w:kern w:val="2"/>
                    </w:rPr>
                  </w:pPr>
                  <w:r>
                    <w:rPr>
                      <w:rFonts w:hint="default" w:ascii="Times New Roman" w:hAnsi="Times New Roman" w:cs="Times New Roman"/>
                      <w:b/>
                      <w:bCs/>
                      <w:color w:val="auto"/>
                      <w:kern w:val="2"/>
                    </w:rPr>
                    <w:t>/</w:t>
                  </w:r>
                </w:p>
              </w:tc>
              <w:tc>
                <w:tcPr>
                  <w:tcW w:w="675" w:type="dxa"/>
                  <w:vAlign w:val="center"/>
                </w:tcPr>
                <w:p>
                  <w:pPr>
                    <w:pStyle w:val="11"/>
                    <w:jc w:val="center"/>
                    <w:rPr>
                      <w:rFonts w:hint="default" w:ascii="Times New Roman" w:hAnsi="Times New Roman" w:eastAsia="宋体" w:cs="Times New Roman"/>
                      <w:b/>
                      <w:bCs/>
                      <w:color w:val="auto"/>
                      <w:lang w:val="en-US" w:eastAsia="zh-CN"/>
                    </w:rPr>
                  </w:pPr>
                  <w:r>
                    <w:rPr>
                      <w:rFonts w:hint="eastAsia" w:cs="Times New Roman"/>
                      <w:b/>
                      <w:bCs/>
                      <w:color w:val="auto"/>
                      <w:lang w:val="en-US" w:eastAsia="zh-CN"/>
                    </w:rPr>
                    <w:t>50.1</w:t>
                  </w:r>
                </w:p>
              </w:tc>
              <w:tc>
                <w:tcPr>
                  <w:tcW w:w="625" w:type="dxa"/>
                  <w:vAlign w:val="center"/>
                </w:tcPr>
                <w:p>
                  <w:pPr>
                    <w:pStyle w:val="11"/>
                    <w:jc w:val="center"/>
                    <w:rPr>
                      <w:rFonts w:hint="default" w:ascii="Times New Roman" w:hAnsi="Times New Roman" w:cs="Times New Roman"/>
                      <w:b/>
                      <w:bCs/>
                      <w:color w:val="auto"/>
                    </w:rPr>
                  </w:pPr>
                  <w:r>
                    <w:rPr>
                      <w:rFonts w:hint="default" w:ascii="Times New Roman" w:hAnsi="Times New Roman" w:cs="Times New Roman"/>
                      <w:b/>
                      <w:bCs/>
                      <w:color w:val="auto"/>
                    </w:rPr>
                    <w:t>/</w:t>
                  </w:r>
                </w:p>
              </w:tc>
              <w:tc>
                <w:tcPr>
                  <w:tcW w:w="737" w:type="dxa"/>
                  <w:vAlign w:val="center"/>
                </w:tcPr>
                <w:p>
                  <w:pPr>
                    <w:pStyle w:val="11"/>
                    <w:jc w:val="center"/>
                    <w:rPr>
                      <w:rFonts w:hint="default" w:ascii="Times New Roman" w:hAnsi="Times New Roman" w:eastAsia="宋体" w:cs="Times New Roman"/>
                      <w:b/>
                      <w:bCs/>
                      <w:color w:val="auto"/>
                      <w:lang w:val="en-US" w:eastAsia="zh-CN"/>
                    </w:rPr>
                  </w:pPr>
                  <w:r>
                    <w:rPr>
                      <w:rFonts w:hint="eastAsia" w:cs="Times New Roman"/>
                      <w:b/>
                      <w:bCs/>
                      <w:color w:val="auto"/>
                      <w:lang w:val="en-US" w:eastAsia="zh-CN"/>
                    </w:rPr>
                    <w:t>50.6</w:t>
                  </w:r>
                </w:p>
              </w:tc>
              <w:tc>
                <w:tcPr>
                  <w:tcW w:w="488" w:type="dxa"/>
                  <w:vAlign w:val="center"/>
                </w:tcPr>
                <w:p>
                  <w:pPr>
                    <w:pStyle w:val="11"/>
                    <w:jc w:val="center"/>
                    <w:rPr>
                      <w:rFonts w:hint="default" w:ascii="Times New Roman" w:hAnsi="Times New Roman" w:cs="Times New Roman"/>
                      <w:b/>
                      <w:bCs/>
                      <w:color w:val="auto"/>
                      <w:kern w:val="2"/>
                    </w:rPr>
                  </w:pPr>
                  <w:r>
                    <w:rPr>
                      <w:rFonts w:hint="default" w:ascii="Times New Roman" w:hAnsi="Times New Roman" w:cs="Times New Roman"/>
                      <w:b/>
                      <w:bCs/>
                      <w:color w:val="auto"/>
                      <w:kern w:val="2"/>
                    </w:rPr>
                    <w:t>/</w:t>
                  </w:r>
                </w:p>
              </w:tc>
              <w:tc>
                <w:tcPr>
                  <w:tcW w:w="701" w:type="dxa"/>
                  <w:vAlign w:val="center"/>
                </w:tcPr>
                <w:p>
                  <w:pPr>
                    <w:pStyle w:val="11"/>
                    <w:jc w:val="center"/>
                    <w:rPr>
                      <w:rFonts w:hint="default" w:ascii="Times New Roman" w:hAnsi="Times New Roman" w:eastAsia="宋体" w:cs="Times New Roman"/>
                      <w:b/>
                      <w:bCs/>
                      <w:color w:val="auto"/>
                      <w:kern w:val="2"/>
                      <w:lang w:val="en-US" w:eastAsia="zh-CN"/>
                    </w:rPr>
                  </w:pPr>
                  <w:r>
                    <w:rPr>
                      <w:rFonts w:hint="eastAsia" w:cs="Times New Roman"/>
                      <w:b/>
                      <w:bCs/>
                      <w:color w:val="auto"/>
                      <w:kern w:val="2"/>
                      <w:lang w:val="en-US" w:eastAsia="zh-CN"/>
                    </w:rPr>
                    <w:t>52.6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14" w:type="dxa"/>
                  <w:gridSpan w:val="12"/>
                  <w:vAlign w:val="center"/>
                </w:tcPr>
                <w:p>
                  <w:pPr>
                    <w:pStyle w:val="11"/>
                    <w:jc w:val="both"/>
                    <w:rPr>
                      <w:rFonts w:hint="default" w:ascii="Times New Roman" w:hAnsi="Times New Roman" w:eastAsia="宋体" w:cs="Times New Roman"/>
                      <w:b/>
                      <w:bCs/>
                      <w:color w:val="auto"/>
                      <w:kern w:val="2"/>
                      <w:lang w:val="en-US" w:eastAsia="zh-CN"/>
                    </w:rPr>
                  </w:pPr>
                  <w:r>
                    <w:rPr>
                      <w:rFonts w:hint="default" w:ascii="Times New Roman" w:hAnsi="Times New Roman" w:cs="Times New Roman"/>
                      <w:color w:val="auto"/>
                      <w:kern w:val="2"/>
                    </w:rPr>
                    <w:t>注：</w:t>
                  </w:r>
                  <w:r>
                    <w:rPr>
                      <w:rFonts w:hint="default" w:ascii="Times New Roman" w:hAnsi="Times New Roman" w:cs="Times New Roman"/>
                      <w:color w:val="auto"/>
                      <w:kern w:val="2"/>
                      <w:lang w:val="en-US" w:eastAsia="zh-CN"/>
                    </w:rPr>
                    <w:t>①</w:t>
                  </w:r>
                  <w:r>
                    <w:rPr>
                      <w:rFonts w:hint="default" w:ascii="Times New Roman" w:hAnsi="Times New Roman" w:cs="Times New Roman"/>
                      <w:color w:val="auto"/>
                      <w:kern w:val="2"/>
                    </w:rPr>
                    <w:t>部分设备型号、尺寸尚未确定，造粒机尺寸按6m*1m计，其它各机械设备均按2m*1m计；</w:t>
                  </w:r>
                  <w:r>
                    <w:rPr>
                      <w:rFonts w:hint="default" w:ascii="Times New Roman" w:hAnsi="Times New Roman" w:cs="Times New Roman"/>
                      <w:color w:val="auto"/>
                      <w:kern w:val="2"/>
                      <w:lang w:val="en-US" w:eastAsia="zh-CN"/>
                    </w:rPr>
                    <w:t>②项目产生噪声设备为室内声源；</w:t>
                  </w:r>
                </w:p>
              </w:tc>
            </w:tr>
          </w:tbl>
          <w:p>
            <w:pPr>
              <w:adjustRightInd w:val="0"/>
              <w:snapToGrid w:val="0"/>
              <w:ind w:firstLine="482"/>
              <w:rPr>
                <w:rFonts w:hint="default" w:ascii="Times New Roman" w:hAnsi="Times New Roman" w:cs="Times New Roman"/>
                <w:b w:val="0"/>
                <w:bCs w:val="0"/>
                <w:color w:val="auto"/>
              </w:rPr>
            </w:pPr>
            <w:r>
              <w:rPr>
                <w:rFonts w:hint="default" w:ascii="Times New Roman" w:hAnsi="Times New Roman" w:cs="Times New Roman"/>
                <w:b w:val="0"/>
                <w:bCs w:val="0"/>
                <w:color w:val="auto"/>
                <w:lang w:val="en-US" w:eastAsia="zh-CN"/>
              </w:rPr>
              <w:t>③总声级的计算</w:t>
            </w:r>
          </w:p>
          <w:p>
            <w:pPr>
              <w:adjustRightInd w:val="0"/>
              <w:snapToGrid w:val="0"/>
              <w:ind w:firstLine="482"/>
              <w:rPr>
                <w:rFonts w:hint="default" w:ascii="Times New Roman" w:hAnsi="Times New Roman" w:cs="Times New Roman"/>
                <w:b w:val="0"/>
                <w:bCs w:val="0"/>
                <w:color w:val="auto"/>
                <w:lang w:val="en-US" w:eastAsia="zh-CN"/>
              </w:rPr>
            </w:pPr>
            <w:r>
              <w:rPr>
                <w:rFonts w:hint="default" w:ascii="Times New Roman" w:hAnsi="Times New Roman" w:cs="Times New Roman"/>
                <w:b w:val="0"/>
                <w:bCs w:val="0"/>
                <w:color w:val="auto"/>
                <w:lang w:val="en-US" w:eastAsia="zh-CN"/>
              </w:rPr>
              <w:t>预测点的贡献值和背景值按能量叠加方法计算得到的声级</w:t>
            </w:r>
          </w:p>
          <w:p>
            <w:pPr>
              <w:adjustRightInd w:val="0"/>
              <w:snapToGrid w:val="0"/>
              <w:ind w:firstLine="482"/>
              <w:rPr>
                <w:rFonts w:hint="default" w:ascii="Times New Roman" w:hAnsi="Times New Roman" w:cs="Times New Roman"/>
                <w:b w:val="0"/>
                <w:bCs w:val="0"/>
                <w:color w:val="auto"/>
                <w:lang w:val="en-US" w:eastAsia="zh-CN"/>
              </w:rPr>
            </w:pPr>
            <w:r>
              <w:rPr>
                <w:rFonts w:hint="default" w:ascii="Times New Roman" w:hAnsi="Times New Roman" w:cs="Times New Roman"/>
                <w:b w:val="0"/>
                <w:bCs w:val="0"/>
                <w:color w:val="auto"/>
                <w:lang w:val="en-US" w:eastAsia="zh-CN"/>
              </w:rPr>
              <w:t>噪声预测值（ Leq ）计算公式为：</w:t>
            </w:r>
          </w:p>
          <w:p>
            <w:pPr>
              <w:adjustRightInd w:val="0"/>
              <w:snapToGrid w:val="0"/>
              <w:ind w:left="0" w:leftChars="0" w:firstLine="0" w:firstLineChars="0"/>
              <w:jc w:val="center"/>
              <w:rPr>
                <w:rFonts w:hint="default" w:ascii="Times New Roman" w:hAnsi="Times New Roman" w:cs="Times New Roman"/>
                <w:b w:val="0"/>
                <w:bCs w:val="0"/>
                <w:color w:val="auto"/>
                <w:lang w:val="en-US" w:eastAsia="zh-CN"/>
              </w:rPr>
            </w:pPr>
            <w:r>
              <w:rPr>
                <w:rFonts w:hint="default" w:ascii="Times New Roman" w:hAnsi="Times New Roman" w:cs="Times New Roman"/>
                <w:b w:val="0"/>
                <w:bCs w:val="0"/>
                <w:color w:val="auto"/>
                <w:position w:val="-10"/>
                <w:lang w:val="en-US" w:eastAsia="zh-CN"/>
              </w:rPr>
              <w:object>
                <v:shape id="_x0000_i1027" o:spt="75" type="#_x0000_t75" style="height:29.25pt;width:196.8pt;" o:ole="t" filled="f" o:preferrelative="t" stroked="f" coordsize="21600,21600">
                  <v:path/>
                  <v:fill on="f" focussize="0,0"/>
                  <v:stroke on="f"/>
                  <v:imagedata r:id="rId31" o:title=""/>
                  <o:lock v:ext="edit" aspectratio="t"/>
                  <w10:wrap type="none"/>
                  <w10:anchorlock/>
                </v:shape>
                <o:OLEObject Type="Embed" ProgID="Equation.KSEE3" ShapeID="_x0000_i1027" DrawAspect="Content" ObjectID="_1468075727" r:id="rId30">
                  <o:LockedField>false</o:LockedField>
                </o:OLEObject>
              </w:object>
            </w:r>
          </w:p>
          <w:p>
            <w:pPr>
              <w:adjustRightInd w:val="0"/>
              <w:snapToGrid w:val="0"/>
              <w:ind w:firstLine="482"/>
              <w:rPr>
                <w:rFonts w:hint="default" w:ascii="Times New Roman" w:hAnsi="Times New Roman" w:cs="Times New Roman"/>
                <w:b w:val="0"/>
                <w:bCs w:val="0"/>
                <w:color w:val="auto"/>
                <w:lang w:val="en-US" w:eastAsia="zh-CN"/>
              </w:rPr>
            </w:pPr>
            <w:r>
              <w:rPr>
                <w:rFonts w:hint="default" w:ascii="Times New Roman" w:hAnsi="Times New Roman" w:cs="Times New Roman"/>
                <w:b w:val="0"/>
                <w:bCs w:val="0"/>
                <w:color w:val="auto"/>
                <w:lang w:val="en-US" w:eastAsia="zh-CN"/>
              </w:rPr>
              <w:t>式中：L</w:t>
            </w:r>
            <w:r>
              <w:rPr>
                <w:rFonts w:hint="default" w:ascii="Times New Roman" w:hAnsi="Times New Roman" w:cs="Times New Roman"/>
                <w:b w:val="0"/>
                <w:bCs w:val="0"/>
                <w:color w:val="auto"/>
                <w:vertAlign w:val="subscript"/>
                <w:lang w:val="en-US" w:eastAsia="zh-CN"/>
              </w:rPr>
              <w:t>eq</w:t>
            </w:r>
            <w:r>
              <w:rPr>
                <w:rFonts w:hint="default" w:ascii="Times New Roman" w:hAnsi="Times New Roman" w:cs="Times New Roman"/>
                <w:b w:val="0"/>
                <w:bCs w:val="0"/>
                <w:color w:val="auto"/>
                <w:lang w:val="en-US" w:eastAsia="zh-CN"/>
              </w:rPr>
              <w:t>—预测点的噪声预测值，dB；Leq</w:t>
            </w:r>
            <w:r>
              <w:rPr>
                <w:rFonts w:hint="eastAsia" w:cs="Times New Roman"/>
                <w:b w:val="0"/>
                <w:bCs w:val="0"/>
                <w:color w:val="auto"/>
                <w:lang w:val="en-US" w:eastAsia="zh-CN"/>
              </w:rPr>
              <w:t>g</w:t>
            </w:r>
            <w:r>
              <w:rPr>
                <w:rFonts w:hint="default" w:ascii="Times New Roman" w:hAnsi="Times New Roman" w:cs="Times New Roman"/>
                <w:b w:val="0"/>
                <w:bCs w:val="0"/>
                <w:color w:val="auto"/>
                <w:lang w:val="en-US" w:eastAsia="zh-CN"/>
              </w:rPr>
              <w:t>—建设项目声源在预测点产生的噪声贡献值，dB；Leq</w:t>
            </w:r>
            <w:r>
              <w:rPr>
                <w:rFonts w:hint="eastAsia" w:cs="Times New Roman"/>
                <w:b w:val="0"/>
                <w:bCs w:val="0"/>
                <w:color w:val="auto"/>
                <w:lang w:val="en-US" w:eastAsia="zh-CN"/>
              </w:rPr>
              <w:t>b</w:t>
            </w:r>
            <w:r>
              <w:rPr>
                <w:rFonts w:hint="default" w:ascii="Times New Roman" w:hAnsi="Times New Roman" w:cs="Times New Roman"/>
                <w:b w:val="0"/>
                <w:bCs w:val="0"/>
                <w:color w:val="auto"/>
                <w:lang w:val="en-US" w:eastAsia="zh-CN"/>
              </w:rPr>
              <w:t>—预测点的背景噪声值，dB</w:t>
            </w:r>
          </w:p>
          <w:p>
            <w:pPr>
              <w:adjustRightInd w:val="0"/>
              <w:snapToGrid w:val="0"/>
              <w:ind w:firstLine="482"/>
              <w:rPr>
                <w:rFonts w:hint="default" w:ascii="Times New Roman" w:hAnsi="Times New Roman" w:cs="Times New Roman"/>
                <w:b/>
                <w:bCs/>
                <w:color w:val="auto"/>
              </w:rPr>
            </w:pPr>
            <w:r>
              <w:rPr>
                <w:rFonts w:hint="default" w:ascii="Times New Roman" w:hAnsi="Times New Roman" w:cs="Times New Roman"/>
                <w:b/>
                <w:bCs/>
                <w:color w:val="auto"/>
              </w:rPr>
              <w:t>预测评价结果</w:t>
            </w:r>
          </w:p>
          <w:p>
            <w:pPr>
              <w:adjustRightInd w:val="0"/>
              <w:snapToGrid w:val="0"/>
              <w:ind w:firstLine="480"/>
              <w:rPr>
                <w:rFonts w:hint="default" w:ascii="Times New Roman" w:hAnsi="Times New Roman" w:cs="Times New Roman"/>
                <w:color w:val="auto"/>
              </w:rPr>
            </w:pPr>
            <w:r>
              <w:rPr>
                <w:rFonts w:hint="default" w:ascii="Times New Roman" w:hAnsi="Times New Roman" w:cs="Times New Roman"/>
                <w:color w:val="auto"/>
                <w:lang w:val="en-US" w:eastAsia="zh-CN"/>
              </w:rPr>
              <w:t>根据不同设备的噪声级、确定的预测模式以及拟采取的降噪措施计算出不同距离处的噪声值。本项目夜间不生产，因此本报告仅对项目昼间噪声进行预测。项目厂界</w:t>
            </w:r>
            <w:r>
              <w:rPr>
                <w:rFonts w:hint="default" w:ascii="Times New Roman" w:hAnsi="Times New Roman" w:cs="Times New Roman"/>
                <w:color w:val="auto"/>
              </w:rPr>
              <w:t>噪声影响预测结果见下表。</w:t>
            </w:r>
          </w:p>
          <w:p>
            <w:pPr>
              <w:pStyle w:val="11"/>
              <w:jc w:val="center"/>
              <w:rPr>
                <w:rFonts w:hint="default" w:ascii="Times New Roman" w:hAnsi="Times New Roman" w:cs="Times New Roman"/>
                <w:b/>
                <w:bCs/>
                <w:color w:val="auto"/>
              </w:rPr>
            </w:pPr>
            <w:r>
              <w:rPr>
                <w:rFonts w:hint="default" w:ascii="Times New Roman" w:hAnsi="Times New Roman" w:cs="Times New Roman"/>
                <w:b/>
                <w:bCs/>
                <w:color w:val="auto"/>
              </w:rPr>
              <w:t>表4-</w:t>
            </w:r>
            <w:r>
              <w:rPr>
                <w:rFonts w:hint="eastAsia" w:cs="Times New Roman"/>
                <w:b/>
                <w:bCs/>
                <w:color w:val="auto"/>
                <w:lang w:val="en-US" w:eastAsia="zh-CN"/>
              </w:rPr>
              <w:t>8</w:t>
            </w:r>
            <w:r>
              <w:rPr>
                <w:rFonts w:hint="default" w:ascii="Times New Roman" w:hAnsi="Times New Roman" w:cs="Times New Roman"/>
                <w:b/>
                <w:bCs/>
                <w:color w:val="auto"/>
              </w:rPr>
              <w:t xml:space="preserve">       噪声影响预测结果     单位：dB(A)</w:t>
            </w:r>
          </w:p>
          <w:tbl>
            <w:tblPr>
              <w:tblStyle w:val="5"/>
              <w:tblW w:w="874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53"/>
              <w:gridCol w:w="1093"/>
              <w:gridCol w:w="699"/>
              <w:gridCol w:w="750"/>
              <w:gridCol w:w="648"/>
              <w:gridCol w:w="767"/>
              <w:gridCol w:w="699"/>
              <w:gridCol w:w="716"/>
              <w:gridCol w:w="750"/>
              <w:gridCol w:w="647"/>
              <w:gridCol w:w="82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65" w:hRule="atLeast"/>
                <w:jc w:val="center"/>
              </w:trPr>
              <w:tc>
                <w:tcPr>
                  <w:tcW w:w="1153" w:type="dxa"/>
                  <w:vMerge w:val="restart"/>
                  <w:vAlign w:val="center"/>
                </w:tcPr>
                <w:p>
                  <w:pPr>
                    <w:pStyle w:val="11"/>
                    <w:jc w:val="center"/>
                    <w:rPr>
                      <w:rFonts w:hint="default" w:ascii="Times New Roman" w:hAnsi="Times New Roman" w:cs="Times New Roman"/>
                      <w:b/>
                      <w:bCs/>
                      <w:color w:val="auto"/>
                    </w:rPr>
                  </w:pPr>
                  <w:r>
                    <w:rPr>
                      <w:rFonts w:hint="default" w:ascii="Times New Roman" w:hAnsi="Times New Roman" w:cs="Times New Roman"/>
                      <w:b/>
                      <w:bCs/>
                      <w:color w:val="auto"/>
                    </w:rPr>
                    <w:t>编号</w:t>
                  </w:r>
                </w:p>
              </w:tc>
              <w:tc>
                <w:tcPr>
                  <w:tcW w:w="1093" w:type="dxa"/>
                  <w:vMerge w:val="restart"/>
                  <w:vAlign w:val="center"/>
                </w:tcPr>
                <w:p>
                  <w:pPr>
                    <w:pStyle w:val="11"/>
                    <w:jc w:val="center"/>
                    <w:rPr>
                      <w:rFonts w:hint="default" w:ascii="Times New Roman" w:hAnsi="Times New Roman" w:cs="Times New Roman"/>
                      <w:b/>
                      <w:bCs/>
                      <w:color w:val="auto"/>
                    </w:rPr>
                  </w:pPr>
                  <w:r>
                    <w:rPr>
                      <w:rFonts w:hint="default" w:ascii="Times New Roman" w:hAnsi="Times New Roman" w:cs="Times New Roman"/>
                      <w:b/>
                      <w:bCs/>
                      <w:color w:val="auto"/>
                    </w:rPr>
                    <w:t>预测点</w:t>
                  </w:r>
                </w:p>
              </w:tc>
              <w:tc>
                <w:tcPr>
                  <w:tcW w:w="1449" w:type="dxa"/>
                  <w:gridSpan w:val="2"/>
                  <w:vAlign w:val="center"/>
                </w:tcPr>
                <w:p>
                  <w:pPr>
                    <w:pStyle w:val="11"/>
                    <w:jc w:val="center"/>
                    <w:rPr>
                      <w:rFonts w:hint="default" w:ascii="Times New Roman" w:hAnsi="Times New Roman" w:cs="Times New Roman"/>
                      <w:b/>
                      <w:bCs/>
                      <w:color w:val="auto"/>
                    </w:rPr>
                  </w:pPr>
                  <w:r>
                    <w:rPr>
                      <w:rFonts w:hint="eastAsia" w:cs="Times New Roman"/>
                      <w:b/>
                      <w:bCs/>
                      <w:color w:val="auto"/>
                      <w:lang w:val="en-US" w:eastAsia="zh-CN"/>
                    </w:rPr>
                    <w:t>室内</w:t>
                  </w:r>
                  <w:r>
                    <w:rPr>
                      <w:rFonts w:hint="default" w:ascii="Times New Roman" w:hAnsi="Times New Roman" w:cs="Times New Roman"/>
                      <w:b/>
                      <w:bCs/>
                      <w:color w:val="auto"/>
                    </w:rPr>
                    <w:t>贡献值</w:t>
                  </w:r>
                </w:p>
              </w:tc>
              <w:tc>
                <w:tcPr>
                  <w:tcW w:w="1415" w:type="dxa"/>
                  <w:gridSpan w:val="2"/>
                  <w:vAlign w:val="center"/>
                </w:tcPr>
                <w:p>
                  <w:pPr>
                    <w:pStyle w:val="11"/>
                    <w:jc w:val="center"/>
                    <w:rPr>
                      <w:rFonts w:hint="default" w:ascii="Times New Roman" w:hAnsi="Times New Roman" w:cs="Times New Roman"/>
                      <w:b/>
                      <w:bCs/>
                      <w:color w:val="auto"/>
                    </w:rPr>
                  </w:pPr>
                  <w:r>
                    <w:rPr>
                      <w:rFonts w:hint="default" w:ascii="Times New Roman" w:hAnsi="Times New Roman" w:cs="Times New Roman"/>
                      <w:b/>
                      <w:bCs/>
                      <w:color w:val="auto"/>
                      <w:lang w:val="en-US" w:eastAsia="zh-CN"/>
                    </w:rPr>
                    <w:t>室</w:t>
                  </w:r>
                  <w:r>
                    <w:rPr>
                      <w:rFonts w:hint="eastAsia" w:cs="Times New Roman"/>
                      <w:b/>
                      <w:bCs/>
                      <w:color w:val="auto"/>
                      <w:lang w:val="en-US" w:eastAsia="zh-CN"/>
                    </w:rPr>
                    <w:t>外</w:t>
                  </w:r>
                  <w:r>
                    <w:rPr>
                      <w:rFonts w:hint="default" w:ascii="Times New Roman" w:hAnsi="Times New Roman" w:cs="Times New Roman"/>
                      <w:b/>
                      <w:bCs/>
                      <w:color w:val="auto"/>
                    </w:rPr>
                    <w:t>贡献值</w:t>
                  </w:r>
                </w:p>
              </w:tc>
              <w:tc>
                <w:tcPr>
                  <w:tcW w:w="1415" w:type="dxa"/>
                  <w:gridSpan w:val="2"/>
                  <w:vAlign w:val="center"/>
                </w:tcPr>
                <w:p>
                  <w:pPr>
                    <w:pStyle w:val="11"/>
                    <w:jc w:val="center"/>
                    <w:rPr>
                      <w:rFonts w:hint="default" w:ascii="Times New Roman" w:hAnsi="Times New Roman" w:cs="Times New Roman"/>
                      <w:b/>
                      <w:bCs/>
                      <w:color w:val="auto"/>
                    </w:rPr>
                  </w:pPr>
                  <w:r>
                    <w:rPr>
                      <w:rFonts w:hint="eastAsia" w:cs="Times New Roman"/>
                      <w:b/>
                      <w:bCs/>
                      <w:color w:val="auto"/>
                      <w:lang w:val="en-US" w:eastAsia="zh-CN"/>
                    </w:rPr>
                    <w:t>叠加</w:t>
                  </w:r>
                  <w:r>
                    <w:rPr>
                      <w:rFonts w:hint="default" w:ascii="Times New Roman" w:hAnsi="Times New Roman" w:cs="Times New Roman"/>
                      <w:b/>
                      <w:bCs/>
                      <w:color w:val="auto"/>
                    </w:rPr>
                    <w:t>预测值</w:t>
                  </w:r>
                </w:p>
              </w:tc>
              <w:tc>
                <w:tcPr>
                  <w:tcW w:w="1397" w:type="dxa"/>
                  <w:gridSpan w:val="2"/>
                  <w:vAlign w:val="center"/>
                </w:tcPr>
                <w:p>
                  <w:pPr>
                    <w:pStyle w:val="11"/>
                    <w:jc w:val="center"/>
                    <w:rPr>
                      <w:rFonts w:hint="default" w:ascii="Times New Roman" w:hAnsi="Times New Roman" w:eastAsia="宋体" w:cs="Times New Roman"/>
                      <w:b/>
                      <w:bCs/>
                      <w:color w:val="auto"/>
                      <w:lang w:val="en-US" w:eastAsia="zh-CN"/>
                    </w:rPr>
                  </w:pPr>
                  <w:r>
                    <w:rPr>
                      <w:rFonts w:hint="eastAsia" w:cs="Times New Roman"/>
                      <w:b/>
                      <w:bCs/>
                      <w:color w:val="auto"/>
                      <w:lang w:val="en-US" w:eastAsia="zh-CN"/>
                    </w:rPr>
                    <w:t>标准值</w:t>
                  </w:r>
                </w:p>
              </w:tc>
              <w:tc>
                <w:tcPr>
                  <w:tcW w:w="825" w:type="dxa"/>
                  <w:vMerge w:val="restart"/>
                  <w:vAlign w:val="center"/>
                </w:tcPr>
                <w:p>
                  <w:pPr>
                    <w:pStyle w:val="11"/>
                    <w:jc w:val="center"/>
                    <w:rPr>
                      <w:rFonts w:hint="default" w:ascii="Times New Roman" w:hAnsi="Times New Roman" w:cs="Times New Roman"/>
                      <w:b/>
                      <w:bCs/>
                      <w:color w:val="auto"/>
                    </w:rPr>
                  </w:pPr>
                  <w:r>
                    <w:rPr>
                      <w:rFonts w:hint="default" w:ascii="Times New Roman" w:hAnsi="Times New Roman" w:cs="Times New Roman"/>
                      <w:b/>
                      <w:bCs/>
                      <w:color w:val="auto"/>
                    </w:rPr>
                    <w:t>预测结果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66" w:hRule="atLeast"/>
                <w:jc w:val="center"/>
              </w:trPr>
              <w:tc>
                <w:tcPr>
                  <w:tcW w:w="1153" w:type="dxa"/>
                  <w:vMerge w:val="continue"/>
                  <w:vAlign w:val="center"/>
                </w:tcPr>
                <w:p>
                  <w:pPr>
                    <w:pStyle w:val="11"/>
                    <w:jc w:val="center"/>
                    <w:rPr>
                      <w:rFonts w:hint="default" w:ascii="Times New Roman" w:hAnsi="Times New Roman" w:cs="Times New Roman"/>
                      <w:b/>
                      <w:bCs/>
                      <w:color w:val="auto"/>
                    </w:rPr>
                  </w:pPr>
                </w:p>
              </w:tc>
              <w:tc>
                <w:tcPr>
                  <w:tcW w:w="1093" w:type="dxa"/>
                  <w:vMerge w:val="continue"/>
                  <w:vAlign w:val="center"/>
                </w:tcPr>
                <w:p>
                  <w:pPr>
                    <w:pStyle w:val="11"/>
                    <w:jc w:val="center"/>
                    <w:rPr>
                      <w:rFonts w:hint="default" w:ascii="Times New Roman" w:hAnsi="Times New Roman" w:cs="Times New Roman"/>
                      <w:b/>
                      <w:bCs/>
                      <w:color w:val="auto"/>
                    </w:rPr>
                  </w:pPr>
                </w:p>
              </w:tc>
              <w:tc>
                <w:tcPr>
                  <w:tcW w:w="699" w:type="dxa"/>
                  <w:vAlign w:val="center"/>
                </w:tcPr>
                <w:p>
                  <w:pPr>
                    <w:pStyle w:val="11"/>
                    <w:jc w:val="center"/>
                    <w:rPr>
                      <w:rFonts w:hint="default" w:ascii="Times New Roman" w:hAnsi="Times New Roman" w:cs="Times New Roman"/>
                      <w:b/>
                      <w:bCs/>
                      <w:color w:val="auto"/>
                    </w:rPr>
                  </w:pPr>
                  <w:r>
                    <w:rPr>
                      <w:rFonts w:hint="default" w:ascii="Times New Roman" w:hAnsi="Times New Roman" w:cs="Times New Roman"/>
                      <w:b/>
                      <w:bCs/>
                      <w:color w:val="auto"/>
                    </w:rPr>
                    <w:t>昼间</w:t>
                  </w:r>
                </w:p>
              </w:tc>
              <w:tc>
                <w:tcPr>
                  <w:tcW w:w="750" w:type="dxa"/>
                  <w:vAlign w:val="center"/>
                </w:tcPr>
                <w:p>
                  <w:pPr>
                    <w:pStyle w:val="11"/>
                    <w:jc w:val="center"/>
                    <w:rPr>
                      <w:rFonts w:hint="default" w:ascii="Times New Roman" w:hAnsi="Times New Roman" w:cs="Times New Roman"/>
                      <w:b/>
                      <w:bCs/>
                      <w:color w:val="auto"/>
                    </w:rPr>
                  </w:pPr>
                  <w:r>
                    <w:rPr>
                      <w:rFonts w:hint="default" w:ascii="Times New Roman" w:hAnsi="Times New Roman" w:cs="Times New Roman"/>
                      <w:b/>
                      <w:bCs/>
                      <w:color w:val="auto"/>
                    </w:rPr>
                    <w:t>夜间</w:t>
                  </w:r>
                </w:p>
              </w:tc>
              <w:tc>
                <w:tcPr>
                  <w:tcW w:w="648" w:type="dxa"/>
                  <w:vAlign w:val="center"/>
                </w:tcPr>
                <w:p>
                  <w:pPr>
                    <w:pStyle w:val="11"/>
                    <w:jc w:val="center"/>
                    <w:rPr>
                      <w:rFonts w:hint="default" w:ascii="Times New Roman" w:hAnsi="Times New Roman" w:cs="Times New Roman"/>
                      <w:b/>
                      <w:bCs/>
                      <w:color w:val="auto"/>
                    </w:rPr>
                  </w:pPr>
                  <w:r>
                    <w:rPr>
                      <w:rFonts w:hint="default" w:ascii="Times New Roman" w:hAnsi="Times New Roman" w:cs="Times New Roman"/>
                      <w:b/>
                      <w:bCs/>
                      <w:color w:val="auto"/>
                    </w:rPr>
                    <w:t>昼间</w:t>
                  </w:r>
                </w:p>
              </w:tc>
              <w:tc>
                <w:tcPr>
                  <w:tcW w:w="767" w:type="dxa"/>
                  <w:vAlign w:val="center"/>
                </w:tcPr>
                <w:p>
                  <w:pPr>
                    <w:pStyle w:val="11"/>
                    <w:jc w:val="center"/>
                    <w:rPr>
                      <w:rFonts w:hint="default" w:ascii="Times New Roman" w:hAnsi="Times New Roman" w:cs="Times New Roman"/>
                      <w:b/>
                      <w:bCs/>
                      <w:color w:val="auto"/>
                    </w:rPr>
                  </w:pPr>
                  <w:r>
                    <w:rPr>
                      <w:rFonts w:hint="default" w:ascii="Times New Roman" w:hAnsi="Times New Roman" w:cs="Times New Roman"/>
                      <w:b/>
                      <w:bCs/>
                      <w:color w:val="auto"/>
                    </w:rPr>
                    <w:t>夜间</w:t>
                  </w:r>
                </w:p>
              </w:tc>
              <w:tc>
                <w:tcPr>
                  <w:tcW w:w="699" w:type="dxa"/>
                  <w:tcBorders>
                    <w:top w:val="single" w:color="auto" w:sz="4" w:space="0"/>
                  </w:tcBorders>
                  <w:vAlign w:val="center"/>
                </w:tcPr>
                <w:p>
                  <w:pPr>
                    <w:pStyle w:val="11"/>
                    <w:jc w:val="center"/>
                    <w:rPr>
                      <w:rFonts w:hint="default" w:ascii="Times New Roman" w:hAnsi="Times New Roman" w:cs="Times New Roman"/>
                      <w:b/>
                      <w:bCs/>
                      <w:color w:val="auto"/>
                    </w:rPr>
                  </w:pPr>
                  <w:r>
                    <w:rPr>
                      <w:rFonts w:hint="default" w:ascii="Times New Roman" w:hAnsi="Times New Roman" w:cs="Times New Roman"/>
                      <w:b/>
                      <w:bCs/>
                      <w:color w:val="auto"/>
                    </w:rPr>
                    <w:t>昼间</w:t>
                  </w:r>
                </w:p>
              </w:tc>
              <w:tc>
                <w:tcPr>
                  <w:tcW w:w="716" w:type="dxa"/>
                  <w:vAlign w:val="center"/>
                </w:tcPr>
                <w:p>
                  <w:pPr>
                    <w:pStyle w:val="11"/>
                    <w:jc w:val="center"/>
                    <w:rPr>
                      <w:rFonts w:hint="default" w:ascii="Times New Roman" w:hAnsi="Times New Roman" w:cs="Times New Roman"/>
                      <w:b/>
                      <w:bCs/>
                      <w:color w:val="auto"/>
                    </w:rPr>
                  </w:pPr>
                  <w:r>
                    <w:rPr>
                      <w:rFonts w:hint="default" w:ascii="Times New Roman" w:hAnsi="Times New Roman" w:cs="Times New Roman"/>
                      <w:b/>
                      <w:bCs/>
                      <w:color w:val="auto"/>
                    </w:rPr>
                    <w:t>夜间</w:t>
                  </w:r>
                </w:p>
              </w:tc>
              <w:tc>
                <w:tcPr>
                  <w:tcW w:w="750" w:type="dxa"/>
                  <w:vAlign w:val="center"/>
                </w:tcPr>
                <w:p>
                  <w:pPr>
                    <w:pStyle w:val="11"/>
                    <w:jc w:val="center"/>
                    <w:rPr>
                      <w:rFonts w:hint="default" w:ascii="Times New Roman" w:hAnsi="Times New Roman" w:cs="Times New Roman"/>
                      <w:b/>
                      <w:bCs/>
                      <w:color w:val="auto"/>
                    </w:rPr>
                  </w:pPr>
                  <w:r>
                    <w:rPr>
                      <w:rFonts w:hint="default" w:ascii="Times New Roman" w:hAnsi="Times New Roman" w:cs="Times New Roman"/>
                      <w:b/>
                      <w:bCs/>
                      <w:color w:val="auto"/>
                    </w:rPr>
                    <w:t>昼间</w:t>
                  </w:r>
                </w:p>
              </w:tc>
              <w:tc>
                <w:tcPr>
                  <w:tcW w:w="647" w:type="dxa"/>
                  <w:vAlign w:val="center"/>
                </w:tcPr>
                <w:p>
                  <w:pPr>
                    <w:pStyle w:val="11"/>
                    <w:jc w:val="center"/>
                    <w:rPr>
                      <w:rFonts w:hint="default" w:ascii="Times New Roman" w:hAnsi="Times New Roman" w:cs="Times New Roman"/>
                      <w:b/>
                      <w:bCs/>
                      <w:color w:val="auto"/>
                    </w:rPr>
                  </w:pPr>
                  <w:r>
                    <w:rPr>
                      <w:rFonts w:hint="default" w:ascii="Times New Roman" w:hAnsi="Times New Roman" w:cs="Times New Roman"/>
                      <w:b/>
                      <w:bCs/>
                      <w:color w:val="auto"/>
                    </w:rPr>
                    <w:t>夜间</w:t>
                  </w:r>
                </w:p>
              </w:tc>
              <w:tc>
                <w:tcPr>
                  <w:tcW w:w="825" w:type="dxa"/>
                  <w:vMerge w:val="continue"/>
                  <w:vAlign w:val="center"/>
                </w:tcPr>
                <w:p>
                  <w:pPr>
                    <w:pStyle w:val="11"/>
                    <w:jc w:val="center"/>
                    <w:rPr>
                      <w:rFonts w:hint="default" w:ascii="Times New Roman" w:hAnsi="Times New Roman" w:cs="Times New Roman"/>
                      <w:b/>
                      <w:bCs/>
                      <w:color w:va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6" w:hRule="atLeast"/>
                <w:jc w:val="center"/>
              </w:trPr>
              <w:tc>
                <w:tcPr>
                  <w:tcW w:w="1153"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1</w:t>
                  </w:r>
                  <w:r>
                    <w:rPr>
                      <w:rFonts w:hint="default" w:ascii="Times New Roman" w:hAnsi="Times New Roman" w:cs="Times New Roman"/>
                      <w:color w:val="auto"/>
                      <w:vertAlign w:val="superscript"/>
                    </w:rPr>
                    <w:t>#</w:t>
                  </w:r>
                </w:p>
              </w:tc>
              <w:tc>
                <w:tcPr>
                  <w:tcW w:w="1093"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北厂界</w:t>
                  </w:r>
                </w:p>
              </w:tc>
              <w:tc>
                <w:tcPr>
                  <w:tcW w:w="699" w:type="dxa"/>
                  <w:vAlign w:val="center"/>
                </w:tcPr>
                <w:p>
                  <w:pPr>
                    <w:pStyle w:val="11"/>
                    <w:jc w:val="center"/>
                    <w:rPr>
                      <w:rFonts w:hint="default" w:ascii="Times New Roman" w:hAnsi="Times New Roman" w:eastAsia="宋体" w:cs="Times New Roman"/>
                      <w:color w:val="auto"/>
                      <w:lang w:val="en-US" w:eastAsia="zh-CN"/>
                    </w:rPr>
                  </w:pPr>
                  <w:r>
                    <w:rPr>
                      <w:rFonts w:hint="eastAsia" w:cs="Times New Roman"/>
                      <w:b/>
                      <w:bCs/>
                      <w:color w:val="auto"/>
                      <w:lang w:val="en-US" w:eastAsia="zh-CN"/>
                    </w:rPr>
                    <w:t>50.1</w:t>
                  </w:r>
                </w:p>
              </w:tc>
              <w:tc>
                <w:tcPr>
                  <w:tcW w:w="750"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w:t>
                  </w:r>
                </w:p>
              </w:tc>
              <w:tc>
                <w:tcPr>
                  <w:tcW w:w="648" w:type="dxa"/>
                  <w:vAlign w:val="center"/>
                </w:tcPr>
                <w:p>
                  <w:pPr>
                    <w:pStyle w:val="11"/>
                    <w:jc w:val="center"/>
                    <w:rPr>
                      <w:rFonts w:hint="default" w:ascii="Times New Roman" w:hAnsi="Times New Roman" w:eastAsia="宋体" w:cs="Times New Roman"/>
                      <w:color w:val="auto"/>
                      <w:lang w:val="en-US" w:eastAsia="zh-CN"/>
                    </w:rPr>
                  </w:pPr>
                  <w:r>
                    <w:rPr>
                      <w:rFonts w:hint="eastAsia" w:cs="Times New Roman"/>
                      <w:b/>
                      <w:bCs/>
                      <w:color w:val="auto"/>
                      <w:lang w:val="en-US" w:eastAsia="zh-CN"/>
                    </w:rPr>
                    <w:t>40.5</w:t>
                  </w:r>
                </w:p>
              </w:tc>
              <w:tc>
                <w:tcPr>
                  <w:tcW w:w="767"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w:t>
                  </w:r>
                </w:p>
              </w:tc>
              <w:tc>
                <w:tcPr>
                  <w:tcW w:w="699" w:type="dxa"/>
                  <w:vAlign w:val="center"/>
                </w:tcPr>
                <w:p>
                  <w:pPr>
                    <w:pStyle w:val="11"/>
                    <w:jc w:val="center"/>
                    <w:rPr>
                      <w:rFonts w:hint="default" w:ascii="Times New Roman" w:hAnsi="Times New Roman" w:eastAsia="宋体" w:cs="Times New Roman"/>
                      <w:b/>
                      <w:bCs/>
                      <w:color w:val="auto"/>
                      <w:lang w:val="en-US" w:eastAsia="zh-CN"/>
                    </w:rPr>
                  </w:pPr>
                  <w:r>
                    <w:rPr>
                      <w:rFonts w:hint="eastAsia" w:cs="Times New Roman"/>
                      <w:b/>
                      <w:bCs/>
                      <w:color w:val="auto"/>
                      <w:lang w:val="en-US" w:eastAsia="zh-CN"/>
                    </w:rPr>
                    <w:t>50.6</w:t>
                  </w:r>
                </w:p>
              </w:tc>
              <w:tc>
                <w:tcPr>
                  <w:tcW w:w="716"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w:t>
                  </w:r>
                </w:p>
              </w:tc>
              <w:tc>
                <w:tcPr>
                  <w:tcW w:w="750" w:type="dxa"/>
                  <w:vAlign w:val="center"/>
                </w:tcPr>
                <w:p>
                  <w:pPr>
                    <w:pStyle w:val="11"/>
                    <w:jc w:val="center"/>
                    <w:rPr>
                      <w:rFonts w:hint="default" w:ascii="Times New Roman" w:hAnsi="Times New Roman" w:eastAsia="宋体" w:cs="Times New Roman"/>
                      <w:color w:val="auto"/>
                      <w:lang w:val="en-US" w:eastAsia="zh-CN"/>
                    </w:rPr>
                  </w:pPr>
                  <w:r>
                    <w:rPr>
                      <w:rFonts w:hint="eastAsia" w:cs="Times New Roman"/>
                      <w:color w:val="auto"/>
                      <w:lang w:val="en-US" w:eastAsia="zh-CN"/>
                    </w:rPr>
                    <w:t>65</w:t>
                  </w:r>
                </w:p>
              </w:tc>
              <w:tc>
                <w:tcPr>
                  <w:tcW w:w="647" w:type="dxa"/>
                  <w:vAlign w:val="center"/>
                </w:tcPr>
                <w:p>
                  <w:pPr>
                    <w:pStyle w:val="11"/>
                    <w:jc w:val="center"/>
                    <w:rPr>
                      <w:rFonts w:hint="default" w:ascii="Times New Roman" w:hAnsi="Times New Roman" w:eastAsia="宋体" w:cs="Times New Roman"/>
                      <w:color w:val="auto"/>
                      <w:lang w:val="en-US" w:eastAsia="zh-CN"/>
                    </w:rPr>
                  </w:pPr>
                  <w:r>
                    <w:rPr>
                      <w:rFonts w:hint="eastAsia" w:cs="Times New Roman"/>
                      <w:color w:val="auto"/>
                      <w:lang w:val="en-US" w:eastAsia="zh-CN"/>
                    </w:rPr>
                    <w:t>55</w:t>
                  </w:r>
                </w:p>
              </w:tc>
              <w:tc>
                <w:tcPr>
                  <w:tcW w:w="825"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70" w:hRule="atLeast"/>
                <w:jc w:val="center"/>
              </w:trPr>
              <w:tc>
                <w:tcPr>
                  <w:tcW w:w="1153"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2</w:t>
                  </w:r>
                  <w:r>
                    <w:rPr>
                      <w:rFonts w:hint="default" w:ascii="Times New Roman" w:hAnsi="Times New Roman" w:cs="Times New Roman"/>
                      <w:color w:val="auto"/>
                      <w:vertAlign w:val="superscript"/>
                    </w:rPr>
                    <w:t>#</w:t>
                  </w:r>
                </w:p>
              </w:tc>
              <w:tc>
                <w:tcPr>
                  <w:tcW w:w="1093"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东厂界</w:t>
                  </w:r>
                </w:p>
              </w:tc>
              <w:tc>
                <w:tcPr>
                  <w:tcW w:w="699" w:type="dxa"/>
                  <w:vAlign w:val="center"/>
                </w:tcPr>
                <w:p>
                  <w:pPr>
                    <w:pStyle w:val="11"/>
                    <w:jc w:val="center"/>
                    <w:rPr>
                      <w:rFonts w:hint="default" w:ascii="Times New Roman" w:hAnsi="Times New Roman" w:eastAsia="宋体" w:cs="Times New Roman"/>
                      <w:color w:val="auto"/>
                      <w:lang w:val="en-US" w:eastAsia="zh-CN"/>
                    </w:rPr>
                  </w:pPr>
                  <w:r>
                    <w:rPr>
                      <w:rFonts w:hint="eastAsia" w:cs="Times New Roman"/>
                      <w:b/>
                      <w:bCs/>
                      <w:color w:val="auto"/>
                      <w:lang w:val="en-US" w:eastAsia="zh-CN"/>
                    </w:rPr>
                    <w:t>50.6</w:t>
                  </w:r>
                </w:p>
              </w:tc>
              <w:tc>
                <w:tcPr>
                  <w:tcW w:w="750"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w:t>
                  </w:r>
                </w:p>
              </w:tc>
              <w:tc>
                <w:tcPr>
                  <w:tcW w:w="648" w:type="dxa"/>
                  <w:vAlign w:val="center"/>
                </w:tcPr>
                <w:p>
                  <w:pPr>
                    <w:pStyle w:val="11"/>
                    <w:jc w:val="center"/>
                    <w:rPr>
                      <w:rFonts w:hint="default" w:ascii="Times New Roman" w:hAnsi="Times New Roman" w:eastAsia="宋体" w:cs="Times New Roman"/>
                      <w:color w:val="auto"/>
                      <w:lang w:val="en-US" w:eastAsia="zh-CN"/>
                    </w:rPr>
                  </w:pPr>
                  <w:r>
                    <w:rPr>
                      <w:rFonts w:hint="eastAsia" w:cs="Times New Roman"/>
                      <w:b/>
                      <w:bCs/>
                      <w:color w:val="auto"/>
                      <w:lang w:val="en-US" w:eastAsia="zh-CN"/>
                    </w:rPr>
                    <w:t>50.0</w:t>
                  </w:r>
                </w:p>
              </w:tc>
              <w:tc>
                <w:tcPr>
                  <w:tcW w:w="767"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w:t>
                  </w:r>
                </w:p>
              </w:tc>
              <w:tc>
                <w:tcPr>
                  <w:tcW w:w="699" w:type="dxa"/>
                  <w:vAlign w:val="center"/>
                </w:tcPr>
                <w:p>
                  <w:pPr>
                    <w:pStyle w:val="11"/>
                    <w:jc w:val="center"/>
                    <w:rPr>
                      <w:rFonts w:hint="default" w:ascii="Times New Roman" w:hAnsi="Times New Roman" w:eastAsia="宋体" w:cs="Times New Roman"/>
                      <w:b/>
                      <w:bCs/>
                      <w:color w:val="auto"/>
                      <w:lang w:val="en-US" w:eastAsia="zh-CN"/>
                    </w:rPr>
                  </w:pPr>
                  <w:r>
                    <w:rPr>
                      <w:rFonts w:hint="eastAsia" w:cs="Times New Roman"/>
                      <w:b/>
                      <w:bCs/>
                      <w:color w:val="auto"/>
                      <w:lang w:val="en-US" w:eastAsia="zh-CN"/>
                    </w:rPr>
                    <w:t>53.3</w:t>
                  </w:r>
                </w:p>
              </w:tc>
              <w:tc>
                <w:tcPr>
                  <w:tcW w:w="716"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w:t>
                  </w:r>
                </w:p>
              </w:tc>
              <w:tc>
                <w:tcPr>
                  <w:tcW w:w="750" w:type="dxa"/>
                  <w:vAlign w:val="center"/>
                </w:tcPr>
                <w:p>
                  <w:pPr>
                    <w:pStyle w:val="11"/>
                    <w:jc w:val="center"/>
                    <w:rPr>
                      <w:rFonts w:hint="default" w:ascii="Times New Roman" w:hAnsi="Times New Roman" w:eastAsia="宋体" w:cs="Times New Roman"/>
                      <w:color w:val="auto"/>
                      <w:lang w:val="en-US" w:eastAsia="zh-CN"/>
                    </w:rPr>
                  </w:pPr>
                  <w:r>
                    <w:rPr>
                      <w:rFonts w:hint="eastAsia" w:cs="Times New Roman"/>
                      <w:color w:val="auto"/>
                      <w:lang w:val="en-US" w:eastAsia="zh-CN"/>
                    </w:rPr>
                    <w:t>65</w:t>
                  </w:r>
                </w:p>
              </w:tc>
              <w:tc>
                <w:tcPr>
                  <w:tcW w:w="647" w:type="dxa"/>
                  <w:vAlign w:val="center"/>
                </w:tcPr>
                <w:p>
                  <w:pPr>
                    <w:pStyle w:val="11"/>
                    <w:jc w:val="center"/>
                    <w:rPr>
                      <w:rFonts w:hint="default" w:ascii="Times New Roman" w:hAnsi="Times New Roman" w:eastAsia="宋体" w:cs="Times New Roman"/>
                      <w:color w:val="auto"/>
                      <w:lang w:val="en-US" w:eastAsia="zh-CN"/>
                    </w:rPr>
                  </w:pPr>
                  <w:r>
                    <w:rPr>
                      <w:rFonts w:hint="eastAsia" w:cs="Times New Roman"/>
                      <w:color w:val="auto"/>
                      <w:lang w:val="en-US" w:eastAsia="zh-CN"/>
                    </w:rPr>
                    <w:t>55</w:t>
                  </w:r>
                </w:p>
              </w:tc>
              <w:tc>
                <w:tcPr>
                  <w:tcW w:w="825"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153"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3</w:t>
                  </w:r>
                  <w:r>
                    <w:rPr>
                      <w:rFonts w:hint="default" w:ascii="Times New Roman" w:hAnsi="Times New Roman" w:cs="Times New Roman"/>
                      <w:color w:val="auto"/>
                      <w:vertAlign w:val="superscript"/>
                    </w:rPr>
                    <w:t>#</w:t>
                  </w:r>
                </w:p>
              </w:tc>
              <w:tc>
                <w:tcPr>
                  <w:tcW w:w="1093"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南厂界</w:t>
                  </w:r>
                </w:p>
              </w:tc>
              <w:tc>
                <w:tcPr>
                  <w:tcW w:w="699" w:type="dxa"/>
                  <w:vAlign w:val="center"/>
                </w:tcPr>
                <w:p>
                  <w:pPr>
                    <w:pStyle w:val="11"/>
                    <w:jc w:val="center"/>
                    <w:rPr>
                      <w:rFonts w:hint="default" w:ascii="Times New Roman" w:hAnsi="Times New Roman" w:eastAsia="宋体" w:cs="Times New Roman"/>
                      <w:color w:val="auto"/>
                      <w:lang w:val="en-US" w:eastAsia="zh-CN"/>
                    </w:rPr>
                  </w:pPr>
                  <w:r>
                    <w:rPr>
                      <w:rFonts w:hint="eastAsia" w:cs="Times New Roman"/>
                      <w:b/>
                      <w:bCs/>
                      <w:color w:val="auto"/>
                      <w:kern w:val="2"/>
                      <w:lang w:val="en-US" w:eastAsia="zh-CN"/>
                    </w:rPr>
                    <w:t>52.6</w:t>
                  </w:r>
                </w:p>
              </w:tc>
              <w:tc>
                <w:tcPr>
                  <w:tcW w:w="750"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w:t>
                  </w:r>
                </w:p>
              </w:tc>
              <w:tc>
                <w:tcPr>
                  <w:tcW w:w="648" w:type="dxa"/>
                  <w:vAlign w:val="center"/>
                </w:tcPr>
                <w:p>
                  <w:pPr>
                    <w:pStyle w:val="11"/>
                    <w:jc w:val="center"/>
                    <w:rPr>
                      <w:rFonts w:hint="default" w:ascii="Times New Roman" w:hAnsi="Times New Roman" w:eastAsia="宋体" w:cs="Times New Roman"/>
                      <w:color w:val="auto"/>
                      <w:lang w:val="en-US" w:eastAsia="zh-CN"/>
                    </w:rPr>
                  </w:pPr>
                  <w:r>
                    <w:rPr>
                      <w:rFonts w:hint="eastAsia" w:cs="Times New Roman"/>
                      <w:b/>
                      <w:bCs/>
                      <w:color w:val="auto"/>
                      <w:lang w:val="en-US" w:eastAsia="zh-CN"/>
                    </w:rPr>
                    <w:t>40.5</w:t>
                  </w:r>
                </w:p>
              </w:tc>
              <w:tc>
                <w:tcPr>
                  <w:tcW w:w="767"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w:t>
                  </w:r>
                </w:p>
              </w:tc>
              <w:tc>
                <w:tcPr>
                  <w:tcW w:w="699" w:type="dxa"/>
                  <w:vAlign w:val="center"/>
                </w:tcPr>
                <w:p>
                  <w:pPr>
                    <w:pStyle w:val="11"/>
                    <w:jc w:val="center"/>
                    <w:rPr>
                      <w:rFonts w:hint="default" w:ascii="Times New Roman" w:hAnsi="Times New Roman" w:eastAsia="宋体" w:cs="Times New Roman"/>
                      <w:b/>
                      <w:bCs/>
                      <w:color w:val="auto"/>
                      <w:lang w:val="en-US" w:eastAsia="zh-CN"/>
                    </w:rPr>
                  </w:pPr>
                  <w:r>
                    <w:rPr>
                      <w:rFonts w:hint="eastAsia" w:cs="Times New Roman"/>
                      <w:b/>
                      <w:bCs/>
                      <w:color w:val="auto"/>
                      <w:lang w:val="en-US" w:eastAsia="zh-CN"/>
                    </w:rPr>
                    <w:t>52.9</w:t>
                  </w:r>
                </w:p>
              </w:tc>
              <w:tc>
                <w:tcPr>
                  <w:tcW w:w="716"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w:t>
                  </w:r>
                </w:p>
              </w:tc>
              <w:tc>
                <w:tcPr>
                  <w:tcW w:w="750" w:type="dxa"/>
                  <w:vAlign w:val="center"/>
                </w:tcPr>
                <w:p>
                  <w:pPr>
                    <w:pStyle w:val="11"/>
                    <w:jc w:val="center"/>
                    <w:rPr>
                      <w:rFonts w:hint="default" w:ascii="Times New Roman" w:hAnsi="Times New Roman" w:eastAsia="宋体" w:cs="Times New Roman"/>
                      <w:color w:val="auto"/>
                      <w:lang w:val="en-US" w:eastAsia="zh-CN"/>
                    </w:rPr>
                  </w:pPr>
                  <w:r>
                    <w:rPr>
                      <w:rFonts w:hint="eastAsia" w:cs="Times New Roman"/>
                      <w:color w:val="auto"/>
                      <w:lang w:val="en-US" w:eastAsia="zh-CN"/>
                    </w:rPr>
                    <w:t>65</w:t>
                  </w:r>
                </w:p>
              </w:tc>
              <w:tc>
                <w:tcPr>
                  <w:tcW w:w="647" w:type="dxa"/>
                  <w:vAlign w:val="center"/>
                </w:tcPr>
                <w:p>
                  <w:pPr>
                    <w:pStyle w:val="11"/>
                    <w:jc w:val="center"/>
                    <w:rPr>
                      <w:rFonts w:hint="default" w:ascii="Times New Roman" w:hAnsi="Times New Roman" w:eastAsia="宋体" w:cs="Times New Roman"/>
                      <w:color w:val="auto"/>
                      <w:lang w:val="en-US" w:eastAsia="zh-CN"/>
                    </w:rPr>
                  </w:pPr>
                  <w:r>
                    <w:rPr>
                      <w:rFonts w:hint="eastAsia" w:cs="Times New Roman"/>
                      <w:color w:val="auto"/>
                      <w:lang w:val="en-US" w:eastAsia="zh-CN"/>
                    </w:rPr>
                    <w:t>55</w:t>
                  </w:r>
                </w:p>
              </w:tc>
              <w:tc>
                <w:tcPr>
                  <w:tcW w:w="825"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1" w:hRule="atLeast"/>
                <w:jc w:val="center"/>
              </w:trPr>
              <w:tc>
                <w:tcPr>
                  <w:tcW w:w="1153"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4</w:t>
                  </w:r>
                  <w:r>
                    <w:rPr>
                      <w:rFonts w:hint="default" w:ascii="Times New Roman" w:hAnsi="Times New Roman" w:cs="Times New Roman"/>
                      <w:color w:val="auto"/>
                      <w:vertAlign w:val="superscript"/>
                    </w:rPr>
                    <w:t>#</w:t>
                  </w:r>
                </w:p>
              </w:tc>
              <w:tc>
                <w:tcPr>
                  <w:tcW w:w="1093"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西厂界</w:t>
                  </w:r>
                </w:p>
              </w:tc>
              <w:tc>
                <w:tcPr>
                  <w:tcW w:w="699" w:type="dxa"/>
                  <w:vAlign w:val="center"/>
                </w:tcPr>
                <w:p>
                  <w:pPr>
                    <w:pStyle w:val="11"/>
                    <w:jc w:val="center"/>
                    <w:rPr>
                      <w:rFonts w:hint="default" w:ascii="Times New Roman" w:hAnsi="Times New Roman" w:eastAsia="宋体" w:cs="Times New Roman"/>
                      <w:color w:val="auto"/>
                      <w:kern w:val="2"/>
                      <w:lang w:val="en-US" w:eastAsia="zh-CN"/>
                    </w:rPr>
                  </w:pPr>
                  <w:r>
                    <w:rPr>
                      <w:rFonts w:hint="eastAsia" w:cs="Times New Roman"/>
                      <w:b/>
                      <w:bCs/>
                      <w:color w:val="auto"/>
                      <w:lang w:val="en-US" w:eastAsia="zh-CN"/>
                    </w:rPr>
                    <w:t>48.6</w:t>
                  </w:r>
                </w:p>
              </w:tc>
              <w:tc>
                <w:tcPr>
                  <w:tcW w:w="750"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w:t>
                  </w:r>
                </w:p>
              </w:tc>
              <w:tc>
                <w:tcPr>
                  <w:tcW w:w="648" w:type="dxa"/>
                  <w:vAlign w:val="center"/>
                </w:tcPr>
                <w:p>
                  <w:pPr>
                    <w:pStyle w:val="11"/>
                    <w:jc w:val="center"/>
                    <w:rPr>
                      <w:rFonts w:hint="default" w:ascii="Times New Roman" w:hAnsi="Times New Roman" w:eastAsia="宋体" w:cs="Times New Roman"/>
                      <w:color w:val="auto"/>
                      <w:lang w:val="en-US" w:eastAsia="zh-CN"/>
                    </w:rPr>
                  </w:pPr>
                  <w:r>
                    <w:rPr>
                      <w:rFonts w:hint="eastAsia" w:cs="Times New Roman"/>
                      <w:b/>
                      <w:bCs/>
                      <w:color w:val="auto"/>
                      <w:lang w:val="en-US" w:eastAsia="zh-CN"/>
                    </w:rPr>
                    <w:t>34.4</w:t>
                  </w:r>
                </w:p>
              </w:tc>
              <w:tc>
                <w:tcPr>
                  <w:tcW w:w="767"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w:t>
                  </w:r>
                </w:p>
              </w:tc>
              <w:tc>
                <w:tcPr>
                  <w:tcW w:w="699" w:type="dxa"/>
                  <w:vAlign w:val="center"/>
                </w:tcPr>
                <w:p>
                  <w:pPr>
                    <w:pStyle w:val="11"/>
                    <w:jc w:val="center"/>
                    <w:rPr>
                      <w:rFonts w:hint="default" w:ascii="Times New Roman" w:hAnsi="Times New Roman" w:eastAsia="宋体" w:cs="Times New Roman"/>
                      <w:b/>
                      <w:bCs/>
                      <w:color w:val="auto"/>
                      <w:kern w:val="2"/>
                      <w:lang w:val="en-US" w:eastAsia="zh-CN"/>
                    </w:rPr>
                  </w:pPr>
                  <w:r>
                    <w:rPr>
                      <w:rFonts w:hint="eastAsia" w:cs="Times New Roman"/>
                      <w:b/>
                      <w:bCs/>
                      <w:color w:val="auto"/>
                      <w:kern w:val="2"/>
                      <w:lang w:val="en-US" w:eastAsia="zh-CN"/>
                    </w:rPr>
                    <w:t>48.8</w:t>
                  </w:r>
                </w:p>
              </w:tc>
              <w:tc>
                <w:tcPr>
                  <w:tcW w:w="716"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w:t>
                  </w:r>
                </w:p>
              </w:tc>
              <w:tc>
                <w:tcPr>
                  <w:tcW w:w="750" w:type="dxa"/>
                  <w:vAlign w:val="center"/>
                </w:tcPr>
                <w:p>
                  <w:pPr>
                    <w:pStyle w:val="11"/>
                    <w:jc w:val="center"/>
                    <w:rPr>
                      <w:rFonts w:hint="default" w:ascii="Times New Roman" w:hAnsi="Times New Roman" w:eastAsia="宋体" w:cs="Times New Roman"/>
                      <w:color w:val="auto"/>
                      <w:lang w:val="en-US" w:eastAsia="zh-CN"/>
                    </w:rPr>
                  </w:pPr>
                  <w:r>
                    <w:rPr>
                      <w:rFonts w:hint="eastAsia" w:cs="Times New Roman"/>
                      <w:color w:val="auto"/>
                      <w:lang w:val="en-US" w:eastAsia="zh-CN"/>
                    </w:rPr>
                    <w:t>65</w:t>
                  </w:r>
                </w:p>
              </w:tc>
              <w:tc>
                <w:tcPr>
                  <w:tcW w:w="647" w:type="dxa"/>
                  <w:vAlign w:val="center"/>
                </w:tcPr>
                <w:p>
                  <w:pPr>
                    <w:pStyle w:val="11"/>
                    <w:jc w:val="center"/>
                    <w:rPr>
                      <w:rFonts w:hint="default" w:ascii="Times New Roman" w:hAnsi="Times New Roman" w:eastAsia="宋体" w:cs="Times New Roman"/>
                      <w:color w:val="auto"/>
                      <w:lang w:val="en-US" w:eastAsia="zh-CN"/>
                    </w:rPr>
                  </w:pPr>
                  <w:r>
                    <w:rPr>
                      <w:rFonts w:hint="eastAsia" w:cs="Times New Roman"/>
                      <w:color w:val="auto"/>
                      <w:lang w:val="en-US" w:eastAsia="zh-CN"/>
                    </w:rPr>
                    <w:t>55</w:t>
                  </w:r>
                </w:p>
              </w:tc>
              <w:tc>
                <w:tcPr>
                  <w:tcW w:w="825"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1" w:hRule="atLeast"/>
                <w:jc w:val="center"/>
              </w:trPr>
              <w:tc>
                <w:tcPr>
                  <w:tcW w:w="8747" w:type="dxa"/>
                  <w:gridSpan w:val="11"/>
                  <w:vAlign w:val="center"/>
                </w:tcPr>
                <w:p>
                  <w:pPr>
                    <w:pStyle w:val="11"/>
                    <w:jc w:val="both"/>
                    <w:rPr>
                      <w:rFonts w:hint="default" w:ascii="Times New Roman" w:hAnsi="Times New Roman" w:eastAsia="宋体" w:cs="Times New Roman"/>
                      <w:color w:val="auto"/>
                      <w:lang w:val="en-US" w:eastAsia="zh-CN"/>
                    </w:rPr>
                  </w:pPr>
                  <w:r>
                    <w:rPr>
                      <w:rFonts w:hint="default" w:ascii="Times New Roman" w:hAnsi="Times New Roman" w:cs="Times New Roman"/>
                      <w:color w:val="auto"/>
                    </w:rPr>
                    <w:t xml:space="preserve">  注：本项目夜间不进行生产；</w:t>
                  </w:r>
                </w:p>
              </w:tc>
            </w:tr>
          </w:tbl>
          <w:p>
            <w:pPr>
              <w:adjustRightInd w:val="0"/>
              <w:snapToGrid w:val="0"/>
              <w:ind w:firstLine="480"/>
              <w:rPr>
                <w:rFonts w:hint="default" w:ascii="Times New Roman" w:hAnsi="Times New Roman" w:cs="Times New Roman"/>
                <w:color w:val="auto"/>
              </w:rPr>
            </w:pPr>
            <w:r>
              <w:rPr>
                <w:rFonts w:hint="default" w:ascii="Times New Roman" w:hAnsi="Times New Roman" w:cs="Times New Roman"/>
                <w:color w:val="auto"/>
              </w:rPr>
              <w:t>项目对主要噪声源采取了基础减振、隔声和消声等措施，根据噪声预测结果等相关内容，项目的东南西北厂界预测噪声低于《工业企业厂界环境噪声排放标准》（GB12348-2008）中的3类标准，对周边声环境影响较小。</w:t>
            </w:r>
          </w:p>
          <w:p>
            <w:pPr>
              <w:adjustRightInd w:val="0"/>
              <w:snapToGrid w:val="0"/>
              <w:ind w:firstLine="442"/>
              <w:rPr>
                <w:rFonts w:hint="default" w:ascii="Times New Roman" w:hAnsi="Times New Roman" w:cs="Times New Roman"/>
                <w:b/>
                <w:color w:val="auto"/>
                <w:spacing w:val="-10"/>
                <w:szCs w:val="21"/>
              </w:rPr>
            </w:pPr>
            <w:r>
              <w:rPr>
                <w:rFonts w:hint="default" w:ascii="Times New Roman" w:hAnsi="Times New Roman" w:cs="Times New Roman"/>
                <w:b/>
                <w:color w:val="auto"/>
                <w:spacing w:val="-10"/>
                <w:szCs w:val="21"/>
              </w:rPr>
              <w:t>4、固废物影响分析</w:t>
            </w:r>
            <w:bookmarkEnd w:id="40"/>
            <w:bookmarkEnd w:id="41"/>
            <w:bookmarkEnd w:id="42"/>
          </w:p>
          <w:p>
            <w:pPr>
              <w:ind w:firstLine="480"/>
              <w:rPr>
                <w:rFonts w:hint="default" w:ascii="Times New Roman" w:hAnsi="Times New Roman" w:cs="Times New Roman"/>
                <w:color w:val="auto"/>
              </w:rPr>
            </w:pPr>
            <w:r>
              <w:rPr>
                <w:rFonts w:hint="default" w:ascii="Times New Roman" w:hAnsi="Times New Roman" w:cs="Times New Roman"/>
                <w:color w:val="auto"/>
              </w:rPr>
              <w:t>本项目固体废弃物主要为工作人员产生的生活垃圾、预处理池污泥、不合格品、废机油、废液压油、废机油废液压桶。</w:t>
            </w:r>
          </w:p>
          <w:p>
            <w:pPr>
              <w:ind w:firstLine="480"/>
              <w:rPr>
                <w:rFonts w:hint="default" w:ascii="Times New Roman" w:hAnsi="Times New Roman" w:cs="Times New Roman"/>
                <w:color w:val="auto"/>
              </w:rPr>
            </w:pPr>
            <w:r>
              <w:rPr>
                <w:rFonts w:hint="default" w:ascii="Times New Roman" w:hAnsi="Times New Roman" w:cs="Times New Roman"/>
                <w:color w:val="auto"/>
              </w:rPr>
              <w:t>（1）本项目生活垃圾、预处理池污泥</w:t>
            </w:r>
            <w:r>
              <w:rPr>
                <w:rFonts w:hint="default" w:ascii="Times New Roman" w:hAnsi="Times New Roman" w:cs="Times New Roman"/>
                <w:color w:val="auto"/>
                <w:lang w:val="en-US" w:eastAsia="zh-CN"/>
              </w:rPr>
              <w:t>、</w:t>
            </w:r>
            <w:r>
              <w:rPr>
                <w:rFonts w:hint="default" w:ascii="Times New Roman" w:hAnsi="Times New Roman" w:cs="Times New Roman"/>
                <w:color w:val="auto"/>
                <w:lang w:eastAsia="zh-CN"/>
              </w:rPr>
              <w:t>清洗沉淀池泥沙</w:t>
            </w:r>
            <w:r>
              <w:rPr>
                <w:rFonts w:hint="default" w:ascii="Times New Roman" w:hAnsi="Times New Roman" w:cs="Times New Roman"/>
                <w:color w:val="auto"/>
                <w:lang w:val="en-US" w:eastAsia="zh-CN"/>
              </w:rPr>
              <w:t>等</w:t>
            </w:r>
            <w:r>
              <w:rPr>
                <w:rFonts w:hint="default" w:ascii="Times New Roman" w:hAnsi="Times New Roman" w:cs="Times New Roman"/>
                <w:color w:val="auto"/>
              </w:rPr>
              <w:t>交环卫部门定期清运处理。</w:t>
            </w:r>
          </w:p>
          <w:p>
            <w:pPr>
              <w:ind w:firstLine="480"/>
              <w:rPr>
                <w:rFonts w:hint="default" w:ascii="Times New Roman" w:hAnsi="Times New Roman" w:cs="Times New Roman"/>
                <w:color w:val="auto"/>
              </w:rPr>
            </w:pPr>
            <w:r>
              <w:rPr>
                <w:rFonts w:hint="default" w:ascii="Times New Roman" w:hAnsi="Times New Roman" w:cs="Times New Roman"/>
                <w:color w:val="auto"/>
              </w:rPr>
              <w:t>（2）不合格品暂存在一般固废暂存区，交由废旧物回收公司进行处理。</w:t>
            </w:r>
          </w:p>
          <w:p>
            <w:pPr>
              <w:ind w:firstLine="480"/>
              <w:rPr>
                <w:rFonts w:hint="default" w:ascii="Times New Roman" w:hAnsi="Times New Roman" w:cs="Times New Roman"/>
                <w:color w:val="auto"/>
              </w:rPr>
            </w:pPr>
            <w:r>
              <w:rPr>
                <w:rFonts w:hint="default" w:ascii="Times New Roman" w:hAnsi="Times New Roman" w:cs="Times New Roman"/>
                <w:color w:val="auto"/>
              </w:rPr>
              <w:t>（3）废机油</w:t>
            </w:r>
            <w:r>
              <w:rPr>
                <w:rFonts w:hint="default" w:ascii="Times New Roman" w:hAnsi="Times New Roman" w:cs="Times New Roman"/>
                <w:color w:val="auto"/>
                <w:lang w:eastAsia="zh-CN"/>
              </w:rPr>
              <w:t>、</w:t>
            </w:r>
            <w:r>
              <w:rPr>
                <w:rFonts w:hint="default" w:ascii="Times New Roman" w:hAnsi="Times New Roman" w:cs="Times New Roman"/>
                <w:color w:val="auto"/>
              </w:rPr>
              <w:t>废液压油等危险废物交由有资质的单位处理。</w:t>
            </w:r>
          </w:p>
          <w:p>
            <w:pPr>
              <w:pStyle w:val="11"/>
              <w:jc w:val="center"/>
              <w:rPr>
                <w:rFonts w:hint="default" w:ascii="Times New Roman" w:hAnsi="Times New Roman" w:cs="Times New Roman"/>
                <w:b/>
                <w:bCs/>
                <w:color w:val="auto"/>
              </w:rPr>
            </w:pPr>
            <w:r>
              <w:rPr>
                <w:rFonts w:hint="default" w:ascii="Times New Roman" w:hAnsi="Times New Roman" w:cs="Times New Roman"/>
                <w:b/>
                <w:bCs/>
                <w:color w:val="auto"/>
              </w:rPr>
              <w:t>表4-</w:t>
            </w:r>
            <w:r>
              <w:rPr>
                <w:rFonts w:hint="eastAsia" w:cs="Times New Roman"/>
                <w:b/>
                <w:bCs/>
                <w:color w:val="auto"/>
                <w:lang w:val="en-US" w:eastAsia="zh-CN"/>
              </w:rPr>
              <w:t>9</w:t>
            </w:r>
            <w:r>
              <w:rPr>
                <w:rFonts w:hint="default" w:ascii="Times New Roman" w:hAnsi="Times New Roman" w:cs="Times New Roman"/>
                <w:b/>
                <w:bCs/>
                <w:color w:val="auto"/>
              </w:rPr>
              <w:t xml:space="preserve">  项目危险废物暂存间基本情况表</w:t>
            </w:r>
          </w:p>
          <w:tbl>
            <w:tblPr>
              <w:tblStyle w:val="5"/>
              <w:tblW w:w="8755"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71"/>
              <w:gridCol w:w="1516"/>
              <w:gridCol w:w="984"/>
              <w:gridCol w:w="1262"/>
              <w:gridCol w:w="688"/>
              <w:gridCol w:w="1116"/>
              <w:gridCol w:w="1240"/>
              <w:gridCol w:w="778"/>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71" w:type="dxa"/>
                  <w:vAlign w:val="center"/>
                </w:tcPr>
                <w:p>
                  <w:pPr>
                    <w:pStyle w:val="11"/>
                    <w:jc w:val="center"/>
                    <w:rPr>
                      <w:rFonts w:hint="default" w:ascii="Times New Roman" w:hAnsi="Times New Roman" w:cs="Times New Roman"/>
                      <w:b/>
                      <w:bCs/>
                      <w:color w:val="auto"/>
                    </w:rPr>
                  </w:pPr>
                  <w:r>
                    <w:rPr>
                      <w:rFonts w:hint="default" w:ascii="Times New Roman" w:hAnsi="Times New Roman" w:cs="Times New Roman"/>
                      <w:b/>
                      <w:bCs/>
                      <w:color w:val="auto"/>
                    </w:rPr>
                    <w:t>储存</w:t>
                  </w:r>
                </w:p>
                <w:p>
                  <w:pPr>
                    <w:pStyle w:val="11"/>
                    <w:jc w:val="center"/>
                    <w:rPr>
                      <w:rFonts w:hint="default" w:ascii="Times New Roman" w:hAnsi="Times New Roman" w:cs="Times New Roman"/>
                      <w:b/>
                      <w:bCs/>
                      <w:color w:val="auto"/>
                    </w:rPr>
                  </w:pPr>
                  <w:r>
                    <w:rPr>
                      <w:rFonts w:hint="default" w:ascii="Times New Roman" w:hAnsi="Times New Roman" w:cs="Times New Roman"/>
                      <w:b/>
                      <w:bCs/>
                      <w:color w:val="auto"/>
                    </w:rPr>
                    <w:t>场所</w:t>
                  </w:r>
                </w:p>
              </w:tc>
              <w:tc>
                <w:tcPr>
                  <w:tcW w:w="1516" w:type="dxa"/>
                  <w:vAlign w:val="center"/>
                </w:tcPr>
                <w:p>
                  <w:pPr>
                    <w:pStyle w:val="11"/>
                    <w:jc w:val="center"/>
                    <w:rPr>
                      <w:rFonts w:hint="default" w:ascii="Times New Roman" w:hAnsi="Times New Roman" w:cs="Times New Roman"/>
                      <w:b/>
                      <w:bCs/>
                      <w:color w:val="auto"/>
                    </w:rPr>
                  </w:pPr>
                  <w:r>
                    <w:rPr>
                      <w:rFonts w:hint="default" w:ascii="Times New Roman" w:hAnsi="Times New Roman" w:cs="Times New Roman"/>
                      <w:b/>
                      <w:bCs/>
                      <w:color w:val="auto"/>
                    </w:rPr>
                    <w:t>危险废</w:t>
                  </w:r>
                </w:p>
                <w:p>
                  <w:pPr>
                    <w:pStyle w:val="11"/>
                    <w:jc w:val="center"/>
                    <w:rPr>
                      <w:rFonts w:hint="default" w:ascii="Times New Roman" w:hAnsi="Times New Roman" w:cs="Times New Roman"/>
                      <w:b/>
                      <w:bCs/>
                      <w:color w:val="auto"/>
                    </w:rPr>
                  </w:pPr>
                  <w:r>
                    <w:rPr>
                      <w:rFonts w:hint="default" w:ascii="Times New Roman" w:hAnsi="Times New Roman" w:cs="Times New Roman"/>
                      <w:b/>
                      <w:bCs/>
                      <w:color w:val="auto"/>
                    </w:rPr>
                    <w:t>物名称</w:t>
                  </w:r>
                </w:p>
              </w:tc>
              <w:tc>
                <w:tcPr>
                  <w:tcW w:w="984" w:type="dxa"/>
                  <w:vAlign w:val="center"/>
                </w:tcPr>
                <w:p>
                  <w:pPr>
                    <w:pStyle w:val="11"/>
                    <w:jc w:val="center"/>
                    <w:rPr>
                      <w:rFonts w:hint="default" w:ascii="Times New Roman" w:hAnsi="Times New Roman" w:cs="Times New Roman"/>
                      <w:b/>
                      <w:bCs/>
                      <w:color w:val="auto"/>
                    </w:rPr>
                  </w:pPr>
                  <w:r>
                    <w:rPr>
                      <w:rFonts w:hint="default" w:ascii="Times New Roman" w:hAnsi="Times New Roman" w:cs="Times New Roman"/>
                      <w:b/>
                      <w:bCs/>
                      <w:color w:val="auto"/>
                    </w:rPr>
                    <w:t>危险废物类别</w:t>
                  </w:r>
                </w:p>
              </w:tc>
              <w:tc>
                <w:tcPr>
                  <w:tcW w:w="1262" w:type="dxa"/>
                  <w:vAlign w:val="center"/>
                </w:tcPr>
                <w:p>
                  <w:pPr>
                    <w:pStyle w:val="11"/>
                    <w:jc w:val="center"/>
                    <w:rPr>
                      <w:rFonts w:hint="default" w:ascii="Times New Roman" w:hAnsi="Times New Roman" w:cs="Times New Roman"/>
                      <w:b/>
                      <w:bCs/>
                      <w:color w:val="auto"/>
                    </w:rPr>
                  </w:pPr>
                  <w:r>
                    <w:rPr>
                      <w:rFonts w:hint="default" w:ascii="Times New Roman" w:hAnsi="Times New Roman" w:cs="Times New Roman"/>
                      <w:b/>
                      <w:bCs/>
                      <w:color w:val="auto"/>
                    </w:rPr>
                    <w:t>危险废</w:t>
                  </w:r>
                </w:p>
                <w:p>
                  <w:pPr>
                    <w:pStyle w:val="11"/>
                    <w:jc w:val="center"/>
                    <w:rPr>
                      <w:rFonts w:hint="default" w:ascii="Times New Roman" w:hAnsi="Times New Roman" w:cs="Times New Roman"/>
                      <w:b/>
                      <w:bCs/>
                      <w:color w:val="auto"/>
                    </w:rPr>
                  </w:pPr>
                  <w:r>
                    <w:rPr>
                      <w:rFonts w:hint="default" w:ascii="Times New Roman" w:hAnsi="Times New Roman" w:cs="Times New Roman"/>
                      <w:b/>
                      <w:bCs/>
                      <w:color w:val="auto"/>
                    </w:rPr>
                    <w:t>物代码</w:t>
                  </w:r>
                </w:p>
              </w:tc>
              <w:tc>
                <w:tcPr>
                  <w:tcW w:w="688" w:type="dxa"/>
                  <w:vAlign w:val="center"/>
                </w:tcPr>
                <w:p>
                  <w:pPr>
                    <w:pStyle w:val="11"/>
                    <w:jc w:val="center"/>
                    <w:rPr>
                      <w:rFonts w:hint="default" w:ascii="Times New Roman" w:hAnsi="Times New Roman" w:cs="Times New Roman"/>
                      <w:b/>
                      <w:bCs/>
                      <w:color w:val="auto"/>
                    </w:rPr>
                  </w:pPr>
                  <w:r>
                    <w:rPr>
                      <w:rFonts w:hint="default" w:ascii="Times New Roman" w:hAnsi="Times New Roman" w:cs="Times New Roman"/>
                      <w:b/>
                      <w:bCs/>
                      <w:color w:val="auto"/>
                    </w:rPr>
                    <w:t>占地</w:t>
                  </w:r>
                </w:p>
                <w:p>
                  <w:pPr>
                    <w:pStyle w:val="11"/>
                    <w:jc w:val="center"/>
                    <w:rPr>
                      <w:rFonts w:hint="default" w:ascii="Times New Roman" w:hAnsi="Times New Roman" w:cs="Times New Roman"/>
                      <w:b/>
                      <w:bCs/>
                      <w:color w:val="auto"/>
                    </w:rPr>
                  </w:pPr>
                  <w:r>
                    <w:rPr>
                      <w:rFonts w:hint="default" w:ascii="Times New Roman" w:hAnsi="Times New Roman" w:cs="Times New Roman"/>
                      <w:b/>
                      <w:bCs/>
                      <w:color w:val="auto"/>
                    </w:rPr>
                    <w:t>面积</w:t>
                  </w:r>
                </w:p>
              </w:tc>
              <w:tc>
                <w:tcPr>
                  <w:tcW w:w="1116" w:type="dxa"/>
                  <w:vAlign w:val="center"/>
                </w:tcPr>
                <w:p>
                  <w:pPr>
                    <w:pStyle w:val="11"/>
                    <w:jc w:val="center"/>
                    <w:rPr>
                      <w:rFonts w:hint="default" w:ascii="Times New Roman" w:hAnsi="Times New Roman" w:cs="Times New Roman"/>
                      <w:b/>
                      <w:bCs/>
                      <w:color w:val="auto"/>
                    </w:rPr>
                  </w:pPr>
                  <w:r>
                    <w:rPr>
                      <w:rFonts w:hint="default" w:ascii="Times New Roman" w:hAnsi="Times New Roman" w:cs="Times New Roman"/>
                      <w:b/>
                      <w:bCs/>
                      <w:color w:val="auto"/>
                    </w:rPr>
                    <w:t>贮存</w:t>
                  </w:r>
                </w:p>
                <w:p>
                  <w:pPr>
                    <w:pStyle w:val="11"/>
                    <w:jc w:val="center"/>
                    <w:rPr>
                      <w:rFonts w:hint="default" w:ascii="Times New Roman" w:hAnsi="Times New Roman" w:cs="Times New Roman"/>
                      <w:b/>
                      <w:bCs/>
                      <w:color w:val="auto"/>
                    </w:rPr>
                  </w:pPr>
                  <w:r>
                    <w:rPr>
                      <w:rFonts w:hint="default" w:ascii="Times New Roman" w:hAnsi="Times New Roman" w:cs="Times New Roman"/>
                      <w:b/>
                      <w:bCs/>
                      <w:color w:val="auto"/>
                    </w:rPr>
                    <w:t>方式</w:t>
                  </w:r>
                </w:p>
              </w:tc>
              <w:tc>
                <w:tcPr>
                  <w:tcW w:w="1240" w:type="dxa"/>
                  <w:vAlign w:val="center"/>
                </w:tcPr>
                <w:p>
                  <w:pPr>
                    <w:pStyle w:val="11"/>
                    <w:jc w:val="center"/>
                    <w:rPr>
                      <w:rFonts w:hint="default" w:ascii="Times New Roman" w:hAnsi="Times New Roman" w:cs="Times New Roman"/>
                      <w:b/>
                      <w:bCs/>
                      <w:color w:val="auto"/>
                    </w:rPr>
                  </w:pPr>
                  <w:r>
                    <w:rPr>
                      <w:rFonts w:hint="default" w:ascii="Times New Roman" w:hAnsi="Times New Roman" w:cs="Times New Roman"/>
                      <w:b/>
                      <w:bCs/>
                      <w:color w:val="auto"/>
                    </w:rPr>
                    <w:t>贮存</w:t>
                  </w:r>
                </w:p>
                <w:p>
                  <w:pPr>
                    <w:pStyle w:val="11"/>
                    <w:jc w:val="center"/>
                    <w:rPr>
                      <w:rFonts w:hint="default" w:ascii="Times New Roman" w:hAnsi="Times New Roman" w:cs="Times New Roman"/>
                      <w:b/>
                      <w:bCs/>
                      <w:color w:val="auto"/>
                    </w:rPr>
                  </w:pPr>
                  <w:r>
                    <w:rPr>
                      <w:rFonts w:hint="default" w:ascii="Times New Roman" w:hAnsi="Times New Roman" w:cs="Times New Roman"/>
                      <w:b/>
                      <w:bCs/>
                      <w:color w:val="auto"/>
                    </w:rPr>
                    <w:t>能力</w:t>
                  </w:r>
                </w:p>
              </w:tc>
              <w:tc>
                <w:tcPr>
                  <w:tcW w:w="778" w:type="dxa"/>
                  <w:vAlign w:val="center"/>
                </w:tcPr>
                <w:p>
                  <w:pPr>
                    <w:pStyle w:val="11"/>
                    <w:jc w:val="center"/>
                    <w:rPr>
                      <w:rFonts w:hint="default" w:ascii="Times New Roman" w:hAnsi="Times New Roman" w:cs="Times New Roman"/>
                      <w:b/>
                      <w:bCs/>
                      <w:color w:val="auto"/>
                    </w:rPr>
                  </w:pPr>
                  <w:r>
                    <w:rPr>
                      <w:rFonts w:hint="default" w:ascii="Times New Roman" w:hAnsi="Times New Roman" w:cs="Times New Roman"/>
                      <w:b/>
                      <w:bCs/>
                      <w:color w:val="auto"/>
                    </w:rPr>
                    <w:t>贮存</w:t>
                  </w:r>
                </w:p>
                <w:p>
                  <w:pPr>
                    <w:pStyle w:val="11"/>
                    <w:jc w:val="center"/>
                    <w:rPr>
                      <w:rFonts w:hint="default" w:ascii="Times New Roman" w:hAnsi="Times New Roman" w:cs="Times New Roman"/>
                      <w:b/>
                      <w:bCs/>
                      <w:color w:val="auto"/>
                    </w:rPr>
                  </w:pPr>
                  <w:r>
                    <w:rPr>
                      <w:rFonts w:hint="default" w:ascii="Times New Roman" w:hAnsi="Times New Roman" w:cs="Times New Roman"/>
                      <w:b/>
                      <w:bCs/>
                      <w:color w:val="auto"/>
                    </w:rPr>
                    <w:t>周期</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71" w:type="dxa"/>
                  <w:vMerge w:val="restart"/>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危废暂存间</w:t>
                  </w:r>
                </w:p>
              </w:tc>
              <w:tc>
                <w:tcPr>
                  <w:tcW w:w="1516"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废机油</w:t>
                  </w:r>
                </w:p>
              </w:tc>
              <w:tc>
                <w:tcPr>
                  <w:tcW w:w="984"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HW08</w:t>
                  </w:r>
                </w:p>
              </w:tc>
              <w:tc>
                <w:tcPr>
                  <w:tcW w:w="1262"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900-217-08</w:t>
                  </w:r>
                </w:p>
              </w:tc>
              <w:tc>
                <w:tcPr>
                  <w:tcW w:w="688" w:type="dxa"/>
                  <w:vMerge w:val="restart"/>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约</w:t>
                  </w:r>
                  <w:r>
                    <w:rPr>
                      <w:rFonts w:hint="eastAsia" w:cs="Times New Roman"/>
                      <w:color w:val="auto"/>
                      <w:lang w:val="en-US" w:eastAsia="zh-CN"/>
                    </w:rPr>
                    <w:t>10</w:t>
                  </w:r>
                  <w:r>
                    <w:rPr>
                      <w:rFonts w:hint="default" w:ascii="Times New Roman" w:hAnsi="Times New Roman" w:cs="Times New Roman"/>
                      <w:color w:val="auto"/>
                    </w:rPr>
                    <w:t>m</w:t>
                  </w:r>
                  <w:r>
                    <w:rPr>
                      <w:rFonts w:hint="default" w:ascii="Times New Roman" w:hAnsi="Times New Roman" w:cs="Times New Roman"/>
                      <w:color w:val="auto"/>
                      <w:vertAlign w:val="superscript"/>
                    </w:rPr>
                    <w:t>2</w:t>
                  </w:r>
                </w:p>
              </w:tc>
              <w:tc>
                <w:tcPr>
                  <w:tcW w:w="1116"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桶装，50kg/桶</w:t>
                  </w:r>
                </w:p>
              </w:tc>
              <w:tc>
                <w:tcPr>
                  <w:tcW w:w="1240"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≥100kg</w:t>
                  </w:r>
                </w:p>
              </w:tc>
              <w:tc>
                <w:tcPr>
                  <w:tcW w:w="778"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半年</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71" w:type="dxa"/>
                  <w:vMerge w:val="continue"/>
                  <w:vAlign w:val="center"/>
                </w:tcPr>
                <w:p>
                  <w:pPr>
                    <w:pStyle w:val="11"/>
                    <w:jc w:val="center"/>
                    <w:rPr>
                      <w:rFonts w:hint="default" w:ascii="Times New Roman" w:hAnsi="Times New Roman" w:cs="Times New Roman"/>
                      <w:color w:val="auto"/>
                    </w:rPr>
                  </w:pPr>
                </w:p>
              </w:tc>
              <w:tc>
                <w:tcPr>
                  <w:tcW w:w="1516"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废液压油</w:t>
                  </w:r>
                </w:p>
              </w:tc>
              <w:tc>
                <w:tcPr>
                  <w:tcW w:w="984"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HW08</w:t>
                  </w:r>
                </w:p>
              </w:tc>
              <w:tc>
                <w:tcPr>
                  <w:tcW w:w="1262"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900-217-08</w:t>
                  </w:r>
                </w:p>
              </w:tc>
              <w:tc>
                <w:tcPr>
                  <w:tcW w:w="688" w:type="dxa"/>
                  <w:vMerge w:val="continue"/>
                  <w:vAlign w:val="center"/>
                </w:tcPr>
                <w:p>
                  <w:pPr>
                    <w:pStyle w:val="11"/>
                    <w:jc w:val="center"/>
                    <w:rPr>
                      <w:rFonts w:hint="default" w:ascii="Times New Roman" w:hAnsi="Times New Roman" w:cs="Times New Roman"/>
                      <w:color w:val="auto"/>
                    </w:rPr>
                  </w:pPr>
                </w:p>
              </w:tc>
              <w:tc>
                <w:tcPr>
                  <w:tcW w:w="1116"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桶装，50kg/桶</w:t>
                  </w:r>
                </w:p>
              </w:tc>
              <w:tc>
                <w:tcPr>
                  <w:tcW w:w="1240"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≥100kg</w:t>
                  </w:r>
                </w:p>
              </w:tc>
              <w:tc>
                <w:tcPr>
                  <w:tcW w:w="778"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半年</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71" w:type="dxa"/>
                  <w:vMerge w:val="continue"/>
                  <w:vAlign w:val="center"/>
                </w:tcPr>
                <w:p>
                  <w:pPr>
                    <w:pStyle w:val="11"/>
                    <w:jc w:val="center"/>
                    <w:rPr>
                      <w:rFonts w:hint="default" w:ascii="Times New Roman" w:hAnsi="Times New Roman" w:cs="Times New Roman"/>
                      <w:color w:val="auto"/>
                    </w:rPr>
                  </w:pPr>
                </w:p>
              </w:tc>
              <w:tc>
                <w:tcPr>
                  <w:tcW w:w="1516"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废机油、废液压油桶</w:t>
                  </w:r>
                </w:p>
              </w:tc>
              <w:tc>
                <w:tcPr>
                  <w:tcW w:w="984"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HW49</w:t>
                  </w:r>
                </w:p>
              </w:tc>
              <w:tc>
                <w:tcPr>
                  <w:tcW w:w="1262"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900-039-49</w:t>
                  </w:r>
                </w:p>
              </w:tc>
              <w:tc>
                <w:tcPr>
                  <w:tcW w:w="688" w:type="dxa"/>
                  <w:vMerge w:val="continue"/>
                  <w:vAlign w:val="center"/>
                </w:tcPr>
                <w:p>
                  <w:pPr>
                    <w:pStyle w:val="11"/>
                    <w:jc w:val="center"/>
                    <w:rPr>
                      <w:rFonts w:hint="default" w:ascii="Times New Roman" w:hAnsi="Times New Roman" w:cs="Times New Roman"/>
                      <w:color w:val="auto"/>
                    </w:rPr>
                  </w:pPr>
                </w:p>
              </w:tc>
              <w:tc>
                <w:tcPr>
                  <w:tcW w:w="1116"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w:t>
                  </w:r>
                </w:p>
              </w:tc>
              <w:tc>
                <w:tcPr>
                  <w:tcW w:w="1240"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≥100kg</w:t>
                  </w:r>
                </w:p>
              </w:tc>
              <w:tc>
                <w:tcPr>
                  <w:tcW w:w="778"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半年</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71" w:type="dxa"/>
                  <w:vMerge w:val="continue"/>
                  <w:vAlign w:val="center"/>
                </w:tcPr>
                <w:p>
                  <w:pPr>
                    <w:pStyle w:val="11"/>
                    <w:jc w:val="center"/>
                    <w:rPr>
                      <w:rFonts w:hint="default" w:ascii="Times New Roman" w:hAnsi="Times New Roman" w:cs="Times New Roman"/>
                      <w:color w:val="auto"/>
                    </w:rPr>
                  </w:pPr>
                </w:p>
              </w:tc>
              <w:tc>
                <w:tcPr>
                  <w:tcW w:w="1516"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废过滤滤芯</w:t>
                  </w:r>
                </w:p>
              </w:tc>
              <w:tc>
                <w:tcPr>
                  <w:tcW w:w="984"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HW49</w:t>
                  </w:r>
                </w:p>
              </w:tc>
              <w:tc>
                <w:tcPr>
                  <w:tcW w:w="1262"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990-041-49</w:t>
                  </w:r>
                </w:p>
              </w:tc>
              <w:tc>
                <w:tcPr>
                  <w:tcW w:w="688" w:type="dxa"/>
                  <w:vMerge w:val="continue"/>
                  <w:vAlign w:val="center"/>
                </w:tcPr>
                <w:p>
                  <w:pPr>
                    <w:pStyle w:val="11"/>
                    <w:jc w:val="center"/>
                    <w:rPr>
                      <w:rFonts w:hint="default" w:ascii="Times New Roman" w:hAnsi="Times New Roman" w:cs="Times New Roman"/>
                      <w:color w:val="auto"/>
                    </w:rPr>
                  </w:pPr>
                </w:p>
              </w:tc>
              <w:tc>
                <w:tcPr>
                  <w:tcW w:w="1116"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w:t>
                  </w:r>
                </w:p>
              </w:tc>
              <w:tc>
                <w:tcPr>
                  <w:tcW w:w="1240"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≥100kg</w:t>
                  </w:r>
                </w:p>
              </w:tc>
              <w:tc>
                <w:tcPr>
                  <w:tcW w:w="778"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半年</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71" w:type="dxa"/>
                  <w:vMerge w:val="continue"/>
                  <w:vAlign w:val="center"/>
                </w:tcPr>
                <w:p>
                  <w:pPr>
                    <w:pStyle w:val="11"/>
                    <w:jc w:val="center"/>
                    <w:rPr>
                      <w:rFonts w:hint="default" w:ascii="Times New Roman" w:hAnsi="Times New Roman" w:cs="Times New Roman"/>
                      <w:color w:val="auto"/>
                    </w:rPr>
                  </w:pPr>
                </w:p>
              </w:tc>
              <w:tc>
                <w:tcPr>
                  <w:tcW w:w="1516"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废活性炭</w:t>
                  </w:r>
                </w:p>
              </w:tc>
              <w:tc>
                <w:tcPr>
                  <w:tcW w:w="984"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HW49</w:t>
                  </w:r>
                </w:p>
              </w:tc>
              <w:tc>
                <w:tcPr>
                  <w:tcW w:w="1262"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990-041-49</w:t>
                  </w:r>
                </w:p>
              </w:tc>
              <w:tc>
                <w:tcPr>
                  <w:tcW w:w="688" w:type="dxa"/>
                  <w:vMerge w:val="continue"/>
                  <w:vAlign w:val="center"/>
                </w:tcPr>
                <w:p>
                  <w:pPr>
                    <w:pStyle w:val="11"/>
                    <w:jc w:val="center"/>
                    <w:rPr>
                      <w:rFonts w:hint="default" w:ascii="Times New Roman" w:hAnsi="Times New Roman" w:cs="Times New Roman"/>
                      <w:color w:val="auto"/>
                    </w:rPr>
                  </w:pPr>
                </w:p>
              </w:tc>
              <w:tc>
                <w:tcPr>
                  <w:tcW w:w="1116"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w:t>
                  </w:r>
                </w:p>
              </w:tc>
              <w:tc>
                <w:tcPr>
                  <w:tcW w:w="1240"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≥1000kg</w:t>
                  </w:r>
                </w:p>
              </w:tc>
              <w:tc>
                <w:tcPr>
                  <w:tcW w:w="778"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半年</w:t>
                  </w:r>
                </w:p>
              </w:tc>
            </w:tr>
          </w:tbl>
          <w:p>
            <w:pPr>
              <w:adjustRightInd w:val="0"/>
              <w:snapToGrid w:val="0"/>
              <w:ind w:firstLine="480"/>
              <w:rPr>
                <w:rFonts w:hint="default" w:ascii="Times New Roman" w:hAnsi="Times New Roman" w:cs="Times New Roman"/>
                <w:color w:val="auto"/>
              </w:rPr>
            </w:pPr>
            <w:r>
              <w:rPr>
                <w:rFonts w:hint="default" w:ascii="Times New Roman" w:hAnsi="Times New Roman" w:cs="Times New Roman"/>
                <w:color w:val="auto"/>
              </w:rPr>
              <w:t>综上所述，在采取以上措施后，项目营运期产生的固体废弃物均能得到妥善处置，营运期产生的固废对项目周围环境无明显影响。</w:t>
            </w:r>
          </w:p>
          <w:p>
            <w:pPr>
              <w:adjustRightInd w:val="0"/>
              <w:snapToGrid w:val="0"/>
              <w:ind w:firstLine="442"/>
              <w:rPr>
                <w:rFonts w:hint="default" w:ascii="Times New Roman" w:hAnsi="Times New Roman" w:cs="Times New Roman"/>
                <w:b/>
                <w:color w:val="auto"/>
                <w:spacing w:val="-10"/>
                <w:szCs w:val="21"/>
              </w:rPr>
            </w:pPr>
            <w:r>
              <w:rPr>
                <w:rFonts w:hint="default" w:ascii="Times New Roman" w:hAnsi="Times New Roman" w:cs="Times New Roman"/>
                <w:b/>
                <w:color w:val="auto"/>
                <w:spacing w:val="-10"/>
                <w:szCs w:val="21"/>
                <w:lang w:val="en-US" w:eastAsia="zh-CN"/>
              </w:rPr>
              <w:t>5、</w:t>
            </w:r>
            <w:r>
              <w:rPr>
                <w:rFonts w:hint="default" w:ascii="Times New Roman" w:hAnsi="Times New Roman" w:cs="Times New Roman"/>
                <w:b/>
                <w:color w:val="auto"/>
                <w:spacing w:val="-10"/>
                <w:szCs w:val="21"/>
              </w:rPr>
              <w:t>营运期地下水影响分析</w:t>
            </w:r>
          </w:p>
          <w:p>
            <w:pPr>
              <w:adjustRightInd w:val="0"/>
              <w:snapToGrid w:val="0"/>
              <w:ind w:firstLine="480"/>
              <w:rPr>
                <w:rFonts w:hint="default" w:ascii="Times New Roman" w:hAnsi="Times New Roman" w:cs="Times New Roman"/>
                <w:color w:val="auto"/>
              </w:rPr>
            </w:pPr>
            <w:r>
              <w:rPr>
                <w:rFonts w:hint="default" w:ascii="Times New Roman" w:hAnsi="Times New Roman" w:cs="Times New Roman"/>
                <w:color w:val="auto"/>
              </w:rPr>
              <w:t>建设项目的地下水污染防治措施和对策，坚持“源头控制、分区防控、污染监控、应急响应，重点突出饮用水水质安全”的原则。</w:t>
            </w:r>
          </w:p>
          <w:p>
            <w:pPr>
              <w:adjustRightInd w:val="0"/>
              <w:snapToGrid w:val="0"/>
              <w:ind w:firstLine="480"/>
              <w:rPr>
                <w:rFonts w:hint="default" w:ascii="Times New Roman" w:hAnsi="Times New Roman" w:cs="Times New Roman"/>
                <w:color w:val="auto"/>
              </w:rPr>
            </w:pPr>
            <w:r>
              <w:rPr>
                <w:rFonts w:hint="default" w:ascii="Times New Roman" w:hAnsi="Times New Roman" w:cs="Times New Roman"/>
                <w:color w:val="auto"/>
              </w:rPr>
              <w:t>环评提出如下地下水防治要求：</w:t>
            </w:r>
          </w:p>
          <w:p>
            <w:pPr>
              <w:adjustRightInd w:val="0"/>
              <w:snapToGrid w:val="0"/>
              <w:ind w:firstLine="480"/>
              <w:rPr>
                <w:rFonts w:hint="default" w:ascii="Times New Roman" w:hAnsi="Times New Roman" w:cs="Times New Roman"/>
                <w:color w:val="auto"/>
              </w:rPr>
            </w:pPr>
            <w:r>
              <w:rPr>
                <w:rFonts w:hint="default" w:ascii="Times New Roman" w:hAnsi="Times New Roman" w:cs="Times New Roman"/>
                <w:color w:val="auto"/>
              </w:rPr>
              <w:t>项目应结合全厂各生产设备、运输装置、污染物贮存与处理装置、事故应急装置等的布局，根据可能进入地下水环境的各种原辅材料、产品的泄漏（含跑、冒、滴、漏）量及其他各类污染物的性质、产生量和排放量，将全车间主要生产单元划分为重点防渗区、一般防渗区、简单防渗区，详见表4-</w:t>
            </w:r>
            <w:r>
              <w:rPr>
                <w:rFonts w:hint="default" w:ascii="Times New Roman" w:hAnsi="Times New Roman" w:cs="Times New Roman"/>
                <w:color w:val="auto"/>
                <w:lang w:val="en-US" w:eastAsia="zh-CN"/>
              </w:rPr>
              <w:t>1</w:t>
            </w:r>
            <w:r>
              <w:rPr>
                <w:rFonts w:hint="eastAsia" w:cs="Times New Roman"/>
                <w:color w:val="auto"/>
                <w:lang w:val="en-US" w:eastAsia="zh-CN"/>
              </w:rPr>
              <w:t>0</w:t>
            </w:r>
            <w:r>
              <w:rPr>
                <w:rFonts w:hint="default" w:ascii="Times New Roman" w:hAnsi="Times New Roman" w:cs="Times New Roman"/>
                <w:color w:val="auto"/>
              </w:rPr>
              <w:t>。</w:t>
            </w:r>
          </w:p>
          <w:p>
            <w:pPr>
              <w:pStyle w:val="11"/>
              <w:jc w:val="center"/>
              <w:rPr>
                <w:rFonts w:hint="default" w:ascii="Times New Roman" w:hAnsi="Times New Roman" w:cs="Times New Roman"/>
                <w:b/>
                <w:bCs/>
                <w:color w:val="auto"/>
              </w:rPr>
            </w:pPr>
            <w:r>
              <w:rPr>
                <w:rFonts w:hint="default" w:ascii="Times New Roman" w:hAnsi="Times New Roman" w:cs="Times New Roman"/>
                <w:b/>
                <w:bCs/>
                <w:color w:val="auto"/>
              </w:rPr>
              <w:t>表4-</w:t>
            </w:r>
            <w:r>
              <w:rPr>
                <w:rFonts w:hint="default" w:ascii="Times New Roman" w:hAnsi="Times New Roman" w:cs="Times New Roman"/>
                <w:b/>
                <w:bCs/>
                <w:color w:val="auto"/>
                <w:lang w:val="en-US" w:eastAsia="zh-CN"/>
              </w:rPr>
              <w:t>1</w:t>
            </w:r>
            <w:r>
              <w:rPr>
                <w:rFonts w:hint="eastAsia" w:cs="Times New Roman"/>
                <w:b/>
                <w:bCs/>
                <w:color w:val="auto"/>
                <w:lang w:val="en-US" w:eastAsia="zh-CN"/>
              </w:rPr>
              <w:t>0</w:t>
            </w:r>
            <w:r>
              <w:rPr>
                <w:rFonts w:hint="default" w:ascii="Times New Roman" w:hAnsi="Times New Roman" w:cs="Times New Roman"/>
                <w:b/>
                <w:bCs/>
                <w:color w:val="auto"/>
              </w:rPr>
              <w:t xml:space="preserve">   厂区防渗分区防渗要求一览表</w:t>
            </w:r>
          </w:p>
          <w:tbl>
            <w:tblPr>
              <w:tblStyle w:val="5"/>
              <w:tblW w:w="8832" w:type="dxa"/>
              <w:jc w:val="center"/>
              <w:tblBorders>
                <w:top w:val="single" w:color="auto" w:sz="2" w:space="0"/>
                <w:left w:val="none" w:color="auto" w:sz="0" w:space="0"/>
                <w:bottom w:val="single" w:color="auto" w:sz="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1403"/>
              <w:gridCol w:w="2050"/>
              <w:gridCol w:w="2768"/>
              <w:gridCol w:w="2611"/>
            </w:tblGrid>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PrEx>
              <w:trPr>
                <w:trHeight w:val="228" w:hRule="atLeast"/>
                <w:jc w:val="center"/>
              </w:trPr>
              <w:tc>
                <w:tcPr>
                  <w:tcW w:w="3453" w:type="dxa"/>
                  <w:gridSpan w:val="2"/>
                  <w:vAlign w:val="center"/>
                </w:tcPr>
                <w:p>
                  <w:pPr>
                    <w:pStyle w:val="11"/>
                    <w:jc w:val="center"/>
                    <w:rPr>
                      <w:rFonts w:hint="default" w:ascii="Times New Roman" w:hAnsi="Times New Roman" w:cs="Times New Roman"/>
                      <w:b/>
                      <w:bCs/>
                      <w:color w:val="auto"/>
                    </w:rPr>
                  </w:pPr>
                  <w:r>
                    <w:rPr>
                      <w:rFonts w:hint="default" w:ascii="Times New Roman" w:hAnsi="Times New Roman" w:cs="Times New Roman"/>
                      <w:b/>
                      <w:bCs/>
                      <w:color w:val="auto"/>
                    </w:rPr>
                    <w:t>区域名称</w:t>
                  </w:r>
                </w:p>
              </w:tc>
              <w:tc>
                <w:tcPr>
                  <w:tcW w:w="2768" w:type="dxa"/>
                  <w:vAlign w:val="center"/>
                </w:tcPr>
                <w:p>
                  <w:pPr>
                    <w:pStyle w:val="11"/>
                    <w:jc w:val="center"/>
                    <w:rPr>
                      <w:rFonts w:hint="default" w:ascii="Times New Roman" w:hAnsi="Times New Roman" w:cs="Times New Roman"/>
                      <w:b/>
                      <w:bCs/>
                      <w:color w:val="auto"/>
                    </w:rPr>
                  </w:pPr>
                  <w:r>
                    <w:rPr>
                      <w:rFonts w:hint="default" w:ascii="Times New Roman" w:hAnsi="Times New Roman" w:cs="Times New Roman"/>
                      <w:b/>
                      <w:bCs/>
                      <w:color w:val="auto"/>
                    </w:rPr>
                    <w:t>防渗技术要求</w:t>
                  </w:r>
                </w:p>
              </w:tc>
              <w:tc>
                <w:tcPr>
                  <w:tcW w:w="2611" w:type="dxa"/>
                  <w:vAlign w:val="center"/>
                </w:tcPr>
                <w:p>
                  <w:pPr>
                    <w:pStyle w:val="11"/>
                    <w:jc w:val="center"/>
                    <w:rPr>
                      <w:rFonts w:hint="default" w:ascii="Times New Roman" w:hAnsi="Times New Roman" w:cs="Times New Roman"/>
                      <w:b/>
                      <w:bCs/>
                      <w:color w:val="auto"/>
                    </w:rPr>
                  </w:pPr>
                  <w:r>
                    <w:rPr>
                      <w:rFonts w:hint="default" w:ascii="Times New Roman" w:hAnsi="Times New Roman" w:cs="Times New Roman"/>
                      <w:b/>
                      <w:bCs/>
                      <w:color w:val="auto"/>
                    </w:rPr>
                    <w:t>防渗工艺</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28" w:hRule="atLeast"/>
                <w:jc w:val="center"/>
              </w:trPr>
              <w:tc>
                <w:tcPr>
                  <w:tcW w:w="1403"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简单</w:t>
                  </w:r>
                </w:p>
                <w:p>
                  <w:pPr>
                    <w:pStyle w:val="11"/>
                    <w:jc w:val="center"/>
                    <w:rPr>
                      <w:rFonts w:hint="default" w:ascii="Times New Roman" w:hAnsi="Times New Roman" w:cs="Times New Roman"/>
                      <w:color w:val="auto"/>
                    </w:rPr>
                  </w:pPr>
                  <w:r>
                    <w:rPr>
                      <w:rFonts w:hint="default" w:ascii="Times New Roman" w:hAnsi="Times New Roman" w:cs="Times New Roman"/>
                      <w:color w:val="auto"/>
                    </w:rPr>
                    <w:t>防渗区</w:t>
                  </w:r>
                </w:p>
              </w:tc>
              <w:tc>
                <w:tcPr>
                  <w:tcW w:w="2050"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办公区</w:t>
                  </w:r>
                </w:p>
              </w:tc>
              <w:tc>
                <w:tcPr>
                  <w:tcW w:w="2768"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一般地面硬化</w:t>
                  </w:r>
                </w:p>
              </w:tc>
              <w:tc>
                <w:tcPr>
                  <w:tcW w:w="2611"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使用普通</w:t>
                  </w:r>
                </w:p>
                <w:p>
                  <w:pPr>
                    <w:pStyle w:val="11"/>
                    <w:jc w:val="center"/>
                    <w:rPr>
                      <w:rFonts w:hint="default" w:ascii="Times New Roman" w:hAnsi="Times New Roman" w:cs="Times New Roman"/>
                      <w:color w:val="auto"/>
                    </w:rPr>
                  </w:pPr>
                  <w:r>
                    <w:rPr>
                      <w:rFonts w:hint="default" w:ascii="Times New Roman" w:hAnsi="Times New Roman" w:cs="Times New Roman"/>
                      <w:color w:val="auto"/>
                    </w:rPr>
                    <w:t>混凝土硬化地面</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71" w:hRule="atLeast"/>
                <w:jc w:val="center"/>
              </w:trPr>
              <w:tc>
                <w:tcPr>
                  <w:tcW w:w="1403"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一般</w:t>
                  </w:r>
                </w:p>
                <w:p>
                  <w:pPr>
                    <w:pStyle w:val="11"/>
                    <w:jc w:val="center"/>
                    <w:rPr>
                      <w:rFonts w:hint="default" w:ascii="Times New Roman" w:hAnsi="Times New Roman" w:cs="Times New Roman"/>
                      <w:color w:val="auto"/>
                    </w:rPr>
                  </w:pPr>
                  <w:r>
                    <w:rPr>
                      <w:rFonts w:hint="default" w:ascii="Times New Roman" w:hAnsi="Times New Roman" w:cs="Times New Roman"/>
                      <w:color w:val="auto"/>
                    </w:rPr>
                    <w:t>防渗区</w:t>
                  </w:r>
                </w:p>
              </w:tc>
              <w:tc>
                <w:tcPr>
                  <w:tcW w:w="2050"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加工区</w:t>
                  </w:r>
                </w:p>
              </w:tc>
              <w:tc>
                <w:tcPr>
                  <w:tcW w:w="2768"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要求K≤10</w:t>
                  </w:r>
                  <w:r>
                    <w:rPr>
                      <w:rFonts w:hint="default" w:ascii="Times New Roman" w:hAnsi="Times New Roman" w:cs="Times New Roman"/>
                      <w:color w:val="auto"/>
                      <w:vertAlign w:val="superscript"/>
                    </w:rPr>
                    <w:t>-7</w:t>
                  </w:r>
                  <w:r>
                    <w:rPr>
                      <w:rFonts w:hint="default" w:ascii="Times New Roman" w:hAnsi="Times New Roman" w:cs="Times New Roman"/>
                      <w:color w:val="auto"/>
                    </w:rPr>
                    <w:t>cm/s的</w:t>
                  </w:r>
                </w:p>
                <w:p>
                  <w:pPr>
                    <w:pStyle w:val="11"/>
                    <w:jc w:val="center"/>
                    <w:rPr>
                      <w:rFonts w:hint="default" w:ascii="Times New Roman" w:hAnsi="Times New Roman" w:cs="Times New Roman"/>
                      <w:color w:val="auto"/>
                    </w:rPr>
                  </w:pPr>
                  <w:r>
                    <w:rPr>
                      <w:rFonts w:hint="default" w:ascii="Times New Roman" w:hAnsi="Times New Roman" w:cs="Times New Roman"/>
                      <w:color w:val="auto"/>
                    </w:rPr>
                    <w:t>黏土防渗层效果</w:t>
                  </w:r>
                </w:p>
              </w:tc>
              <w:tc>
                <w:tcPr>
                  <w:tcW w:w="2611"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使用防渗混凝土</w:t>
                  </w:r>
                </w:p>
                <w:p>
                  <w:pPr>
                    <w:pStyle w:val="11"/>
                    <w:jc w:val="center"/>
                    <w:rPr>
                      <w:rFonts w:hint="default" w:ascii="Times New Roman" w:hAnsi="Times New Roman" w:cs="Times New Roman"/>
                      <w:color w:val="auto"/>
                    </w:rPr>
                  </w:pPr>
                  <w:r>
                    <w:rPr>
                      <w:rFonts w:hint="default" w:ascii="Times New Roman" w:hAnsi="Times New Roman" w:cs="Times New Roman"/>
                      <w:color w:val="auto"/>
                    </w:rPr>
                    <w:t>地面</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680" w:hRule="atLeast"/>
                <w:jc w:val="center"/>
              </w:trPr>
              <w:tc>
                <w:tcPr>
                  <w:tcW w:w="1403"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重点</w:t>
                  </w:r>
                </w:p>
                <w:p>
                  <w:pPr>
                    <w:pStyle w:val="11"/>
                    <w:jc w:val="center"/>
                    <w:rPr>
                      <w:rFonts w:hint="default" w:ascii="Times New Roman" w:hAnsi="Times New Roman" w:cs="Times New Roman"/>
                      <w:color w:val="auto"/>
                    </w:rPr>
                  </w:pPr>
                  <w:r>
                    <w:rPr>
                      <w:rFonts w:hint="default" w:ascii="Times New Roman" w:hAnsi="Times New Roman" w:cs="Times New Roman"/>
                      <w:color w:val="auto"/>
                    </w:rPr>
                    <w:t>防渗区</w:t>
                  </w:r>
                </w:p>
              </w:tc>
              <w:tc>
                <w:tcPr>
                  <w:tcW w:w="2050"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危险废物暂存间</w:t>
                  </w:r>
                </w:p>
              </w:tc>
              <w:tc>
                <w:tcPr>
                  <w:tcW w:w="2768"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要求K≤10</w:t>
                  </w:r>
                  <w:r>
                    <w:rPr>
                      <w:rFonts w:hint="default" w:ascii="Times New Roman" w:hAnsi="Times New Roman" w:cs="Times New Roman"/>
                      <w:color w:val="auto"/>
                      <w:vertAlign w:val="superscript"/>
                    </w:rPr>
                    <w:t>-10</w:t>
                  </w:r>
                  <w:r>
                    <w:rPr>
                      <w:rFonts w:hint="default" w:ascii="Times New Roman" w:hAnsi="Times New Roman" w:cs="Times New Roman"/>
                      <w:color w:val="auto"/>
                    </w:rPr>
                    <w:t>cm/s的</w:t>
                  </w:r>
                </w:p>
                <w:p>
                  <w:pPr>
                    <w:pStyle w:val="11"/>
                    <w:jc w:val="center"/>
                    <w:rPr>
                      <w:rFonts w:hint="default" w:ascii="Times New Roman" w:hAnsi="Times New Roman" w:cs="Times New Roman"/>
                      <w:color w:val="auto"/>
                    </w:rPr>
                  </w:pPr>
                  <w:r>
                    <w:rPr>
                      <w:rFonts w:hint="default" w:ascii="Times New Roman" w:hAnsi="Times New Roman" w:cs="Times New Roman"/>
                      <w:color w:val="auto"/>
                    </w:rPr>
                    <w:t>黏土防渗层效果</w:t>
                  </w:r>
                </w:p>
              </w:tc>
              <w:tc>
                <w:tcPr>
                  <w:tcW w:w="2611"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采取防渗混凝土</w:t>
                  </w:r>
                </w:p>
                <w:p>
                  <w:pPr>
                    <w:pStyle w:val="11"/>
                    <w:jc w:val="center"/>
                    <w:rPr>
                      <w:rFonts w:hint="default" w:ascii="Times New Roman" w:hAnsi="Times New Roman" w:cs="Times New Roman"/>
                      <w:color w:val="auto"/>
                    </w:rPr>
                  </w:pPr>
                  <w:r>
                    <w:rPr>
                      <w:rFonts w:hint="default" w:ascii="Times New Roman" w:hAnsi="Times New Roman" w:cs="Times New Roman"/>
                      <w:color w:val="auto"/>
                    </w:rPr>
                    <w:t>地面+2mmHDPE土工膜进行防渗处理</w:t>
                  </w:r>
                </w:p>
              </w:tc>
            </w:tr>
          </w:tbl>
          <w:p>
            <w:pPr>
              <w:adjustRightInd w:val="0"/>
              <w:snapToGrid w:val="0"/>
              <w:ind w:firstLine="480"/>
              <w:rPr>
                <w:rFonts w:hint="default" w:ascii="Times New Roman" w:hAnsi="Times New Roman" w:cs="Times New Roman"/>
                <w:color w:val="auto"/>
              </w:rPr>
            </w:pPr>
            <w:r>
              <w:rPr>
                <w:rFonts w:hint="default" w:ascii="Times New Roman" w:hAnsi="Times New Roman" w:cs="Times New Roman"/>
                <w:color w:val="auto"/>
              </w:rPr>
              <w:t>项目采取以上地下水防渗措施后，项目对地下水环境的影响很小。</w:t>
            </w:r>
          </w:p>
          <w:p>
            <w:pPr>
              <w:adjustRightInd w:val="0"/>
              <w:snapToGrid w:val="0"/>
              <w:ind w:firstLine="442"/>
              <w:rPr>
                <w:rFonts w:hint="default" w:ascii="Times New Roman" w:hAnsi="Times New Roman" w:cs="Times New Roman"/>
                <w:b/>
                <w:color w:val="auto"/>
                <w:spacing w:val="-10"/>
                <w:szCs w:val="21"/>
              </w:rPr>
            </w:pPr>
            <w:r>
              <w:rPr>
                <w:rFonts w:hint="default" w:ascii="Times New Roman" w:hAnsi="Times New Roman" w:cs="Times New Roman"/>
                <w:b/>
                <w:color w:val="auto"/>
                <w:spacing w:val="-10"/>
                <w:szCs w:val="21"/>
                <w:lang w:val="en-US" w:eastAsia="zh-CN"/>
              </w:rPr>
              <w:t>6、</w:t>
            </w:r>
            <w:r>
              <w:rPr>
                <w:rFonts w:hint="default" w:ascii="Times New Roman" w:hAnsi="Times New Roman" w:cs="Times New Roman"/>
                <w:b/>
                <w:color w:val="auto"/>
                <w:spacing w:val="-10"/>
                <w:szCs w:val="21"/>
              </w:rPr>
              <w:t>土壤环境影响分析</w:t>
            </w:r>
          </w:p>
          <w:p>
            <w:pPr>
              <w:adjustRightInd w:val="0"/>
              <w:snapToGrid w:val="0"/>
              <w:ind w:firstLine="440"/>
              <w:rPr>
                <w:rFonts w:hint="default" w:ascii="Times New Roman" w:hAnsi="Times New Roman" w:cs="Times New Roman"/>
                <w:bCs/>
                <w:color w:val="auto"/>
                <w:spacing w:val="-10"/>
                <w:szCs w:val="21"/>
              </w:rPr>
            </w:pPr>
            <w:r>
              <w:rPr>
                <w:rFonts w:hint="default" w:ascii="Times New Roman" w:hAnsi="Times New Roman" w:cs="Times New Roman"/>
                <w:bCs/>
                <w:color w:val="auto"/>
                <w:spacing w:val="-10"/>
                <w:szCs w:val="21"/>
              </w:rPr>
              <w:t>环评要求：</w:t>
            </w:r>
          </w:p>
          <w:p>
            <w:pPr>
              <w:adjustRightInd w:val="0"/>
              <w:snapToGrid w:val="0"/>
              <w:ind w:firstLine="440"/>
              <w:rPr>
                <w:rFonts w:hint="default" w:ascii="Times New Roman" w:hAnsi="Times New Roman" w:cs="Times New Roman"/>
                <w:bCs/>
                <w:color w:val="auto"/>
                <w:spacing w:val="-10"/>
                <w:szCs w:val="21"/>
              </w:rPr>
            </w:pPr>
            <w:r>
              <w:rPr>
                <w:rFonts w:hint="default" w:ascii="Times New Roman" w:hAnsi="Times New Roman" w:cs="Times New Roman"/>
                <w:bCs/>
                <w:color w:val="auto"/>
                <w:spacing w:val="-10"/>
                <w:szCs w:val="21"/>
              </w:rPr>
              <w:t>（1）严格检查污水处理设施的防渗措施，从而防止地下水污染。</w:t>
            </w:r>
          </w:p>
          <w:p>
            <w:pPr>
              <w:adjustRightInd w:val="0"/>
              <w:snapToGrid w:val="0"/>
              <w:ind w:firstLine="440"/>
              <w:rPr>
                <w:rFonts w:hint="default" w:ascii="Times New Roman" w:hAnsi="Times New Roman" w:cs="Times New Roman"/>
                <w:bCs/>
                <w:color w:val="auto"/>
                <w:spacing w:val="-10"/>
                <w:szCs w:val="21"/>
              </w:rPr>
            </w:pPr>
            <w:r>
              <w:rPr>
                <w:rFonts w:hint="default" w:ascii="Times New Roman" w:hAnsi="Times New Roman" w:cs="Times New Roman"/>
                <w:bCs/>
                <w:color w:val="auto"/>
                <w:spacing w:val="-10"/>
                <w:szCs w:val="21"/>
              </w:rPr>
              <w:t>（2）对危废间进行重点防渗；</w:t>
            </w:r>
          </w:p>
          <w:p>
            <w:pPr>
              <w:adjustRightInd w:val="0"/>
              <w:snapToGrid w:val="0"/>
              <w:ind w:firstLine="482"/>
              <w:rPr>
                <w:rFonts w:hint="default" w:ascii="Times New Roman" w:hAnsi="Times New Roman" w:cs="Times New Roman"/>
                <w:b/>
                <w:bCs/>
                <w:color w:val="auto"/>
              </w:rPr>
            </w:pPr>
            <w:r>
              <w:rPr>
                <w:rFonts w:hint="default" w:ascii="Times New Roman" w:hAnsi="Times New Roman" w:cs="Times New Roman"/>
                <w:b/>
                <w:bCs/>
                <w:color w:val="auto"/>
                <w:lang w:val="en-US" w:eastAsia="zh-CN"/>
              </w:rPr>
              <w:t>7、</w:t>
            </w:r>
            <w:r>
              <w:rPr>
                <w:rFonts w:hint="default" w:ascii="Times New Roman" w:hAnsi="Times New Roman" w:cs="Times New Roman"/>
                <w:b/>
                <w:bCs/>
                <w:color w:val="auto"/>
              </w:rPr>
              <w:t>风险影响分析</w:t>
            </w:r>
          </w:p>
          <w:p>
            <w:pPr>
              <w:ind w:firstLine="480"/>
              <w:rPr>
                <w:rFonts w:hint="default" w:ascii="Times New Roman" w:hAnsi="Times New Roman" w:cs="Times New Roman"/>
                <w:color w:val="auto"/>
              </w:rPr>
            </w:pPr>
            <w:r>
              <w:rPr>
                <w:rFonts w:hint="default" w:ascii="Times New Roman" w:hAnsi="Times New Roman" w:cs="Times New Roman"/>
                <w:color w:val="auto"/>
              </w:rPr>
              <w:t>环境风险评价的目的是分析和预测建设项目存在的潜在危险、有害因素，建设项目建设和运行期间可能发生的突发性事件或事故，引起有毒有害和易燃易爆等物质泄漏，所造成的人身安全与环境影响和损害程度，提出合理可行的防范、应急与减缓措施，以使建设项目事故率、损失和环境影响达到可接受水平。</w:t>
            </w:r>
          </w:p>
          <w:p>
            <w:pPr>
              <w:rPr>
                <w:rFonts w:hint="default" w:ascii="Times New Roman" w:hAnsi="Times New Roman" w:cs="Times New Roman"/>
                <w:color w:val="auto"/>
              </w:rPr>
            </w:pPr>
            <w:r>
              <w:rPr>
                <w:rFonts w:hint="default" w:ascii="Times New Roman" w:hAnsi="Times New Roman" w:cs="Times New Roman"/>
                <w:color w:val="auto"/>
              </w:rPr>
              <w:t>本项目事故风险评价不考虑工程外部事故风险因素（如地震、雷电、战争、人为蓄意破坏等），主要考虑可能对厂区外敏感点和周围环境造成污染的危害事故。</w:t>
            </w:r>
          </w:p>
          <w:p>
            <w:pPr>
              <w:rPr>
                <w:rFonts w:hint="default" w:ascii="Times New Roman" w:hAnsi="Times New Roman" w:cs="Times New Roman"/>
                <w:color w:val="auto"/>
              </w:rPr>
            </w:pP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1</w:t>
            </w:r>
            <w:r>
              <w:rPr>
                <w:rFonts w:hint="default" w:ascii="Times New Roman" w:hAnsi="Times New Roman" w:cs="Times New Roman"/>
                <w:color w:val="auto"/>
                <w:lang w:eastAsia="zh-CN"/>
              </w:rPr>
              <w:t>）</w:t>
            </w:r>
            <w:r>
              <w:rPr>
                <w:rFonts w:hint="default" w:ascii="Times New Roman" w:hAnsi="Times New Roman" w:cs="Times New Roman"/>
                <w:color w:val="auto"/>
              </w:rPr>
              <w:t>风险识别</w:t>
            </w:r>
          </w:p>
          <w:p>
            <w:pPr>
              <w:rPr>
                <w:rFonts w:hint="default" w:ascii="Times New Roman" w:hAnsi="Times New Roman" w:cs="Times New Roman"/>
                <w:color w:val="auto"/>
              </w:rPr>
            </w:pPr>
            <w:r>
              <w:rPr>
                <w:rFonts w:hint="default" w:ascii="Times New Roman" w:hAnsi="Times New Roman" w:cs="Times New Roman"/>
                <w:color w:val="auto"/>
              </w:rPr>
              <w:t>本项目原辅材料、生产过程均不涉及危险物质，本项目不涉及重大危险源。本项目运行过程中，主要的环境风险为生产设备发生火灾、废气处理设施故障发生废气超标排放、危险废物储存不当发生泄露或管理不当发生火灾。具体环境风险识别见表4-</w:t>
            </w:r>
            <w:r>
              <w:rPr>
                <w:rFonts w:hint="default" w:ascii="Times New Roman" w:hAnsi="Times New Roman" w:cs="Times New Roman"/>
                <w:color w:val="auto"/>
                <w:lang w:val="en-US" w:eastAsia="zh-CN"/>
              </w:rPr>
              <w:t>1</w:t>
            </w:r>
            <w:r>
              <w:rPr>
                <w:rFonts w:hint="eastAsia" w:cs="Times New Roman"/>
                <w:color w:val="auto"/>
                <w:lang w:val="en-US" w:eastAsia="zh-CN"/>
              </w:rPr>
              <w:t>1</w:t>
            </w:r>
            <w:r>
              <w:rPr>
                <w:rFonts w:hint="default" w:ascii="Times New Roman" w:hAnsi="Times New Roman" w:cs="Times New Roman"/>
                <w:color w:val="auto"/>
              </w:rPr>
              <w:t>。</w:t>
            </w:r>
          </w:p>
          <w:p>
            <w:pPr>
              <w:pStyle w:val="11"/>
              <w:bidi w:val="0"/>
              <w:jc w:val="center"/>
              <w:rPr>
                <w:rFonts w:hint="default" w:ascii="Times New Roman" w:hAnsi="Times New Roman" w:cs="Times New Roman"/>
                <w:b/>
                <w:bCs/>
                <w:color w:val="auto"/>
              </w:rPr>
            </w:pPr>
            <w:r>
              <w:rPr>
                <w:rFonts w:hint="default" w:ascii="Times New Roman" w:hAnsi="Times New Roman" w:cs="Times New Roman"/>
                <w:b/>
                <w:bCs/>
                <w:color w:val="auto"/>
              </w:rPr>
              <w:t>表4-</w:t>
            </w:r>
            <w:r>
              <w:rPr>
                <w:rFonts w:hint="default" w:ascii="Times New Roman" w:hAnsi="Times New Roman" w:cs="Times New Roman"/>
                <w:b/>
                <w:bCs/>
                <w:color w:val="auto"/>
                <w:lang w:val="en-US" w:eastAsia="zh-CN"/>
              </w:rPr>
              <w:t>1</w:t>
            </w:r>
            <w:r>
              <w:rPr>
                <w:rFonts w:hint="eastAsia" w:cs="Times New Roman"/>
                <w:b/>
                <w:bCs/>
                <w:color w:val="auto"/>
                <w:lang w:val="en-US" w:eastAsia="zh-CN"/>
              </w:rPr>
              <w:t>1</w:t>
            </w:r>
            <w:r>
              <w:rPr>
                <w:rFonts w:hint="default" w:ascii="Times New Roman" w:hAnsi="Times New Roman" w:cs="Times New Roman"/>
                <w:b/>
                <w:bCs/>
                <w:color w:val="auto"/>
              </w:rPr>
              <w:t xml:space="preserve"> 主要生产设施危险识别表</w:t>
            </w:r>
          </w:p>
          <w:tbl>
            <w:tblPr>
              <w:tblStyle w:val="5"/>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76"/>
              <w:gridCol w:w="1228"/>
              <w:gridCol w:w="1318"/>
              <w:gridCol w:w="1252"/>
              <w:gridCol w:w="1252"/>
              <w:gridCol w:w="2026"/>
              <w:gridCol w:w="127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2" w:type="pct"/>
                  <w:shd w:val="clear" w:color="auto" w:fill="auto"/>
                  <w:noWrap w:val="0"/>
                  <w:vAlign w:val="center"/>
                </w:tcPr>
                <w:p>
                  <w:pPr>
                    <w:pStyle w:val="11"/>
                    <w:bidi w:val="0"/>
                    <w:jc w:val="center"/>
                    <w:rPr>
                      <w:rFonts w:hint="default" w:ascii="Times New Roman" w:hAnsi="Times New Roman" w:cs="Times New Roman"/>
                      <w:b/>
                      <w:bCs/>
                      <w:color w:val="auto"/>
                      <w:lang w:val="en-US"/>
                    </w:rPr>
                  </w:pPr>
                  <w:r>
                    <w:rPr>
                      <w:rFonts w:hint="default" w:ascii="Times New Roman" w:hAnsi="Times New Roman" w:cs="Times New Roman"/>
                      <w:b/>
                      <w:bCs/>
                      <w:color w:val="auto"/>
                      <w:lang w:val="en-US"/>
                    </w:rPr>
                    <w:t>序号</w:t>
                  </w:r>
                </w:p>
              </w:tc>
              <w:tc>
                <w:tcPr>
                  <w:tcW w:w="687" w:type="pct"/>
                  <w:shd w:val="clear" w:color="auto" w:fill="auto"/>
                  <w:noWrap w:val="0"/>
                  <w:vAlign w:val="center"/>
                </w:tcPr>
                <w:p>
                  <w:pPr>
                    <w:pStyle w:val="11"/>
                    <w:bidi w:val="0"/>
                    <w:jc w:val="center"/>
                    <w:rPr>
                      <w:rFonts w:hint="default" w:ascii="Times New Roman" w:hAnsi="Times New Roman" w:cs="Times New Roman"/>
                      <w:b/>
                      <w:bCs/>
                      <w:color w:val="auto"/>
                      <w:lang w:val="en-US"/>
                    </w:rPr>
                  </w:pPr>
                  <w:r>
                    <w:rPr>
                      <w:rFonts w:hint="default" w:ascii="Times New Roman" w:hAnsi="Times New Roman" w:cs="Times New Roman"/>
                      <w:b/>
                      <w:bCs/>
                      <w:color w:val="auto"/>
                      <w:lang w:val="en-US"/>
                    </w:rPr>
                    <w:t>危险</w:t>
                  </w:r>
                </w:p>
                <w:p>
                  <w:pPr>
                    <w:pStyle w:val="11"/>
                    <w:bidi w:val="0"/>
                    <w:jc w:val="center"/>
                    <w:rPr>
                      <w:rFonts w:hint="default" w:ascii="Times New Roman" w:hAnsi="Times New Roman" w:cs="Times New Roman"/>
                      <w:b/>
                      <w:bCs/>
                      <w:color w:val="auto"/>
                      <w:lang w:val="en-US"/>
                    </w:rPr>
                  </w:pPr>
                  <w:r>
                    <w:rPr>
                      <w:rFonts w:hint="default" w:ascii="Times New Roman" w:hAnsi="Times New Roman" w:cs="Times New Roman"/>
                      <w:b/>
                      <w:bCs/>
                      <w:color w:val="auto"/>
                      <w:lang w:val="en-US"/>
                    </w:rPr>
                    <w:t>单元</w:t>
                  </w:r>
                </w:p>
              </w:tc>
              <w:tc>
                <w:tcPr>
                  <w:tcW w:w="738" w:type="pct"/>
                  <w:shd w:val="clear" w:color="auto" w:fill="auto"/>
                  <w:noWrap w:val="0"/>
                  <w:vAlign w:val="center"/>
                </w:tcPr>
                <w:p>
                  <w:pPr>
                    <w:pStyle w:val="11"/>
                    <w:bidi w:val="0"/>
                    <w:jc w:val="center"/>
                    <w:rPr>
                      <w:rFonts w:hint="default" w:ascii="Times New Roman" w:hAnsi="Times New Roman" w:cs="Times New Roman"/>
                      <w:b/>
                      <w:bCs/>
                      <w:color w:val="auto"/>
                      <w:lang w:val="en-US"/>
                    </w:rPr>
                  </w:pPr>
                  <w:r>
                    <w:rPr>
                      <w:rFonts w:hint="default" w:ascii="Times New Roman" w:hAnsi="Times New Roman" w:cs="Times New Roman"/>
                      <w:b/>
                      <w:bCs/>
                      <w:color w:val="auto"/>
                      <w:lang w:val="en-US"/>
                    </w:rPr>
                    <w:t>风险源</w:t>
                  </w:r>
                </w:p>
              </w:tc>
              <w:tc>
                <w:tcPr>
                  <w:tcW w:w="701" w:type="pct"/>
                  <w:shd w:val="clear" w:color="auto" w:fill="auto"/>
                  <w:noWrap w:val="0"/>
                  <w:vAlign w:val="center"/>
                </w:tcPr>
                <w:p>
                  <w:pPr>
                    <w:pStyle w:val="11"/>
                    <w:bidi w:val="0"/>
                    <w:jc w:val="center"/>
                    <w:rPr>
                      <w:rFonts w:hint="default" w:ascii="Times New Roman" w:hAnsi="Times New Roman" w:cs="Times New Roman"/>
                      <w:b/>
                      <w:bCs/>
                      <w:color w:val="auto"/>
                      <w:lang w:val="en-US"/>
                    </w:rPr>
                  </w:pPr>
                  <w:r>
                    <w:rPr>
                      <w:rFonts w:hint="default" w:ascii="Times New Roman" w:hAnsi="Times New Roman" w:cs="Times New Roman"/>
                      <w:b/>
                      <w:bCs/>
                      <w:color w:val="auto"/>
                      <w:lang w:val="en-US"/>
                    </w:rPr>
                    <w:t>主要风险物质</w:t>
                  </w:r>
                </w:p>
              </w:tc>
              <w:tc>
                <w:tcPr>
                  <w:tcW w:w="701" w:type="pct"/>
                  <w:shd w:val="clear" w:color="auto" w:fill="auto"/>
                  <w:noWrap w:val="0"/>
                  <w:vAlign w:val="center"/>
                </w:tcPr>
                <w:p>
                  <w:pPr>
                    <w:pStyle w:val="11"/>
                    <w:bidi w:val="0"/>
                    <w:jc w:val="center"/>
                    <w:rPr>
                      <w:rFonts w:hint="default" w:ascii="Times New Roman" w:hAnsi="Times New Roman" w:cs="Times New Roman"/>
                      <w:b/>
                      <w:bCs/>
                      <w:color w:val="auto"/>
                      <w:lang w:val="en-US"/>
                    </w:rPr>
                  </w:pPr>
                  <w:r>
                    <w:rPr>
                      <w:rFonts w:hint="default" w:ascii="Times New Roman" w:hAnsi="Times New Roman" w:cs="Times New Roman"/>
                      <w:b/>
                      <w:bCs/>
                      <w:color w:val="auto"/>
                      <w:lang w:val="en-US"/>
                    </w:rPr>
                    <w:t>环境风险类型</w:t>
                  </w:r>
                </w:p>
              </w:tc>
              <w:tc>
                <w:tcPr>
                  <w:tcW w:w="1134" w:type="pct"/>
                  <w:shd w:val="clear" w:color="auto" w:fill="auto"/>
                  <w:noWrap w:val="0"/>
                  <w:vAlign w:val="center"/>
                </w:tcPr>
                <w:p>
                  <w:pPr>
                    <w:pStyle w:val="11"/>
                    <w:bidi w:val="0"/>
                    <w:jc w:val="center"/>
                    <w:rPr>
                      <w:rFonts w:hint="default" w:ascii="Times New Roman" w:hAnsi="Times New Roman" w:cs="Times New Roman"/>
                      <w:b/>
                      <w:bCs/>
                      <w:color w:val="auto"/>
                      <w:lang w:val="en-US"/>
                    </w:rPr>
                  </w:pPr>
                  <w:r>
                    <w:rPr>
                      <w:rFonts w:hint="default" w:ascii="Times New Roman" w:hAnsi="Times New Roman" w:cs="Times New Roman"/>
                      <w:b/>
                      <w:bCs/>
                      <w:color w:val="auto"/>
                      <w:lang w:val="en-US"/>
                    </w:rPr>
                    <w:t>环境影响途径</w:t>
                  </w:r>
                </w:p>
              </w:tc>
              <w:tc>
                <w:tcPr>
                  <w:tcW w:w="715" w:type="pct"/>
                  <w:shd w:val="clear" w:color="auto" w:fill="auto"/>
                  <w:noWrap w:val="0"/>
                  <w:vAlign w:val="center"/>
                </w:tcPr>
                <w:p>
                  <w:pPr>
                    <w:pStyle w:val="11"/>
                    <w:bidi w:val="0"/>
                    <w:jc w:val="center"/>
                    <w:rPr>
                      <w:rFonts w:hint="default" w:ascii="Times New Roman" w:hAnsi="Times New Roman" w:cs="Times New Roman"/>
                      <w:b/>
                      <w:bCs/>
                      <w:color w:val="auto"/>
                      <w:lang w:val="en-US"/>
                    </w:rPr>
                  </w:pPr>
                  <w:r>
                    <w:rPr>
                      <w:rFonts w:hint="default" w:ascii="Times New Roman" w:hAnsi="Times New Roman" w:cs="Times New Roman"/>
                      <w:b/>
                      <w:bCs/>
                      <w:color w:val="auto"/>
                      <w:lang w:val="en-US"/>
                    </w:rPr>
                    <w:t>可能受影响的环境敏感目标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2" w:type="pct"/>
                  <w:shd w:val="clear" w:color="auto" w:fill="auto"/>
                  <w:noWrap w:val="0"/>
                  <w:vAlign w:val="center"/>
                </w:tcPr>
                <w:p>
                  <w:pPr>
                    <w:pStyle w:val="11"/>
                    <w:bidi w:val="0"/>
                    <w:jc w:val="center"/>
                    <w:rPr>
                      <w:rFonts w:hint="default" w:ascii="Times New Roman" w:hAnsi="Times New Roman" w:cs="Times New Roman"/>
                      <w:color w:val="auto"/>
                      <w:lang w:val="en-US"/>
                    </w:rPr>
                  </w:pPr>
                  <w:r>
                    <w:rPr>
                      <w:rFonts w:hint="default" w:ascii="Times New Roman" w:hAnsi="Times New Roman" w:cs="Times New Roman"/>
                      <w:color w:val="auto"/>
                      <w:lang w:val="en-US"/>
                    </w:rPr>
                    <w:t>1</w:t>
                  </w:r>
                </w:p>
              </w:tc>
              <w:tc>
                <w:tcPr>
                  <w:tcW w:w="687" w:type="pct"/>
                  <w:shd w:val="clear" w:color="auto" w:fill="auto"/>
                  <w:noWrap w:val="0"/>
                  <w:vAlign w:val="center"/>
                </w:tcPr>
                <w:p>
                  <w:pPr>
                    <w:pStyle w:val="11"/>
                    <w:bidi w:val="0"/>
                    <w:jc w:val="center"/>
                    <w:rPr>
                      <w:rFonts w:hint="default" w:ascii="Times New Roman" w:hAnsi="Times New Roman" w:cs="Times New Roman"/>
                      <w:color w:val="auto"/>
                      <w:lang w:val="en-US"/>
                    </w:rPr>
                  </w:pPr>
                  <w:r>
                    <w:rPr>
                      <w:rFonts w:hint="default" w:ascii="Times New Roman" w:hAnsi="Times New Roman" w:cs="Times New Roman"/>
                      <w:color w:val="auto"/>
                      <w:lang w:val="en-US"/>
                    </w:rPr>
                    <w:t>生产车间</w:t>
                  </w:r>
                </w:p>
              </w:tc>
              <w:tc>
                <w:tcPr>
                  <w:tcW w:w="738" w:type="pct"/>
                  <w:shd w:val="clear" w:color="auto" w:fill="auto"/>
                  <w:noWrap w:val="0"/>
                  <w:vAlign w:val="center"/>
                </w:tcPr>
                <w:p>
                  <w:pPr>
                    <w:pStyle w:val="11"/>
                    <w:bidi w:val="0"/>
                    <w:jc w:val="center"/>
                    <w:rPr>
                      <w:rFonts w:hint="default" w:ascii="Times New Roman" w:hAnsi="Times New Roman" w:cs="Times New Roman"/>
                      <w:color w:val="auto"/>
                      <w:lang w:val="en-US"/>
                    </w:rPr>
                  </w:pPr>
                  <w:r>
                    <w:rPr>
                      <w:rFonts w:hint="default" w:ascii="Times New Roman" w:hAnsi="Times New Roman" w:cs="Times New Roman"/>
                      <w:color w:val="auto"/>
                      <w:lang w:val="en-US"/>
                    </w:rPr>
                    <w:t>生产设备</w:t>
                  </w:r>
                </w:p>
              </w:tc>
              <w:tc>
                <w:tcPr>
                  <w:tcW w:w="701" w:type="pct"/>
                  <w:shd w:val="clear" w:color="auto" w:fill="auto"/>
                  <w:noWrap w:val="0"/>
                  <w:vAlign w:val="center"/>
                </w:tcPr>
                <w:p>
                  <w:pPr>
                    <w:pStyle w:val="11"/>
                    <w:bidi w:val="0"/>
                    <w:jc w:val="center"/>
                    <w:rPr>
                      <w:rFonts w:hint="default" w:ascii="Times New Roman" w:hAnsi="Times New Roman" w:cs="Times New Roman"/>
                      <w:color w:val="auto"/>
                      <w:lang w:val="en-US"/>
                    </w:rPr>
                  </w:pPr>
                  <w:r>
                    <w:rPr>
                      <w:rFonts w:hint="default" w:ascii="Times New Roman" w:hAnsi="Times New Roman" w:cs="Times New Roman"/>
                      <w:color w:val="auto"/>
                      <w:lang w:val="en-US"/>
                    </w:rPr>
                    <w:t>无</w:t>
                  </w:r>
                </w:p>
              </w:tc>
              <w:tc>
                <w:tcPr>
                  <w:tcW w:w="701" w:type="pct"/>
                  <w:shd w:val="clear" w:color="auto" w:fill="auto"/>
                  <w:noWrap w:val="0"/>
                  <w:vAlign w:val="center"/>
                </w:tcPr>
                <w:p>
                  <w:pPr>
                    <w:pStyle w:val="11"/>
                    <w:bidi w:val="0"/>
                    <w:jc w:val="center"/>
                    <w:rPr>
                      <w:rFonts w:hint="default" w:ascii="Times New Roman" w:hAnsi="Times New Roman" w:cs="Times New Roman"/>
                      <w:color w:val="auto"/>
                      <w:lang w:val="en-US"/>
                    </w:rPr>
                  </w:pPr>
                  <w:r>
                    <w:rPr>
                      <w:rFonts w:hint="default" w:ascii="Times New Roman" w:hAnsi="Times New Roman" w:cs="Times New Roman"/>
                      <w:color w:val="auto"/>
                      <w:lang w:val="en-US"/>
                    </w:rPr>
                    <w:t>火灾</w:t>
                  </w:r>
                </w:p>
              </w:tc>
              <w:tc>
                <w:tcPr>
                  <w:tcW w:w="1134" w:type="pct"/>
                  <w:shd w:val="clear" w:color="auto" w:fill="auto"/>
                  <w:noWrap w:val="0"/>
                  <w:vAlign w:val="center"/>
                </w:tcPr>
                <w:p>
                  <w:pPr>
                    <w:pStyle w:val="11"/>
                    <w:bidi w:val="0"/>
                    <w:jc w:val="center"/>
                    <w:rPr>
                      <w:rFonts w:hint="default" w:ascii="Times New Roman" w:hAnsi="Times New Roman" w:cs="Times New Roman"/>
                      <w:color w:val="auto"/>
                      <w:lang w:val="en-US"/>
                    </w:rPr>
                  </w:pPr>
                  <w:r>
                    <w:rPr>
                      <w:rFonts w:hint="default" w:ascii="Times New Roman" w:hAnsi="Times New Roman" w:cs="Times New Roman"/>
                      <w:color w:val="auto"/>
                    </w:rPr>
                    <w:t>操作不当导致设备故障，引发火灾</w:t>
                  </w:r>
                </w:p>
              </w:tc>
              <w:tc>
                <w:tcPr>
                  <w:tcW w:w="715" w:type="pct"/>
                  <w:shd w:val="clear" w:color="auto" w:fill="auto"/>
                  <w:noWrap w:val="0"/>
                  <w:vAlign w:val="center"/>
                </w:tcPr>
                <w:p>
                  <w:pPr>
                    <w:pStyle w:val="11"/>
                    <w:bidi w:val="0"/>
                    <w:jc w:val="center"/>
                    <w:rPr>
                      <w:rFonts w:hint="default" w:ascii="Times New Roman" w:hAnsi="Times New Roman" w:cs="Times New Roman"/>
                      <w:color w:val="auto"/>
                      <w:lang w:val="en-US"/>
                    </w:rPr>
                  </w:pPr>
                  <w:r>
                    <w:rPr>
                      <w:rFonts w:hint="default" w:ascii="Times New Roman" w:hAnsi="Times New Roman" w:cs="Times New Roman"/>
                      <w:color w:val="auto"/>
                      <w:lang w:val="en-US"/>
                    </w:rPr>
                    <w:t>空气环境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2" w:type="pct"/>
                  <w:shd w:val="clear" w:color="auto" w:fill="auto"/>
                  <w:noWrap w:val="0"/>
                  <w:vAlign w:val="center"/>
                </w:tcPr>
                <w:p>
                  <w:pPr>
                    <w:pStyle w:val="11"/>
                    <w:bidi w:val="0"/>
                    <w:jc w:val="center"/>
                    <w:rPr>
                      <w:rFonts w:hint="default" w:ascii="Times New Roman" w:hAnsi="Times New Roman" w:cs="Times New Roman"/>
                      <w:color w:val="auto"/>
                      <w:lang w:val="en-US"/>
                    </w:rPr>
                  </w:pPr>
                  <w:r>
                    <w:rPr>
                      <w:rFonts w:hint="default" w:ascii="Times New Roman" w:hAnsi="Times New Roman" w:cs="Times New Roman"/>
                      <w:color w:val="auto"/>
                      <w:lang w:val="en-US"/>
                    </w:rPr>
                    <w:t>2</w:t>
                  </w:r>
                </w:p>
              </w:tc>
              <w:tc>
                <w:tcPr>
                  <w:tcW w:w="687" w:type="pct"/>
                  <w:shd w:val="clear" w:color="auto" w:fill="auto"/>
                  <w:noWrap w:val="0"/>
                  <w:vAlign w:val="center"/>
                </w:tcPr>
                <w:p>
                  <w:pPr>
                    <w:pStyle w:val="11"/>
                    <w:bidi w:val="0"/>
                    <w:jc w:val="center"/>
                    <w:rPr>
                      <w:rFonts w:hint="default" w:ascii="Times New Roman" w:hAnsi="Times New Roman" w:cs="Times New Roman"/>
                      <w:color w:val="auto"/>
                      <w:lang w:val="en-US"/>
                    </w:rPr>
                  </w:pPr>
                  <w:r>
                    <w:rPr>
                      <w:rFonts w:hint="default" w:ascii="Times New Roman" w:hAnsi="Times New Roman" w:cs="Times New Roman"/>
                      <w:color w:val="auto"/>
                      <w:lang w:val="en-US"/>
                    </w:rPr>
                    <w:t>废气处理设施</w:t>
                  </w:r>
                </w:p>
              </w:tc>
              <w:tc>
                <w:tcPr>
                  <w:tcW w:w="738" w:type="pct"/>
                  <w:shd w:val="clear" w:color="auto" w:fill="auto"/>
                  <w:noWrap w:val="0"/>
                  <w:vAlign w:val="center"/>
                </w:tcPr>
                <w:p>
                  <w:pPr>
                    <w:pStyle w:val="11"/>
                    <w:bidi w:val="0"/>
                    <w:jc w:val="center"/>
                    <w:rPr>
                      <w:rFonts w:hint="default" w:ascii="Times New Roman" w:hAnsi="Times New Roman" w:cs="Times New Roman"/>
                      <w:color w:val="auto"/>
                      <w:lang w:val="en-US"/>
                    </w:rPr>
                  </w:pPr>
                  <w:r>
                    <w:rPr>
                      <w:rFonts w:hint="default" w:ascii="Times New Roman" w:hAnsi="Times New Roman" w:cs="Times New Roman"/>
                      <w:color w:val="auto"/>
                      <w:lang w:val="en-US"/>
                    </w:rPr>
                    <w:t>废气</w:t>
                  </w:r>
                </w:p>
              </w:tc>
              <w:tc>
                <w:tcPr>
                  <w:tcW w:w="701" w:type="pct"/>
                  <w:shd w:val="clear" w:color="auto" w:fill="auto"/>
                  <w:noWrap w:val="0"/>
                  <w:vAlign w:val="center"/>
                </w:tcPr>
                <w:p>
                  <w:pPr>
                    <w:pStyle w:val="11"/>
                    <w:bidi w:val="0"/>
                    <w:jc w:val="center"/>
                    <w:rPr>
                      <w:rFonts w:hint="default" w:ascii="Times New Roman" w:hAnsi="Times New Roman" w:cs="Times New Roman"/>
                      <w:color w:val="auto"/>
                      <w:lang w:val="en-US"/>
                    </w:rPr>
                  </w:pPr>
                  <w:r>
                    <w:rPr>
                      <w:rFonts w:hint="default" w:ascii="Times New Roman" w:hAnsi="Times New Roman" w:cs="Times New Roman"/>
                      <w:color w:val="auto"/>
                      <w:lang w:val="en-US"/>
                    </w:rPr>
                    <w:t>VOCs</w:t>
                  </w:r>
                </w:p>
              </w:tc>
              <w:tc>
                <w:tcPr>
                  <w:tcW w:w="701" w:type="pct"/>
                  <w:shd w:val="clear" w:color="auto" w:fill="auto"/>
                  <w:noWrap w:val="0"/>
                  <w:vAlign w:val="center"/>
                </w:tcPr>
                <w:p>
                  <w:pPr>
                    <w:pStyle w:val="11"/>
                    <w:bidi w:val="0"/>
                    <w:jc w:val="center"/>
                    <w:rPr>
                      <w:rFonts w:hint="default" w:ascii="Times New Roman" w:hAnsi="Times New Roman" w:cs="Times New Roman"/>
                      <w:color w:val="auto"/>
                      <w:lang w:val="en-US"/>
                    </w:rPr>
                  </w:pPr>
                  <w:r>
                    <w:rPr>
                      <w:rFonts w:hint="default" w:ascii="Times New Roman" w:hAnsi="Times New Roman" w:cs="Times New Roman"/>
                      <w:color w:val="auto"/>
                      <w:lang w:val="en-US"/>
                    </w:rPr>
                    <w:t>超标排放</w:t>
                  </w:r>
                </w:p>
              </w:tc>
              <w:tc>
                <w:tcPr>
                  <w:tcW w:w="1134" w:type="pct"/>
                  <w:shd w:val="clear" w:color="auto" w:fill="auto"/>
                  <w:noWrap w:val="0"/>
                  <w:vAlign w:val="center"/>
                </w:tcPr>
                <w:p>
                  <w:pPr>
                    <w:pStyle w:val="11"/>
                    <w:bidi w:val="0"/>
                    <w:jc w:val="center"/>
                    <w:rPr>
                      <w:rFonts w:hint="default" w:ascii="Times New Roman" w:hAnsi="Times New Roman" w:cs="Times New Roman"/>
                      <w:color w:val="auto"/>
                      <w:lang w:val="en-US"/>
                    </w:rPr>
                  </w:pPr>
                  <w:r>
                    <w:rPr>
                      <w:rFonts w:hint="default" w:ascii="Times New Roman" w:hAnsi="Times New Roman" w:cs="Times New Roman"/>
                      <w:color w:val="auto"/>
                      <w:lang w:val="en-US"/>
                    </w:rPr>
                    <w:t>废气处理设施故障，引发废气超标排放</w:t>
                  </w:r>
                </w:p>
              </w:tc>
              <w:tc>
                <w:tcPr>
                  <w:tcW w:w="715" w:type="pct"/>
                  <w:shd w:val="clear" w:color="auto" w:fill="auto"/>
                  <w:noWrap w:val="0"/>
                  <w:vAlign w:val="center"/>
                </w:tcPr>
                <w:p>
                  <w:pPr>
                    <w:pStyle w:val="11"/>
                    <w:bidi w:val="0"/>
                    <w:jc w:val="center"/>
                    <w:rPr>
                      <w:rFonts w:hint="default" w:ascii="Times New Roman" w:hAnsi="Times New Roman" w:cs="Times New Roman"/>
                      <w:color w:val="auto"/>
                      <w:lang w:val="en-US"/>
                    </w:rPr>
                  </w:pPr>
                  <w:r>
                    <w:rPr>
                      <w:rFonts w:hint="default" w:ascii="Times New Roman" w:hAnsi="Times New Roman" w:cs="Times New Roman"/>
                      <w:color w:val="auto"/>
                      <w:lang w:val="en-US"/>
                    </w:rPr>
                    <w:t>空气环境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2" w:type="pct"/>
                  <w:shd w:val="clear" w:color="auto" w:fill="auto"/>
                  <w:noWrap w:val="0"/>
                  <w:vAlign w:val="center"/>
                </w:tcPr>
                <w:p>
                  <w:pPr>
                    <w:pStyle w:val="11"/>
                    <w:bidi w:val="0"/>
                    <w:jc w:val="center"/>
                    <w:rPr>
                      <w:rFonts w:hint="default" w:ascii="Times New Roman" w:hAnsi="Times New Roman" w:cs="Times New Roman"/>
                      <w:color w:val="auto"/>
                      <w:lang w:val="en-US"/>
                    </w:rPr>
                  </w:pPr>
                  <w:r>
                    <w:rPr>
                      <w:rFonts w:hint="default" w:ascii="Times New Roman" w:hAnsi="Times New Roman" w:cs="Times New Roman"/>
                      <w:color w:val="auto"/>
                      <w:lang w:val="en-US"/>
                    </w:rPr>
                    <w:t>3</w:t>
                  </w:r>
                </w:p>
              </w:tc>
              <w:tc>
                <w:tcPr>
                  <w:tcW w:w="687" w:type="pct"/>
                  <w:shd w:val="clear" w:color="auto" w:fill="auto"/>
                  <w:noWrap w:val="0"/>
                  <w:vAlign w:val="center"/>
                </w:tcPr>
                <w:p>
                  <w:pPr>
                    <w:pStyle w:val="11"/>
                    <w:bidi w:val="0"/>
                    <w:jc w:val="center"/>
                    <w:rPr>
                      <w:rFonts w:hint="default" w:ascii="Times New Roman" w:hAnsi="Times New Roman" w:cs="Times New Roman"/>
                      <w:color w:val="auto"/>
                      <w:lang w:val="en-US"/>
                    </w:rPr>
                  </w:pPr>
                  <w:r>
                    <w:rPr>
                      <w:rFonts w:hint="default" w:ascii="Times New Roman" w:hAnsi="Times New Roman" w:cs="Times New Roman"/>
                      <w:color w:val="auto"/>
                      <w:lang w:val="en-US"/>
                    </w:rPr>
                    <w:t>危废暂存间</w:t>
                  </w:r>
                </w:p>
              </w:tc>
              <w:tc>
                <w:tcPr>
                  <w:tcW w:w="738" w:type="pct"/>
                  <w:shd w:val="clear" w:color="auto" w:fill="auto"/>
                  <w:noWrap w:val="0"/>
                  <w:vAlign w:val="center"/>
                </w:tcPr>
                <w:p>
                  <w:pPr>
                    <w:pStyle w:val="11"/>
                    <w:bidi w:val="0"/>
                    <w:jc w:val="center"/>
                    <w:rPr>
                      <w:rFonts w:hint="default" w:ascii="Times New Roman" w:hAnsi="Times New Roman" w:cs="Times New Roman"/>
                      <w:color w:val="auto"/>
                      <w:lang w:val="en-US"/>
                    </w:rPr>
                  </w:pPr>
                  <w:r>
                    <w:rPr>
                      <w:rFonts w:hint="default" w:ascii="Times New Roman" w:hAnsi="Times New Roman" w:cs="Times New Roman"/>
                      <w:color w:val="auto"/>
                      <w:lang w:val="en-US"/>
                    </w:rPr>
                    <w:t>危险废物</w:t>
                  </w:r>
                </w:p>
              </w:tc>
              <w:tc>
                <w:tcPr>
                  <w:tcW w:w="701" w:type="pct"/>
                  <w:shd w:val="clear" w:color="auto" w:fill="auto"/>
                  <w:noWrap w:val="0"/>
                  <w:vAlign w:val="center"/>
                </w:tcPr>
                <w:p>
                  <w:pPr>
                    <w:pStyle w:val="11"/>
                    <w:bidi w:val="0"/>
                    <w:jc w:val="center"/>
                    <w:rPr>
                      <w:rFonts w:hint="default" w:ascii="Times New Roman" w:hAnsi="Times New Roman" w:cs="Times New Roman"/>
                      <w:color w:val="auto"/>
                      <w:lang w:val="en-US"/>
                    </w:rPr>
                  </w:pPr>
                  <w:r>
                    <w:rPr>
                      <w:rFonts w:hint="default" w:ascii="Times New Roman" w:hAnsi="Times New Roman" w:cs="Times New Roman"/>
                      <w:color w:val="auto"/>
                      <w:lang w:val="en-US"/>
                    </w:rPr>
                    <w:t>废活性炭</w:t>
                  </w:r>
                </w:p>
              </w:tc>
              <w:tc>
                <w:tcPr>
                  <w:tcW w:w="701" w:type="pct"/>
                  <w:shd w:val="clear" w:color="auto" w:fill="auto"/>
                  <w:noWrap w:val="0"/>
                  <w:vAlign w:val="center"/>
                </w:tcPr>
                <w:p>
                  <w:pPr>
                    <w:pStyle w:val="11"/>
                    <w:bidi w:val="0"/>
                    <w:jc w:val="center"/>
                    <w:rPr>
                      <w:rFonts w:hint="default" w:ascii="Times New Roman" w:hAnsi="Times New Roman" w:cs="Times New Roman"/>
                      <w:color w:val="auto"/>
                      <w:lang w:val="en-US"/>
                    </w:rPr>
                  </w:pPr>
                  <w:r>
                    <w:rPr>
                      <w:rFonts w:hint="default" w:ascii="Times New Roman" w:hAnsi="Times New Roman" w:cs="Times New Roman"/>
                      <w:color w:val="auto"/>
                      <w:lang w:val="en-US"/>
                    </w:rPr>
                    <w:t>明火引发火灾、物料泄露</w:t>
                  </w:r>
                </w:p>
              </w:tc>
              <w:tc>
                <w:tcPr>
                  <w:tcW w:w="1134" w:type="pct"/>
                  <w:shd w:val="clear" w:color="auto" w:fill="auto"/>
                  <w:noWrap w:val="0"/>
                  <w:vAlign w:val="center"/>
                </w:tcPr>
                <w:p>
                  <w:pPr>
                    <w:pStyle w:val="11"/>
                    <w:bidi w:val="0"/>
                    <w:jc w:val="center"/>
                    <w:rPr>
                      <w:rFonts w:hint="default" w:ascii="Times New Roman" w:hAnsi="Times New Roman" w:cs="Times New Roman"/>
                      <w:color w:val="auto"/>
                      <w:lang w:val="en-US"/>
                    </w:rPr>
                  </w:pPr>
                  <w:r>
                    <w:rPr>
                      <w:rFonts w:hint="default" w:ascii="Times New Roman" w:hAnsi="Times New Roman" w:cs="Times New Roman"/>
                      <w:color w:val="auto"/>
                      <w:lang w:val="en-US"/>
                    </w:rPr>
                    <w:t>管理不当引发火灾、存储不当产生泄露</w:t>
                  </w:r>
                </w:p>
              </w:tc>
              <w:tc>
                <w:tcPr>
                  <w:tcW w:w="715" w:type="pct"/>
                  <w:shd w:val="clear" w:color="auto" w:fill="auto"/>
                  <w:noWrap w:val="0"/>
                  <w:vAlign w:val="center"/>
                </w:tcPr>
                <w:p>
                  <w:pPr>
                    <w:pStyle w:val="11"/>
                    <w:bidi w:val="0"/>
                    <w:jc w:val="center"/>
                    <w:rPr>
                      <w:rFonts w:hint="default" w:ascii="Times New Roman" w:hAnsi="Times New Roman" w:cs="Times New Roman"/>
                      <w:color w:val="auto"/>
                      <w:lang w:val="en-US"/>
                    </w:rPr>
                  </w:pPr>
                  <w:r>
                    <w:rPr>
                      <w:rFonts w:hint="default" w:ascii="Times New Roman" w:hAnsi="Times New Roman" w:cs="Times New Roman"/>
                      <w:color w:val="auto"/>
                      <w:lang w:val="en-US"/>
                    </w:rPr>
                    <w:t>环境空气、地表水、地下水</w:t>
                  </w:r>
                </w:p>
              </w:tc>
            </w:tr>
          </w:tbl>
          <w:p>
            <w:pPr>
              <w:ind w:firstLine="480"/>
              <w:rPr>
                <w:rFonts w:hint="default" w:ascii="Times New Roman" w:hAnsi="Times New Roman" w:cs="Times New Roman"/>
                <w:color w:val="auto"/>
              </w:rPr>
            </w:pP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2</w:t>
            </w:r>
            <w:r>
              <w:rPr>
                <w:rFonts w:hint="default" w:ascii="Times New Roman" w:hAnsi="Times New Roman" w:cs="Times New Roman"/>
                <w:color w:val="auto"/>
                <w:lang w:eastAsia="zh-CN"/>
              </w:rPr>
              <w:t>）</w:t>
            </w:r>
            <w:r>
              <w:rPr>
                <w:rFonts w:hint="default" w:ascii="Times New Roman" w:hAnsi="Times New Roman" w:cs="Times New Roman"/>
                <w:color w:val="auto"/>
              </w:rPr>
              <w:t>风险潜势初判</w:t>
            </w:r>
          </w:p>
          <w:p>
            <w:pPr>
              <w:ind w:firstLine="480"/>
              <w:rPr>
                <w:rFonts w:hint="default" w:ascii="Times New Roman" w:hAnsi="Times New Roman" w:cs="Times New Roman"/>
                <w:color w:val="auto"/>
              </w:rPr>
            </w:pPr>
            <w:r>
              <w:rPr>
                <w:rFonts w:hint="default" w:ascii="Times New Roman" w:hAnsi="Times New Roman" w:cs="Times New Roman"/>
                <w:color w:val="auto"/>
              </w:rPr>
              <w:t>参照《建设项目环境风险评价技术导则》（HJ169-2018）进行风险物质及工艺系统危险性判定，本项目不涉及风险物质储存。</w:t>
            </w:r>
          </w:p>
          <w:p>
            <w:pPr>
              <w:ind w:firstLine="480"/>
              <w:rPr>
                <w:rFonts w:hint="default" w:ascii="Times New Roman" w:hAnsi="Times New Roman" w:cs="Times New Roman"/>
                <w:color w:val="auto"/>
              </w:rPr>
            </w:pPr>
            <w:r>
              <w:rPr>
                <w:rFonts w:hint="default" w:ascii="Times New Roman" w:hAnsi="Times New Roman" w:cs="Times New Roman"/>
                <w:color w:val="auto"/>
              </w:rPr>
              <w:t>危险物质数量与临界量比值</w:t>
            </w:r>
          </w:p>
          <w:p>
            <w:pPr>
              <w:ind w:firstLine="480"/>
              <w:rPr>
                <w:rFonts w:hint="default" w:ascii="Times New Roman" w:hAnsi="Times New Roman" w:cs="Times New Roman"/>
                <w:color w:val="auto"/>
              </w:rPr>
            </w:pPr>
            <w:r>
              <w:rPr>
                <w:rFonts w:hint="default" w:ascii="Times New Roman" w:hAnsi="Times New Roman" w:cs="Times New Roman"/>
                <w:color w:val="auto"/>
              </w:rPr>
              <w:t>计算所涉及的每种危险物质在厂界内的最大存在总量与其在《建设项目环境风险评价技术导则》(HJ169-2018)附录B对应临界量的比值Q。在不同厂区的同一种物质，按其在厂界内的最大存在总量计算。</w:t>
            </w:r>
          </w:p>
          <w:p>
            <w:pPr>
              <w:ind w:firstLine="480"/>
              <w:rPr>
                <w:rFonts w:hint="default" w:ascii="Times New Roman" w:hAnsi="Times New Roman" w:cs="Times New Roman"/>
                <w:color w:val="auto"/>
              </w:rPr>
            </w:pPr>
            <w:r>
              <w:rPr>
                <w:rFonts w:hint="default" w:ascii="Times New Roman" w:hAnsi="Times New Roman" w:cs="Times New Roman"/>
                <w:color w:val="auto"/>
              </w:rPr>
              <w:t>当只涉及一种危险物质时，计算该物质的总量与其临界量比值，即为Q；</w:t>
            </w:r>
          </w:p>
          <w:p>
            <w:pPr>
              <w:ind w:firstLine="480"/>
              <w:rPr>
                <w:rFonts w:hint="default" w:ascii="Times New Roman" w:hAnsi="Times New Roman" w:cs="Times New Roman"/>
                <w:color w:val="auto"/>
              </w:rPr>
            </w:pPr>
            <w:r>
              <w:rPr>
                <w:rFonts w:hint="default" w:ascii="Times New Roman" w:hAnsi="Times New Roman" w:cs="Times New Roman"/>
                <w:color w:val="auto"/>
              </w:rPr>
              <w:t>当存在多种危险物质时，则按下式计算物质总量与其临界量比值(Q)：</w:t>
            </w:r>
          </w:p>
          <w:p>
            <w:pPr>
              <w:ind w:firstLine="480"/>
              <w:jc w:val="center"/>
              <w:rPr>
                <w:rFonts w:hint="default" w:ascii="Times New Roman" w:hAnsi="Times New Roman" w:cs="Times New Roman"/>
                <w:color w:val="auto"/>
              </w:rPr>
            </w:pPr>
            <w:r>
              <w:rPr>
                <w:rFonts w:hint="default" w:ascii="Times New Roman" w:hAnsi="Times New Roman" w:cs="Times New Roman"/>
                <w:color w:val="auto"/>
              </w:rPr>
              <w:object>
                <v:shape id="_x0000_i1028" o:spt="75" type="#_x0000_t75" style="height:37.8pt;width:109.8pt;" o:ole="t" filled="f" o:preferrelative="t" stroked="f" coordsize="21600,21600">
                  <v:path/>
                  <v:fill on="f" focussize="0,0"/>
                  <v:stroke on="f" joinstyle="miter"/>
                  <v:imagedata r:id="rId33" o:title=""/>
                  <o:lock v:ext="edit" aspectratio="t"/>
                  <w10:wrap type="none"/>
                  <w10:anchorlock/>
                </v:shape>
                <o:OLEObject Type="Embed" ProgID="Equation.3" ShapeID="_x0000_i1028" DrawAspect="Content" ObjectID="_1468075728" r:id="rId32">
                  <o:LockedField>false</o:LockedField>
                </o:OLEObject>
              </w:object>
            </w:r>
          </w:p>
          <w:p>
            <w:pPr>
              <w:ind w:firstLine="480"/>
              <w:rPr>
                <w:rFonts w:hint="default" w:ascii="Times New Roman" w:hAnsi="Times New Roman" w:cs="Times New Roman"/>
                <w:color w:val="auto"/>
              </w:rPr>
            </w:pPr>
            <w:r>
              <w:rPr>
                <w:rFonts w:hint="default" w:ascii="Times New Roman" w:hAnsi="Times New Roman" w:cs="Times New Roman"/>
                <w:color w:val="auto"/>
              </w:rPr>
              <w:t>式中：q</w:t>
            </w:r>
            <w:r>
              <w:rPr>
                <w:rFonts w:hint="default" w:ascii="Times New Roman" w:hAnsi="Times New Roman" w:cs="Times New Roman"/>
                <w:color w:val="auto"/>
                <w:vertAlign w:val="subscript"/>
              </w:rPr>
              <w:t>1</w:t>
            </w:r>
            <w:r>
              <w:rPr>
                <w:rFonts w:hint="default" w:ascii="Times New Roman" w:hAnsi="Times New Roman" w:cs="Times New Roman"/>
                <w:color w:val="auto"/>
              </w:rPr>
              <w:t>、q</w:t>
            </w:r>
            <w:r>
              <w:rPr>
                <w:rFonts w:hint="default" w:ascii="Times New Roman" w:hAnsi="Times New Roman" w:cs="Times New Roman"/>
                <w:color w:val="auto"/>
                <w:vertAlign w:val="subscript"/>
              </w:rPr>
              <w:t>2</w:t>
            </w:r>
            <w:r>
              <w:rPr>
                <w:rFonts w:hint="default" w:ascii="Times New Roman" w:hAnsi="Times New Roman" w:cs="Times New Roman"/>
                <w:color w:val="auto"/>
              </w:rPr>
              <w:t>、…、q</w:t>
            </w:r>
            <w:r>
              <w:rPr>
                <w:rFonts w:hint="default" w:ascii="Times New Roman" w:hAnsi="Times New Roman" w:cs="Times New Roman"/>
                <w:color w:val="auto"/>
                <w:vertAlign w:val="subscript"/>
              </w:rPr>
              <w:t>n</w:t>
            </w:r>
            <w:r>
              <w:rPr>
                <w:rFonts w:hint="default" w:ascii="Times New Roman" w:hAnsi="Times New Roman" w:cs="Times New Roman"/>
                <w:color w:val="auto"/>
              </w:rPr>
              <w:t>——每种危险物质的最大存在总量，t；</w:t>
            </w:r>
          </w:p>
          <w:p>
            <w:pPr>
              <w:ind w:firstLine="480"/>
              <w:rPr>
                <w:rFonts w:hint="default" w:ascii="Times New Roman" w:hAnsi="Times New Roman" w:cs="Times New Roman"/>
                <w:color w:val="auto"/>
              </w:rPr>
            </w:pPr>
            <w:r>
              <w:rPr>
                <w:rFonts w:hint="default" w:ascii="Times New Roman" w:hAnsi="Times New Roman" w:cs="Times New Roman"/>
                <w:color w:val="auto"/>
              </w:rPr>
              <w:t>Q</w:t>
            </w:r>
            <w:r>
              <w:rPr>
                <w:rFonts w:hint="default" w:ascii="Times New Roman" w:hAnsi="Times New Roman" w:cs="Times New Roman"/>
                <w:color w:val="auto"/>
                <w:vertAlign w:val="subscript"/>
              </w:rPr>
              <w:t>1</w:t>
            </w:r>
            <w:r>
              <w:rPr>
                <w:rFonts w:hint="default" w:ascii="Times New Roman" w:hAnsi="Times New Roman" w:cs="Times New Roman"/>
                <w:color w:val="auto"/>
              </w:rPr>
              <w:t>、Q</w:t>
            </w:r>
            <w:r>
              <w:rPr>
                <w:rFonts w:hint="default" w:ascii="Times New Roman" w:hAnsi="Times New Roman" w:cs="Times New Roman"/>
                <w:color w:val="auto"/>
                <w:vertAlign w:val="subscript"/>
              </w:rPr>
              <w:t>2</w:t>
            </w:r>
            <w:r>
              <w:rPr>
                <w:rFonts w:hint="default" w:ascii="Times New Roman" w:hAnsi="Times New Roman" w:cs="Times New Roman"/>
                <w:color w:val="auto"/>
              </w:rPr>
              <w:t>、…、Q</w:t>
            </w:r>
            <w:r>
              <w:rPr>
                <w:rFonts w:hint="default" w:ascii="Times New Roman" w:hAnsi="Times New Roman" w:cs="Times New Roman"/>
                <w:color w:val="auto"/>
                <w:vertAlign w:val="subscript"/>
              </w:rPr>
              <w:t>n</w:t>
            </w:r>
            <w:r>
              <w:rPr>
                <w:rFonts w:hint="default" w:ascii="Times New Roman" w:hAnsi="Times New Roman" w:cs="Times New Roman"/>
                <w:color w:val="auto"/>
              </w:rPr>
              <w:t>——每种危险物质的临界量，t。</w:t>
            </w:r>
          </w:p>
          <w:p>
            <w:pPr>
              <w:ind w:firstLine="480"/>
              <w:rPr>
                <w:rFonts w:hint="default" w:ascii="Times New Roman" w:hAnsi="Times New Roman" w:cs="Times New Roman"/>
                <w:color w:val="auto"/>
              </w:rPr>
            </w:pPr>
            <w:r>
              <w:rPr>
                <w:rFonts w:hint="default" w:ascii="Times New Roman" w:hAnsi="Times New Roman" w:cs="Times New Roman"/>
                <w:color w:val="auto"/>
              </w:rPr>
              <w:t>当Q&lt;1时，该项目环境风险潜势为I。</w:t>
            </w:r>
          </w:p>
          <w:p>
            <w:pPr>
              <w:ind w:firstLine="480"/>
              <w:rPr>
                <w:rFonts w:hint="default" w:ascii="Times New Roman" w:hAnsi="Times New Roman" w:cs="Times New Roman"/>
                <w:color w:val="auto"/>
              </w:rPr>
            </w:pPr>
            <w:r>
              <w:rPr>
                <w:rFonts w:hint="default" w:ascii="Times New Roman" w:hAnsi="Times New Roman" w:cs="Times New Roman"/>
                <w:color w:val="auto"/>
              </w:rPr>
              <w:t>当Q≥1时，将Q值划分为：(1)1≤Q&lt;10；(2)10≤Q&lt;100；(3)Q≥100。</w:t>
            </w:r>
          </w:p>
          <w:p>
            <w:pPr>
              <w:ind w:firstLine="480"/>
              <w:rPr>
                <w:rFonts w:hint="default" w:ascii="Times New Roman" w:hAnsi="Times New Roman" w:cs="Times New Roman"/>
                <w:color w:val="auto"/>
              </w:rPr>
            </w:pPr>
            <w:r>
              <w:rPr>
                <w:rFonts w:hint="default" w:ascii="Times New Roman" w:hAnsi="Times New Roman" w:cs="Times New Roman"/>
                <w:color w:val="auto"/>
              </w:rPr>
              <w:t>根据项目涉及物质的危险特性及健康危害性、《化学品分类和标签规范第18部分：急性毒性》、《化学品分类和标签规范第28部分：对水生环境的危害》、《重大危险源辨识》以及《建设项目环境风险评价技术导则》(HJ169-2018)附录B重点关注的危险物质及临界量。根据上述计算公式和各危险物质最大存在总量和临界量。本项目无风险物质，根据《建设项目环境风险评价技术导则》(HJ169-2018)规定，则本项目风险潜势为Ⅰ，因此对环境风险评价开展简单分析。</w:t>
            </w:r>
          </w:p>
          <w:p>
            <w:pPr>
              <w:ind w:firstLine="480"/>
              <w:rPr>
                <w:rFonts w:hint="default" w:ascii="Times New Roman" w:hAnsi="Times New Roman" w:cs="Times New Roman"/>
                <w:color w:val="auto"/>
              </w:rPr>
            </w:pP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3</w:t>
            </w:r>
            <w:r>
              <w:rPr>
                <w:rFonts w:hint="default" w:ascii="Times New Roman" w:hAnsi="Times New Roman" w:cs="Times New Roman"/>
                <w:color w:val="auto"/>
                <w:lang w:eastAsia="zh-CN"/>
              </w:rPr>
              <w:t>）</w:t>
            </w:r>
            <w:r>
              <w:rPr>
                <w:rFonts w:hint="default" w:ascii="Times New Roman" w:hAnsi="Times New Roman" w:cs="Times New Roman"/>
                <w:color w:val="auto"/>
              </w:rPr>
              <w:t>评价等级</w:t>
            </w:r>
          </w:p>
          <w:p>
            <w:pPr>
              <w:ind w:firstLine="480"/>
              <w:rPr>
                <w:rFonts w:hint="default" w:ascii="Times New Roman" w:hAnsi="Times New Roman" w:cs="Times New Roman"/>
                <w:color w:val="auto"/>
              </w:rPr>
            </w:pPr>
            <w:r>
              <w:rPr>
                <w:rFonts w:hint="default" w:ascii="Times New Roman" w:hAnsi="Times New Roman" w:cs="Times New Roman"/>
                <w:color w:val="auto"/>
              </w:rPr>
              <w:t>按照《建设项目环境风险评价技术导则》（HJ169-2018），企业环境风险潜势为I。根据项目的生产线特点和评价工作等级划分，因此，本项目风险评价工作等级为简单分析。</w:t>
            </w:r>
          </w:p>
          <w:p>
            <w:pPr>
              <w:pStyle w:val="11"/>
              <w:jc w:val="center"/>
              <w:rPr>
                <w:rFonts w:hint="default" w:ascii="Times New Roman" w:hAnsi="Times New Roman" w:cs="Times New Roman"/>
                <w:b/>
                <w:bCs/>
                <w:color w:val="auto"/>
              </w:rPr>
            </w:pPr>
            <w:r>
              <w:rPr>
                <w:rFonts w:hint="default" w:ascii="Times New Roman" w:hAnsi="Times New Roman" w:cs="Times New Roman"/>
                <w:b/>
                <w:bCs/>
                <w:color w:val="auto"/>
              </w:rPr>
              <w:t>表4-</w:t>
            </w:r>
            <w:r>
              <w:rPr>
                <w:rFonts w:hint="default" w:ascii="Times New Roman" w:hAnsi="Times New Roman" w:cs="Times New Roman"/>
                <w:b/>
                <w:bCs/>
                <w:color w:val="auto"/>
                <w:lang w:val="en-US" w:eastAsia="zh-CN"/>
              </w:rPr>
              <w:t>1</w:t>
            </w:r>
            <w:r>
              <w:rPr>
                <w:rFonts w:hint="eastAsia" w:cs="Times New Roman"/>
                <w:b/>
                <w:bCs/>
                <w:color w:val="auto"/>
                <w:lang w:val="en-US" w:eastAsia="zh-CN"/>
              </w:rPr>
              <w:t>2</w:t>
            </w:r>
            <w:r>
              <w:rPr>
                <w:rFonts w:hint="default" w:ascii="Times New Roman" w:hAnsi="Times New Roman" w:cs="Times New Roman"/>
                <w:b/>
                <w:bCs/>
                <w:color w:val="auto"/>
              </w:rPr>
              <w:t xml:space="preserve">   评价工作等级</w:t>
            </w:r>
          </w:p>
          <w:tbl>
            <w:tblPr>
              <w:tblStyle w:val="5"/>
              <w:tblW w:w="815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857"/>
              <w:gridCol w:w="1807"/>
              <w:gridCol w:w="753"/>
              <w:gridCol w:w="903"/>
              <w:gridCol w:w="183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57" w:type="dxa"/>
                  <w:vAlign w:val="center"/>
                </w:tcPr>
                <w:p>
                  <w:pPr>
                    <w:pStyle w:val="11"/>
                    <w:jc w:val="center"/>
                    <w:rPr>
                      <w:rFonts w:hint="default" w:ascii="Times New Roman" w:hAnsi="Times New Roman" w:cs="Times New Roman"/>
                      <w:b/>
                      <w:bCs/>
                      <w:color w:val="auto"/>
                    </w:rPr>
                  </w:pPr>
                  <w:r>
                    <w:rPr>
                      <w:rFonts w:hint="default" w:ascii="Times New Roman" w:hAnsi="Times New Roman" w:cs="Times New Roman"/>
                      <w:b/>
                      <w:bCs/>
                      <w:color w:val="auto"/>
                    </w:rPr>
                    <w:t>环境风险潜势</w:t>
                  </w:r>
                </w:p>
              </w:tc>
              <w:tc>
                <w:tcPr>
                  <w:tcW w:w="1807"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IV、IV</w:t>
                  </w:r>
                  <w:r>
                    <w:rPr>
                      <w:rFonts w:hint="default" w:ascii="Times New Roman" w:hAnsi="Times New Roman" w:cs="Times New Roman"/>
                      <w:color w:val="auto"/>
                      <w:vertAlign w:val="superscript"/>
                    </w:rPr>
                    <w:t>+</w:t>
                  </w:r>
                </w:p>
              </w:tc>
              <w:tc>
                <w:tcPr>
                  <w:tcW w:w="753"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III</w:t>
                  </w:r>
                </w:p>
              </w:tc>
              <w:tc>
                <w:tcPr>
                  <w:tcW w:w="903"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II</w:t>
                  </w:r>
                </w:p>
              </w:tc>
              <w:tc>
                <w:tcPr>
                  <w:tcW w:w="1839"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I</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57" w:type="dxa"/>
                  <w:vAlign w:val="center"/>
                </w:tcPr>
                <w:p>
                  <w:pPr>
                    <w:pStyle w:val="11"/>
                    <w:jc w:val="center"/>
                    <w:rPr>
                      <w:rFonts w:hint="default" w:ascii="Times New Roman" w:hAnsi="Times New Roman" w:cs="Times New Roman"/>
                      <w:b/>
                      <w:bCs/>
                      <w:color w:val="auto"/>
                    </w:rPr>
                  </w:pPr>
                  <w:r>
                    <w:rPr>
                      <w:rFonts w:hint="default" w:ascii="Times New Roman" w:hAnsi="Times New Roman" w:cs="Times New Roman"/>
                      <w:b/>
                      <w:bCs/>
                      <w:color w:val="auto"/>
                    </w:rPr>
                    <w:t>评价工作等级</w:t>
                  </w:r>
                </w:p>
              </w:tc>
              <w:tc>
                <w:tcPr>
                  <w:tcW w:w="1807"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一</w:t>
                  </w:r>
                </w:p>
              </w:tc>
              <w:tc>
                <w:tcPr>
                  <w:tcW w:w="753"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二</w:t>
                  </w:r>
                </w:p>
              </w:tc>
              <w:tc>
                <w:tcPr>
                  <w:tcW w:w="903"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三</w:t>
                  </w:r>
                </w:p>
              </w:tc>
              <w:tc>
                <w:tcPr>
                  <w:tcW w:w="1839"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简单分析</w:t>
                  </w:r>
                </w:p>
              </w:tc>
            </w:tr>
          </w:tbl>
          <w:p>
            <w:pPr>
              <w:ind w:firstLine="480"/>
              <w:rPr>
                <w:rFonts w:hint="default" w:ascii="Times New Roman" w:hAnsi="Times New Roman" w:eastAsia="宋体" w:cs="Times New Roman"/>
                <w:color w:val="auto"/>
                <w:lang w:val="en-US" w:eastAsia="zh-CN"/>
              </w:rPr>
            </w:pP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4</w:t>
            </w:r>
            <w:r>
              <w:rPr>
                <w:rFonts w:hint="default" w:ascii="Times New Roman" w:hAnsi="Times New Roman" w:cs="Times New Roman"/>
                <w:color w:val="auto"/>
                <w:lang w:eastAsia="zh-CN"/>
              </w:rPr>
              <w:t>）</w:t>
            </w:r>
            <w:r>
              <w:rPr>
                <w:rFonts w:hint="default" w:ascii="Times New Roman" w:hAnsi="Times New Roman" w:cs="Times New Roman"/>
                <w:color w:val="auto"/>
              </w:rPr>
              <w:t>环境风险</w:t>
            </w:r>
            <w:r>
              <w:rPr>
                <w:rFonts w:hint="default" w:ascii="Times New Roman" w:hAnsi="Times New Roman" w:cs="Times New Roman"/>
                <w:color w:val="auto"/>
                <w:lang w:val="en-US" w:eastAsia="zh-CN"/>
              </w:rPr>
              <w:t>简介</w:t>
            </w:r>
          </w:p>
          <w:p>
            <w:pPr>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①风险事故发生原因</w:t>
            </w:r>
          </w:p>
          <w:p>
            <w:pPr>
              <w:bidi w:val="0"/>
              <w:rPr>
                <w:rFonts w:hint="default" w:ascii="Times New Roman" w:hAnsi="Times New Roman" w:cs="Times New Roman"/>
                <w:color w:val="auto"/>
              </w:rPr>
            </w:pPr>
            <w:r>
              <w:rPr>
                <w:rFonts w:hint="default" w:ascii="Times New Roman" w:hAnsi="Times New Roman" w:cs="Times New Roman"/>
                <w:color w:val="auto"/>
              </w:rPr>
              <w:t>本项目主要环境风险事故是火灾和废气超标排放，火灾事故和废气超标排放发生的主要原因有：</w:t>
            </w:r>
          </w:p>
          <w:p>
            <w:pPr>
              <w:bidi w:val="0"/>
              <w:rPr>
                <w:rFonts w:hint="default" w:ascii="Times New Roman" w:hAnsi="Times New Roman" w:cs="Times New Roman"/>
                <w:color w:val="auto"/>
              </w:rPr>
            </w:pPr>
            <w:r>
              <w:rPr>
                <w:rFonts w:hint="default" w:ascii="Times New Roman" w:hAnsi="Times New Roman" w:cs="Times New Roman"/>
                <w:color w:val="auto"/>
              </w:rPr>
              <w:t>A、设备的不可靠度。不可靠度是设备本身所具有的，它只与设备及其零部件的设计水平、制造能力、检测手段、安装质量、自身损耗及设计寿命有关。</w:t>
            </w:r>
          </w:p>
          <w:p>
            <w:pPr>
              <w:bidi w:val="0"/>
              <w:rPr>
                <w:rFonts w:hint="default" w:ascii="Times New Roman" w:hAnsi="Times New Roman" w:cs="Times New Roman"/>
                <w:color w:val="auto"/>
              </w:rPr>
            </w:pPr>
            <w:r>
              <w:rPr>
                <w:rFonts w:hint="default" w:ascii="Times New Roman" w:hAnsi="Times New Roman" w:cs="Times New Roman"/>
                <w:color w:val="auto"/>
              </w:rPr>
              <w:t>B、危废暂存间管理不当。本项目产生的废活性炭均属于可燃物质，可能因高温、明火引发火灾，产生的次生物如一氧化碳、碳氢化合物、烟尘、有机废气会对大气环境造成影响。</w:t>
            </w:r>
          </w:p>
          <w:p>
            <w:pPr>
              <w:bidi w:val="0"/>
              <w:rPr>
                <w:rFonts w:hint="default" w:ascii="Times New Roman" w:hAnsi="Times New Roman" w:cs="Times New Roman"/>
                <w:color w:val="auto"/>
              </w:rPr>
            </w:pPr>
            <w:r>
              <w:rPr>
                <w:rFonts w:hint="default" w:ascii="Times New Roman" w:hAnsi="Times New Roman" w:cs="Times New Roman"/>
                <w:color w:val="auto"/>
              </w:rPr>
              <w:t>C、废气处理设施故障。废气处理设施故障，导致废气未经处理超标排入外环境，产生的有机废气会对大气环境造成影响。</w:t>
            </w:r>
          </w:p>
          <w:p>
            <w:pPr>
              <w:bidi w:val="0"/>
              <w:rPr>
                <w:rFonts w:hint="default" w:ascii="Times New Roman" w:hAnsi="Times New Roman" w:cs="Times New Roman"/>
                <w:color w:val="auto"/>
              </w:rPr>
            </w:pPr>
            <w:r>
              <w:rPr>
                <w:rFonts w:hint="default" w:ascii="Times New Roman" w:hAnsi="Times New Roman" w:cs="Times New Roman"/>
                <w:color w:val="auto"/>
              </w:rPr>
              <w:t>D、企业安全管理水平。事故的发生都可以认为是人的不安全行为和物的不安全状态造成的，而人的不安全行为和物的不安全状态又是由于管理不善造成的。因此，一切事故都可归结为管理上的原因。主要包括管理上没有制度完善的安全操作规程和监督检查制度，不能及时发现问题或发现问题不及时解决，使设备带病运转。</w:t>
            </w:r>
          </w:p>
          <w:p>
            <w:pPr>
              <w:bidi w:val="0"/>
              <w:rPr>
                <w:rFonts w:hint="default" w:ascii="Times New Roman" w:hAnsi="Times New Roman" w:cs="Times New Roman"/>
                <w:color w:val="auto"/>
              </w:rPr>
            </w:pPr>
            <w:r>
              <w:rPr>
                <w:rFonts w:hint="default" w:ascii="Times New Roman" w:hAnsi="Times New Roman" w:cs="Times New Roman"/>
                <w:color w:val="auto"/>
              </w:rPr>
              <w:t>②风险事故影响分析</w:t>
            </w:r>
          </w:p>
          <w:p>
            <w:pPr>
              <w:bidi w:val="0"/>
              <w:rPr>
                <w:rFonts w:hint="default" w:ascii="Times New Roman" w:hAnsi="Times New Roman" w:cs="Times New Roman"/>
                <w:color w:val="auto"/>
              </w:rPr>
            </w:pPr>
            <w:r>
              <w:rPr>
                <w:rFonts w:hint="default" w:ascii="Times New Roman" w:hAnsi="Times New Roman" w:cs="Times New Roman"/>
                <w:color w:val="auto"/>
              </w:rPr>
              <w:t>项目运营过程中的主要风险为管理与操作不当导致设备漏电引起火灾，废气处理设施故障导致废气超标排入外环境，造成局部区域环境空气污染，对周围环境造成污染。</w:t>
            </w:r>
          </w:p>
          <w:p>
            <w:pPr>
              <w:rPr>
                <w:rFonts w:hint="default" w:ascii="Times New Roman" w:hAnsi="Times New Roman" w:cs="Times New Roman"/>
                <w:color w:val="auto"/>
              </w:rPr>
            </w:pPr>
            <w:r>
              <w:rPr>
                <w:rFonts w:hint="default" w:ascii="Times New Roman" w:hAnsi="Times New Roman" w:cs="Times New Roman"/>
                <w:color w:val="auto"/>
                <w:lang w:val="en-US" w:eastAsia="zh-CN"/>
              </w:rPr>
              <w:t>③</w:t>
            </w:r>
            <w:r>
              <w:rPr>
                <w:rFonts w:hint="default" w:ascii="Times New Roman" w:hAnsi="Times New Roman" w:cs="Times New Roman"/>
                <w:color w:val="auto"/>
              </w:rPr>
              <w:t>风险防范措施</w:t>
            </w:r>
          </w:p>
          <w:p>
            <w:pPr>
              <w:rPr>
                <w:rFonts w:hint="default" w:ascii="Times New Roman" w:hAnsi="Times New Roman" w:cs="Times New Roman"/>
                <w:color w:val="auto"/>
              </w:rPr>
            </w:pPr>
            <w:r>
              <w:rPr>
                <w:rFonts w:hint="default" w:ascii="Times New Roman" w:hAnsi="Times New Roman" w:cs="Times New Roman"/>
                <w:color w:val="auto"/>
              </w:rPr>
              <w:t>对于本项目环境风险，本环评要求建设方开展以下防范措施：</w:t>
            </w:r>
          </w:p>
          <w:p>
            <w:pPr>
              <w:rPr>
                <w:rFonts w:hint="default" w:ascii="Times New Roman" w:hAnsi="Times New Roman" w:cs="Times New Roman"/>
                <w:color w:val="auto"/>
              </w:rPr>
            </w:pPr>
            <w:r>
              <w:rPr>
                <w:rFonts w:hint="default" w:ascii="Times New Roman" w:hAnsi="Times New Roman" w:cs="Times New Roman"/>
                <w:color w:val="auto"/>
              </w:rPr>
              <w:t>A、总图布置</w:t>
            </w:r>
          </w:p>
          <w:p>
            <w:pPr>
              <w:rPr>
                <w:rFonts w:hint="default" w:ascii="Times New Roman" w:hAnsi="Times New Roman" w:cs="Times New Roman"/>
                <w:color w:val="auto"/>
              </w:rPr>
            </w:pPr>
            <w:r>
              <w:rPr>
                <w:rFonts w:hint="default" w:ascii="Times New Roman" w:hAnsi="Times New Roman" w:cs="Times New Roman"/>
                <w:color w:val="auto"/>
              </w:rPr>
              <w:t>项目总图布置符合《工业企业总平面设计规范》和《建筑设计防火规范》合理布置，各生产和辅助装置按功能分别布置，并充分考虑安全防护距离、消防和疏散通道等问题。厂区应设消防环行通道并保证足够的路面净空高度，设置消火栓、灭火器，厂区和车间内显眼的地方设置相应的防火、防触电安全警示、标志。</w:t>
            </w:r>
          </w:p>
          <w:p>
            <w:pPr>
              <w:rPr>
                <w:rFonts w:hint="default" w:ascii="Times New Roman" w:hAnsi="Times New Roman" w:cs="Times New Roman"/>
                <w:color w:val="auto"/>
              </w:rPr>
            </w:pPr>
            <w:r>
              <w:rPr>
                <w:rFonts w:hint="default" w:ascii="Times New Roman" w:hAnsi="Times New Roman" w:cs="Times New Roman"/>
                <w:color w:val="auto"/>
              </w:rPr>
              <w:t>B、建筑结构</w:t>
            </w:r>
          </w:p>
          <w:p>
            <w:pPr>
              <w:rPr>
                <w:rFonts w:hint="default" w:ascii="Times New Roman" w:hAnsi="Times New Roman" w:cs="Times New Roman"/>
                <w:color w:val="auto"/>
              </w:rPr>
            </w:pPr>
            <w:r>
              <w:rPr>
                <w:rFonts w:hint="default" w:ascii="Times New Roman" w:hAnsi="Times New Roman" w:cs="Times New Roman"/>
                <w:color w:val="auto"/>
              </w:rPr>
              <w:t>按《建筑设计防火规范》（GB50016-2014）进行设计。建筑物内疏散走道通畅，安全出口和楼梯的数量、位置、宽度以及疏散距离等均按规范要求进行设计。</w:t>
            </w:r>
          </w:p>
          <w:p>
            <w:pPr>
              <w:rPr>
                <w:rFonts w:hint="default" w:ascii="Times New Roman" w:hAnsi="Times New Roman" w:cs="Times New Roman"/>
                <w:color w:val="auto"/>
              </w:rPr>
            </w:pPr>
            <w:r>
              <w:rPr>
                <w:rFonts w:hint="default" w:ascii="Times New Roman" w:hAnsi="Times New Roman" w:cs="Times New Roman"/>
                <w:color w:val="auto"/>
                <w:lang w:val="en-US" w:eastAsia="zh-CN"/>
              </w:rPr>
              <w:t>C</w:t>
            </w:r>
            <w:r>
              <w:rPr>
                <w:rFonts w:hint="default" w:ascii="Times New Roman" w:hAnsi="Times New Roman" w:cs="Times New Roman"/>
                <w:color w:val="auto"/>
              </w:rPr>
              <w:t>、消防及火灾报警系统</w:t>
            </w:r>
          </w:p>
          <w:p>
            <w:pPr>
              <w:rPr>
                <w:rFonts w:hint="default" w:ascii="Times New Roman" w:hAnsi="Times New Roman" w:cs="Times New Roman"/>
                <w:color w:val="auto"/>
              </w:rPr>
            </w:pPr>
            <w:r>
              <w:rPr>
                <w:rFonts w:hint="default" w:ascii="Times New Roman" w:hAnsi="Times New Roman" w:cs="Times New Roman"/>
                <w:color w:val="auto"/>
              </w:rPr>
              <w:t>消防系统：按规范要求在厂区设置消防栓、厂区设置足量的手提式和推车式干粉灭火器。</w:t>
            </w:r>
          </w:p>
          <w:p>
            <w:pPr>
              <w:rPr>
                <w:rFonts w:hint="default" w:ascii="Times New Roman" w:hAnsi="Times New Roman" w:cs="Times New Roman"/>
                <w:color w:val="auto"/>
              </w:rPr>
            </w:pPr>
            <w:r>
              <w:rPr>
                <w:rFonts w:hint="default" w:ascii="Times New Roman" w:hAnsi="Times New Roman" w:cs="Times New Roman"/>
                <w:color w:val="auto"/>
              </w:rPr>
              <w:t>火灾报警系统：全厂采用电话报警，报警至消防中队。厂内中心控制室与消防中队设置直通电话。根据需要在标准厂房、办公楼等处设置火灾自动报警装置。</w:t>
            </w:r>
          </w:p>
          <w:p>
            <w:pPr>
              <w:rPr>
                <w:rFonts w:hint="default" w:ascii="Times New Roman" w:hAnsi="Times New Roman" w:cs="Times New Roman"/>
                <w:color w:val="auto"/>
              </w:rPr>
            </w:pPr>
            <w:r>
              <w:rPr>
                <w:rFonts w:hint="default" w:ascii="Times New Roman" w:hAnsi="Times New Roman" w:cs="Times New Roman"/>
                <w:color w:val="auto"/>
                <w:lang w:val="en-US" w:eastAsia="zh-CN"/>
              </w:rPr>
              <w:t>D</w:t>
            </w:r>
            <w:r>
              <w:rPr>
                <w:rFonts w:hint="default" w:ascii="Times New Roman" w:hAnsi="Times New Roman" w:cs="Times New Roman"/>
                <w:color w:val="auto"/>
              </w:rPr>
              <w:t>、危险废物储存管理措施</w:t>
            </w:r>
          </w:p>
          <w:p>
            <w:pPr>
              <w:rPr>
                <w:rFonts w:hint="default" w:ascii="Times New Roman" w:hAnsi="Times New Roman" w:cs="Times New Roman"/>
                <w:color w:val="auto"/>
              </w:rPr>
            </w:pPr>
            <w:r>
              <w:rPr>
                <w:rFonts w:hint="default" w:ascii="Times New Roman" w:hAnsi="Times New Roman" w:cs="Times New Roman"/>
                <w:color w:val="auto"/>
              </w:rPr>
              <w:t>危废的收集应使用符合国家标准的专用容器，容器壁应贴有标签，详细标明危废的名称、重量、成分、特性以及发生泄漏、扩散污染事故时的应急措施和补救方法。危险废物暂存间需由专人负责收集并妥善储存，严禁随意丢弃、填埋。危废暂存间进行防风、防雨、防渗处理。防渗要求《危险废物贮存污染控制标准》（GB18597-2001）设计中重点防渗要求，防渗系数 K≤1×10</w:t>
            </w:r>
            <w:r>
              <w:rPr>
                <w:rFonts w:hint="default" w:ascii="Times New Roman" w:hAnsi="Times New Roman" w:cs="Times New Roman"/>
                <w:color w:val="auto"/>
                <w:vertAlign w:val="superscript"/>
              </w:rPr>
              <w:t>-10</w:t>
            </w:r>
            <w:r>
              <w:rPr>
                <w:rFonts w:hint="default" w:ascii="Times New Roman" w:hAnsi="Times New Roman" w:cs="Times New Roman"/>
                <w:color w:val="auto"/>
              </w:rPr>
              <w:t>cm/s。</w:t>
            </w:r>
          </w:p>
          <w:p>
            <w:pPr>
              <w:rPr>
                <w:rFonts w:hint="default" w:ascii="Times New Roman" w:hAnsi="Times New Roman" w:cs="Times New Roman"/>
                <w:color w:val="auto"/>
              </w:rPr>
            </w:pPr>
            <w:r>
              <w:rPr>
                <w:rFonts w:hint="default" w:ascii="Times New Roman" w:hAnsi="Times New Roman" w:cs="Times New Roman"/>
                <w:color w:val="auto"/>
                <w:lang w:val="en-US" w:eastAsia="zh-CN"/>
              </w:rPr>
              <w:t>E</w:t>
            </w:r>
            <w:r>
              <w:rPr>
                <w:rFonts w:hint="default" w:ascii="Times New Roman" w:hAnsi="Times New Roman" w:cs="Times New Roman"/>
                <w:color w:val="auto"/>
              </w:rPr>
              <w:t>、废气处理设施管理措施</w:t>
            </w:r>
          </w:p>
          <w:p>
            <w:pPr>
              <w:rPr>
                <w:rFonts w:hint="default" w:ascii="Times New Roman" w:hAnsi="Times New Roman" w:cs="Times New Roman"/>
                <w:color w:val="auto"/>
              </w:rPr>
            </w:pPr>
            <w:r>
              <w:rPr>
                <w:rFonts w:hint="default" w:ascii="Times New Roman" w:hAnsi="Times New Roman" w:cs="Times New Roman"/>
                <w:color w:val="auto"/>
              </w:rPr>
              <w:t>制定废气处理设施操作规程，按要求操作。</w:t>
            </w:r>
          </w:p>
          <w:p>
            <w:pPr>
              <w:rPr>
                <w:rFonts w:hint="default" w:ascii="Times New Roman" w:hAnsi="Times New Roman" w:cs="Times New Roman"/>
                <w:color w:val="auto"/>
              </w:rPr>
            </w:pPr>
            <w:r>
              <w:rPr>
                <w:rFonts w:hint="default" w:ascii="Times New Roman" w:hAnsi="Times New Roman" w:cs="Times New Roman"/>
                <w:color w:val="auto"/>
              </w:rPr>
              <w:t>建设单位应配备便携式监测设备，定期监测废气中污染物浓度，一旦超过标准限制的80%，即需更换活性炭。并将更换记录和联单做为管理内容，以确保活性炭装置的有效运行和废气的达标排放。</w:t>
            </w:r>
          </w:p>
          <w:p>
            <w:pPr>
              <w:rPr>
                <w:rFonts w:hint="default" w:ascii="Times New Roman" w:hAnsi="Times New Roman" w:cs="Times New Roman"/>
                <w:color w:val="auto"/>
              </w:rPr>
            </w:pPr>
            <w:r>
              <w:rPr>
                <w:rFonts w:hint="default" w:ascii="Times New Roman" w:hAnsi="Times New Roman" w:cs="Times New Roman"/>
                <w:color w:val="auto"/>
                <w:lang w:val="en-US" w:eastAsia="zh-CN"/>
              </w:rPr>
              <w:t>F、</w:t>
            </w:r>
            <w:r>
              <w:rPr>
                <w:rFonts w:hint="default" w:ascii="Times New Roman" w:hAnsi="Times New Roman" w:cs="Times New Roman"/>
                <w:color w:val="auto"/>
              </w:rPr>
              <w:t>其他防范措施</w:t>
            </w:r>
          </w:p>
          <w:p>
            <w:pPr>
              <w:rPr>
                <w:rFonts w:hint="default" w:ascii="Times New Roman" w:hAnsi="Times New Roman" w:cs="Times New Roman"/>
                <w:color w:val="auto"/>
              </w:rPr>
            </w:pPr>
            <w:r>
              <w:rPr>
                <w:rFonts w:hint="default" w:ascii="Times New Roman" w:hAnsi="Times New Roman" w:cs="Times New Roman"/>
                <w:color w:val="auto"/>
              </w:rPr>
              <w:t>严禁吸烟、携带火种进入易燃场所。</w:t>
            </w:r>
          </w:p>
          <w:p>
            <w:pPr>
              <w:rPr>
                <w:rFonts w:hint="default" w:ascii="Times New Roman" w:hAnsi="Times New Roman" w:cs="Times New Roman"/>
                <w:color w:val="auto"/>
              </w:rPr>
            </w:pPr>
            <w:r>
              <w:rPr>
                <w:rFonts w:hint="default" w:ascii="Times New Roman" w:hAnsi="Times New Roman" w:cs="Times New Roman"/>
                <w:color w:val="auto"/>
              </w:rPr>
              <w:t>机器设备要定期检查、检修、保证其完好状态。</w:t>
            </w:r>
          </w:p>
          <w:p>
            <w:pPr>
              <w:rPr>
                <w:rFonts w:hint="default" w:ascii="Times New Roman" w:hAnsi="Times New Roman" w:cs="Times New Roman"/>
                <w:color w:val="auto"/>
              </w:rPr>
            </w:pPr>
            <w:r>
              <w:rPr>
                <w:rFonts w:hint="default" w:ascii="Times New Roman" w:hAnsi="Times New Roman" w:cs="Times New Roman"/>
                <w:color w:val="auto"/>
                <w:lang w:val="en-US" w:eastAsia="zh-CN"/>
              </w:rPr>
              <w:t>④、</w:t>
            </w:r>
            <w:r>
              <w:rPr>
                <w:rFonts w:hint="default" w:ascii="Times New Roman" w:hAnsi="Times New Roman" w:cs="Times New Roman"/>
                <w:color w:val="auto"/>
              </w:rPr>
              <w:t>风险管理</w:t>
            </w:r>
          </w:p>
          <w:p>
            <w:pPr>
              <w:rPr>
                <w:rFonts w:hint="default" w:ascii="Times New Roman" w:hAnsi="Times New Roman" w:cs="Times New Roman"/>
                <w:color w:val="auto"/>
              </w:rPr>
            </w:pPr>
            <w:r>
              <w:rPr>
                <w:rFonts w:hint="default" w:ascii="Times New Roman" w:hAnsi="Times New Roman" w:cs="Times New Roman"/>
                <w:color w:val="auto"/>
              </w:rPr>
              <w:t>A、严格执行劳动部门有关安全生产条例。必须强调管理和安全监督工作对预防事故的重要作用，实行持证上岗，定期检测维修，及时更换腐蚀受损设备，岗位责任明确，定期培训职工，提高安全生产和管理能力。</w:t>
            </w:r>
          </w:p>
          <w:p>
            <w:pPr>
              <w:rPr>
                <w:rFonts w:hint="default" w:ascii="Times New Roman" w:hAnsi="Times New Roman" w:cs="Times New Roman"/>
                <w:color w:val="auto"/>
              </w:rPr>
            </w:pPr>
            <w:r>
              <w:rPr>
                <w:rFonts w:hint="default" w:ascii="Times New Roman" w:hAnsi="Times New Roman" w:cs="Times New Roman"/>
                <w:color w:val="auto"/>
              </w:rPr>
              <w:t>B、加强生产管理。严格按照操作规程作业，严格执行值班制度和巡回检查制度，及时发现并向有关部门通报，并及时解决不安全因素。</w:t>
            </w:r>
          </w:p>
          <w:p>
            <w:pPr>
              <w:rPr>
                <w:rFonts w:hint="default" w:ascii="Times New Roman" w:hAnsi="Times New Roman" w:cs="Times New Roman"/>
                <w:color w:val="auto"/>
              </w:rPr>
            </w:pPr>
            <w:r>
              <w:rPr>
                <w:rFonts w:hint="default" w:ascii="Times New Roman" w:hAnsi="Times New Roman" w:cs="Times New Roman"/>
                <w:color w:val="auto"/>
              </w:rPr>
              <w:t>C、加强操作人员的安全教育，严格按照操作规范进行生产。</w:t>
            </w:r>
          </w:p>
          <w:p>
            <w:pPr>
              <w:rPr>
                <w:rFonts w:hint="default" w:ascii="Times New Roman" w:hAnsi="Times New Roman" w:cs="Times New Roman"/>
                <w:color w:val="auto"/>
              </w:rPr>
            </w:pPr>
            <w:r>
              <w:rPr>
                <w:rFonts w:hint="default" w:ascii="Times New Roman" w:hAnsi="Times New Roman" w:cs="Times New Roman"/>
                <w:color w:val="auto"/>
              </w:rPr>
              <w:t>D、提高认识、完善制度、严格检查。</w:t>
            </w:r>
          </w:p>
          <w:p>
            <w:pPr>
              <w:ind w:firstLine="480"/>
              <w:rPr>
                <w:rFonts w:hint="default" w:ascii="Times New Roman" w:hAnsi="Times New Roman" w:cs="Times New Roman"/>
                <w:color w:val="auto"/>
              </w:rPr>
            </w:pP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5</w:t>
            </w:r>
            <w:r>
              <w:rPr>
                <w:rFonts w:hint="default" w:ascii="Times New Roman" w:hAnsi="Times New Roman" w:cs="Times New Roman"/>
                <w:color w:val="auto"/>
                <w:lang w:eastAsia="zh-CN"/>
              </w:rPr>
              <w:t>）</w:t>
            </w:r>
            <w:r>
              <w:rPr>
                <w:rFonts w:hint="default" w:ascii="Times New Roman" w:hAnsi="Times New Roman" w:cs="Times New Roman"/>
                <w:color w:val="auto"/>
              </w:rPr>
              <w:t>环境风险突发事故应急预案：</w:t>
            </w:r>
          </w:p>
          <w:p>
            <w:pPr>
              <w:ind w:firstLine="480"/>
              <w:rPr>
                <w:rFonts w:hint="default" w:ascii="Times New Roman" w:hAnsi="Times New Roman" w:cs="Times New Roman"/>
                <w:color w:val="auto"/>
              </w:rPr>
            </w:pPr>
            <w:r>
              <w:rPr>
                <w:rFonts w:hint="default" w:ascii="Times New Roman" w:hAnsi="Times New Roman" w:cs="Times New Roman"/>
                <w:color w:val="auto"/>
              </w:rPr>
              <w:t>本项目主要进行注塑类制品生产（C2929 塑料零件及其他塑料制品制造）和再生塑料颗粒产品生产（C4220 非金属废料和碎屑加工处理），其中参考《四川省突发环境事件应急预案备案行业名录（试行）》（川环办函〔2019〕504号）相关内容，本项目需完善制订相应风险事故应急预案。制订预案的目的是要迅速而有效地将事故损失减至最小，应急预案原则如下：</w:t>
            </w:r>
          </w:p>
          <w:p>
            <w:pPr>
              <w:ind w:firstLine="480"/>
              <w:rPr>
                <w:rFonts w:hint="default" w:ascii="Times New Roman" w:hAnsi="Times New Roman" w:cs="Times New Roman"/>
                <w:color w:val="auto"/>
              </w:rPr>
            </w:pPr>
            <w:r>
              <w:rPr>
                <w:rFonts w:hint="default" w:ascii="Times New Roman" w:hAnsi="Times New Roman" w:cs="Times New Roman"/>
                <w:color w:val="auto"/>
              </w:rPr>
              <w:t>①确定救援组织、队伍和联络方式。</w:t>
            </w:r>
          </w:p>
          <w:p>
            <w:pPr>
              <w:ind w:firstLine="480"/>
              <w:rPr>
                <w:rFonts w:hint="default" w:ascii="Times New Roman" w:hAnsi="Times New Roman" w:cs="Times New Roman"/>
                <w:color w:val="auto"/>
              </w:rPr>
            </w:pPr>
            <w:r>
              <w:rPr>
                <w:rFonts w:hint="default" w:ascii="Times New Roman" w:hAnsi="Times New Roman" w:cs="Times New Roman"/>
                <w:color w:val="auto"/>
              </w:rPr>
              <w:t>②制定事故类型、等级和相应的应急响应程序。</w:t>
            </w:r>
          </w:p>
          <w:p>
            <w:pPr>
              <w:ind w:firstLine="480"/>
              <w:rPr>
                <w:rFonts w:hint="default" w:ascii="Times New Roman" w:hAnsi="Times New Roman" w:cs="Times New Roman"/>
                <w:color w:val="auto"/>
              </w:rPr>
            </w:pPr>
            <w:r>
              <w:rPr>
                <w:rFonts w:hint="default" w:ascii="Times New Roman" w:hAnsi="Times New Roman" w:cs="Times New Roman"/>
                <w:color w:val="auto"/>
              </w:rPr>
              <w:t>③配备必要的救灾防毒器具及防护用品。</w:t>
            </w:r>
          </w:p>
          <w:p>
            <w:pPr>
              <w:ind w:firstLine="480"/>
              <w:rPr>
                <w:rFonts w:hint="default" w:ascii="Times New Roman" w:hAnsi="Times New Roman" w:cs="Times New Roman"/>
                <w:color w:val="auto"/>
              </w:rPr>
            </w:pPr>
            <w:r>
              <w:rPr>
                <w:rFonts w:hint="default" w:ascii="Times New Roman" w:hAnsi="Times New Roman" w:cs="Times New Roman"/>
                <w:color w:val="auto"/>
              </w:rPr>
              <w:t>④对生产系统制定应急状态切断终止或自动报警连锁保护程序。</w:t>
            </w:r>
          </w:p>
          <w:p>
            <w:pPr>
              <w:ind w:firstLine="480"/>
              <w:rPr>
                <w:rFonts w:hint="default" w:ascii="Times New Roman" w:hAnsi="Times New Roman" w:cs="Times New Roman"/>
                <w:color w:val="auto"/>
              </w:rPr>
            </w:pPr>
            <w:r>
              <w:rPr>
                <w:rFonts w:hint="default" w:ascii="Times New Roman" w:hAnsi="Times New Roman" w:cs="Times New Roman"/>
                <w:color w:val="auto"/>
              </w:rPr>
              <w:t>⑤岗位培训和演习，设置事故应急学习手册及报告、记录和评估。</w:t>
            </w:r>
          </w:p>
          <w:p>
            <w:pPr>
              <w:ind w:firstLine="480"/>
              <w:rPr>
                <w:rFonts w:hint="default" w:ascii="Times New Roman" w:hAnsi="Times New Roman" w:cs="Times New Roman"/>
                <w:color w:val="auto"/>
              </w:rPr>
            </w:pPr>
            <w:r>
              <w:rPr>
                <w:rFonts w:hint="default" w:ascii="Times New Roman" w:hAnsi="Times New Roman" w:cs="Times New Roman"/>
                <w:color w:val="auto"/>
              </w:rPr>
              <w:t>⑥制定区域防灾救援方案，厂外受影响人群的疏散、撤离方案，与当地政府、消防、环保和医疗救助等部门加强联系，以便风险事故发生时得到及时救援。</w:t>
            </w:r>
          </w:p>
          <w:p>
            <w:pPr>
              <w:ind w:firstLine="480"/>
              <w:rPr>
                <w:rFonts w:hint="default" w:ascii="Times New Roman" w:hAnsi="Times New Roman" w:cs="Times New Roman"/>
                <w:color w:val="auto"/>
              </w:rPr>
            </w:pPr>
            <w:r>
              <w:rPr>
                <w:rFonts w:hint="default" w:ascii="Times New Roman" w:hAnsi="Times New Roman" w:cs="Times New Roman"/>
                <w:color w:val="auto"/>
              </w:rPr>
              <w:t>根据本环境风险分析的结果，对于本项目可能造成环境风险的突发性事故制定应急预案纲要，供项目决策人参考。</w:t>
            </w:r>
          </w:p>
          <w:p>
            <w:pPr>
              <w:pStyle w:val="11"/>
              <w:jc w:val="center"/>
              <w:rPr>
                <w:rFonts w:hint="default" w:ascii="Times New Roman" w:hAnsi="Times New Roman" w:cs="Times New Roman"/>
                <w:b/>
                <w:bCs/>
                <w:color w:val="auto"/>
              </w:rPr>
            </w:pPr>
            <w:r>
              <w:rPr>
                <w:rFonts w:hint="default" w:ascii="Times New Roman" w:hAnsi="Times New Roman" w:cs="Times New Roman"/>
                <w:b/>
                <w:bCs/>
                <w:color w:val="auto"/>
              </w:rPr>
              <w:t>表4-</w:t>
            </w:r>
            <w:r>
              <w:rPr>
                <w:rFonts w:hint="default" w:ascii="Times New Roman" w:hAnsi="Times New Roman" w:cs="Times New Roman"/>
                <w:b/>
                <w:bCs/>
                <w:color w:val="auto"/>
                <w:lang w:val="en-US" w:eastAsia="zh-CN"/>
              </w:rPr>
              <w:t>1</w:t>
            </w:r>
            <w:r>
              <w:rPr>
                <w:rFonts w:hint="eastAsia" w:cs="Times New Roman"/>
                <w:b/>
                <w:bCs/>
                <w:color w:val="auto"/>
                <w:lang w:val="en-US" w:eastAsia="zh-CN"/>
              </w:rPr>
              <w:t>3</w:t>
            </w:r>
            <w:r>
              <w:rPr>
                <w:rFonts w:hint="default" w:ascii="Times New Roman" w:hAnsi="Times New Roman" w:cs="Times New Roman"/>
                <w:b/>
                <w:bCs/>
                <w:color w:val="auto"/>
              </w:rPr>
              <w:t xml:space="preserve">  环境风险突发事故应急预案</w:t>
            </w:r>
          </w:p>
          <w:tbl>
            <w:tblPr>
              <w:tblStyle w:val="5"/>
              <w:tblW w:w="885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80"/>
              <w:gridCol w:w="1668"/>
              <w:gridCol w:w="580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0" w:hRule="atLeast"/>
                <w:tblHeader/>
                <w:jc w:val="center"/>
              </w:trPr>
              <w:tc>
                <w:tcPr>
                  <w:tcW w:w="1380" w:type="dxa"/>
                  <w:vAlign w:val="center"/>
                </w:tcPr>
                <w:p>
                  <w:pPr>
                    <w:pStyle w:val="11"/>
                    <w:jc w:val="center"/>
                    <w:rPr>
                      <w:rFonts w:hint="default" w:ascii="Times New Roman" w:hAnsi="Times New Roman" w:cs="Times New Roman"/>
                      <w:b/>
                      <w:bCs/>
                      <w:color w:val="auto"/>
                    </w:rPr>
                  </w:pPr>
                  <w:r>
                    <w:rPr>
                      <w:rFonts w:hint="default" w:ascii="Times New Roman" w:hAnsi="Times New Roman" w:cs="Times New Roman"/>
                      <w:b/>
                      <w:bCs/>
                      <w:color w:val="auto"/>
                    </w:rPr>
                    <w:t>序号</w:t>
                  </w:r>
                </w:p>
              </w:tc>
              <w:tc>
                <w:tcPr>
                  <w:tcW w:w="1668" w:type="dxa"/>
                  <w:vAlign w:val="center"/>
                </w:tcPr>
                <w:p>
                  <w:pPr>
                    <w:pStyle w:val="11"/>
                    <w:jc w:val="center"/>
                    <w:rPr>
                      <w:rFonts w:hint="default" w:ascii="Times New Roman" w:hAnsi="Times New Roman" w:cs="Times New Roman"/>
                      <w:b/>
                      <w:bCs/>
                      <w:color w:val="auto"/>
                    </w:rPr>
                  </w:pPr>
                  <w:r>
                    <w:rPr>
                      <w:rFonts w:hint="default" w:ascii="Times New Roman" w:hAnsi="Times New Roman" w:cs="Times New Roman"/>
                      <w:b/>
                      <w:bCs/>
                      <w:color w:val="auto"/>
                    </w:rPr>
                    <w:t>项目</w:t>
                  </w:r>
                </w:p>
              </w:tc>
              <w:tc>
                <w:tcPr>
                  <w:tcW w:w="5808" w:type="dxa"/>
                  <w:vAlign w:val="center"/>
                </w:tcPr>
                <w:p>
                  <w:pPr>
                    <w:pStyle w:val="11"/>
                    <w:jc w:val="center"/>
                    <w:rPr>
                      <w:rFonts w:hint="default" w:ascii="Times New Roman" w:hAnsi="Times New Roman" w:cs="Times New Roman"/>
                      <w:b/>
                      <w:bCs/>
                      <w:color w:val="auto"/>
                    </w:rPr>
                  </w:pPr>
                  <w:r>
                    <w:rPr>
                      <w:rFonts w:hint="default" w:ascii="Times New Roman" w:hAnsi="Times New Roman" w:cs="Times New Roman"/>
                      <w:b/>
                      <w:bCs/>
                      <w:color w:val="auto"/>
                    </w:rPr>
                    <w:t>内容及要求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0" w:hRule="atLeast"/>
                <w:jc w:val="center"/>
              </w:trPr>
              <w:tc>
                <w:tcPr>
                  <w:tcW w:w="1380"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1</w:t>
                  </w:r>
                </w:p>
              </w:tc>
              <w:tc>
                <w:tcPr>
                  <w:tcW w:w="1668"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危险源情况</w:t>
                  </w:r>
                </w:p>
              </w:tc>
              <w:tc>
                <w:tcPr>
                  <w:tcW w:w="5808" w:type="dxa"/>
                  <w:vAlign w:val="center"/>
                </w:tcPr>
                <w:p>
                  <w:pPr>
                    <w:pStyle w:val="11"/>
                    <w:rPr>
                      <w:rFonts w:hint="default" w:ascii="Times New Roman" w:hAnsi="Times New Roman" w:cs="Times New Roman"/>
                      <w:color w:val="auto"/>
                    </w:rPr>
                  </w:pPr>
                  <w:r>
                    <w:rPr>
                      <w:rFonts w:hint="default" w:ascii="Times New Roman" w:hAnsi="Times New Roman" w:cs="Times New Roman"/>
                      <w:color w:val="auto"/>
                    </w:rPr>
                    <w:t>详细说明危险源类型、数量、分布及其对环境的风险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0" w:hRule="atLeast"/>
                <w:jc w:val="center"/>
              </w:trPr>
              <w:tc>
                <w:tcPr>
                  <w:tcW w:w="1380"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2</w:t>
                  </w:r>
                </w:p>
              </w:tc>
              <w:tc>
                <w:tcPr>
                  <w:tcW w:w="1668"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应急计划区</w:t>
                  </w:r>
                </w:p>
              </w:tc>
              <w:tc>
                <w:tcPr>
                  <w:tcW w:w="5808" w:type="dxa"/>
                  <w:vAlign w:val="center"/>
                </w:tcPr>
                <w:p>
                  <w:pPr>
                    <w:pStyle w:val="11"/>
                    <w:rPr>
                      <w:rFonts w:hint="default" w:ascii="Times New Roman" w:hAnsi="Times New Roman" w:cs="Times New Roman"/>
                      <w:color w:val="auto"/>
                    </w:rPr>
                  </w:pPr>
                  <w:r>
                    <w:rPr>
                      <w:rFonts w:hint="default" w:ascii="Times New Roman" w:hAnsi="Times New Roman" w:cs="Times New Roman"/>
                      <w:color w:val="auto"/>
                    </w:rPr>
                    <w:t>办公区、生产区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0" w:hRule="atLeast"/>
                <w:jc w:val="center"/>
              </w:trPr>
              <w:tc>
                <w:tcPr>
                  <w:tcW w:w="1380"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3</w:t>
                  </w:r>
                </w:p>
              </w:tc>
              <w:tc>
                <w:tcPr>
                  <w:tcW w:w="1668"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应急组织</w:t>
                  </w:r>
                </w:p>
              </w:tc>
              <w:tc>
                <w:tcPr>
                  <w:tcW w:w="5808" w:type="dxa"/>
                  <w:vAlign w:val="center"/>
                </w:tcPr>
                <w:p>
                  <w:pPr>
                    <w:pStyle w:val="11"/>
                    <w:rPr>
                      <w:rFonts w:hint="default" w:ascii="Times New Roman" w:hAnsi="Times New Roman" w:cs="Times New Roman"/>
                      <w:color w:val="auto"/>
                    </w:rPr>
                  </w:pPr>
                  <w:r>
                    <w:rPr>
                      <w:rFonts w:hint="default" w:ascii="Times New Roman" w:hAnsi="Times New Roman" w:cs="Times New Roman"/>
                      <w:color w:val="auto"/>
                    </w:rPr>
                    <w:t>本项目内：成立应急指挥小组，由公司最高领导层担任小组长，负责现场全面指挥，专业救援队伍负责事故控制、救援和善后处理。</w:t>
                  </w:r>
                </w:p>
                <w:p>
                  <w:pPr>
                    <w:pStyle w:val="11"/>
                    <w:rPr>
                      <w:rFonts w:hint="default" w:ascii="Times New Roman" w:hAnsi="Times New Roman" w:cs="Times New Roman"/>
                      <w:color w:val="auto"/>
                    </w:rPr>
                  </w:pPr>
                  <w:r>
                    <w:rPr>
                      <w:rFonts w:hint="default" w:ascii="Times New Roman" w:hAnsi="Times New Roman" w:cs="Times New Roman"/>
                      <w:color w:val="auto"/>
                    </w:rPr>
                    <w:t>临近地区：地区指挥部负责企业附近地区全面指挥，救援，管制和疏散</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0" w:hRule="atLeast"/>
                <w:jc w:val="center"/>
              </w:trPr>
              <w:tc>
                <w:tcPr>
                  <w:tcW w:w="1380"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4</w:t>
                  </w:r>
                </w:p>
              </w:tc>
              <w:tc>
                <w:tcPr>
                  <w:tcW w:w="1668"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应急状态分类应急响应程序</w:t>
                  </w:r>
                </w:p>
              </w:tc>
              <w:tc>
                <w:tcPr>
                  <w:tcW w:w="5808" w:type="dxa"/>
                  <w:vAlign w:val="center"/>
                </w:tcPr>
                <w:p>
                  <w:pPr>
                    <w:pStyle w:val="11"/>
                    <w:rPr>
                      <w:rFonts w:hint="default" w:ascii="Times New Roman" w:hAnsi="Times New Roman" w:cs="Times New Roman"/>
                      <w:color w:val="auto"/>
                    </w:rPr>
                  </w:pPr>
                  <w:r>
                    <w:rPr>
                      <w:rFonts w:hint="default" w:ascii="Times New Roman" w:hAnsi="Times New Roman" w:cs="Times New Roman"/>
                      <w:color w:val="auto"/>
                    </w:rPr>
                    <w:t>规定环境风险事故的级别及相应的应急状态分类，以此制定相应的应急响应程序。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0" w:hRule="atLeast"/>
                <w:jc w:val="center"/>
              </w:trPr>
              <w:tc>
                <w:tcPr>
                  <w:tcW w:w="1380"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5</w:t>
                  </w:r>
                </w:p>
              </w:tc>
              <w:tc>
                <w:tcPr>
                  <w:tcW w:w="1668"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应急设施设备与材料</w:t>
                  </w:r>
                </w:p>
              </w:tc>
              <w:tc>
                <w:tcPr>
                  <w:tcW w:w="5808" w:type="dxa"/>
                  <w:vAlign w:val="center"/>
                </w:tcPr>
                <w:p>
                  <w:pPr>
                    <w:pStyle w:val="11"/>
                    <w:rPr>
                      <w:rFonts w:hint="default" w:ascii="Times New Roman" w:hAnsi="Times New Roman" w:cs="Times New Roman"/>
                      <w:color w:val="auto"/>
                    </w:rPr>
                  </w:pPr>
                  <w:r>
                    <w:rPr>
                      <w:rFonts w:hint="default" w:ascii="Times New Roman" w:hAnsi="Times New Roman" w:cs="Times New Roman"/>
                      <w:color w:val="auto"/>
                    </w:rPr>
                    <w:t>办公区和生产区：防火设备与材料，主要为消防器材、消防服等；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0" w:hRule="atLeast"/>
                <w:jc w:val="center"/>
              </w:trPr>
              <w:tc>
                <w:tcPr>
                  <w:tcW w:w="1380"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6</w:t>
                  </w:r>
                </w:p>
              </w:tc>
              <w:tc>
                <w:tcPr>
                  <w:tcW w:w="1668"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应急通讯</w:t>
                  </w:r>
                </w:p>
                <w:p>
                  <w:pPr>
                    <w:pStyle w:val="11"/>
                    <w:jc w:val="center"/>
                    <w:rPr>
                      <w:rFonts w:hint="default" w:ascii="Times New Roman" w:hAnsi="Times New Roman" w:cs="Times New Roman"/>
                      <w:color w:val="auto"/>
                    </w:rPr>
                  </w:pPr>
                  <w:r>
                    <w:rPr>
                      <w:rFonts w:hint="default" w:ascii="Times New Roman" w:hAnsi="Times New Roman" w:cs="Times New Roman"/>
                      <w:color w:val="auto"/>
                    </w:rPr>
                    <w:t>通告与交通</w:t>
                  </w:r>
                </w:p>
              </w:tc>
              <w:tc>
                <w:tcPr>
                  <w:tcW w:w="5808" w:type="dxa"/>
                  <w:vAlign w:val="center"/>
                </w:tcPr>
                <w:p>
                  <w:pPr>
                    <w:pStyle w:val="11"/>
                    <w:rPr>
                      <w:rFonts w:hint="default" w:ascii="Times New Roman" w:hAnsi="Times New Roman" w:cs="Times New Roman"/>
                      <w:color w:val="auto"/>
                    </w:rPr>
                  </w:pPr>
                  <w:r>
                    <w:rPr>
                      <w:rFonts w:hint="default" w:ascii="Times New Roman" w:hAnsi="Times New Roman" w:cs="Times New Roman"/>
                      <w:color w:val="auto"/>
                    </w:rPr>
                    <w:t>规定应急状态下的通讯、通告方式和交通保障、管理等事项。可充分利用现代化的通信设施，如手机、固定电话、广播、电视等。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55" w:hRule="atLeast"/>
                <w:jc w:val="center"/>
              </w:trPr>
              <w:tc>
                <w:tcPr>
                  <w:tcW w:w="1380"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7</w:t>
                  </w:r>
                </w:p>
              </w:tc>
              <w:tc>
                <w:tcPr>
                  <w:tcW w:w="1668"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应急环境监测及事故后评价</w:t>
                  </w:r>
                </w:p>
              </w:tc>
              <w:tc>
                <w:tcPr>
                  <w:tcW w:w="5808" w:type="dxa"/>
                  <w:vAlign w:val="center"/>
                </w:tcPr>
                <w:p>
                  <w:pPr>
                    <w:pStyle w:val="11"/>
                    <w:rPr>
                      <w:rFonts w:hint="default" w:ascii="Times New Roman" w:hAnsi="Times New Roman" w:cs="Times New Roman"/>
                      <w:color w:val="auto"/>
                    </w:rPr>
                  </w:pPr>
                  <w:r>
                    <w:rPr>
                      <w:rFonts w:hint="default" w:ascii="Times New Roman" w:hAnsi="Times New Roman" w:cs="Times New Roman"/>
                      <w:color w:val="auto"/>
                    </w:rPr>
                    <w:t>由专业人员对环境分析事故现场进行应急监测，对事故性质、严重程度均所造成的环境危害后果进行评估，吸取经验教训避免再次发生事故，为指挥部门提供决策依据。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0" w:hRule="atLeast"/>
                <w:jc w:val="center"/>
              </w:trPr>
              <w:tc>
                <w:tcPr>
                  <w:tcW w:w="1380"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8</w:t>
                  </w:r>
                </w:p>
              </w:tc>
              <w:tc>
                <w:tcPr>
                  <w:tcW w:w="1668"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应急防护措施</w:t>
                  </w:r>
                </w:p>
              </w:tc>
              <w:tc>
                <w:tcPr>
                  <w:tcW w:w="5808" w:type="dxa"/>
                  <w:vAlign w:val="center"/>
                </w:tcPr>
                <w:p>
                  <w:pPr>
                    <w:pStyle w:val="11"/>
                    <w:rPr>
                      <w:rFonts w:hint="default" w:ascii="Times New Roman" w:hAnsi="Times New Roman" w:cs="Times New Roman"/>
                      <w:color w:val="auto"/>
                    </w:rPr>
                  </w:pPr>
                  <w:r>
                    <w:rPr>
                      <w:rFonts w:hint="default" w:ascii="Times New Roman" w:hAnsi="Times New Roman" w:cs="Times New Roman"/>
                      <w:color w:val="auto"/>
                    </w:rPr>
                    <w:t>事故现场：控制事故发展，防止扩大、蔓延及连锁反应；</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0" w:hRule="atLeast"/>
                <w:jc w:val="center"/>
              </w:trPr>
              <w:tc>
                <w:tcPr>
                  <w:tcW w:w="1380"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9</w:t>
                  </w:r>
                </w:p>
              </w:tc>
              <w:tc>
                <w:tcPr>
                  <w:tcW w:w="1668"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应急剂量控制撤离组织计划医疗救护与保护公众健康</w:t>
                  </w:r>
                </w:p>
              </w:tc>
              <w:tc>
                <w:tcPr>
                  <w:tcW w:w="5808" w:type="dxa"/>
                  <w:vAlign w:val="center"/>
                </w:tcPr>
                <w:p>
                  <w:pPr>
                    <w:pStyle w:val="11"/>
                    <w:rPr>
                      <w:rFonts w:hint="default" w:ascii="Times New Roman" w:hAnsi="Times New Roman" w:cs="Times New Roman"/>
                      <w:color w:val="auto"/>
                    </w:rPr>
                  </w:pPr>
                  <w:r>
                    <w:rPr>
                      <w:rFonts w:hint="default" w:ascii="Times New Roman" w:hAnsi="Times New Roman" w:cs="Times New Roman"/>
                      <w:color w:val="auto"/>
                    </w:rPr>
                    <w:t>事故现场：事故处理人员制定毒物的应急剂量、现场及临近装置人员的撤离组织计划和紧急救护方案；</w:t>
                  </w:r>
                </w:p>
                <w:p>
                  <w:pPr>
                    <w:pStyle w:val="11"/>
                    <w:rPr>
                      <w:rFonts w:hint="default" w:ascii="Times New Roman" w:hAnsi="Times New Roman" w:cs="Times New Roman"/>
                      <w:color w:val="auto"/>
                    </w:rPr>
                  </w:pPr>
                  <w:r>
                    <w:rPr>
                      <w:rFonts w:hint="default" w:ascii="Times New Roman" w:hAnsi="Times New Roman" w:cs="Times New Roman"/>
                      <w:color w:val="auto"/>
                    </w:rPr>
                    <w:t>临近地区：制定受事故影响的临近地区内人员的烧伤程度、公众的疏散组织计划和紧急救护方案。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36" w:hRule="atLeast"/>
                <w:jc w:val="center"/>
              </w:trPr>
              <w:tc>
                <w:tcPr>
                  <w:tcW w:w="1380"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10</w:t>
                  </w:r>
                </w:p>
              </w:tc>
              <w:tc>
                <w:tcPr>
                  <w:tcW w:w="1668"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应急状态中止恢复措施</w:t>
                  </w:r>
                </w:p>
              </w:tc>
              <w:tc>
                <w:tcPr>
                  <w:tcW w:w="5808" w:type="dxa"/>
                  <w:vAlign w:val="center"/>
                </w:tcPr>
                <w:p>
                  <w:pPr>
                    <w:pStyle w:val="11"/>
                    <w:rPr>
                      <w:rFonts w:hint="default" w:ascii="Times New Roman" w:hAnsi="Times New Roman" w:cs="Times New Roman"/>
                      <w:color w:val="auto"/>
                    </w:rPr>
                  </w:pPr>
                  <w:r>
                    <w:rPr>
                      <w:rFonts w:hint="default" w:ascii="Times New Roman" w:hAnsi="Times New Roman" w:cs="Times New Roman"/>
                      <w:color w:val="auto"/>
                    </w:rPr>
                    <w:t>事故现场：规定应急状态终止秩序；事故现场善后处理，回复生产措施；</w:t>
                  </w:r>
                </w:p>
                <w:p>
                  <w:pPr>
                    <w:pStyle w:val="11"/>
                    <w:rPr>
                      <w:rFonts w:hint="default" w:ascii="Times New Roman" w:hAnsi="Times New Roman" w:cs="Times New Roman"/>
                      <w:color w:val="auto"/>
                    </w:rPr>
                  </w:pPr>
                  <w:r>
                    <w:rPr>
                      <w:rFonts w:hint="default" w:ascii="Times New Roman" w:hAnsi="Times New Roman" w:cs="Times New Roman"/>
                      <w:color w:val="auto"/>
                    </w:rPr>
                    <w:t>临近地区：解除事故警戒，公众返回和善后回复措施。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1380"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11</w:t>
                  </w:r>
                </w:p>
              </w:tc>
              <w:tc>
                <w:tcPr>
                  <w:tcW w:w="1668"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人员培训与演习</w:t>
                  </w:r>
                </w:p>
              </w:tc>
              <w:tc>
                <w:tcPr>
                  <w:tcW w:w="5808" w:type="dxa"/>
                  <w:vAlign w:val="center"/>
                </w:tcPr>
                <w:p>
                  <w:pPr>
                    <w:pStyle w:val="11"/>
                    <w:rPr>
                      <w:rFonts w:hint="default" w:ascii="Times New Roman" w:hAnsi="Times New Roman" w:cs="Times New Roman"/>
                      <w:color w:val="auto"/>
                    </w:rPr>
                  </w:pPr>
                  <w:r>
                    <w:rPr>
                      <w:rFonts w:hint="default" w:ascii="Times New Roman" w:hAnsi="Times New Roman" w:cs="Times New Roman"/>
                      <w:color w:val="auto"/>
                    </w:rPr>
                    <w:t>应急计划制定后，平时安排事故出路人员进行相关知识培训并进行事故应急处理演习；对工厂工人进行安全卫生教育。</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83" w:hRule="atLeast"/>
                <w:jc w:val="center"/>
              </w:trPr>
              <w:tc>
                <w:tcPr>
                  <w:tcW w:w="1380"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12</w:t>
                  </w:r>
                </w:p>
              </w:tc>
              <w:tc>
                <w:tcPr>
                  <w:tcW w:w="1668"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公众教育信息发布</w:t>
                  </w:r>
                </w:p>
              </w:tc>
              <w:tc>
                <w:tcPr>
                  <w:tcW w:w="5808" w:type="dxa"/>
                  <w:vAlign w:val="center"/>
                </w:tcPr>
                <w:p>
                  <w:pPr>
                    <w:pStyle w:val="11"/>
                    <w:rPr>
                      <w:rFonts w:hint="default" w:ascii="Times New Roman" w:hAnsi="Times New Roman" w:cs="Times New Roman"/>
                      <w:color w:val="auto"/>
                    </w:rPr>
                  </w:pPr>
                  <w:r>
                    <w:rPr>
                      <w:rFonts w:hint="default" w:ascii="Times New Roman" w:hAnsi="Times New Roman" w:cs="Times New Roman"/>
                      <w:color w:val="auto"/>
                    </w:rPr>
                    <w:t>对工厂临近地区公众开展环境风险事故预防教育、应急知识培训并定期发布相关信息。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1380"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13</w:t>
                  </w:r>
                </w:p>
              </w:tc>
              <w:tc>
                <w:tcPr>
                  <w:tcW w:w="1668"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记录和报告</w:t>
                  </w:r>
                </w:p>
              </w:tc>
              <w:tc>
                <w:tcPr>
                  <w:tcW w:w="5808" w:type="dxa"/>
                  <w:vAlign w:val="center"/>
                </w:tcPr>
                <w:p>
                  <w:pPr>
                    <w:pStyle w:val="11"/>
                    <w:rPr>
                      <w:rFonts w:hint="default" w:ascii="Times New Roman" w:hAnsi="Times New Roman" w:cs="Times New Roman"/>
                      <w:color w:val="auto"/>
                    </w:rPr>
                  </w:pPr>
                  <w:r>
                    <w:rPr>
                      <w:rFonts w:hint="default" w:ascii="Times New Roman" w:hAnsi="Times New Roman" w:cs="Times New Roman"/>
                      <w:color w:val="auto"/>
                    </w:rPr>
                    <w:t>设应急事故专门记录，建立档案和报告制度，设专门部门负责管理。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1380"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14</w:t>
                  </w:r>
                </w:p>
              </w:tc>
              <w:tc>
                <w:tcPr>
                  <w:tcW w:w="1668"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附件</w:t>
                  </w:r>
                </w:p>
              </w:tc>
              <w:tc>
                <w:tcPr>
                  <w:tcW w:w="5808" w:type="dxa"/>
                  <w:vAlign w:val="center"/>
                </w:tcPr>
                <w:p>
                  <w:pPr>
                    <w:pStyle w:val="11"/>
                    <w:rPr>
                      <w:rFonts w:hint="default" w:ascii="Times New Roman" w:hAnsi="Times New Roman" w:cs="Times New Roman"/>
                      <w:color w:val="auto"/>
                    </w:rPr>
                  </w:pPr>
                  <w:r>
                    <w:rPr>
                      <w:rFonts w:hint="default" w:ascii="Times New Roman" w:hAnsi="Times New Roman" w:cs="Times New Roman"/>
                      <w:color w:val="auto"/>
                    </w:rPr>
                    <w:t>准备并形成环境风险事故应急处理有关的附件材料。</w:t>
                  </w:r>
                </w:p>
              </w:tc>
            </w:tr>
          </w:tbl>
          <w:p>
            <w:pPr>
              <w:ind w:firstLine="480"/>
              <w:rPr>
                <w:rFonts w:hint="default" w:ascii="Times New Roman" w:hAnsi="Times New Roman" w:cs="Times New Roman"/>
                <w:color w:val="auto"/>
              </w:rPr>
            </w:pP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6</w:t>
            </w:r>
            <w:r>
              <w:rPr>
                <w:rFonts w:hint="default" w:ascii="Times New Roman" w:hAnsi="Times New Roman" w:cs="Times New Roman"/>
                <w:color w:val="auto"/>
                <w:lang w:eastAsia="zh-CN"/>
              </w:rPr>
              <w:t>）</w:t>
            </w:r>
            <w:r>
              <w:rPr>
                <w:rFonts w:hint="default" w:ascii="Times New Roman" w:hAnsi="Times New Roman" w:cs="Times New Roman"/>
                <w:color w:val="auto"/>
                <w:lang w:val="zh-CN"/>
              </w:rPr>
              <w:t>建设项目环境风险简单分析内容表</w:t>
            </w:r>
          </w:p>
          <w:p>
            <w:pPr>
              <w:pStyle w:val="11"/>
              <w:jc w:val="center"/>
              <w:rPr>
                <w:rFonts w:hint="default" w:ascii="Times New Roman" w:hAnsi="Times New Roman" w:cs="Times New Roman"/>
                <w:b/>
                <w:bCs/>
                <w:color w:val="auto"/>
                <w:lang w:val="zh-CN"/>
              </w:rPr>
            </w:pPr>
            <w:r>
              <w:rPr>
                <w:rFonts w:hint="default" w:ascii="Times New Roman" w:hAnsi="Times New Roman" w:cs="Times New Roman"/>
                <w:b/>
                <w:bCs/>
                <w:color w:val="auto"/>
              </w:rPr>
              <w:t>表4-</w:t>
            </w:r>
            <w:r>
              <w:rPr>
                <w:rFonts w:hint="default" w:ascii="Times New Roman" w:hAnsi="Times New Roman" w:cs="Times New Roman"/>
                <w:b/>
                <w:bCs/>
                <w:color w:val="auto"/>
                <w:lang w:val="en-US" w:eastAsia="zh-CN"/>
              </w:rPr>
              <w:t>1</w:t>
            </w:r>
            <w:r>
              <w:rPr>
                <w:rFonts w:hint="eastAsia" w:cs="Times New Roman"/>
                <w:b/>
                <w:bCs/>
                <w:color w:val="auto"/>
                <w:lang w:val="en-US" w:eastAsia="zh-CN"/>
              </w:rPr>
              <w:t>4</w:t>
            </w:r>
            <w:r>
              <w:rPr>
                <w:rFonts w:hint="default" w:ascii="Times New Roman" w:hAnsi="Times New Roman" w:cs="Times New Roman"/>
                <w:b/>
                <w:bCs/>
                <w:color w:val="auto"/>
              </w:rPr>
              <w:t xml:space="preserve">  </w:t>
            </w:r>
            <w:r>
              <w:rPr>
                <w:rFonts w:hint="default" w:ascii="Times New Roman" w:hAnsi="Times New Roman" w:cs="Times New Roman"/>
                <w:b/>
                <w:bCs/>
                <w:color w:val="auto"/>
                <w:lang w:val="zh-CN"/>
              </w:rPr>
              <w:t>建设项目环境风险简单分析内容表</w:t>
            </w:r>
          </w:p>
          <w:tbl>
            <w:tblPr>
              <w:tblStyle w:val="5"/>
              <w:tblW w:w="8932"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814"/>
              <w:gridCol w:w="1011"/>
              <w:gridCol w:w="1703"/>
              <w:gridCol w:w="1700"/>
              <w:gridCol w:w="2704"/>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814" w:type="dxa"/>
                  <w:vAlign w:val="center"/>
                </w:tcPr>
                <w:p>
                  <w:pPr>
                    <w:pStyle w:val="11"/>
                    <w:jc w:val="center"/>
                    <w:rPr>
                      <w:rFonts w:hint="default" w:ascii="Times New Roman" w:hAnsi="Times New Roman" w:cs="Times New Roman"/>
                      <w:b/>
                      <w:bCs/>
                      <w:color w:val="auto"/>
                      <w:lang w:val="zh-CN"/>
                    </w:rPr>
                  </w:pPr>
                  <w:r>
                    <w:rPr>
                      <w:rFonts w:hint="default" w:ascii="Times New Roman" w:hAnsi="Times New Roman" w:cs="Times New Roman"/>
                      <w:b/>
                      <w:bCs/>
                      <w:color w:val="auto"/>
                      <w:lang w:val="zh-CN"/>
                    </w:rPr>
                    <w:t>建设项目名称</w:t>
                  </w:r>
                </w:p>
              </w:tc>
              <w:tc>
                <w:tcPr>
                  <w:tcW w:w="7118" w:type="dxa"/>
                  <w:gridSpan w:val="4"/>
                </w:tcPr>
                <w:p>
                  <w:pPr>
                    <w:pStyle w:val="11"/>
                    <w:jc w:val="center"/>
                    <w:rPr>
                      <w:rFonts w:hint="eastAsia" w:ascii="Times New Roman" w:hAnsi="Times New Roman" w:eastAsia="宋体" w:cs="Times New Roman"/>
                      <w:color w:val="auto"/>
                      <w:lang w:val="zh-CN" w:eastAsia="zh-CN"/>
                    </w:rPr>
                  </w:pPr>
                  <w:r>
                    <w:rPr>
                      <w:rFonts w:hint="eastAsia" w:cs="Times New Roman"/>
                      <w:color w:val="auto"/>
                      <w:lang w:eastAsia="zh-CN"/>
                    </w:rPr>
                    <w:t>年产7500吨农用塑料薄膜回收再利用项目</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814" w:type="dxa"/>
                  <w:vAlign w:val="center"/>
                </w:tcPr>
                <w:p>
                  <w:pPr>
                    <w:pStyle w:val="11"/>
                    <w:jc w:val="center"/>
                    <w:rPr>
                      <w:rFonts w:hint="default" w:ascii="Times New Roman" w:hAnsi="Times New Roman" w:cs="Times New Roman"/>
                      <w:b/>
                      <w:bCs/>
                      <w:color w:val="auto"/>
                      <w:lang w:val="zh-CN"/>
                    </w:rPr>
                  </w:pPr>
                  <w:r>
                    <w:rPr>
                      <w:rFonts w:hint="default" w:ascii="Times New Roman" w:hAnsi="Times New Roman" w:cs="Times New Roman"/>
                      <w:b/>
                      <w:bCs/>
                      <w:color w:val="auto"/>
                      <w:lang w:val="zh-CN"/>
                    </w:rPr>
                    <w:t>建设地点</w:t>
                  </w:r>
                </w:p>
              </w:tc>
              <w:tc>
                <w:tcPr>
                  <w:tcW w:w="1011" w:type="dxa"/>
                  <w:vAlign w:val="center"/>
                </w:tcPr>
                <w:p>
                  <w:pPr>
                    <w:pStyle w:val="11"/>
                    <w:jc w:val="center"/>
                    <w:rPr>
                      <w:rFonts w:hint="default" w:ascii="Times New Roman" w:hAnsi="Times New Roman" w:cs="Times New Roman"/>
                      <w:color w:val="auto"/>
                      <w:lang w:val="zh-CN"/>
                    </w:rPr>
                  </w:pPr>
                  <w:r>
                    <w:rPr>
                      <w:rFonts w:hint="default" w:ascii="Times New Roman" w:hAnsi="Times New Roman" w:cs="Times New Roman"/>
                      <w:color w:val="auto"/>
                      <w:lang w:val="zh-CN"/>
                    </w:rPr>
                    <w:t>四川省</w:t>
                  </w:r>
                </w:p>
              </w:tc>
              <w:tc>
                <w:tcPr>
                  <w:tcW w:w="1703" w:type="dxa"/>
                  <w:vAlign w:val="center"/>
                </w:tcPr>
                <w:p>
                  <w:pPr>
                    <w:pStyle w:val="11"/>
                    <w:jc w:val="center"/>
                    <w:rPr>
                      <w:rFonts w:hint="eastAsia" w:ascii="Times New Roman" w:hAnsi="Times New Roman" w:eastAsia="宋体" w:cs="Times New Roman"/>
                      <w:color w:val="auto"/>
                      <w:lang w:eastAsia="zh-CN"/>
                    </w:rPr>
                  </w:pPr>
                  <w:r>
                    <w:rPr>
                      <w:rFonts w:hint="eastAsia" w:cs="Times New Roman"/>
                      <w:color w:val="auto"/>
                      <w:lang w:val="en-US" w:eastAsia="zh-CN"/>
                    </w:rPr>
                    <w:t>达州市</w:t>
                  </w:r>
                </w:p>
              </w:tc>
              <w:tc>
                <w:tcPr>
                  <w:tcW w:w="1700" w:type="dxa"/>
                  <w:vAlign w:val="center"/>
                </w:tcPr>
                <w:p>
                  <w:pPr>
                    <w:pStyle w:val="11"/>
                    <w:jc w:val="center"/>
                    <w:rPr>
                      <w:rFonts w:hint="eastAsia" w:ascii="Times New Roman" w:hAnsi="Times New Roman" w:eastAsia="宋体" w:cs="Times New Roman"/>
                      <w:color w:val="auto"/>
                      <w:lang w:eastAsia="zh-CN"/>
                    </w:rPr>
                  </w:pPr>
                  <w:r>
                    <w:rPr>
                      <w:rFonts w:hint="eastAsia" w:cs="Times New Roman"/>
                      <w:color w:val="auto"/>
                      <w:lang w:val="en-US" w:eastAsia="zh-CN"/>
                    </w:rPr>
                    <w:t>宣汉县</w:t>
                  </w:r>
                </w:p>
              </w:tc>
              <w:tc>
                <w:tcPr>
                  <w:tcW w:w="2704" w:type="dxa"/>
                  <w:vAlign w:val="center"/>
                </w:tcPr>
                <w:p>
                  <w:pPr>
                    <w:pStyle w:val="11"/>
                    <w:jc w:val="center"/>
                    <w:rPr>
                      <w:rFonts w:hint="default" w:ascii="Times New Roman" w:hAnsi="Times New Roman" w:eastAsia="宋体" w:cs="Times New Roman"/>
                      <w:color w:val="auto"/>
                      <w:lang w:val="en-US" w:eastAsia="zh-CN"/>
                    </w:rPr>
                  </w:pPr>
                  <w:r>
                    <w:rPr>
                      <w:rFonts w:hint="eastAsia" w:cs="Times New Roman"/>
                      <w:color w:val="auto"/>
                      <w:lang w:val="en-US" w:eastAsia="zh-CN"/>
                    </w:rPr>
                    <w:t>柳池工业园区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814" w:type="dxa"/>
                  <w:vAlign w:val="center"/>
                </w:tcPr>
                <w:p>
                  <w:pPr>
                    <w:pStyle w:val="11"/>
                    <w:jc w:val="center"/>
                    <w:rPr>
                      <w:rFonts w:hint="default" w:ascii="Times New Roman" w:hAnsi="Times New Roman" w:cs="Times New Roman"/>
                      <w:b/>
                      <w:bCs/>
                      <w:color w:val="auto"/>
                      <w:lang w:val="zh-CN"/>
                    </w:rPr>
                  </w:pPr>
                  <w:r>
                    <w:rPr>
                      <w:rFonts w:hint="default" w:ascii="Times New Roman" w:hAnsi="Times New Roman" w:cs="Times New Roman"/>
                      <w:b/>
                      <w:bCs/>
                      <w:color w:val="auto"/>
                      <w:lang w:val="zh-CN"/>
                    </w:rPr>
                    <w:t>地理坐标</w:t>
                  </w:r>
                </w:p>
              </w:tc>
              <w:tc>
                <w:tcPr>
                  <w:tcW w:w="1011" w:type="dxa"/>
                  <w:vAlign w:val="center"/>
                </w:tcPr>
                <w:p>
                  <w:pPr>
                    <w:pStyle w:val="11"/>
                    <w:jc w:val="center"/>
                    <w:rPr>
                      <w:rFonts w:hint="default" w:ascii="Times New Roman" w:hAnsi="Times New Roman" w:cs="Times New Roman"/>
                      <w:color w:val="auto"/>
                      <w:lang w:val="zh-CN"/>
                    </w:rPr>
                  </w:pPr>
                  <w:r>
                    <w:rPr>
                      <w:rFonts w:hint="default" w:ascii="Times New Roman" w:hAnsi="Times New Roman" w:cs="Times New Roman"/>
                      <w:color w:val="auto"/>
                      <w:lang w:val="zh-CN"/>
                    </w:rPr>
                    <w:t>经度</w:t>
                  </w:r>
                </w:p>
              </w:tc>
              <w:tc>
                <w:tcPr>
                  <w:tcW w:w="1703" w:type="dxa"/>
                  <w:vAlign w:val="center"/>
                </w:tcPr>
                <w:p>
                  <w:pPr>
                    <w:pStyle w:val="11"/>
                    <w:jc w:val="center"/>
                    <w:rPr>
                      <w:rFonts w:hint="default" w:ascii="Times New Roman" w:hAnsi="Times New Roman" w:cs="Times New Roman"/>
                      <w:color w:val="auto"/>
                      <w:lang w:val="zh-CN"/>
                    </w:rPr>
                  </w:pPr>
                  <w:r>
                    <w:rPr>
                      <w:rFonts w:hint="default" w:ascii="Times New Roman" w:hAnsi="Times New Roman" w:cs="Times New Roman"/>
                      <w:color w:val="auto"/>
                      <w:sz w:val="24"/>
                      <w:szCs w:val="24"/>
                    </w:rPr>
                    <w:t>107°41′21.07″</w:t>
                  </w:r>
                </w:p>
              </w:tc>
              <w:tc>
                <w:tcPr>
                  <w:tcW w:w="1700" w:type="dxa"/>
                  <w:vAlign w:val="center"/>
                </w:tcPr>
                <w:p>
                  <w:pPr>
                    <w:pStyle w:val="11"/>
                    <w:jc w:val="center"/>
                    <w:rPr>
                      <w:rFonts w:hint="default" w:ascii="Times New Roman" w:hAnsi="Times New Roman" w:cs="Times New Roman"/>
                      <w:color w:val="auto"/>
                      <w:lang w:val="zh-CN"/>
                    </w:rPr>
                  </w:pPr>
                  <w:r>
                    <w:rPr>
                      <w:rFonts w:hint="default" w:ascii="Times New Roman" w:hAnsi="Times New Roman" w:cs="Times New Roman"/>
                      <w:color w:val="auto"/>
                      <w:lang w:val="zh-CN"/>
                    </w:rPr>
                    <w:t>纬度</w:t>
                  </w:r>
                </w:p>
              </w:tc>
              <w:tc>
                <w:tcPr>
                  <w:tcW w:w="2704" w:type="dxa"/>
                  <w:vAlign w:val="center"/>
                </w:tcPr>
                <w:p>
                  <w:pPr>
                    <w:pStyle w:val="11"/>
                    <w:jc w:val="center"/>
                    <w:rPr>
                      <w:rFonts w:hint="default" w:ascii="Times New Roman" w:hAnsi="Times New Roman" w:cs="Times New Roman"/>
                      <w:color w:val="auto"/>
                      <w:lang w:val="zh-CN"/>
                    </w:rPr>
                  </w:pPr>
                  <w:r>
                    <w:rPr>
                      <w:rFonts w:hint="default" w:ascii="Times New Roman" w:hAnsi="Times New Roman" w:cs="Times New Roman"/>
                      <w:color w:val="auto"/>
                      <w:sz w:val="24"/>
                      <w:szCs w:val="24"/>
                    </w:rPr>
                    <w:t>31°26′</w:t>
                  </w:r>
                  <w:r>
                    <w:rPr>
                      <w:rFonts w:hint="default" w:ascii="Times New Roman" w:hAnsi="Times New Roman" w:cs="Times New Roman"/>
                      <w:color w:val="auto"/>
                      <w:sz w:val="24"/>
                      <w:szCs w:val="24"/>
                      <w:lang w:val="en-US" w:eastAsia="zh-CN"/>
                    </w:rPr>
                    <w:t>0</w:t>
                  </w:r>
                  <w:r>
                    <w:rPr>
                      <w:rFonts w:hint="default" w:ascii="Times New Roman" w:hAnsi="Times New Roman" w:cs="Times New Roman"/>
                      <w:color w:val="auto"/>
                      <w:sz w:val="24"/>
                      <w:szCs w:val="24"/>
                    </w:rPr>
                    <w:t>3 .66″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814" w:type="dxa"/>
                  <w:vAlign w:val="center"/>
                </w:tcPr>
                <w:p>
                  <w:pPr>
                    <w:pStyle w:val="11"/>
                    <w:jc w:val="center"/>
                    <w:rPr>
                      <w:rFonts w:hint="default" w:ascii="Times New Roman" w:hAnsi="Times New Roman" w:cs="Times New Roman"/>
                      <w:b/>
                      <w:bCs/>
                      <w:color w:val="auto"/>
                      <w:lang w:val="zh-CN"/>
                    </w:rPr>
                  </w:pPr>
                  <w:r>
                    <w:rPr>
                      <w:rFonts w:hint="default" w:ascii="Times New Roman" w:hAnsi="Times New Roman" w:cs="Times New Roman"/>
                      <w:b/>
                      <w:bCs/>
                      <w:color w:val="auto"/>
                      <w:lang w:val="zh-CN"/>
                    </w:rPr>
                    <w:t>主要</w:t>
                  </w:r>
                  <w:r>
                    <w:rPr>
                      <w:rFonts w:hint="default" w:ascii="Times New Roman" w:hAnsi="Times New Roman" w:cs="Times New Roman"/>
                      <w:b/>
                      <w:bCs/>
                      <w:color w:val="auto"/>
                    </w:rPr>
                    <w:t>风险</w:t>
                  </w:r>
                  <w:r>
                    <w:rPr>
                      <w:rFonts w:hint="default" w:ascii="Times New Roman" w:hAnsi="Times New Roman" w:cs="Times New Roman"/>
                      <w:b/>
                      <w:bCs/>
                      <w:color w:val="auto"/>
                      <w:lang w:val="zh-CN"/>
                    </w:rPr>
                    <w:t>物质及分布</w:t>
                  </w:r>
                </w:p>
              </w:tc>
              <w:tc>
                <w:tcPr>
                  <w:tcW w:w="7118" w:type="dxa"/>
                  <w:gridSpan w:val="4"/>
                  <w:vAlign w:val="center"/>
                </w:tcPr>
                <w:p>
                  <w:pPr>
                    <w:pStyle w:val="11"/>
                    <w:jc w:val="center"/>
                    <w:rPr>
                      <w:rFonts w:hint="default" w:ascii="Times New Roman" w:hAnsi="Times New Roman" w:cs="Times New Roman"/>
                      <w:color w:val="auto"/>
                      <w:lang w:val="zh-CN"/>
                    </w:rPr>
                  </w:pPr>
                  <w:r>
                    <w:rPr>
                      <w:rFonts w:hint="default" w:ascii="Times New Roman" w:hAnsi="Times New Roman" w:cs="Times New Roman"/>
                      <w:color w:val="auto"/>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814" w:type="dxa"/>
                  <w:vAlign w:val="center"/>
                </w:tcPr>
                <w:p>
                  <w:pPr>
                    <w:pStyle w:val="11"/>
                    <w:jc w:val="center"/>
                    <w:rPr>
                      <w:rFonts w:hint="default" w:ascii="Times New Roman" w:hAnsi="Times New Roman" w:cs="Times New Roman"/>
                      <w:b/>
                      <w:bCs/>
                      <w:color w:val="auto"/>
                      <w:lang w:val="zh-CN"/>
                    </w:rPr>
                  </w:pPr>
                  <w:r>
                    <w:rPr>
                      <w:rFonts w:hint="default" w:ascii="Times New Roman" w:hAnsi="Times New Roman" w:cs="Times New Roman"/>
                      <w:b/>
                      <w:bCs/>
                      <w:color w:val="auto"/>
                      <w:lang w:val="zh-CN"/>
                    </w:rPr>
                    <w:t>环境影响途径及危害后果</w:t>
                  </w:r>
                </w:p>
              </w:tc>
              <w:tc>
                <w:tcPr>
                  <w:tcW w:w="7118" w:type="dxa"/>
                  <w:gridSpan w:val="4"/>
                  <w:vAlign w:val="center"/>
                </w:tcPr>
                <w:p>
                  <w:pPr>
                    <w:pStyle w:val="11"/>
                    <w:rPr>
                      <w:rFonts w:hint="default" w:ascii="Times New Roman" w:hAnsi="Times New Roman" w:cs="Times New Roman"/>
                      <w:color w:val="auto"/>
                    </w:rPr>
                  </w:pPr>
                  <w:r>
                    <w:rPr>
                      <w:rFonts w:hint="default" w:ascii="Times New Roman" w:hAnsi="Times New Roman" w:cs="Times New Roman"/>
                      <w:color w:val="auto"/>
                    </w:rPr>
                    <w:t>①、生活污水收集管道泄漏，造成地下水污染等环境问题；②、废弃机油泄漏，造成地下水污染等环境问题；③有机废气设备发生故障，造成有机废气未经处理后排放。</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814" w:type="dxa"/>
                  <w:vAlign w:val="center"/>
                </w:tcPr>
                <w:p>
                  <w:pPr>
                    <w:pStyle w:val="11"/>
                    <w:jc w:val="center"/>
                    <w:rPr>
                      <w:rFonts w:hint="default" w:ascii="Times New Roman" w:hAnsi="Times New Roman" w:cs="Times New Roman"/>
                      <w:b/>
                      <w:bCs/>
                      <w:color w:val="auto"/>
                      <w:lang w:val="zh-CN"/>
                    </w:rPr>
                  </w:pPr>
                  <w:r>
                    <w:rPr>
                      <w:rFonts w:hint="default" w:ascii="Times New Roman" w:hAnsi="Times New Roman" w:cs="Times New Roman"/>
                      <w:b/>
                      <w:bCs/>
                      <w:color w:val="auto"/>
                      <w:lang w:val="zh-CN"/>
                    </w:rPr>
                    <w:t>风险防范措施</w:t>
                  </w:r>
                </w:p>
              </w:tc>
              <w:tc>
                <w:tcPr>
                  <w:tcW w:w="7118" w:type="dxa"/>
                  <w:gridSpan w:val="4"/>
                  <w:vAlign w:val="center"/>
                </w:tcPr>
                <w:p>
                  <w:pPr>
                    <w:pStyle w:val="11"/>
                    <w:jc w:val="both"/>
                    <w:rPr>
                      <w:rFonts w:hint="default" w:ascii="Times New Roman" w:hAnsi="Times New Roman" w:cs="Times New Roman"/>
                      <w:color w:val="auto"/>
                    </w:rPr>
                  </w:pPr>
                  <w:r>
                    <w:rPr>
                      <w:rFonts w:hint="default" w:ascii="Times New Roman" w:hAnsi="Times New Roman" w:cs="Times New Roman"/>
                      <w:color w:val="auto"/>
                    </w:rPr>
                    <w:t>预防措施：</w:t>
                  </w:r>
                </w:p>
                <w:p>
                  <w:pPr>
                    <w:pStyle w:val="11"/>
                    <w:jc w:val="both"/>
                    <w:rPr>
                      <w:rFonts w:hint="default" w:ascii="Times New Roman" w:hAnsi="Times New Roman" w:cs="Times New Roman"/>
                      <w:color w:val="auto"/>
                    </w:rPr>
                  </w:pPr>
                  <w:r>
                    <w:rPr>
                      <w:rFonts w:hint="default" w:ascii="Times New Roman" w:hAnsi="Times New Roman" w:cs="Times New Roman"/>
                      <w:color w:val="auto"/>
                    </w:rPr>
                    <w:t>①对建筑物、设备管线加设防雷、防静电接地装置；</w:t>
                  </w:r>
                </w:p>
                <w:p>
                  <w:pPr>
                    <w:pStyle w:val="11"/>
                    <w:jc w:val="both"/>
                    <w:rPr>
                      <w:rFonts w:hint="default" w:ascii="Times New Roman" w:hAnsi="Times New Roman" w:cs="Times New Roman"/>
                      <w:color w:val="auto"/>
                    </w:rPr>
                  </w:pPr>
                  <w:r>
                    <w:rPr>
                      <w:rFonts w:hint="default" w:ascii="Times New Roman" w:hAnsi="Times New Roman" w:cs="Times New Roman"/>
                      <w:color w:val="auto"/>
                    </w:rPr>
                    <w:t>②严格按照国家规范的要求设置的电气线路并按规范的要求保持足够的防火间距；</w:t>
                  </w:r>
                </w:p>
                <w:p>
                  <w:pPr>
                    <w:pStyle w:val="11"/>
                    <w:jc w:val="both"/>
                    <w:rPr>
                      <w:rFonts w:hint="default" w:ascii="Times New Roman" w:hAnsi="Times New Roman" w:cs="Times New Roman"/>
                      <w:color w:val="auto"/>
                      <w:lang w:val="zh-CN"/>
                    </w:rPr>
                  </w:pPr>
                  <w:r>
                    <w:rPr>
                      <w:rFonts w:hint="default" w:ascii="Times New Roman" w:hAnsi="Times New Roman" w:cs="Times New Roman"/>
                      <w:color w:val="auto"/>
                    </w:rPr>
                    <w:t>③加强管理，环评要求派专人对生产现场进行管理，落实各项规范制度。制定环境风险应急预案，防患于未然。</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932" w:type="dxa"/>
                  <w:gridSpan w:val="5"/>
                  <w:vAlign w:val="center"/>
                </w:tcPr>
                <w:p>
                  <w:pPr>
                    <w:pStyle w:val="11"/>
                    <w:rPr>
                      <w:rFonts w:hint="default" w:ascii="Times New Roman" w:hAnsi="Times New Roman" w:cs="Times New Roman"/>
                      <w:color w:val="auto"/>
                    </w:rPr>
                  </w:pPr>
                  <w:r>
                    <w:rPr>
                      <w:rFonts w:hint="default" w:ascii="Times New Roman" w:hAnsi="Times New Roman" w:cs="Times New Roman"/>
                      <w:color w:val="auto"/>
                      <w:lang w:val="zh-CN"/>
                    </w:rPr>
                    <w:t>填表说明：</w:t>
                  </w:r>
                  <w:r>
                    <w:rPr>
                      <w:rFonts w:hint="default" w:ascii="Times New Roman" w:hAnsi="Times New Roman" w:cs="Times New Roman"/>
                      <w:color w:val="auto"/>
                    </w:rPr>
                    <w:t>根据现场踏勘，项目生产过程中均不涉及有毒、有害等物质的存储、生产及使用，风险水平低，通过加强管理后，项目环境风险可接受。</w:t>
                  </w:r>
                </w:p>
              </w:tc>
            </w:tr>
          </w:tbl>
          <w:p>
            <w:pPr>
              <w:ind w:firstLine="480"/>
              <w:rPr>
                <w:rFonts w:hint="default" w:ascii="Times New Roman" w:hAnsi="Times New Roman" w:cs="Times New Roman"/>
                <w:color w:val="auto"/>
              </w:rPr>
            </w:pP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7</w:t>
            </w:r>
            <w:r>
              <w:rPr>
                <w:rFonts w:hint="default" w:ascii="Times New Roman" w:hAnsi="Times New Roman" w:cs="Times New Roman"/>
                <w:color w:val="auto"/>
                <w:lang w:eastAsia="zh-CN"/>
              </w:rPr>
              <w:t>）</w:t>
            </w:r>
            <w:r>
              <w:rPr>
                <w:rFonts w:hint="default" w:ascii="Times New Roman" w:hAnsi="Times New Roman" w:cs="Times New Roman"/>
                <w:color w:val="auto"/>
              </w:rPr>
              <w:t>风险评价结论：</w:t>
            </w:r>
          </w:p>
          <w:p>
            <w:pPr>
              <w:ind w:firstLine="480"/>
              <w:rPr>
                <w:rFonts w:hint="default" w:ascii="Times New Roman" w:hAnsi="Times New Roman" w:cs="Times New Roman"/>
                <w:color w:val="auto"/>
              </w:rPr>
            </w:pPr>
            <w:r>
              <w:rPr>
                <w:rFonts w:hint="default" w:ascii="Times New Roman" w:hAnsi="Times New Roman" w:cs="Times New Roman"/>
                <w:color w:val="auto"/>
              </w:rPr>
              <w:t>风险评价结论：在采取环评提出的防治措施后，本项目风险处于可接受水平，其风险管理措施有效、可靠，从环境风险角度而言是可行的。</w:t>
            </w:r>
          </w:p>
          <w:p>
            <w:pPr>
              <w:adjustRightInd w:val="0"/>
              <w:snapToGrid w:val="0"/>
              <w:ind w:firstLine="480"/>
              <w:rPr>
                <w:rFonts w:hint="default" w:ascii="Times New Roman" w:hAnsi="Times New Roman" w:cs="Times New Roman"/>
                <w:b/>
                <w:bCs/>
                <w:color w:val="auto"/>
                <w:lang w:val="en-US" w:eastAsia="zh-CN"/>
              </w:rPr>
            </w:pPr>
            <w:r>
              <w:rPr>
                <w:rFonts w:hint="default" w:ascii="Times New Roman" w:hAnsi="Times New Roman" w:cs="Times New Roman"/>
                <w:b/>
                <w:bCs/>
                <w:color w:val="auto"/>
                <w:lang w:eastAsia="zh-CN"/>
              </w:rPr>
              <w:t>（</w:t>
            </w:r>
            <w:r>
              <w:rPr>
                <w:rFonts w:hint="default" w:ascii="Times New Roman" w:hAnsi="Times New Roman" w:cs="Times New Roman"/>
                <w:b/>
                <w:bCs/>
                <w:color w:val="auto"/>
                <w:lang w:val="en-US" w:eastAsia="zh-CN"/>
              </w:rPr>
              <w:t>三</w:t>
            </w:r>
            <w:r>
              <w:rPr>
                <w:rFonts w:hint="default" w:ascii="Times New Roman" w:hAnsi="Times New Roman" w:cs="Times New Roman"/>
                <w:b/>
                <w:bCs/>
                <w:color w:val="auto"/>
                <w:lang w:eastAsia="zh-CN"/>
              </w:rPr>
              <w:t>）</w:t>
            </w:r>
            <w:r>
              <w:rPr>
                <w:rFonts w:hint="default" w:ascii="Times New Roman" w:hAnsi="Times New Roman" w:cs="Times New Roman"/>
                <w:b/>
                <w:bCs/>
                <w:color w:val="auto"/>
                <w:lang w:val="en-US" w:eastAsia="zh-CN"/>
              </w:rPr>
              <w:t>清洁生产</w:t>
            </w:r>
          </w:p>
          <w:p>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清洁生产是指不断采取改进设计、使用清洁的能源和原料、采用先进的工艺技术与设备、改善管理、综合利用等措施，从源头削减污染，提高资源利用效率，减少或者避免生产、服务和产品使用过程中污染物的产生和排放，以减轻或消除对人类健康和环境的危害。《建设项目环境保护管理条例》规定：工业建设项目应采用能耗小、污染物产生量小的清洁生产工艺，合理利用自然资源，防止环境污染和生态破坏。清洁生产促进法第18条也规定：新建、改建和扩建项目应当进行环境影响评价，对原料使用、资源消耗、资源综合利用以及污染物产生与处置等进行分析论证，优先采用资源利用率高以及污染物产生量少的清洁生产技术、工艺和设备。</w:t>
            </w:r>
          </w:p>
          <w:p>
            <w:pPr>
              <w:ind w:firstLine="482"/>
              <w:rPr>
                <w:rFonts w:hint="default" w:ascii="Times New Roman" w:hAnsi="Times New Roman" w:eastAsia="宋体" w:cs="Times New Roman"/>
                <w:b/>
                <w:color w:val="auto"/>
              </w:rPr>
            </w:pPr>
            <w:r>
              <w:rPr>
                <w:rFonts w:hint="default" w:ascii="Times New Roman" w:hAnsi="Times New Roman" w:eastAsia="宋体" w:cs="Times New Roman"/>
                <w:b/>
                <w:color w:val="auto"/>
              </w:rPr>
              <w:t>1、生产工艺与装备要求</w:t>
            </w:r>
          </w:p>
          <w:p>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本项目</w:t>
            </w:r>
            <w:r>
              <w:rPr>
                <w:rFonts w:hint="default" w:ascii="Times New Roman" w:hAnsi="Times New Roman" w:cs="Times New Roman"/>
                <w:bCs/>
                <w:color w:val="auto"/>
                <w:lang w:val="en-US" w:eastAsia="zh-CN"/>
              </w:rPr>
              <w:t>的</w:t>
            </w:r>
            <w:r>
              <w:rPr>
                <w:rFonts w:hint="default" w:ascii="Times New Roman" w:hAnsi="Times New Roman" w:eastAsia="宋体" w:cs="Times New Roman"/>
                <w:bCs/>
                <w:color w:val="auto"/>
              </w:rPr>
              <w:t>设备带</w:t>
            </w:r>
            <w:r>
              <w:rPr>
                <w:rFonts w:hint="default" w:ascii="Times New Roman" w:hAnsi="Times New Roman" w:eastAsia="宋体" w:cs="Times New Roman"/>
                <w:color w:val="auto"/>
              </w:rPr>
              <w:t>生产效率高，操作方便，在国内处于领先水平。</w:t>
            </w:r>
          </w:p>
          <w:p>
            <w:pPr>
              <w:ind w:firstLine="482"/>
              <w:rPr>
                <w:rFonts w:hint="default" w:ascii="Times New Roman" w:hAnsi="Times New Roman" w:eastAsia="宋体" w:cs="Times New Roman"/>
                <w:b/>
                <w:color w:val="auto"/>
              </w:rPr>
            </w:pPr>
            <w:r>
              <w:rPr>
                <w:rFonts w:hint="default" w:ascii="Times New Roman" w:hAnsi="Times New Roman" w:eastAsia="宋体" w:cs="Times New Roman"/>
                <w:b/>
                <w:color w:val="auto"/>
              </w:rPr>
              <w:t>2、资源能源利用指标</w:t>
            </w:r>
          </w:p>
          <w:p>
            <w:pPr>
              <w:ind w:firstLine="480"/>
              <w:rPr>
                <w:rFonts w:hint="default" w:ascii="Times New Roman" w:hAnsi="Times New Roman" w:eastAsia="宋体" w:cs="Times New Roman"/>
                <w:color w:val="auto"/>
              </w:rPr>
            </w:pPr>
            <w:r>
              <w:rPr>
                <w:rFonts w:hint="default" w:ascii="Times New Roman" w:hAnsi="Times New Roman" w:cs="Times New Roman"/>
                <w:color w:val="auto"/>
                <w:lang w:val="en-US" w:eastAsia="zh-CN"/>
              </w:rPr>
              <w:t>项目的</w:t>
            </w:r>
            <w:r>
              <w:rPr>
                <w:rFonts w:hint="default" w:ascii="Times New Roman" w:hAnsi="Times New Roman" w:eastAsia="宋体" w:cs="Times New Roman"/>
                <w:color w:val="auto"/>
              </w:rPr>
              <w:t>主要原辅材料均无毒无害。项目生产、办公使用电为清洁能源。</w:t>
            </w:r>
          </w:p>
          <w:p>
            <w:pPr>
              <w:ind w:firstLine="482"/>
              <w:rPr>
                <w:rFonts w:hint="default" w:ascii="Times New Roman" w:hAnsi="Times New Roman" w:eastAsia="宋体" w:cs="Times New Roman"/>
                <w:b/>
                <w:color w:val="auto"/>
              </w:rPr>
            </w:pPr>
            <w:r>
              <w:rPr>
                <w:rFonts w:hint="default" w:ascii="Times New Roman" w:hAnsi="Times New Roman" w:eastAsia="宋体" w:cs="Times New Roman"/>
                <w:b/>
                <w:color w:val="auto"/>
              </w:rPr>
              <w:t>3、产品指标</w:t>
            </w:r>
          </w:p>
          <w:p>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本次项目产品</w:t>
            </w:r>
            <w:r>
              <w:rPr>
                <w:rFonts w:hint="default" w:ascii="Times New Roman" w:hAnsi="Times New Roman" w:eastAsia="宋体" w:cs="Times New Roman"/>
                <w:color w:val="auto"/>
                <w:kern w:val="0"/>
              </w:rPr>
              <w:t>为</w:t>
            </w:r>
            <w:r>
              <w:rPr>
                <w:rFonts w:hint="default" w:ascii="Times New Roman" w:hAnsi="Times New Roman" w:cs="Times New Roman"/>
                <w:color w:val="auto"/>
                <w:lang w:val="en-US" w:eastAsia="zh-CN"/>
              </w:rPr>
              <w:t>再生塑料产品</w:t>
            </w:r>
            <w:r>
              <w:rPr>
                <w:rFonts w:hint="default" w:ascii="Times New Roman" w:hAnsi="Times New Roman" w:eastAsia="宋体" w:cs="Times New Roman"/>
                <w:color w:val="auto"/>
              </w:rPr>
              <w:t>，使用</w:t>
            </w:r>
            <w:r>
              <w:rPr>
                <w:rFonts w:hint="default" w:ascii="Times New Roman" w:hAnsi="Times New Roman" w:eastAsia="宋体" w:cs="Times New Roman"/>
                <w:bCs/>
                <w:color w:val="auto"/>
              </w:rPr>
              <w:t>运输车运输，</w:t>
            </w:r>
            <w:r>
              <w:rPr>
                <w:rFonts w:hint="default" w:ascii="Times New Roman" w:hAnsi="Times New Roman" w:eastAsia="宋体" w:cs="Times New Roman"/>
                <w:color w:val="auto"/>
              </w:rPr>
              <w:t>产品无毒无害，使用安全，不会对环境产生遗留影响。</w:t>
            </w:r>
            <w:bookmarkStart w:id="43" w:name="_Toc195933815"/>
          </w:p>
          <w:p>
            <w:pPr>
              <w:ind w:firstLine="482"/>
              <w:rPr>
                <w:rFonts w:hint="default" w:ascii="Times New Roman" w:hAnsi="Times New Roman" w:eastAsia="宋体" w:cs="Times New Roman"/>
                <w:b/>
                <w:color w:val="auto"/>
              </w:rPr>
            </w:pPr>
            <w:r>
              <w:rPr>
                <w:rFonts w:hint="default" w:ascii="Times New Roman" w:hAnsi="Times New Roman" w:eastAsia="宋体" w:cs="Times New Roman"/>
                <w:b/>
                <w:color w:val="auto"/>
              </w:rPr>
              <w:t>4、污染物产生指标</w:t>
            </w:r>
          </w:p>
          <w:bookmarkEnd w:id="43"/>
          <w:p>
            <w:pPr>
              <w:ind w:firstLine="480"/>
              <w:rPr>
                <w:rFonts w:hint="default" w:ascii="Times New Roman" w:hAnsi="Times New Roman" w:eastAsia="宋体" w:cs="Times New Roman"/>
                <w:color w:val="auto"/>
              </w:rPr>
            </w:pPr>
            <w:bookmarkStart w:id="44" w:name="_Toc195933816"/>
            <w:r>
              <w:rPr>
                <w:rFonts w:hint="default" w:ascii="Times New Roman" w:hAnsi="Times New Roman" w:eastAsia="宋体" w:cs="Times New Roman"/>
                <w:color w:val="auto"/>
                <w:lang w:val="en-US" w:eastAsia="zh-CN"/>
              </w:rPr>
              <w:t>本项目的钢结构厂房采用</w:t>
            </w:r>
            <w:r>
              <w:rPr>
                <w:rFonts w:hint="default" w:ascii="Times New Roman" w:hAnsi="Times New Roman" w:eastAsia="宋体" w:cs="Times New Roman"/>
                <w:color w:val="auto"/>
              </w:rPr>
              <w:t>封闭</w:t>
            </w:r>
            <w:r>
              <w:rPr>
                <w:rFonts w:hint="default" w:ascii="Times New Roman" w:hAnsi="Times New Roman" w:eastAsia="宋体" w:cs="Times New Roman"/>
                <w:color w:val="auto"/>
                <w:lang w:val="en-US" w:eastAsia="zh-CN"/>
              </w:rPr>
              <w:t>式形式</w:t>
            </w:r>
            <w:r>
              <w:rPr>
                <w:rFonts w:hint="default" w:ascii="Times New Roman" w:hAnsi="Times New Roman" w:eastAsia="宋体" w:cs="Times New Roman"/>
                <w:color w:val="auto"/>
              </w:rPr>
              <w:t>，有效地防治了</w:t>
            </w:r>
            <w:r>
              <w:rPr>
                <w:rFonts w:hint="default" w:ascii="Times New Roman" w:hAnsi="Times New Roman" w:cs="Times New Roman"/>
                <w:color w:val="auto"/>
                <w:lang w:val="en-US" w:eastAsia="zh-CN"/>
              </w:rPr>
              <w:t>噪声</w:t>
            </w:r>
            <w:r>
              <w:rPr>
                <w:rFonts w:hint="default" w:ascii="Times New Roman" w:hAnsi="Times New Roman" w:eastAsia="宋体" w:cs="Times New Roman"/>
                <w:color w:val="auto"/>
              </w:rPr>
              <w:t>对外环境的影响</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生产废气经有机废气处理装置处理达标后排放</w:t>
            </w:r>
            <w:r>
              <w:rPr>
                <w:rFonts w:hint="default" w:ascii="Times New Roman" w:hAnsi="Times New Roman" w:eastAsia="宋体" w:cs="Times New Roman"/>
                <w:color w:val="auto"/>
              </w:rPr>
              <w:t>。生产废水</w:t>
            </w:r>
            <w:r>
              <w:rPr>
                <w:rFonts w:hint="default" w:ascii="Times New Roman" w:hAnsi="Times New Roman" w:eastAsia="宋体" w:cs="Times New Roman"/>
                <w:color w:val="auto"/>
                <w:lang w:val="en-US" w:eastAsia="zh-CN"/>
              </w:rPr>
              <w:t>经处理后回用于生产</w:t>
            </w:r>
            <w:r>
              <w:rPr>
                <w:rFonts w:hint="default" w:ascii="Times New Roman" w:hAnsi="Times New Roman" w:eastAsia="宋体" w:cs="Times New Roman"/>
                <w:color w:val="auto"/>
              </w:rPr>
              <w:t>，生产固废均得到了合理利用。</w:t>
            </w:r>
          </w:p>
          <w:bookmarkEnd w:id="44"/>
          <w:p>
            <w:pPr>
              <w:ind w:firstLine="482"/>
              <w:rPr>
                <w:rFonts w:hint="default" w:ascii="Times New Roman" w:hAnsi="Times New Roman" w:eastAsia="宋体" w:cs="Times New Roman"/>
                <w:b/>
                <w:bCs/>
                <w:color w:val="auto"/>
              </w:rPr>
            </w:pPr>
            <w:bookmarkStart w:id="45" w:name="_Toc195933817"/>
            <w:r>
              <w:rPr>
                <w:rFonts w:hint="default" w:ascii="Times New Roman" w:hAnsi="Times New Roman" w:eastAsia="宋体" w:cs="Times New Roman"/>
                <w:b/>
                <w:bCs/>
                <w:color w:val="auto"/>
              </w:rPr>
              <w:t>5、</w:t>
            </w:r>
            <w:bookmarkEnd w:id="45"/>
            <w:r>
              <w:rPr>
                <w:rFonts w:hint="default" w:ascii="Times New Roman" w:hAnsi="Times New Roman" w:eastAsia="宋体" w:cs="Times New Roman"/>
                <w:b/>
                <w:bCs/>
                <w:color w:val="auto"/>
              </w:rPr>
              <w:t>废物回收利用指标</w:t>
            </w:r>
          </w:p>
          <w:p>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本项目生产过程所产生的一般工业固废和生产废水全部回收利用，不仅减轻了对周围环境的污染，每年还可以大大节约了资源，并从中获得一定的经济效益，符合循环经济的理念。</w:t>
            </w:r>
          </w:p>
          <w:p>
            <w:pPr>
              <w:ind w:firstLine="482"/>
              <w:rPr>
                <w:rFonts w:hint="default" w:ascii="Times New Roman" w:hAnsi="Times New Roman" w:eastAsia="宋体" w:cs="Times New Roman"/>
                <w:b/>
                <w:color w:val="auto"/>
              </w:rPr>
            </w:pPr>
            <w:r>
              <w:rPr>
                <w:rFonts w:hint="default" w:ascii="Times New Roman" w:hAnsi="Times New Roman" w:eastAsia="宋体" w:cs="Times New Roman"/>
                <w:b/>
                <w:color w:val="auto"/>
              </w:rPr>
              <w:t>6、管理要求</w:t>
            </w:r>
          </w:p>
          <w:p>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强化企业管理，建立较为完善的企业内部质量管理体系和一系列严密科学可行的管理程序和各项规章制度，做到专人负责，层层落实；通过培训，使每个员工都树立起清洁生产的意识，将制定的各项清洁生产措施落到实处。</w:t>
            </w:r>
          </w:p>
          <w:p>
            <w:pPr>
              <w:ind w:firstLine="480"/>
              <w:rPr>
                <w:rFonts w:hint="default" w:ascii="Times New Roman" w:hAnsi="Times New Roman" w:eastAsia="宋体" w:cs="Times New Roman"/>
                <w:b/>
                <w:bCs/>
                <w:color w:val="auto"/>
                <w:kern w:val="0"/>
              </w:rPr>
            </w:pPr>
            <w:r>
              <w:rPr>
                <w:rFonts w:hint="default" w:ascii="Times New Roman" w:hAnsi="Times New Roman" w:eastAsia="宋体" w:cs="Times New Roman"/>
                <w:color w:val="auto"/>
              </w:rPr>
              <w:t>为了执行国家有关环境保护的法律、法规，做好建设项目的环境保护工作，业主应设环保工作人员，负责组织、协调本工程的环境保护工作。</w:t>
            </w:r>
          </w:p>
          <w:p>
            <w:pPr>
              <w:ind w:firstLine="482"/>
              <w:rPr>
                <w:rFonts w:hint="default" w:ascii="Times New Roman" w:hAnsi="Times New Roman" w:eastAsia="宋体" w:cs="Times New Roman"/>
                <w:b/>
                <w:color w:val="auto"/>
              </w:rPr>
            </w:pPr>
            <w:r>
              <w:rPr>
                <w:rFonts w:hint="default" w:ascii="Times New Roman" w:hAnsi="Times New Roman" w:eastAsia="宋体" w:cs="Times New Roman"/>
                <w:b/>
                <w:color w:val="auto"/>
              </w:rPr>
              <w:t>7、清洁生产结论</w:t>
            </w:r>
          </w:p>
          <w:p>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综上所述，本项目主要生产设备是国内外先进设备，自动化程度非常高，基本实现集中控制，不仅确保了各工序连锁、联动的协调性、安全性，也提高了关键工艺参数自动调节和控制的水平，从而使得生产过程污染物产生量大大减小，成品率大大提高，随之能耗大大降低，因此从能源使用、污染物产生量、工艺先进性、废物回收利用、污染治理、内部管理等方面分析，本项目贯彻了清洁生产的原则。</w:t>
            </w:r>
          </w:p>
          <w:p>
            <w:pPr>
              <w:ind w:firstLine="482"/>
              <w:rPr>
                <w:rFonts w:hint="default" w:ascii="Times New Roman" w:hAnsi="Times New Roman" w:eastAsia="宋体" w:cs="Times New Roman"/>
                <w:b/>
                <w:color w:val="auto"/>
              </w:rPr>
            </w:pPr>
            <w:r>
              <w:rPr>
                <w:rFonts w:hint="default" w:ascii="Times New Roman" w:hAnsi="Times New Roman" w:eastAsia="宋体" w:cs="Times New Roman"/>
                <w:b/>
                <w:color w:val="auto"/>
              </w:rPr>
              <w:t>8、清洁生产建议</w:t>
            </w:r>
          </w:p>
          <w:p>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（1）认真做好设备的日常维护保养工作，减少跑冒滴漏现象，提高设备运转效率；</w:t>
            </w:r>
          </w:p>
          <w:p>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（2）建立物料、能源使用记录，从定性化管理向定量化管理转变，认真填写各项生产、消耗记录；</w:t>
            </w:r>
          </w:p>
          <w:p>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（3）加强全厂环保设施的日常管理和维护工作，建立健全环保设施的运行管理制度、定期检查制度、设备维护制度，确保环保设施高效运行。</w:t>
            </w:r>
          </w:p>
          <w:p>
            <w:pPr>
              <w:adjustRightInd w:val="0"/>
              <w:snapToGrid w:val="0"/>
              <w:ind w:firstLine="480"/>
              <w:rPr>
                <w:rFonts w:hint="default" w:ascii="Times New Roman" w:hAnsi="Times New Roman" w:cs="Times New Roman"/>
                <w:b/>
                <w:bCs/>
                <w:color w:val="auto"/>
              </w:rPr>
            </w:pPr>
            <w:r>
              <w:rPr>
                <w:rFonts w:hint="default" w:ascii="Times New Roman" w:hAnsi="Times New Roman" w:cs="Times New Roman"/>
                <w:b/>
                <w:bCs/>
                <w:color w:val="auto"/>
              </w:rPr>
              <w:t>（</w:t>
            </w:r>
            <w:r>
              <w:rPr>
                <w:rFonts w:hint="default" w:ascii="Times New Roman" w:hAnsi="Times New Roman" w:cs="Times New Roman"/>
                <w:b/>
                <w:bCs/>
                <w:color w:val="auto"/>
                <w:lang w:val="en-US" w:eastAsia="zh-CN"/>
              </w:rPr>
              <w:t>四</w:t>
            </w:r>
            <w:r>
              <w:rPr>
                <w:rFonts w:hint="default" w:ascii="Times New Roman" w:hAnsi="Times New Roman" w:cs="Times New Roman"/>
                <w:b/>
                <w:bCs/>
                <w:color w:val="auto"/>
              </w:rPr>
              <w:t>）环境管理</w:t>
            </w:r>
          </w:p>
          <w:p>
            <w:pPr>
              <w:ind w:firstLine="480"/>
              <w:rPr>
                <w:rFonts w:hint="default" w:ascii="Times New Roman" w:hAnsi="Times New Roman" w:cs="Times New Roman"/>
                <w:color w:val="auto"/>
              </w:rPr>
            </w:pPr>
            <w:r>
              <w:rPr>
                <w:rFonts w:hint="default" w:ascii="Times New Roman" w:hAnsi="Times New Roman" w:cs="Times New Roman"/>
                <w:color w:val="auto"/>
              </w:rPr>
              <w:t>强化企业管理，建立较为完善的企业内部质量管理体系和一系列严密科学可行的管理程序和各项规章制度，做到专人负责，层层落实。</w:t>
            </w:r>
          </w:p>
          <w:p>
            <w:pPr>
              <w:ind w:firstLine="480"/>
              <w:rPr>
                <w:rFonts w:hint="default" w:ascii="Times New Roman" w:hAnsi="Times New Roman" w:cs="Times New Roman"/>
                <w:color w:val="auto"/>
              </w:rPr>
            </w:pPr>
            <w:r>
              <w:rPr>
                <w:rFonts w:hint="default" w:ascii="Times New Roman" w:hAnsi="Times New Roman" w:cs="Times New Roman"/>
                <w:color w:val="auto"/>
              </w:rPr>
              <w:t>为了执行国家有关环境保护的法律、法规，做好建设项目的环境保护工作，业主应设环保工作人员，负责组织、协调本工程的环境保护工作。</w:t>
            </w:r>
          </w:p>
          <w:p>
            <w:pPr>
              <w:ind w:firstLine="477" w:firstLineChars="198"/>
              <w:jc w:val="left"/>
              <w:rPr>
                <w:rFonts w:hint="default" w:ascii="Times New Roman" w:hAnsi="Times New Roman" w:cs="Times New Roman"/>
                <w:b/>
                <w:bCs/>
                <w:color w:val="auto"/>
              </w:rPr>
            </w:pPr>
            <w:r>
              <w:rPr>
                <w:rFonts w:hint="default" w:ascii="Times New Roman" w:hAnsi="Times New Roman" w:cs="Times New Roman"/>
                <w:b/>
                <w:bCs/>
                <w:color w:val="auto"/>
                <w:lang w:val="en-US" w:eastAsia="zh-CN"/>
              </w:rPr>
              <w:t>1</w:t>
            </w:r>
            <w:r>
              <w:rPr>
                <w:rFonts w:hint="default" w:ascii="Times New Roman" w:hAnsi="Times New Roman" w:cs="Times New Roman"/>
                <w:b/>
                <w:bCs/>
                <w:color w:val="auto"/>
              </w:rPr>
              <w:t>、项目环境管理机构与制度</w:t>
            </w:r>
          </w:p>
          <w:p>
            <w:pPr>
              <w:ind w:firstLine="480"/>
              <w:rPr>
                <w:rFonts w:hint="default" w:ascii="Times New Roman" w:hAnsi="Times New Roman" w:cs="Times New Roman"/>
                <w:color w:val="auto"/>
              </w:rPr>
            </w:pPr>
            <w:r>
              <w:rPr>
                <w:rFonts w:hint="default" w:ascii="Times New Roman" w:hAnsi="Times New Roman" w:cs="Times New Roman"/>
                <w:color w:val="auto"/>
              </w:rPr>
              <w:t>业主应全面负责项目内部的环境保护工作：</w:t>
            </w:r>
          </w:p>
          <w:p>
            <w:pPr>
              <w:tabs>
                <w:tab w:val="left" w:pos="0"/>
              </w:tabs>
              <w:ind w:firstLine="480"/>
              <w:jc w:val="left"/>
              <w:rPr>
                <w:rFonts w:hint="default" w:ascii="Times New Roman" w:hAnsi="Times New Roman" w:cs="Times New Roman"/>
                <w:color w:val="auto"/>
              </w:rPr>
            </w:pPr>
            <w:r>
              <w:rPr>
                <w:rFonts w:hint="default" w:ascii="Times New Roman" w:hAnsi="Times New Roman" w:cs="Times New Roman"/>
                <w:color w:val="auto"/>
              </w:rPr>
              <w:t>①加强区域内固废的管理，尤其是危险废物，其在暂存间集中收集后由具有危废处理资质的单位进行清运，并及时做好记录，落实固废“资源化、减量化、无害化”最终处置要求。</w:t>
            </w:r>
          </w:p>
          <w:p>
            <w:pPr>
              <w:ind w:firstLine="480"/>
              <w:jc w:val="left"/>
              <w:rPr>
                <w:rFonts w:hint="default" w:ascii="Times New Roman" w:hAnsi="Times New Roman" w:cs="Times New Roman"/>
                <w:color w:val="auto"/>
              </w:rPr>
            </w:pPr>
            <w:r>
              <w:rPr>
                <w:rFonts w:hint="default" w:ascii="Times New Roman" w:hAnsi="Times New Roman" w:cs="Times New Roman"/>
                <w:color w:val="auto"/>
              </w:rPr>
              <w:t>②实行环境监督管理，确保污染得到有效控制。</w:t>
            </w:r>
          </w:p>
          <w:p>
            <w:pPr>
              <w:ind w:firstLine="480"/>
              <w:jc w:val="left"/>
              <w:rPr>
                <w:rFonts w:hint="default" w:ascii="Times New Roman" w:hAnsi="Times New Roman" w:cs="Times New Roman"/>
                <w:color w:val="auto"/>
              </w:rPr>
            </w:pPr>
            <w:r>
              <w:rPr>
                <w:rFonts w:hint="default" w:ascii="Times New Roman" w:hAnsi="Times New Roman" w:cs="Times New Roman"/>
                <w:color w:val="auto"/>
              </w:rPr>
              <w:t>③监督污染物达标排放和总量控制。</w:t>
            </w:r>
          </w:p>
          <w:p>
            <w:pPr>
              <w:ind w:firstLine="480"/>
              <w:jc w:val="left"/>
              <w:rPr>
                <w:rFonts w:hint="default" w:ascii="Times New Roman" w:hAnsi="Times New Roman" w:cs="Times New Roman"/>
                <w:color w:val="auto"/>
              </w:rPr>
            </w:pPr>
            <w:r>
              <w:rPr>
                <w:rFonts w:hint="default" w:ascii="Times New Roman" w:hAnsi="Times New Roman" w:cs="Times New Roman"/>
                <w:color w:val="auto"/>
              </w:rPr>
              <w:t>④建立健全的企业污染源档案，并加强管理。</w:t>
            </w:r>
          </w:p>
          <w:p>
            <w:pPr>
              <w:ind w:firstLine="480"/>
              <w:jc w:val="left"/>
              <w:rPr>
                <w:rFonts w:hint="default" w:ascii="Times New Roman" w:hAnsi="Times New Roman" w:cs="Times New Roman"/>
                <w:color w:val="auto"/>
              </w:rPr>
            </w:pPr>
            <w:r>
              <w:rPr>
                <w:rFonts w:hint="default" w:ascii="Times New Roman" w:hAnsi="Times New Roman" w:cs="Times New Roman"/>
                <w:color w:val="auto"/>
              </w:rPr>
              <w:t>⑤加强对企业污染物治理的监督管理，并检测其执行情况。</w:t>
            </w:r>
          </w:p>
          <w:p>
            <w:pPr>
              <w:ind w:firstLine="480"/>
              <w:jc w:val="left"/>
              <w:rPr>
                <w:rFonts w:hint="default" w:ascii="Times New Roman" w:hAnsi="Times New Roman" w:cs="Times New Roman"/>
                <w:color w:val="auto"/>
              </w:rPr>
            </w:pPr>
            <w:r>
              <w:rPr>
                <w:rFonts w:hint="default" w:ascii="Times New Roman" w:hAnsi="Times New Roman" w:cs="Times New Roman"/>
                <w:color w:val="auto"/>
              </w:rPr>
              <w:t>⑥加强环境保护宣传教育，提高职工环保意识。</w:t>
            </w:r>
          </w:p>
          <w:p>
            <w:pPr>
              <w:ind w:firstLine="480"/>
              <w:jc w:val="left"/>
              <w:rPr>
                <w:rFonts w:hint="default" w:ascii="Times New Roman" w:hAnsi="Times New Roman" w:cs="Times New Roman"/>
                <w:b/>
                <w:bCs/>
                <w:color w:val="auto"/>
              </w:rPr>
            </w:pPr>
            <w:r>
              <w:rPr>
                <w:rFonts w:hint="default" w:ascii="Times New Roman" w:hAnsi="Times New Roman" w:cs="Times New Roman"/>
                <w:b/>
                <w:bCs/>
                <w:color w:val="auto"/>
                <w:lang w:val="en-US" w:eastAsia="zh-CN"/>
              </w:rPr>
              <w:t>2</w:t>
            </w:r>
            <w:r>
              <w:rPr>
                <w:rFonts w:hint="default" w:ascii="Times New Roman" w:hAnsi="Times New Roman" w:cs="Times New Roman"/>
                <w:b/>
                <w:bCs/>
                <w:color w:val="auto"/>
              </w:rPr>
              <w:t>、环境监测计划的建议</w:t>
            </w:r>
          </w:p>
          <w:p>
            <w:pPr>
              <w:ind w:firstLine="480"/>
              <w:jc w:val="left"/>
              <w:rPr>
                <w:rFonts w:hint="default" w:ascii="Times New Roman" w:hAnsi="Times New Roman" w:cs="Times New Roman"/>
                <w:color w:val="auto"/>
              </w:rPr>
            </w:pPr>
            <w:r>
              <w:rPr>
                <w:rFonts w:hint="default" w:ascii="Times New Roman" w:hAnsi="Times New Roman" w:cs="Times New Roman"/>
                <w:color w:val="auto"/>
              </w:rPr>
              <w:t>项目建成投入运营后，必须按照当地环境保护行政主管部门的要求，委托第三方检测机构对企业排污状况进行环境监测，以确定是否达到相应的排放标准。根据项目所在区域的环境状况和工程特点，参考《排污单位自行监测技术指南总则》（HJ733-</w:t>
            </w:r>
            <w:r>
              <w:rPr>
                <w:rFonts w:hint="default" w:ascii="Times New Roman" w:hAnsi="Times New Roman" w:cs="Times New Roman"/>
                <w:color w:val="auto"/>
                <w:lang w:val="en-US" w:eastAsia="zh-CN"/>
              </w:rPr>
              <w:t xml:space="preserve"> </w:t>
            </w:r>
            <w:r>
              <w:rPr>
                <w:rFonts w:hint="default" w:ascii="Times New Roman" w:hAnsi="Times New Roman" w:cs="Times New Roman"/>
                <w:color w:val="auto"/>
              </w:rPr>
              <w:t>2017）相关内容，本项目运行期废气、噪声监测计划建议见表4-1</w:t>
            </w:r>
            <w:r>
              <w:rPr>
                <w:rFonts w:hint="eastAsia" w:cs="Times New Roman"/>
                <w:color w:val="auto"/>
                <w:lang w:val="en-US" w:eastAsia="zh-CN"/>
              </w:rPr>
              <w:t>5</w:t>
            </w:r>
            <w:r>
              <w:rPr>
                <w:rFonts w:hint="default" w:ascii="Times New Roman" w:hAnsi="Times New Roman" w:cs="Times New Roman"/>
                <w:color w:val="auto"/>
              </w:rPr>
              <w:t>。</w:t>
            </w:r>
          </w:p>
          <w:p>
            <w:pPr>
              <w:pStyle w:val="11"/>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表4-1</w:t>
            </w:r>
            <w:r>
              <w:rPr>
                <w:rFonts w:hint="eastAsia" w:cs="Times New Roman"/>
                <w:b/>
                <w:bCs/>
                <w:color w:val="auto"/>
                <w:sz w:val="21"/>
                <w:szCs w:val="21"/>
                <w:lang w:val="en-US" w:eastAsia="zh-CN"/>
              </w:rPr>
              <w:t>5</w:t>
            </w:r>
            <w:r>
              <w:rPr>
                <w:rFonts w:hint="default" w:ascii="Times New Roman" w:hAnsi="Times New Roman" w:cs="Times New Roman"/>
                <w:b/>
                <w:bCs/>
                <w:color w:val="auto"/>
                <w:sz w:val="21"/>
                <w:szCs w:val="21"/>
              </w:rPr>
              <w:t xml:space="preserve">  运行期环境监测计划</w:t>
            </w:r>
          </w:p>
          <w:tbl>
            <w:tblPr>
              <w:tblStyle w:val="5"/>
              <w:tblW w:w="866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76"/>
              <w:gridCol w:w="2637"/>
              <w:gridCol w:w="1200"/>
              <w:gridCol w:w="1277"/>
              <w:gridCol w:w="237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76" w:type="dxa"/>
                  <w:vAlign w:val="center"/>
                </w:tcPr>
                <w:p>
                  <w:pPr>
                    <w:pStyle w:val="11"/>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监测内容</w:t>
                  </w:r>
                </w:p>
              </w:tc>
              <w:tc>
                <w:tcPr>
                  <w:tcW w:w="2637" w:type="dxa"/>
                  <w:vAlign w:val="center"/>
                </w:tcPr>
                <w:p>
                  <w:pPr>
                    <w:pStyle w:val="11"/>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监测地点</w:t>
                  </w:r>
                </w:p>
              </w:tc>
              <w:tc>
                <w:tcPr>
                  <w:tcW w:w="1200" w:type="dxa"/>
                  <w:vAlign w:val="center"/>
                </w:tcPr>
                <w:p>
                  <w:pPr>
                    <w:pStyle w:val="11"/>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监测项目</w:t>
                  </w:r>
                </w:p>
              </w:tc>
              <w:tc>
                <w:tcPr>
                  <w:tcW w:w="1277" w:type="dxa"/>
                  <w:vAlign w:val="center"/>
                </w:tcPr>
                <w:p>
                  <w:pPr>
                    <w:pStyle w:val="11"/>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监测频次</w:t>
                  </w:r>
                </w:p>
              </w:tc>
              <w:tc>
                <w:tcPr>
                  <w:tcW w:w="2379" w:type="dxa"/>
                  <w:vAlign w:val="center"/>
                </w:tcPr>
                <w:p>
                  <w:pPr>
                    <w:pStyle w:val="11"/>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执行标准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76" w:type="dxa"/>
                  <w:vMerge w:val="restart"/>
                  <w:vAlign w:val="center"/>
                </w:tcPr>
                <w:p>
                  <w:pPr>
                    <w:pStyle w:val="11"/>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噪声</w:t>
                  </w:r>
                </w:p>
              </w:tc>
              <w:tc>
                <w:tcPr>
                  <w:tcW w:w="2637" w:type="dxa"/>
                  <w:vAlign w:val="center"/>
                </w:tcPr>
                <w:p>
                  <w:pPr>
                    <w:pStyle w:val="11"/>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东侧厂界噪声</w:t>
                  </w:r>
                </w:p>
              </w:tc>
              <w:tc>
                <w:tcPr>
                  <w:tcW w:w="1200" w:type="dxa"/>
                  <w:vAlign w:val="center"/>
                </w:tcPr>
                <w:p>
                  <w:pPr>
                    <w:pStyle w:val="11"/>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w:t>
                  </w:r>
                  <w:r>
                    <w:rPr>
                      <w:rFonts w:hint="default" w:ascii="Times New Roman" w:hAnsi="Times New Roman" w:cs="Times New Roman"/>
                      <w:color w:val="auto"/>
                      <w:sz w:val="21"/>
                      <w:szCs w:val="21"/>
                      <w:vertAlign w:val="subscript"/>
                    </w:rPr>
                    <w:t>Aeq</w:t>
                  </w:r>
                </w:p>
              </w:tc>
              <w:tc>
                <w:tcPr>
                  <w:tcW w:w="1277" w:type="dxa"/>
                  <w:vMerge w:val="restart"/>
                  <w:vAlign w:val="center"/>
                </w:tcPr>
                <w:p>
                  <w:pPr>
                    <w:pStyle w:val="11"/>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1次/季度</w:t>
                  </w:r>
                </w:p>
              </w:tc>
              <w:tc>
                <w:tcPr>
                  <w:tcW w:w="2379" w:type="dxa"/>
                  <w:vMerge w:val="restart"/>
                  <w:vAlign w:val="center"/>
                </w:tcPr>
                <w:p>
                  <w:pPr>
                    <w:pStyle w:val="11"/>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《工业企业厂界环境噪声排放标准》GB12348-2008中3类功能区标准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76" w:type="dxa"/>
                  <w:vMerge w:val="continue"/>
                  <w:vAlign w:val="center"/>
                </w:tcPr>
                <w:p>
                  <w:pPr>
                    <w:pStyle w:val="11"/>
                    <w:jc w:val="center"/>
                    <w:rPr>
                      <w:rFonts w:hint="default" w:ascii="Times New Roman" w:hAnsi="Times New Roman" w:cs="Times New Roman"/>
                      <w:color w:val="auto"/>
                      <w:sz w:val="21"/>
                      <w:szCs w:val="21"/>
                    </w:rPr>
                  </w:pPr>
                </w:p>
              </w:tc>
              <w:tc>
                <w:tcPr>
                  <w:tcW w:w="2637" w:type="dxa"/>
                  <w:vAlign w:val="center"/>
                </w:tcPr>
                <w:p>
                  <w:pPr>
                    <w:pStyle w:val="11"/>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南侧厂界噪声</w:t>
                  </w:r>
                </w:p>
              </w:tc>
              <w:tc>
                <w:tcPr>
                  <w:tcW w:w="1200" w:type="dxa"/>
                  <w:vAlign w:val="center"/>
                </w:tcPr>
                <w:p>
                  <w:pPr>
                    <w:pStyle w:val="11"/>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w:t>
                  </w:r>
                  <w:r>
                    <w:rPr>
                      <w:rFonts w:hint="default" w:ascii="Times New Roman" w:hAnsi="Times New Roman" w:cs="Times New Roman"/>
                      <w:color w:val="auto"/>
                      <w:sz w:val="21"/>
                      <w:szCs w:val="21"/>
                      <w:vertAlign w:val="subscript"/>
                    </w:rPr>
                    <w:t>Aeq</w:t>
                  </w:r>
                </w:p>
              </w:tc>
              <w:tc>
                <w:tcPr>
                  <w:tcW w:w="1277" w:type="dxa"/>
                  <w:vMerge w:val="continue"/>
                  <w:vAlign w:val="center"/>
                </w:tcPr>
                <w:p>
                  <w:pPr>
                    <w:pStyle w:val="11"/>
                    <w:jc w:val="center"/>
                    <w:rPr>
                      <w:rFonts w:hint="default" w:ascii="Times New Roman" w:hAnsi="Times New Roman" w:cs="Times New Roman"/>
                      <w:color w:val="auto"/>
                      <w:sz w:val="21"/>
                      <w:szCs w:val="21"/>
                    </w:rPr>
                  </w:pPr>
                </w:p>
              </w:tc>
              <w:tc>
                <w:tcPr>
                  <w:tcW w:w="2379" w:type="dxa"/>
                  <w:vMerge w:val="continue"/>
                  <w:vAlign w:val="center"/>
                </w:tcPr>
                <w:p>
                  <w:pPr>
                    <w:pStyle w:val="11"/>
                    <w:jc w:val="center"/>
                    <w:rPr>
                      <w:rFonts w:hint="default" w:ascii="Times New Roman" w:hAnsi="Times New Roman"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76" w:type="dxa"/>
                  <w:vMerge w:val="continue"/>
                  <w:vAlign w:val="center"/>
                </w:tcPr>
                <w:p>
                  <w:pPr>
                    <w:pStyle w:val="11"/>
                    <w:jc w:val="center"/>
                    <w:rPr>
                      <w:rFonts w:hint="default" w:ascii="Times New Roman" w:hAnsi="Times New Roman" w:cs="Times New Roman"/>
                      <w:color w:val="auto"/>
                      <w:sz w:val="21"/>
                      <w:szCs w:val="21"/>
                    </w:rPr>
                  </w:pPr>
                </w:p>
              </w:tc>
              <w:tc>
                <w:tcPr>
                  <w:tcW w:w="2637" w:type="dxa"/>
                  <w:vAlign w:val="center"/>
                </w:tcPr>
                <w:p>
                  <w:pPr>
                    <w:pStyle w:val="11"/>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西侧厂界噪声</w:t>
                  </w:r>
                </w:p>
              </w:tc>
              <w:tc>
                <w:tcPr>
                  <w:tcW w:w="1200" w:type="dxa"/>
                  <w:vAlign w:val="center"/>
                </w:tcPr>
                <w:p>
                  <w:pPr>
                    <w:pStyle w:val="11"/>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w:t>
                  </w:r>
                  <w:r>
                    <w:rPr>
                      <w:rFonts w:hint="default" w:ascii="Times New Roman" w:hAnsi="Times New Roman" w:cs="Times New Roman"/>
                      <w:color w:val="auto"/>
                      <w:sz w:val="21"/>
                      <w:szCs w:val="21"/>
                      <w:vertAlign w:val="subscript"/>
                    </w:rPr>
                    <w:t>Aeq</w:t>
                  </w:r>
                </w:p>
              </w:tc>
              <w:tc>
                <w:tcPr>
                  <w:tcW w:w="1277" w:type="dxa"/>
                  <w:vMerge w:val="continue"/>
                  <w:vAlign w:val="center"/>
                </w:tcPr>
                <w:p>
                  <w:pPr>
                    <w:pStyle w:val="11"/>
                    <w:jc w:val="center"/>
                    <w:rPr>
                      <w:rFonts w:hint="default" w:ascii="Times New Roman" w:hAnsi="Times New Roman" w:cs="Times New Roman"/>
                      <w:color w:val="auto"/>
                      <w:sz w:val="21"/>
                      <w:szCs w:val="21"/>
                    </w:rPr>
                  </w:pPr>
                </w:p>
              </w:tc>
              <w:tc>
                <w:tcPr>
                  <w:tcW w:w="2379" w:type="dxa"/>
                  <w:vMerge w:val="continue"/>
                  <w:vAlign w:val="center"/>
                </w:tcPr>
                <w:p>
                  <w:pPr>
                    <w:pStyle w:val="11"/>
                    <w:jc w:val="center"/>
                    <w:rPr>
                      <w:rFonts w:hint="default" w:ascii="Times New Roman" w:hAnsi="Times New Roman"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76" w:type="dxa"/>
                  <w:vMerge w:val="continue"/>
                  <w:vAlign w:val="center"/>
                </w:tcPr>
                <w:p>
                  <w:pPr>
                    <w:pStyle w:val="11"/>
                    <w:jc w:val="center"/>
                    <w:rPr>
                      <w:rFonts w:hint="default" w:ascii="Times New Roman" w:hAnsi="Times New Roman" w:cs="Times New Roman"/>
                      <w:color w:val="auto"/>
                      <w:sz w:val="21"/>
                      <w:szCs w:val="21"/>
                    </w:rPr>
                  </w:pPr>
                </w:p>
              </w:tc>
              <w:tc>
                <w:tcPr>
                  <w:tcW w:w="2637" w:type="dxa"/>
                  <w:vAlign w:val="center"/>
                </w:tcPr>
                <w:p>
                  <w:pPr>
                    <w:pStyle w:val="11"/>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北侧厂界噪声</w:t>
                  </w:r>
                </w:p>
              </w:tc>
              <w:tc>
                <w:tcPr>
                  <w:tcW w:w="1200" w:type="dxa"/>
                  <w:vAlign w:val="center"/>
                </w:tcPr>
                <w:p>
                  <w:pPr>
                    <w:pStyle w:val="11"/>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w:t>
                  </w:r>
                  <w:r>
                    <w:rPr>
                      <w:rFonts w:hint="default" w:ascii="Times New Roman" w:hAnsi="Times New Roman" w:cs="Times New Roman"/>
                      <w:color w:val="auto"/>
                      <w:sz w:val="21"/>
                      <w:szCs w:val="21"/>
                      <w:vertAlign w:val="subscript"/>
                    </w:rPr>
                    <w:t>Aeq</w:t>
                  </w:r>
                </w:p>
              </w:tc>
              <w:tc>
                <w:tcPr>
                  <w:tcW w:w="1277" w:type="dxa"/>
                  <w:vMerge w:val="continue"/>
                  <w:vAlign w:val="center"/>
                </w:tcPr>
                <w:p>
                  <w:pPr>
                    <w:pStyle w:val="11"/>
                    <w:jc w:val="center"/>
                    <w:rPr>
                      <w:rFonts w:hint="default" w:ascii="Times New Roman" w:hAnsi="Times New Roman" w:cs="Times New Roman"/>
                      <w:color w:val="auto"/>
                      <w:sz w:val="21"/>
                      <w:szCs w:val="21"/>
                    </w:rPr>
                  </w:pPr>
                </w:p>
              </w:tc>
              <w:tc>
                <w:tcPr>
                  <w:tcW w:w="2379" w:type="dxa"/>
                  <w:vMerge w:val="continue"/>
                  <w:vAlign w:val="center"/>
                </w:tcPr>
                <w:p>
                  <w:pPr>
                    <w:pStyle w:val="11"/>
                    <w:jc w:val="center"/>
                    <w:rPr>
                      <w:rFonts w:hint="default" w:ascii="Times New Roman" w:hAnsi="Times New Roman"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76" w:type="dxa"/>
                  <w:vMerge w:val="restart"/>
                  <w:vAlign w:val="center"/>
                </w:tcPr>
                <w:p>
                  <w:pPr>
                    <w:pStyle w:val="11"/>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废气</w:t>
                  </w:r>
                </w:p>
              </w:tc>
              <w:tc>
                <w:tcPr>
                  <w:tcW w:w="2637" w:type="dxa"/>
                  <w:vAlign w:val="center"/>
                </w:tcPr>
                <w:p>
                  <w:pPr>
                    <w:pStyle w:val="11"/>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排气筒监测</w:t>
                  </w:r>
                </w:p>
                <w:p>
                  <w:pPr>
                    <w:pStyle w:val="11"/>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（1号排放口）</w:t>
                  </w:r>
                </w:p>
              </w:tc>
              <w:tc>
                <w:tcPr>
                  <w:tcW w:w="1200" w:type="dxa"/>
                  <w:vAlign w:val="center"/>
                </w:tcPr>
                <w:p>
                  <w:pPr>
                    <w:pStyle w:val="11"/>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VOC</w:t>
                  </w:r>
                  <w:r>
                    <w:rPr>
                      <w:rFonts w:hint="default" w:ascii="Times New Roman" w:hAnsi="Times New Roman" w:cs="Times New Roman"/>
                      <w:color w:val="auto"/>
                      <w:sz w:val="21"/>
                      <w:szCs w:val="21"/>
                      <w:vertAlign w:val="subscript"/>
                    </w:rPr>
                    <w:t>s</w:t>
                  </w:r>
                </w:p>
              </w:tc>
              <w:tc>
                <w:tcPr>
                  <w:tcW w:w="1277" w:type="dxa"/>
                  <w:vAlign w:val="center"/>
                </w:tcPr>
                <w:p>
                  <w:pPr>
                    <w:pStyle w:val="11"/>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1次/年</w:t>
                  </w:r>
                </w:p>
              </w:tc>
              <w:tc>
                <w:tcPr>
                  <w:tcW w:w="2379" w:type="dxa"/>
                  <w:vMerge w:val="restart"/>
                  <w:vAlign w:val="center"/>
                </w:tcPr>
                <w:p>
                  <w:pPr>
                    <w:pStyle w:val="11"/>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VOC</w:t>
                  </w:r>
                  <w:r>
                    <w:rPr>
                      <w:rFonts w:hint="eastAsia" w:cs="Times New Roman"/>
                      <w:color w:val="auto"/>
                      <w:sz w:val="21"/>
                      <w:szCs w:val="21"/>
                      <w:vertAlign w:val="subscript"/>
                      <w:lang w:val="en-US" w:eastAsia="zh-CN"/>
                    </w:rPr>
                    <w:t>s</w:t>
                  </w:r>
                  <w:r>
                    <w:rPr>
                      <w:rFonts w:hint="default" w:ascii="Times New Roman" w:hAnsi="Times New Roman" w:cs="Times New Roman"/>
                      <w:color w:val="auto"/>
                      <w:sz w:val="21"/>
                      <w:szCs w:val="21"/>
                    </w:rPr>
                    <w:t>参考</w:t>
                  </w:r>
                  <w:r>
                    <w:rPr>
                      <w:rFonts w:hint="default" w:ascii="Times New Roman" w:hAnsi="Times New Roman" w:cs="Times New Roman"/>
                      <w:color w:val="auto"/>
                      <w:sz w:val="21"/>
                      <w:szCs w:val="21"/>
                      <w:lang w:val="en-US" w:eastAsia="zh-CN"/>
                    </w:rPr>
                    <w:t>《合成树脂工业污染物排放标准》（GB31572-2015）</w:t>
                  </w:r>
                  <w:r>
                    <w:rPr>
                      <w:rFonts w:hint="eastAsia" w:cs="Times New Roman"/>
                      <w:color w:val="auto"/>
                      <w:sz w:val="21"/>
                      <w:szCs w:val="21"/>
                      <w:lang w:val="en-US" w:eastAsia="zh-CN"/>
                    </w:rPr>
                    <w:t>、</w:t>
                  </w:r>
                  <w:r>
                    <w:rPr>
                      <w:rFonts w:hint="default" w:ascii="Times New Roman" w:hAnsi="Times New Roman" w:cs="Times New Roman"/>
                      <w:color w:val="auto"/>
                      <w:sz w:val="21"/>
                      <w:szCs w:val="21"/>
                    </w:rPr>
                    <w:t>《四川省固定污染源大气挥发性有机物排放标准》（DB51/2377-2017）等相关标准；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76" w:type="dxa"/>
                  <w:vMerge w:val="continue"/>
                  <w:vAlign w:val="center"/>
                </w:tcPr>
                <w:p>
                  <w:pPr>
                    <w:pStyle w:val="11"/>
                    <w:jc w:val="center"/>
                    <w:rPr>
                      <w:rFonts w:hint="default" w:ascii="Times New Roman" w:hAnsi="Times New Roman" w:cs="Times New Roman"/>
                      <w:color w:val="auto"/>
                      <w:sz w:val="21"/>
                      <w:szCs w:val="21"/>
                    </w:rPr>
                  </w:pPr>
                </w:p>
              </w:tc>
              <w:tc>
                <w:tcPr>
                  <w:tcW w:w="2637" w:type="dxa"/>
                  <w:vAlign w:val="center"/>
                </w:tcPr>
                <w:p>
                  <w:pPr>
                    <w:pStyle w:val="11"/>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厂界无组织监测</w:t>
                  </w:r>
                </w:p>
              </w:tc>
              <w:tc>
                <w:tcPr>
                  <w:tcW w:w="1200" w:type="dxa"/>
                  <w:vAlign w:val="center"/>
                </w:tcPr>
                <w:p>
                  <w:pPr>
                    <w:pStyle w:val="11"/>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VOC</w:t>
                  </w:r>
                  <w:r>
                    <w:rPr>
                      <w:rFonts w:hint="default" w:ascii="Times New Roman" w:hAnsi="Times New Roman" w:cs="Times New Roman"/>
                      <w:color w:val="auto"/>
                      <w:sz w:val="21"/>
                      <w:szCs w:val="21"/>
                      <w:vertAlign w:val="subscript"/>
                    </w:rPr>
                    <w:t>s</w:t>
                  </w:r>
                </w:p>
              </w:tc>
              <w:tc>
                <w:tcPr>
                  <w:tcW w:w="1277" w:type="dxa"/>
                  <w:vAlign w:val="center"/>
                </w:tcPr>
                <w:p>
                  <w:pPr>
                    <w:pStyle w:val="11"/>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1次/年</w:t>
                  </w:r>
                </w:p>
              </w:tc>
              <w:tc>
                <w:tcPr>
                  <w:tcW w:w="2379" w:type="dxa"/>
                  <w:vMerge w:val="continue"/>
                  <w:vAlign w:val="center"/>
                </w:tcPr>
                <w:p>
                  <w:pPr>
                    <w:pStyle w:val="11"/>
                    <w:jc w:val="center"/>
                    <w:rPr>
                      <w:rFonts w:hint="default" w:ascii="Times New Roman" w:hAnsi="Times New Roman"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669" w:type="dxa"/>
                  <w:gridSpan w:val="5"/>
                  <w:vAlign w:val="center"/>
                </w:tcPr>
                <w:p>
                  <w:pPr>
                    <w:pStyle w:val="11"/>
                    <w:rPr>
                      <w:rFonts w:hint="default" w:ascii="Times New Roman" w:hAnsi="Times New Roman" w:cs="Times New Roman"/>
                      <w:color w:val="auto"/>
                      <w:sz w:val="21"/>
                      <w:szCs w:val="21"/>
                    </w:rPr>
                  </w:pPr>
                  <w:r>
                    <w:rPr>
                      <w:rFonts w:hint="default" w:ascii="Times New Roman" w:hAnsi="Times New Roman" w:cs="Times New Roman"/>
                      <w:color w:val="auto"/>
                      <w:sz w:val="21"/>
                      <w:szCs w:val="21"/>
                    </w:rPr>
                    <w:tab/>
                  </w:r>
                  <w:r>
                    <w:rPr>
                      <w:rFonts w:hint="default" w:ascii="Times New Roman" w:hAnsi="Times New Roman" w:cs="Times New Roman"/>
                      <w:color w:val="auto"/>
                      <w:sz w:val="21"/>
                      <w:szCs w:val="21"/>
                    </w:rPr>
                    <w:t>注：由业主委托第三方监测机构进行监测；</w:t>
                  </w:r>
                </w:p>
              </w:tc>
            </w:tr>
          </w:tbl>
          <w:p>
            <w:pPr>
              <w:ind w:firstLine="480"/>
              <w:jc w:val="left"/>
              <w:rPr>
                <w:rFonts w:hint="default" w:ascii="Times New Roman" w:hAnsi="Times New Roman" w:cs="Times New Roman"/>
                <w:color w:val="auto"/>
              </w:rPr>
            </w:pPr>
            <w:r>
              <w:rPr>
                <w:rFonts w:hint="default" w:ascii="Times New Roman" w:hAnsi="Times New Roman" w:cs="Times New Roman"/>
                <w:color w:val="auto"/>
              </w:rPr>
              <w:t>（3）、环境保护措施投资情况</w:t>
            </w:r>
          </w:p>
          <w:p>
            <w:pPr>
              <w:ind w:firstLine="480"/>
              <w:rPr>
                <w:rFonts w:hint="default" w:ascii="Times New Roman" w:hAnsi="Times New Roman" w:cs="Times New Roman"/>
                <w:color w:val="auto"/>
              </w:rPr>
            </w:pPr>
            <w:r>
              <w:rPr>
                <w:rFonts w:hint="default" w:ascii="Times New Roman" w:hAnsi="Times New Roman" w:cs="Times New Roman"/>
                <w:color w:val="auto"/>
              </w:rPr>
              <w:t>本项目环保投资</w:t>
            </w:r>
            <w:r>
              <w:rPr>
                <w:rFonts w:hint="eastAsia" w:cs="Times New Roman"/>
                <w:color w:val="auto"/>
                <w:lang w:val="en-US" w:eastAsia="zh-CN"/>
              </w:rPr>
              <w:t>5</w:t>
            </w:r>
            <w:r>
              <w:rPr>
                <w:rFonts w:hint="default" w:ascii="Times New Roman" w:hAnsi="Times New Roman" w:cs="Times New Roman"/>
                <w:color w:val="auto"/>
                <w:lang w:eastAsia="zh-CN"/>
              </w:rPr>
              <w:t>1</w:t>
            </w:r>
            <w:r>
              <w:rPr>
                <w:rFonts w:hint="default" w:ascii="Times New Roman" w:hAnsi="Times New Roman" w:cs="Times New Roman"/>
                <w:color w:val="auto"/>
              </w:rPr>
              <w:t>万元，占总投资的</w:t>
            </w:r>
            <w:r>
              <w:rPr>
                <w:rFonts w:hint="eastAsia" w:cs="Times New Roman"/>
                <w:color w:val="auto"/>
                <w:lang w:val="en-US" w:eastAsia="zh-CN"/>
              </w:rPr>
              <w:t>17.0</w:t>
            </w:r>
            <w:r>
              <w:rPr>
                <w:rFonts w:hint="default" w:ascii="Times New Roman" w:hAnsi="Times New Roman" w:cs="Times New Roman"/>
                <w:color w:val="auto"/>
                <w:lang w:eastAsia="zh-CN"/>
              </w:rPr>
              <w:t>%</w:t>
            </w:r>
            <w:r>
              <w:rPr>
                <w:rFonts w:hint="default" w:ascii="Times New Roman" w:hAnsi="Times New Roman" w:cs="Times New Roman"/>
                <w:color w:val="auto"/>
              </w:rPr>
              <w:t>，具体情况见表下表。</w:t>
            </w:r>
          </w:p>
          <w:p>
            <w:pPr>
              <w:pStyle w:val="11"/>
              <w:jc w:val="center"/>
              <w:rPr>
                <w:rFonts w:hint="default" w:ascii="Times New Roman" w:hAnsi="Times New Roman" w:cs="Times New Roman"/>
                <w:b/>
                <w:bCs/>
                <w:color w:val="auto"/>
              </w:rPr>
            </w:pPr>
            <w:r>
              <w:rPr>
                <w:rFonts w:hint="default" w:ascii="Times New Roman" w:hAnsi="Times New Roman" w:cs="Times New Roman"/>
                <w:b/>
                <w:bCs/>
                <w:color w:val="auto"/>
              </w:rPr>
              <w:t>表4-</w:t>
            </w:r>
            <w:r>
              <w:rPr>
                <w:rFonts w:hint="eastAsia" w:cs="Times New Roman"/>
                <w:b/>
                <w:bCs/>
                <w:color w:val="auto"/>
                <w:lang w:val="en-US" w:eastAsia="zh-CN"/>
              </w:rPr>
              <w:t>16</w:t>
            </w:r>
            <w:r>
              <w:rPr>
                <w:rFonts w:hint="default" w:ascii="Times New Roman" w:hAnsi="Times New Roman" w:cs="Times New Roman"/>
                <w:b/>
                <w:bCs/>
                <w:color w:val="auto"/>
              </w:rPr>
              <w:t xml:space="preserve">  环境保护措施清单及投资估算一览表  单位：万元</w:t>
            </w:r>
          </w:p>
          <w:tbl>
            <w:tblPr>
              <w:tblStyle w:val="5"/>
              <w:tblW w:w="8630"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22"/>
              <w:gridCol w:w="5958"/>
              <w:gridCol w:w="1450"/>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22" w:type="dxa"/>
                  <w:vAlign w:val="center"/>
                </w:tcPr>
                <w:p>
                  <w:pPr>
                    <w:pStyle w:val="11"/>
                    <w:jc w:val="center"/>
                    <w:rPr>
                      <w:rFonts w:hint="default" w:ascii="Times New Roman" w:hAnsi="Times New Roman" w:cs="Times New Roman"/>
                      <w:b/>
                      <w:bCs/>
                      <w:color w:val="auto"/>
                    </w:rPr>
                  </w:pPr>
                  <w:r>
                    <w:rPr>
                      <w:rFonts w:hint="default" w:ascii="Times New Roman" w:hAnsi="Times New Roman" w:cs="Times New Roman"/>
                      <w:b/>
                      <w:bCs/>
                      <w:color w:val="auto"/>
                    </w:rPr>
                    <w:t>项目</w:t>
                  </w:r>
                </w:p>
              </w:tc>
              <w:tc>
                <w:tcPr>
                  <w:tcW w:w="5958" w:type="dxa"/>
                  <w:vAlign w:val="center"/>
                </w:tcPr>
                <w:p>
                  <w:pPr>
                    <w:pStyle w:val="11"/>
                    <w:jc w:val="center"/>
                    <w:rPr>
                      <w:rFonts w:hint="default" w:ascii="Times New Roman" w:hAnsi="Times New Roman" w:cs="Times New Roman"/>
                      <w:b/>
                      <w:bCs/>
                      <w:color w:val="auto"/>
                    </w:rPr>
                  </w:pPr>
                  <w:r>
                    <w:rPr>
                      <w:rFonts w:hint="default" w:ascii="Times New Roman" w:hAnsi="Times New Roman" w:cs="Times New Roman"/>
                      <w:b/>
                      <w:bCs/>
                      <w:color w:val="auto"/>
                    </w:rPr>
                    <w:t>内容</w:t>
                  </w:r>
                </w:p>
              </w:tc>
              <w:tc>
                <w:tcPr>
                  <w:tcW w:w="1450" w:type="dxa"/>
                  <w:vAlign w:val="center"/>
                </w:tcPr>
                <w:p>
                  <w:pPr>
                    <w:pStyle w:val="11"/>
                    <w:jc w:val="center"/>
                    <w:rPr>
                      <w:rFonts w:hint="default" w:ascii="Times New Roman" w:hAnsi="Times New Roman" w:cs="Times New Roman"/>
                      <w:b/>
                      <w:bCs/>
                      <w:color w:val="auto"/>
                    </w:rPr>
                  </w:pPr>
                  <w:r>
                    <w:rPr>
                      <w:rFonts w:hint="default" w:ascii="Times New Roman" w:hAnsi="Times New Roman" w:cs="Times New Roman"/>
                      <w:b/>
                      <w:bCs/>
                      <w:color w:val="auto"/>
                    </w:rPr>
                    <w:t>投资</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22"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废气处理</w:t>
                  </w:r>
                </w:p>
              </w:tc>
              <w:tc>
                <w:tcPr>
                  <w:tcW w:w="5958" w:type="dxa"/>
                  <w:vAlign w:val="center"/>
                </w:tcPr>
                <w:p>
                  <w:pPr>
                    <w:pStyle w:val="11"/>
                    <w:jc w:val="both"/>
                    <w:rPr>
                      <w:rFonts w:hint="default" w:ascii="Times New Roman" w:hAnsi="Times New Roman" w:cs="Times New Roman"/>
                      <w:color w:val="auto"/>
                    </w:rPr>
                  </w:pPr>
                  <w:r>
                    <w:rPr>
                      <w:rFonts w:hint="default" w:ascii="Times New Roman" w:hAnsi="Times New Roman" w:cs="Times New Roman"/>
                      <w:color w:val="auto"/>
                    </w:rPr>
                    <w:t>造粒废气：采用1套“两级活性炭吸附”装置（</w:t>
                  </w:r>
                  <w:r>
                    <w:rPr>
                      <w:rFonts w:hint="eastAsia" w:cs="Times New Roman"/>
                      <w:color w:val="auto"/>
                      <w:lang w:eastAsia="zh-CN"/>
                    </w:rPr>
                    <w:t>LA</w:t>
                  </w:r>
                  <w:r>
                    <w:rPr>
                      <w:rFonts w:hint="default" w:ascii="Times New Roman" w:hAnsi="Times New Roman" w:cs="Times New Roman"/>
                      <w:color w:val="auto"/>
                    </w:rPr>
                    <w:t>-00</w:t>
                  </w:r>
                  <w:r>
                    <w:rPr>
                      <w:rFonts w:hint="eastAsia" w:cs="Times New Roman"/>
                      <w:color w:val="auto"/>
                      <w:lang w:val="en-US" w:eastAsia="zh-CN"/>
                    </w:rPr>
                    <w:t>1</w:t>
                  </w:r>
                  <w:r>
                    <w:rPr>
                      <w:rFonts w:hint="default" w:ascii="Times New Roman" w:hAnsi="Times New Roman" w:cs="Times New Roman"/>
                      <w:color w:val="auto"/>
                    </w:rPr>
                    <w:t>）处理后经15m高排气筒排放；(风量按</w:t>
                  </w:r>
                  <w:r>
                    <w:rPr>
                      <w:rFonts w:hint="eastAsia" w:cs="Times New Roman"/>
                      <w:color w:val="auto"/>
                      <w:lang w:eastAsia="zh-CN"/>
                    </w:rPr>
                    <w:t>10800m</w:t>
                  </w:r>
                  <w:r>
                    <w:rPr>
                      <w:rFonts w:hint="default" w:ascii="Times New Roman" w:hAnsi="Times New Roman" w:cs="Times New Roman"/>
                      <w:color w:val="auto"/>
                      <w:vertAlign w:val="superscript"/>
                    </w:rPr>
                    <w:t>3</w:t>
                  </w:r>
                  <w:r>
                    <w:rPr>
                      <w:rFonts w:hint="default" w:ascii="Times New Roman" w:hAnsi="Times New Roman" w:cs="Times New Roman"/>
                      <w:color w:val="auto"/>
                    </w:rPr>
                    <w:t>/h计算）</w:t>
                  </w:r>
                </w:p>
              </w:tc>
              <w:tc>
                <w:tcPr>
                  <w:tcW w:w="1450" w:type="dxa"/>
                  <w:vAlign w:val="center"/>
                </w:tcPr>
                <w:p>
                  <w:pPr>
                    <w:pStyle w:val="11"/>
                    <w:jc w:val="center"/>
                    <w:rPr>
                      <w:rFonts w:hint="default" w:ascii="Times New Roman" w:hAnsi="Times New Roman" w:eastAsia="宋体" w:cs="Times New Roman"/>
                      <w:color w:val="auto"/>
                      <w:lang w:val="en-US" w:eastAsia="zh-CN"/>
                    </w:rPr>
                  </w:pPr>
                  <w:r>
                    <w:rPr>
                      <w:rFonts w:hint="eastAsia" w:cs="Times New Roman"/>
                      <w:color w:val="auto"/>
                      <w:lang w:val="en-US" w:eastAsia="zh-CN"/>
                    </w:rPr>
                    <w:t>15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22" w:type="dxa"/>
                  <w:vMerge w:val="restart"/>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废水治理</w:t>
                  </w:r>
                </w:p>
              </w:tc>
              <w:tc>
                <w:tcPr>
                  <w:tcW w:w="5958" w:type="dxa"/>
                  <w:vAlign w:val="center"/>
                </w:tcPr>
                <w:p>
                  <w:pPr>
                    <w:pStyle w:val="11"/>
                    <w:jc w:val="both"/>
                    <w:rPr>
                      <w:rFonts w:hint="default" w:ascii="Times New Roman" w:hAnsi="Times New Roman" w:cs="Times New Roman"/>
                      <w:color w:val="auto"/>
                    </w:rPr>
                  </w:pPr>
                  <w:r>
                    <w:rPr>
                      <w:rFonts w:hint="default" w:ascii="Times New Roman" w:hAnsi="Times New Roman" w:cs="Times New Roman"/>
                      <w:color w:val="auto"/>
                    </w:rPr>
                    <w:t>设置1个预处理池，容积100m³；</w:t>
                  </w:r>
                </w:p>
              </w:tc>
              <w:tc>
                <w:tcPr>
                  <w:tcW w:w="1450" w:type="dxa"/>
                  <w:vAlign w:val="center"/>
                </w:tcPr>
                <w:p>
                  <w:pPr>
                    <w:pStyle w:val="11"/>
                    <w:jc w:val="center"/>
                    <w:rPr>
                      <w:rFonts w:hint="default" w:ascii="Times New Roman" w:hAnsi="Times New Roman" w:eastAsia="宋体" w:cs="Times New Roman"/>
                      <w:color w:val="auto"/>
                      <w:lang w:val="en-US" w:eastAsia="zh-CN"/>
                    </w:rPr>
                  </w:pPr>
                  <w:r>
                    <w:rPr>
                      <w:rFonts w:hint="eastAsia" w:cs="Times New Roman"/>
                      <w:color w:val="auto"/>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22" w:type="dxa"/>
                  <w:vMerge w:val="continue"/>
                  <w:vAlign w:val="center"/>
                </w:tcPr>
                <w:p>
                  <w:pPr>
                    <w:pStyle w:val="11"/>
                    <w:jc w:val="center"/>
                    <w:rPr>
                      <w:rFonts w:hint="default" w:ascii="Times New Roman" w:hAnsi="Times New Roman" w:cs="Times New Roman"/>
                      <w:color w:val="auto"/>
                    </w:rPr>
                  </w:pPr>
                </w:p>
              </w:tc>
              <w:tc>
                <w:tcPr>
                  <w:tcW w:w="5958" w:type="dxa"/>
                  <w:vAlign w:val="center"/>
                </w:tcPr>
                <w:p>
                  <w:pPr>
                    <w:pStyle w:val="11"/>
                    <w:jc w:val="both"/>
                    <w:rPr>
                      <w:rFonts w:hint="default" w:ascii="Times New Roman" w:hAnsi="Times New Roman" w:cs="Times New Roman"/>
                      <w:color w:val="auto"/>
                    </w:rPr>
                  </w:pPr>
                  <w:r>
                    <w:rPr>
                      <w:rFonts w:hint="default" w:ascii="Times New Roman" w:hAnsi="Times New Roman" w:cs="Times New Roman"/>
                      <w:color w:val="auto"/>
                    </w:rPr>
                    <w:t>生产车间设置1套“沉淀+气浮”</w:t>
                  </w:r>
                  <w:r>
                    <w:rPr>
                      <w:rFonts w:hint="default" w:ascii="Times New Roman" w:hAnsi="Times New Roman" w:cs="Times New Roman"/>
                      <w:color w:val="auto"/>
                      <w:lang w:val="en-US" w:eastAsia="zh-CN"/>
                    </w:rPr>
                    <w:t>的处理</w:t>
                  </w:r>
                  <w:r>
                    <w:rPr>
                      <w:rFonts w:hint="default" w:ascii="Times New Roman" w:hAnsi="Times New Roman" w:cs="Times New Roman"/>
                      <w:color w:val="auto"/>
                    </w:rPr>
                    <w:t>装置，用于处理清洗废水；</w:t>
                  </w:r>
                </w:p>
              </w:tc>
              <w:tc>
                <w:tcPr>
                  <w:tcW w:w="1450" w:type="dxa"/>
                  <w:vAlign w:val="center"/>
                </w:tcPr>
                <w:p>
                  <w:pPr>
                    <w:pStyle w:val="11"/>
                    <w:jc w:val="center"/>
                    <w:rPr>
                      <w:rFonts w:hint="default" w:ascii="Times New Roman" w:hAnsi="Times New Roman" w:eastAsia="宋体" w:cs="Times New Roman"/>
                      <w:color w:val="auto"/>
                      <w:lang w:val="en-US" w:eastAsia="zh-CN"/>
                    </w:rPr>
                  </w:pPr>
                  <w:r>
                    <w:rPr>
                      <w:rFonts w:hint="eastAsia" w:cs="Times New Roman"/>
                      <w:color w:val="auto"/>
                      <w:lang w:val="en-US" w:eastAsia="zh-CN"/>
                    </w:rPr>
                    <w:t>25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22"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噪声治理</w:t>
                  </w:r>
                </w:p>
              </w:tc>
              <w:tc>
                <w:tcPr>
                  <w:tcW w:w="5958" w:type="dxa"/>
                  <w:vAlign w:val="center"/>
                </w:tcPr>
                <w:p>
                  <w:pPr>
                    <w:pStyle w:val="11"/>
                    <w:rPr>
                      <w:rFonts w:hint="default" w:ascii="Times New Roman" w:hAnsi="Times New Roman" w:cs="Times New Roman"/>
                      <w:color w:val="auto"/>
                    </w:rPr>
                  </w:pPr>
                  <w:r>
                    <w:rPr>
                      <w:rFonts w:hint="default" w:ascii="Times New Roman" w:hAnsi="Times New Roman" w:cs="Times New Roman"/>
                      <w:color w:val="auto"/>
                    </w:rPr>
                    <w:t>各产噪设备采取隔震垫、采用低噪声设备、厂房隔声、合理布局。</w:t>
                  </w:r>
                </w:p>
              </w:tc>
              <w:tc>
                <w:tcPr>
                  <w:tcW w:w="1450" w:type="dxa"/>
                  <w:vAlign w:val="center"/>
                </w:tcPr>
                <w:p>
                  <w:pPr>
                    <w:pStyle w:val="11"/>
                    <w:jc w:val="center"/>
                    <w:rPr>
                      <w:rFonts w:hint="default" w:ascii="Times New Roman" w:hAnsi="Times New Roman" w:eastAsia="宋体" w:cs="Times New Roman"/>
                      <w:color w:val="auto"/>
                      <w:lang w:val="en-US" w:eastAsia="zh-CN"/>
                    </w:rPr>
                  </w:pPr>
                  <w:r>
                    <w:rPr>
                      <w:rFonts w:hint="eastAsia" w:cs="Times New Roman"/>
                      <w:color w:val="auto"/>
                      <w:lang w:val="en-US" w:eastAsia="zh-CN"/>
                    </w:rPr>
                    <w:t>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5" w:hRule="atLeast"/>
              </w:trPr>
              <w:tc>
                <w:tcPr>
                  <w:tcW w:w="1222"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固废治理</w:t>
                  </w:r>
                </w:p>
              </w:tc>
              <w:tc>
                <w:tcPr>
                  <w:tcW w:w="5958" w:type="dxa"/>
                  <w:vAlign w:val="center"/>
                </w:tcPr>
                <w:p>
                  <w:pPr>
                    <w:pStyle w:val="11"/>
                    <w:rPr>
                      <w:rFonts w:hint="default" w:ascii="Times New Roman" w:hAnsi="Times New Roman" w:cs="Times New Roman"/>
                      <w:color w:val="auto"/>
                    </w:rPr>
                  </w:pPr>
                  <w:r>
                    <w:rPr>
                      <w:rFonts w:hint="default" w:ascii="Times New Roman" w:hAnsi="Times New Roman" w:cs="Times New Roman"/>
                      <w:color w:val="auto"/>
                    </w:rPr>
                    <w:t>设置固废储存区、垃圾箱，其中一般固废储存区面积约100m</w:t>
                  </w:r>
                  <w:r>
                    <w:rPr>
                      <w:rFonts w:hint="default" w:ascii="Times New Roman" w:hAnsi="Times New Roman" w:cs="Times New Roman"/>
                      <w:color w:val="auto"/>
                      <w:vertAlign w:val="superscript"/>
                    </w:rPr>
                    <w:t>2</w:t>
                  </w:r>
                  <w:r>
                    <w:rPr>
                      <w:rFonts w:hint="default" w:ascii="Times New Roman" w:hAnsi="Times New Roman" w:cs="Times New Roman"/>
                      <w:color w:val="auto"/>
                    </w:rPr>
                    <w:t>；</w:t>
                  </w:r>
                </w:p>
              </w:tc>
              <w:tc>
                <w:tcPr>
                  <w:tcW w:w="1450" w:type="dxa"/>
                  <w:vAlign w:val="center"/>
                </w:tcPr>
                <w:p>
                  <w:pPr>
                    <w:pStyle w:val="11"/>
                    <w:jc w:val="center"/>
                    <w:rPr>
                      <w:rFonts w:hint="default" w:ascii="Times New Roman" w:hAnsi="Times New Roman" w:eastAsia="宋体" w:cs="Times New Roman"/>
                      <w:color w:val="auto"/>
                      <w:lang w:eastAsia="zh-CN"/>
                    </w:rPr>
                  </w:pPr>
                  <w:r>
                    <w:rPr>
                      <w:rFonts w:hint="eastAsia" w:cs="Times New Roman"/>
                      <w:color w:val="auto"/>
                      <w:lang w:val="en-US" w:eastAsia="zh-CN"/>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22"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危废暂存间</w:t>
                  </w:r>
                </w:p>
              </w:tc>
              <w:tc>
                <w:tcPr>
                  <w:tcW w:w="5958" w:type="dxa"/>
                  <w:vAlign w:val="center"/>
                </w:tcPr>
                <w:p>
                  <w:pPr>
                    <w:pStyle w:val="11"/>
                    <w:rPr>
                      <w:rFonts w:hint="default" w:ascii="Times New Roman" w:hAnsi="Times New Roman" w:cs="Times New Roman"/>
                      <w:color w:val="auto"/>
                    </w:rPr>
                  </w:pPr>
                  <w:r>
                    <w:rPr>
                      <w:rFonts w:hint="default" w:ascii="Times New Roman" w:hAnsi="Times New Roman" w:cs="Times New Roman"/>
                      <w:color w:val="auto"/>
                    </w:rPr>
                    <w:t>设置1个危废暂存间</w:t>
                  </w:r>
                  <w:r>
                    <w:rPr>
                      <w:rFonts w:hint="default" w:ascii="Times New Roman" w:hAnsi="Times New Roman" w:cs="Times New Roman"/>
                      <w:color w:val="auto"/>
                      <w:kern w:val="2"/>
                    </w:rPr>
                    <w:t>，占地面积约</w:t>
                  </w:r>
                  <w:r>
                    <w:rPr>
                      <w:rFonts w:hint="eastAsia" w:cs="Times New Roman"/>
                      <w:color w:val="auto"/>
                      <w:kern w:val="2"/>
                      <w:lang w:val="en-US" w:eastAsia="zh-CN"/>
                    </w:rPr>
                    <w:t>2</w:t>
                  </w:r>
                  <w:r>
                    <w:rPr>
                      <w:rFonts w:hint="default" w:ascii="Times New Roman" w:hAnsi="Times New Roman" w:cs="Times New Roman"/>
                      <w:color w:val="auto"/>
                      <w:kern w:val="2"/>
                    </w:rPr>
                    <w:t>0m</w:t>
                  </w:r>
                  <w:r>
                    <w:rPr>
                      <w:rFonts w:hint="default" w:ascii="Times New Roman" w:hAnsi="Times New Roman" w:cs="Times New Roman"/>
                      <w:color w:val="auto"/>
                      <w:kern w:val="2"/>
                      <w:vertAlign w:val="superscript"/>
                    </w:rPr>
                    <w:t>2</w:t>
                  </w:r>
                  <w:r>
                    <w:rPr>
                      <w:rFonts w:hint="default" w:ascii="Times New Roman" w:hAnsi="Times New Roman" w:cs="Times New Roman"/>
                      <w:color w:val="auto"/>
                      <w:kern w:val="2"/>
                    </w:rPr>
                    <w:t>，设置于站房西侧，</w:t>
                  </w:r>
                  <w:r>
                    <w:rPr>
                      <w:rFonts w:hint="default" w:ascii="Times New Roman" w:hAnsi="Times New Roman" w:cs="Times New Roman"/>
                      <w:color w:val="auto"/>
                    </w:rPr>
                    <w:t>用于收集危险废物；</w:t>
                  </w:r>
                </w:p>
              </w:tc>
              <w:tc>
                <w:tcPr>
                  <w:tcW w:w="1450" w:type="dxa"/>
                  <w:vAlign w:val="center"/>
                </w:tcPr>
                <w:p>
                  <w:pPr>
                    <w:pStyle w:val="11"/>
                    <w:jc w:val="center"/>
                    <w:rPr>
                      <w:rFonts w:hint="default" w:ascii="Times New Roman" w:hAnsi="Times New Roman" w:eastAsia="宋体" w:cs="Times New Roman"/>
                      <w:color w:val="auto"/>
                      <w:lang w:eastAsia="zh-CN"/>
                    </w:rPr>
                  </w:pPr>
                  <w:r>
                    <w:rPr>
                      <w:rFonts w:hint="eastAsia" w:cs="Times New Roman"/>
                      <w:color w:val="auto"/>
                      <w:lang w:val="en-US" w:eastAsia="zh-CN"/>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22"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风险防范</w:t>
                  </w:r>
                </w:p>
              </w:tc>
              <w:tc>
                <w:tcPr>
                  <w:tcW w:w="5958" w:type="dxa"/>
                  <w:vAlign w:val="center"/>
                </w:tcPr>
                <w:p>
                  <w:pPr>
                    <w:pStyle w:val="11"/>
                    <w:jc w:val="both"/>
                    <w:rPr>
                      <w:rFonts w:hint="default" w:ascii="Times New Roman" w:hAnsi="Times New Roman" w:eastAsia="宋体" w:cs="Times New Roman"/>
                      <w:color w:val="auto"/>
                      <w:lang w:eastAsia="zh-CN"/>
                    </w:rPr>
                  </w:pPr>
                  <w:r>
                    <w:rPr>
                      <w:rFonts w:hint="default" w:ascii="Times New Roman" w:hAnsi="Times New Roman" w:cs="Times New Roman"/>
                      <w:color w:val="auto"/>
                    </w:rPr>
                    <w:t>设消防环行通道并保证足够的路面净空高度，设置消火栓、灭火器</w:t>
                  </w:r>
                  <w:r>
                    <w:rPr>
                      <w:rFonts w:hint="default" w:ascii="Times New Roman" w:hAnsi="Times New Roman" w:cs="Times New Roman"/>
                      <w:color w:val="auto"/>
                      <w:lang w:eastAsia="zh-CN"/>
                    </w:rPr>
                    <w:t>；</w:t>
                  </w:r>
                  <w:r>
                    <w:rPr>
                      <w:rFonts w:hint="default" w:ascii="Times New Roman" w:hAnsi="Times New Roman" w:cs="Times New Roman"/>
                      <w:color w:val="auto"/>
                    </w:rPr>
                    <w:t>危险废物暂存间需由专人负责收集并妥善储存，严禁随意丢弃、填埋。危废暂存间进行防风、防雨、防渗处理</w:t>
                  </w:r>
                  <w:r>
                    <w:rPr>
                      <w:rFonts w:hint="default" w:ascii="Times New Roman" w:hAnsi="Times New Roman" w:cs="Times New Roman"/>
                      <w:color w:val="auto"/>
                      <w:lang w:eastAsia="zh-CN"/>
                    </w:rPr>
                    <w:t>；</w:t>
                  </w:r>
                  <w:r>
                    <w:rPr>
                      <w:rFonts w:hint="default" w:ascii="Times New Roman" w:hAnsi="Times New Roman" w:cs="Times New Roman"/>
                      <w:color w:val="auto"/>
                    </w:rPr>
                    <w:t>制定废气处理设施操作规程，按要求操作</w:t>
                  </w:r>
                  <w:r>
                    <w:rPr>
                      <w:rFonts w:hint="default" w:ascii="Times New Roman" w:hAnsi="Times New Roman" w:cs="Times New Roman"/>
                      <w:color w:val="auto"/>
                      <w:lang w:eastAsia="zh-CN"/>
                    </w:rPr>
                    <w:t>；</w:t>
                  </w:r>
                  <w:r>
                    <w:rPr>
                      <w:rFonts w:hint="default" w:ascii="Times New Roman" w:hAnsi="Times New Roman" w:cs="Times New Roman"/>
                      <w:color w:val="auto"/>
                    </w:rPr>
                    <w:t>严禁吸烟、携带火种进入易燃场所</w:t>
                  </w:r>
                  <w:r>
                    <w:rPr>
                      <w:rFonts w:hint="default" w:ascii="Times New Roman" w:hAnsi="Times New Roman" w:cs="Times New Roman"/>
                      <w:color w:val="auto"/>
                      <w:lang w:eastAsia="zh-CN"/>
                    </w:rPr>
                    <w:t>，</w:t>
                  </w:r>
                  <w:r>
                    <w:rPr>
                      <w:rFonts w:hint="default" w:ascii="Times New Roman" w:hAnsi="Times New Roman" w:cs="Times New Roman"/>
                      <w:color w:val="auto"/>
                    </w:rPr>
                    <w:t>机器设备要定期检查、检修、保证其完好状态</w:t>
                  </w:r>
                  <w:r>
                    <w:rPr>
                      <w:rFonts w:hint="default" w:ascii="Times New Roman" w:hAnsi="Times New Roman" w:cs="Times New Roman"/>
                      <w:color w:val="auto"/>
                      <w:lang w:eastAsia="zh-CN"/>
                    </w:rPr>
                    <w:t>；</w:t>
                  </w:r>
                </w:p>
              </w:tc>
              <w:tc>
                <w:tcPr>
                  <w:tcW w:w="1450" w:type="dxa"/>
                  <w:vAlign w:val="center"/>
                </w:tcPr>
                <w:p>
                  <w:pPr>
                    <w:pStyle w:val="11"/>
                    <w:jc w:val="center"/>
                    <w:rPr>
                      <w:rFonts w:hint="default" w:ascii="Times New Roman" w:hAnsi="Times New Roman" w:eastAsia="宋体" w:cs="Times New Roman"/>
                      <w:color w:val="auto"/>
                      <w:lang w:val="en-US" w:eastAsia="zh-CN"/>
                    </w:rPr>
                  </w:pPr>
                  <w:r>
                    <w:rPr>
                      <w:rFonts w:hint="eastAsia" w:cs="Times New Roman"/>
                      <w:color w:val="auto"/>
                      <w:lang w:val="en-US" w:eastAsia="zh-CN"/>
                    </w:rPr>
                    <w:t>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22"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w:t>
                  </w:r>
                </w:p>
              </w:tc>
              <w:tc>
                <w:tcPr>
                  <w:tcW w:w="5958"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合计</w:t>
                  </w:r>
                </w:p>
              </w:tc>
              <w:tc>
                <w:tcPr>
                  <w:tcW w:w="1450" w:type="dxa"/>
                  <w:vAlign w:val="center"/>
                </w:tcPr>
                <w:p>
                  <w:pPr>
                    <w:pStyle w:val="11"/>
                    <w:jc w:val="center"/>
                    <w:rPr>
                      <w:rFonts w:hint="default" w:ascii="Times New Roman" w:hAnsi="Times New Roman" w:eastAsia="宋体" w:cs="Times New Roman"/>
                      <w:color w:val="auto"/>
                      <w:lang w:val="en-US" w:eastAsia="zh-CN"/>
                    </w:rPr>
                  </w:pPr>
                  <w:r>
                    <w:rPr>
                      <w:rFonts w:hint="eastAsia" w:cs="Times New Roman"/>
                      <w:color w:val="auto"/>
                      <w:lang w:val="en-US" w:eastAsia="zh-CN"/>
                    </w:rPr>
                    <w:t>51</w:t>
                  </w:r>
                </w:p>
              </w:tc>
            </w:tr>
          </w:tbl>
          <w:p>
            <w:pPr>
              <w:ind w:firstLine="480"/>
              <w:jc w:val="left"/>
              <w:rPr>
                <w:rFonts w:hint="default" w:ascii="Times New Roman" w:hAnsi="Times New Roman" w:cs="Times New Roman"/>
                <w:color w:val="auto"/>
              </w:rPr>
            </w:pPr>
            <w:r>
              <w:rPr>
                <w:rFonts w:hint="default" w:ascii="Times New Roman" w:hAnsi="Times New Roman" w:cs="Times New Roman"/>
                <w:color w:val="auto"/>
              </w:rPr>
              <w:t>（4）、环保设施自主验收情况</w:t>
            </w:r>
          </w:p>
          <w:p>
            <w:pPr>
              <w:ind w:firstLine="480"/>
              <w:rPr>
                <w:rFonts w:hint="default" w:ascii="Times New Roman" w:hAnsi="Times New Roman" w:cs="Times New Roman"/>
                <w:color w:val="auto"/>
              </w:rPr>
            </w:pPr>
            <w:r>
              <w:rPr>
                <w:rFonts w:hint="default" w:ascii="Times New Roman" w:hAnsi="Times New Roman" w:cs="Times New Roman"/>
                <w:color w:val="auto"/>
              </w:rPr>
              <w:t>根据环境保护部《建设项目竣工环境保护验收暂行办法》相关规定，因此，建设单位需对本次项目的污染防治措施进行自主开展环境保护验收，其中，环保设备自主验收情况见下表4-1</w:t>
            </w:r>
            <w:r>
              <w:rPr>
                <w:rFonts w:hint="eastAsia" w:cs="Times New Roman"/>
                <w:color w:val="auto"/>
                <w:lang w:val="en-US" w:eastAsia="zh-CN"/>
              </w:rPr>
              <w:t>7</w:t>
            </w:r>
            <w:r>
              <w:rPr>
                <w:rFonts w:hint="default" w:ascii="Times New Roman" w:hAnsi="Times New Roman" w:cs="Times New Roman"/>
                <w:color w:val="auto"/>
              </w:rPr>
              <w:t>。</w:t>
            </w:r>
          </w:p>
          <w:p>
            <w:pPr>
              <w:pStyle w:val="11"/>
              <w:spacing w:line="360" w:lineRule="auto"/>
              <w:jc w:val="center"/>
              <w:rPr>
                <w:rFonts w:hint="default" w:ascii="Times New Roman" w:hAnsi="Times New Roman" w:cs="Times New Roman"/>
                <w:b/>
                <w:bCs/>
                <w:color w:val="auto"/>
              </w:rPr>
            </w:pPr>
            <w:r>
              <w:rPr>
                <w:rFonts w:hint="default" w:ascii="Times New Roman" w:hAnsi="Times New Roman" w:cs="Times New Roman"/>
                <w:b/>
                <w:bCs/>
                <w:color w:val="auto"/>
              </w:rPr>
              <w:t>表4-1</w:t>
            </w:r>
            <w:r>
              <w:rPr>
                <w:rFonts w:hint="eastAsia" w:cs="Times New Roman"/>
                <w:b/>
                <w:bCs/>
                <w:color w:val="auto"/>
                <w:lang w:val="en-US" w:eastAsia="zh-CN"/>
              </w:rPr>
              <w:t>7</w:t>
            </w:r>
            <w:r>
              <w:rPr>
                <w:rFonts w:hint="default" w:ascii="Times New Roman" w:hAnsi="Times New Roman" w:cs="Times New Roman"/>
                <w:b/>
                <w:bCs/>
                <w:color w:val="auto"/>
              </w:rPr>
              <w:t xml:space="preserve">  环保设备自主验收一览表</w:t>
            </w:r>
          </w:p>
          <w:tbl>
            <w:tblPr>
              <w:tblStyle w:val="5"/>
              <w:tblW w:w="848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26"/>
              <w:gridCol w:w="3991"/>
              <w:gridCol w:w="317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26" w:type="dxa"/>
                  <w:vAlign w:val="center"/>
                </w:tcPr>
                <w:p>
                  <w:pPr>
                    <w:pStyle w:val="11"/>
                    <w:jc w:val="center"/>
                    <w:rPr>
                      <w:rFonts w:hint="default" w:ascii="Times New Roman" w:hAnsi="Times New Roman" w:cs="Times New Roman"/>
                      <w:b/>
                      <w:bCs/>
                      <w:color w:val="auto"/>
                    </w:rPr>
                  </w:pPr>
                  <w:r>
                    <w:rPr>
                      <w:rFonts w:hint="default" w:ascii="Times New Roman" w:hAnsi="Times New Roman" w:cs="Times New Roman"/>
                      <w:b/>
                      <w:bCs/>
                      <w:color w:val="auto"/>
                    </w:rPr>
                    <w:t>项目</w:t>
                  </w:r>
                </w:p>
              </w:tc>
              <w:tc>
                <w:tcPr>
                  <w:tcW w:w="3991" w:type="dxa"/>
                  <w:vAlign w:val="center"/>
                </w:tcPr>
                <w:p>
                  <w:pPr>
                    <w:pStyle w:val="11"/>
                    <w:jc w:val="center"/>
                    <w:rPr>
                      <w:rFonts w:hint="default" w:ascii="Times New Roman" w:hAnsi="Times New Roman" w:cs="Times New Roman"/>
                      <w:b/>
                      <w:bCs/>
                      <w:color w:val="auto"/>
                    </w:rPr>
                  </w:pPr>
                  <w:r>
                    <w:rPr>
                      <w:rFonts w:hint="default" w:ascii="Times New Roman" w:hAnsi="Times New Roman" w:cs="Times New Roman"/>
                      <w:b/>
                      <w:bCs/>
                      <w:color w:val="auto"/>
                    </w:rPr>
                    <w:t>设施或者措施内容</w:t>
                  </w:r>
                </w:p>
              </w:tc>
              <w:tc>
                <w:tcPr>
                  <w:tcW w:w="3171" w:type="dxa"/>
                  <w:vAlign w:val="center"/>
                </w:tcPr>
                <w:p>
                  <w:pPr>
                    <w:pStyle w:val="11"/>
                    <w:jc w:val="center"/>
                    <w:rPr>
                      <w:rFonts w:hint="default" w:ascii="Times New Roman" w:hAnsi="Times New Roman" w:cs="Times New Roman"/>
                      <w:b/>
                      <w:bCs/>
                      <w:color w:val="auto"/>
                    </w:rPr>
                  </w:pPr>
                  <w:r>
                    <w:rPr>
                      <w:rFonts w:hint="default" w:ascii="Times New Roman" w:hAnsi="Times New Roman" w:cs="Times New Roman"/>
                      <w:b/>
                      <w:bCs/>
                      <w:color w:val="auto"/>
                    </w:rPr>
                    <w:t>执行标准或验收监测要求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26" w:type="dxa"/>
                  <w:vMerge w:val="restart"/>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废水</w:t>
                  </w:r>
                </w:p>
                <w:p>
                  <w:pPr>
                    <w:pStyle w:val="11"/>
                    <w:jc w:val="center"/>
                    <w:rPr>
                      <w:rFonts w:hint="default" w:ascii="Times New Roman" w:hAnsi="Times New Roman" w:cs="Times New Roman"/>
                      <w:color w:val="auto"/>
                    </w:rPr>
                  </w:pPr>
                  <w:r>
                    <w:rPr>
                      <w:rFonts w:hint="default" w:ascii="Times New Roman" w:hAnsi="Times New Roman" w:cs="Times New Roman"/>
                      <w:color w:val="auto"/>
                    </w:rPr>
                    <w:t>处理措施</w:t>
                  </w:r>
                </w:p>
              </w:tc>
              <w:tc>
                <w:tcPr>
                  <w:tcW w:w="3991" w:type="dxa"/>
                  <w:vAlign w:val="center"/>
                </w:tcPr>
                <w:p>
                  <w:pPr>
                    <w:pStyle w:val="11"/>
                    <w:jc w:val="both"/>
                    <w:rPr>
                      <w:rFonts w:hint="default" w:ascii="Times New Roman" w:hAnsi="Times New Roman" w:cs="Times New Roman"/>
                      <w:b/>
                      <w:bCs/>
                      <w:color w:val="auto"/>
                    </w:rPr>
                  </w:pPr>
                  <w:r>
                    <w:rPr>
                      <w:rFonts w:hint="default" w:ascii="Times New Roman" w:hAnsi="Times New Roman" w:cs="Times New Roman"/>
                      <w:color w:val="auto"/>
                    </w:rPr>
                    <w:t>预处理池1座，有效容积约100m</w:t>
                  </w:r>
                  <w:r>
                    <w:rPr>
                      <w:rFonts w:hint="default" w:ascii="Times New Roman" w:hAnsi="Times New Roman" w:cs="Times New Roman"/>
                      <w:color w:val="auto"/>
                      <w:vertAlign w:val="superscript"/>
                    </w:rPr>
                    <w:t>3</w:t>
                  </w:r>
                  <w:r>
                    <w:rPr>
                      <w:rFonts w:hint="default" w:ascii="Times New Roman" w:hAnsi="Times New Roman" w:cs="Times New Roman"/>
                      <w:color w:val="auto"/>
                    </w:rPr>
                    <w:t>，用于处理生活废水；</w:t>
                  </w:r>
                </w:p>
              </w:tc>
              <w:tc>
                <w:tcPr>
                  <w:tcW w:w="3171" w:type="dxa"/>
                  <w:vMerge w:val="restart"/>
                  <w:vAlign w:val="center"/>
                </w:tcPr>
                <w:p>
                  <w:pPr>
                    <w:pStyle w:val="11"/>
                    <w:rPr>
                      <w:rFonts w:hint="default" w:ascii="Times New Roman" w:hAnsi="Times New Roman" w:cs="Times New Roman"/>
                      <w:color w:val="auto"/>
                    </w:rPr>
                  </w:pPr>
                  <w:r>
                    <w:rPr>
                      <w:rFonts w:hint="default" w:ascii="Times New Roman" w:hAnsi="Times New Roman" w:cs="Times New Roman"/>
                      <w:color w:val="auto"/>
                    </w:rPr>
                    <w:t>各项环保设施建设完成；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26" w:type="dxa"/>
                  <w:vMerge w:val="continue"/>
                  <w:vAlign w:val="center"/>
                </w:tcPr>
                <w:p>
                  <w:pPr>
                    <w:pStyle w:val="11"/>
                    <w:jc w:val="center"/>
                    <w:rPr>
                      <w:rFonts w:hint="default" w:ascii="Times New Roman" w:hAnsi="Times New Roman" w:cs="Times New Roman"/>
                      <w:color w:val="auto"/>
                    </w:rPr>
                  </w:pPr>
                </w:p>
              </w:tc>
              <w:tc>
                <w:tcPr>
                  <w:tcW w:w="3991" w:type="dxa"/>
                  <w:vAlign w:val="center"/>
                </w:tcPr>
                <w:p>
                  <w:pPr>
                    <w:pStyle w:val="11"/>
                    <w:jc w:val="both"/>
                    <w:rPr>
                      <w:rFonts w:hint="default" w:ascii="Times New Roman" w:hAnsi="Times New Roman" w:cs="Times New Roman"/>
                      <w:b/>
                      <w:bCs/>
                      <w:color w:val="auto"/>
                    </w:rPr>
                  </w:pPr>
                  <w:r>
                    <w:rPr>
                      <w:rFonts w:hint="default" w:ascii="Times New Roman" w:hAnsi="Times New Roman" w:cs="Times New Roman"/>
                      <w:color w:val="auto"/>
                    </w:rPr>
                    <w:t>车间设置1套</w:t>
                  </w:r>
                  <w:r>
                    <w:rPr>
                      <w:rFonts w:hint="default" w:ascii="Times New Roman" w:hAnsi="Times New Roman" w:cs="Times New Roman"/>
                      <w:bCs/>
                      <w:color w:val="auto"/>
                      <w:spacing w:val="-10"/>
                    </w:rPr>
                    <w:t>采用“沉淀+气浮”的清洗废水循环回用处理系统</w:t>
                  </w:r>
                </w:p>
              </w:tc>
              <w:tc>
                <w:tcPr>
                  <w:tcW w:w="3171" w:type="dxa"/>
                  <w:vMerge w:val="continue"/>
                  <w:vAlign w:val="center"/>
                </w:tcPr>
                <w:p>
                  <w:pPr>
                    <w:pStyle w:val="11"/>
                    <w:rPr>
                      <w:rFonts w:hint="default" w:ascii="Times New Roman" w:hAnsi="Times New Roman" w:cs="Times New Roman"/>
                      <w:color w:va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26"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废气</w:t>
                  </w:r>
                </w:p>
                <w:p>
                  <w:pPr>
                    <w:pStyle w:val="11"/>
                    <w:jc w:val="center"/>
                    <w:rPr>
                      <w:rFonts w:hint="default" w:ascii="Times New Roman" w:hAnsi="Times New Roman" w:cs="Times New Roman"/>
                      <w:color w:val="auto"/>
                    </w:rPr>
                  </w:pPr>
                  <w:r>
                    <w:rPr>
                      <w:rFonts w:hint="default" w:ascii="Times New Roman" w:hAnsi="Times New Roman" w:cs="Times New Roman"/>
                      <w:color w:val="auto"/>
                    </w:rPr>
                    <w:t>处理措施</w:t>
                  </w:r>
                </w:p>
              </w:tc>
              <w:tc>
                <w:tcPr>
                  <w:tcW w:w="3991" w:type="dxa"/>
                  <w:vAlign w:val="center"/>
                </w:tcPr>
                <w:p>
                  <w:pPr>
                    <w:pStyle w:val="11"/>
                    <w:jc w:val="both"/>
                    <w:rPr>
                      <w:rFonts w:hint="default" w:ascii="Times New Roman" w:hAnsi="Times New Roman" w:cs="Times New Roman"/>
                      <w:color w:val="auto"/>
                    </w:rPr>
                  </w:pPr>
                  <w:r>
                    <w:rPr>
                      <w:rFonts w:hint="default" w:ascii="Times New Roman" w:hAnsi="Times New Roman" w:cs="Times New Roman"/>
                      <w:color w:val="auto"/>
                    </w:rPr>
                    <w:t>造粒废气：采用1套“两级活性炭吸附”装置（</w:t>
                  </w:r>
                  <w:r>
                    <w:rPr>
                      <w:rFonts w:hint="eastAsia" w:cs="Times New Roman"/>
                      <w:color w:val="auto"/>
                      <w:lang w:eastAsia="zh-CN"/>
                    </w:rPr>
                    <w:t>LA</w:t>
                  </w:r>
                  <w:r>
                    <w:rPr>
                      <w:rFonts w:hint="default" w:ascii="Times New Roman" w:hAnsi="Times New Roman" w:cs="Times New Roman"/>
                      <w:color w:val="auto"/>
                    </w:rPr>
                    <w:t>-00</w:t>
                  </w:r>
                  <w:r>
                    <w:rPr>
                      <w:rFonts w:hint="eastAsia" w:cs="Times New Roman"/>
                      <w:color w:val="auto"/>
                      <w:lang w:val="en-US" w:eastAsia="zh-CN"/>
                    </w:rPr>
                    <w:t>1</w:t>
                  </w:r>
                  <w:r>
                    <w:rPr>
                      <w:rFonts w:hint="default" w:ascii="Times New Roman" w:hAnsi="Times New Roman" w:cs="Times New Roman"/>
                      <w:color w:val="auto"/>
                    </w:rPr>
                    <w:t>）处理后经15m高排气筒排放；(风量按</w:t>
                  </w:r>
                  <w:r>
                    <w:rPr>
                      <w:rFonts w:hint="eastAsia" w:cs="Times New Roman"/>
                      <w:color w:val="auto"/>
                      <w:lang w:eastAsia="zh-CN"/>
                    </w:rPr>
                    <w:t>10800m</w:t>
                  </w:r>
                  <w:r>
                    <w:rPr>
                      <w:rFonts w:hint="default" w:ascii="Times New Roman" w:hAnsi="Times New Roman" w:cs="Times New Roman"/>
                      <w:color w:val="auto"/>
                      <w:vertAlign w:val="superscript"/>
                    </w:rPr>
                    <w:t>3</w:t>
                  </w:r>
                  <w:r>
                    <w:rPr>
                      <w:rFonts w:hint="default" w:ascii="Times New Roman" w:hAnsi="Times New Roman" w:cs="Times New Roman"/>
                      <w:color w:val="auto"/>
                    </w:rPr>
                    <w:t>/h计算）</w:t>
                  </w:r>
                </w:p>
              </w:tc>
              <w:tc>
                <w:tcPr>
                  <w:tcW w:w="3171" w:type="dxa"/>
                  <w:vAlign w:val="center"/>
                </w:tcPr>
                <w:p>
                  <w:pPr>
                    <w:pStyle w:val="11"/>
                    <w:rPr>
                      <w:rFonts w:hint="default" w:ascii="Times New Roman" w:hAnsi="Times New Roman" w:cs="Times New Roman"/>
                      <w:color w:val="auto"/>
                    </w:rPr>
                  </w:pPr>
                  <w:r>
                    <w:rPr>
                      <w:rFonts w:hint="default" w:ascii="Times New Roman" w:hAnsi="Times New Roman" w:cs="Times New Roman"/>
                      <w:color w:val="auto"/>
                    </w:rPr>
                    <w:t>VOCs执行</w:t>
                  </w:r>
                  <w:r>
                    <w:rPr>
                      <w:rFonts w:hint="default" w:ascii="Times New Roman" w:hAnsi="Times New Roman" w:cs="Times New Roman"/>
                      <w:color w:val="auto"/>
                      <w:lang w:val="en-US" w:eastAsia="zh-CN"/>
                    </w:rPr>
                    <w:t>《合成树脂工业污染物排放标准》（GB31572-2015）和</w:t>
                  </w:r>
                  <w:r>
                    <w:rPr>
                      <w:rFonts w:hint="default" w:ascii="Times New Roman" w:hAnsi="Times New Roman" w:cs="Times New Roman"/>
                      <w:color w:val="auto"/>
                    </w:rPr>
                    <w:t>《四川省固定污染源大气挥发性有机物排放标准》（DB51/2377-2017）表3及表5等相关标准；颗粒物参考《大气污染物综合排放标准》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26"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噪声</w:t>
                  </w:r>
                </w:p>
                <w:p>
                  <w:pPr>
                    <w:pStyle w:val="11"/>
                    <w:jc w:val="center"/>
                    <w:rPr>
                      <w:rFonts w:hint="default" w:ascii="Times New Roman" w:hAnsi="Times New Roman" w:cs="Times New Roman"/>
                      <w:color w:val="auto"/>
                    </w:rPr>
                  </w:pPr>
                  <w:r>
                    <w:rPr>
                      <w:rFonts w:hint="default" w:ascii="Times New Roman" w:hAnsi="Times New Roman" w:cs="Times New Roman"/>
                      <w:color w:val="auto"/>
                    </w:rPr>
                    <w:t>处理措施</w:t>
                  </w:r>
                </w:p>
              </w:tc>
              <w:tc>
                <w:tcPr>
                  <w:tcW w:w="3991" w:type="dxa"/>
                  <w:vAlign w:val="center"/>
                </w:tcPr>
                <w:p>
                  <w:pPr>
                    <w:pStyle w:val="11"/>
                    <w:jc w:val="both"/>
                    <w:rPr>
                      <w:rFonts w:hint="default" w:ascii="Times New Roman" w:hAnsi="Times New Roman" w:cs="Times New Roman"/>
                      <w:color w:val="auto"/>
                    </w:rPr>
                  </w:pPr>
                  <w:r>
                    <w:rPr>
                      <w:rFonts w:hint="default" w:ascii="Times New Roman" w:hAnsi="Times New Roman" w:cs="Times New Roman"/>
                      <w:color w:val="auto"/>
                    </w:rPr>
                    <w:t>设置减震、消声装置，加强管理，避免设备不正常运转；</w:t>
                  </w:r>
                </w:p>
              </w:tc>
              <w:tc>
                <w:tcPr>
                  <w:tcW w:w="3171" w:type="dxa"/>
                  <w:vAlign w:val="center"/>
                </w:tcPr>
                <w:p>
                  <w:pPr>
                    <w:pStyle w:val="11"/>
                    <w:rPr>
                      <w:rFonts w:hint="default" w:ascii="Times New Roman" w:hAnsi="Times New Roman" w:cs="Times New Roman"/>
                      <w:color w:val="auto"/>
                    </w:rPr>
                  </w:pPr>
                  <w:r>
                    <w:rPr>
                      <w:rFonts w:hint="default" w:ascii="Times New Roman" w:hAnsi="Times New Roman" w:cs="Times New Roman"/>
                      <w:color w:val="auto"/>
                    </w:rPr>
                    <w:t>营运期执行《工业企业厂界环境噪声排放标准》（GB12348- 2008）3类标准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26" w:type="dxa"/>
                  <w:vMerge w:val="restart"/>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固体废物</w:t>
                  </w:r>
                </w:p>
                <w:p>
                  <w:pPr>
                    <w:pStyle w:val="11"/>
                    <w:jc w:val="center"/>
                    <w:rPr>
                      <w:rFonts w:hint="default" w:ascii="Times New Roman" w:hAnsi="Times New Roman" w:cs="Times New Roman"/>
                      <w:color w:val="auto"/>
                    </w:rPr>
                  </w:pPr>
                  <w:r>
                    <w:rPr>
                      <w:rFonts w:hint="default" w:ascii="Times New Roman" w:hAnsi="Times New Roman" w:cs="Times New Roman"/>
                      <w:color w:val="auto"/>
                    </w:rPr>
                    <w:t>处理措施</w:t>
                  </w:r>
                </w:p>
              </w:tc>
              <w:tc>
                <w:tcPr>
                  <w:tcW w:w="3991" w:type="dxa"/>
                  <w:vAlign w:val="center"/>
                </w:tcPr>
                <w:p>
                  <w:pPr>
                    <w:pStyle w:val="11"/>
                    <w:jc w:val="both"/>
                    <w:rPr>
                      <w:rFonts w:hint="default" w:ascii="Times New Roman" w:hAnsi="Times New Roman" w:cs="Times New Roman"/>
                      <w:color w:val="auto"/>
                    </w:rPr>
                  </w:pPr>
                  <w:r>
                    <w:rPr>
                      <w:rFonts w:hint="default" w:ascii="Times New Roman" w:hAnsi="Times New Roman" w:cs="Times New Roman"/>
                      <w:color w:val="auto"/>
                    </w:rPr>
                    <w:t>设置固废储存区，其中一般固废储存区面积约100m</w:t>
                  </w:r>
                  <w:r>
                    <w:rPr>
                      <w:rFonts w:hint="default" w:ascii="Times New Roman" w:hAnsi="Times New Roman" w:cs="Times New Roman"/>
                      <w:color w:val="auto"/>
                      <w:vertAlign w:val="superscript"/>
                    </w:rPr>
                    <w:t>2</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位于车间西侧</w:t>
                  </w:r>
                </w:p>
              </w:tc>
              <w:tc>
                <w:tcPr>
                  <w:tcW w:w="3171" w:type="dxa"/>
                  <w:vMerge w:val="restart"/>
                  <w:vAlign w:val="center"/>
                </w:tcPr>
                <w:p>
                  <w:pPr>
                    <w:pStyle w:val="11"/>
                    <w:rPr>
                      <w:rFonts w:hint="default" w:ascii="Times New Roman" w:hAnsi="Times New Roman" w:cs="Times New Roman"/>
                      <w:color w:val="auto"/>
                    </w:rPr>
                  </w:pPr>
                  <w:r>
                    <w:rPr>
                      <w:rFonts w:hint="default" w:ascii="Times New Roman" w:hAnsi="Times New Roman" w:cs="Times New Roman"/>
                      <w:color w:val="auto"/>
                    </w:rPr>
                    <w:t>一般固废执行《一般工业固体废物贮存、处置污染控制标准》（GB18599-2001）；危险废物执行《危险废物贮存污染控制标准》（GB18597-2001）及修改单相关要求。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26" w:type="dxa"/>
                  <w:vMerge w:val="continue"/>
                  <w:vAlign w:val="center"/>
                </w:tcPr>
                <w:p>
                  <w:pPr>
                    <w:pStyle w:val="11"/>
                    <w:jc w:val="center"/>
                    <w:rPr>
                      <w:rFonts w:hint="default" w:ascii="Times New Roman" w:hAnsi="Times New Roman" w:cs="Times New Roman"/>
                      <w:color w:val="auto"/>
                    </w:rPr>
                  </w:pPr>
                </w:p>
              </w:tc>
              <w:tc>
                <w:tcPr>
                  <w:tcW w:w="3991" w:type="dxa"/>
                  <w:vAlign w:val="center"/>
                </w:tcPr>
                <w:p>
                  <w:pPr>
                    <w:pStyle w:val="11"/>
                    <w:jc w:val="both"/>
                    <w:rPr>
                      <w:rFonts w:hint="default" w:ascii="Times New Roman" w:hAnsi="Times New Roman" w:cs="Times New Roman"/>
                      <w:color w:val="auto"/>
                    </w:rPr>
                  </w:pPr>
                  <w:r>
                    <w:rPr>
                      <w:rFonts w:hint="default" w:ascii="Times New Roman" w:hAnsi="Times New Roman" w:cs="Times New Roman"/>
                      <w:color w:val="auto"/>
                    </w:rPr>
                    <w:t>危废储存区面积约为</w:t>
                  </w:r>
                  <w:r>
                    <w:rPr>
                      <w:rFonts w:hint="eastAsia" w:cs="Times New Roman"/>
                      <w:color w:val="auto"/>
                      <w:lang w:val="en-US" w:eastAsia="zh-CN"/>
                    </w:rPr>
                    <w:t>2</w:t>
                  </w:r>
                  <w:r>
                    <w:rPr>
                      <w:rFonts w:hint="default" w:ascii="Times New Roman" w:hAnsi="Times New Roman" w:cs="Times New Roman"/>
                      <w:color w:val="auto"/>
                    </w:rPr>
                    <w:t>0m</w:t>
                  </w:r>
                  <w:r>
                    <w:rPr>
                      <w:rFonts w:hint="default" w:ascii="Times New Roman" w:hAnsi="Times New Roman" w:cs="Times New Roman"/>
                      <w:color w:val="auto"/>
                      <w:vertAlign w:val="superscript"/>
                    </w:rPr>
                    <w:t>2</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位于车间</w:t>
                  </w:r>
                  <w:r>
                    <w:rPr>
                      <w:rFonts w:hint="eastAsia" w:cs="Times New Roman"/>
                      <w:color w:val="auto"/>
                      <w:lang w:val="en-US" w:eastAsia="zh-CN"/>
                    </w:rPr>
                    <w:t>东</w:t>
                  </w:r>
                  <w:r>
                    <w:rPr>
                      <w:rFonts w:hint="default" w:ascii="Times New Roman" w:hAnsi="Times New Roman" w:cs="Times New Roman"/>
                      <w:color w:val="auto"/>
                      <w:lang w:val="en-US" w:eastAsia="zh-CN"/>
                    </w:rPr>
                    <w:t>侧</w:t>
                  </w:r>
                  <w:r>
                    <w:rPr>
                      <w:rFonts w:hint="default" w:ascii="Times New Roman" w:hAnsi="Times New Roman" w:cs="Times New Roman"/>
                      <w:color w:val="auto"/>
                    </w:rPr>
                    <w:t>，委托有资质的单位处置，要求按照《危险废物贮存污染控制标准》（GB18597）的规定，做好防风、防雨、防晒、防渗漏“四防”措施。</w:t>
                  </w:r>
                </w:p>
              </w:tc>
              <w:tc>
                <w:tcPr>
                  <w:tcW w:w="3171" w:type="dxa"/>
                  <w:vMerge w:val="continue"/>
                  <w:vAlign w:val="center"/>
                </w:tcPr>
                <w:p>
                  <w:pPr>
                    <w:pStyle w:val="11"/>
                    <w:rPr>
                      <w:rFonts w:hint="default" w:ascii="Times New Roman" w:hAnsi="Times New Roman" w:cs="Times New Roman"/>
                      <w:color w:va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26" w:type="dxa"/>
                  <w:vMerge w:val="continue"/>
                  <w:vAlign w:val="center"/>
                </w:tcPr>
                <w:p>
                  <w:pPr>
                    <w:pStyle w:val="11"/>
                    <w:jc w:val="both"/>
                    <w:rPr>
                      <w:rFonts w:hint="default" w:ascii="Times New Roman" w:hAnsi="Times New Roman" w:cs="Times New Roman"/>
                      <w:color w:val="auto"/>
                    </w:rPr>
                  </w:pPr>
                </w:p>
              </w:tc>
              <w:tc>
                <w:tcPr>
                  <w:tcW w:w="3991" w:type="dxa"/>
                  <w:vAlign w:val="center"/>
                </w:tcPr>
                <w:p>
                  <w:pPr>
                    <w:pStyle w:val="11"/>
                    <w:jc w:val="both"/>
                    <w:rPr>
                      <w:rFonts w:hint="default" w:ascii="Times New Roman" w:hAnsi="Times New Roman" w:cs="Times New Roman"/>
                      <w:color w:val="auto"/>
                    </w:rPr>
                  </w:pPr>
                  <w:r>
                    <w:rPr>
                      <w:rFonts w:hint="default" w:ascii="Times New Roman" w:hAnsi="Times New Roman" w:cs="Times New Roman"/>
                      <w:color w:val="auto"/>
                    </w:rPr>
                    <w:t>车间</w:t>
                  </w:r>
                  <w:r>
                    <w:rPr>
                      <w:rFonts w:hint="default" w:ascii="Times New Roman" w:hAnsi="Times New Roman" w:cs="Times New Roman"/>
                      <w:bCs/>
                      <w:color w:val="auto"/>
                      <w:spacing w:val="-10"/>
                    </w:rPr>
                    <w:t>废水循环回用处理系统定期处理清洗废水处理过程中产生的泥沙；</w:t>
                  </w:r>
                </w:p>
              </w:tc>
              <w:tc>
                <w:tcPr>
                  <w:tcW w:w="3171" w:type="dxa"/>
                  <w:vMerge w:val="continue"/>
                  <w:vAlign w:val="center"/>
                </w:tcPr>
                <w:p>
                  <w:pPr>
                    <w:pStyle w:val="11"/>
                    <w:jc w:val="both"/>
                    <w:rPr>
                      <w:rFonts w:hint="default" w:ascii="Times New Roman" w:hAnsi="Times New Roman" w:cs="Times New Roman"/>
                      <w:color w:va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26"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环境风险</w:t>
                  </w:r>
                </w:p>
              </w:tc>
              <w:tc>
                <w:tcPr>
                  <w:tcW w:w="3991" w:type="dxa"/>
                  <w:vAlign w:val="center"/>
                </w:tcPr>
                <w:p>
                  <w:pPr>
                    <w:pStyle w:val="11"/>
                    <w:jc w:val="both"/>
                    <w:rPr>
                      <w:rFonts w:hint="default" w:ascii="Times New Roman" w:hAnsi="Times New Roman" w:cs="Times New Roman"/>
                      <w:color w:val="auto"/>
                    </w:rPr>
                  </w:pPr>
                  <w:r>
                    <w:rPr>
                      <w:rFonts w:hint="default" w:ascii="Times New Roman" w:hAnsi="Times New Roman" w:cs="Times New Roman"/>
                      <w:color w:val="auto"/>
                    </w:rPr>
                    <w:t>①要求企业强化风险意识②对各类原料的包装须定期进行检查。③要求厂区内设置危险废物贮存场所。④要求企业定期对企业雨污管道、生活污水治理设施、废气收集及处理设施等环保设施进行维护、修理。⑤要求企业重视安全措施建设</w:t>
                  </w:r>
                </w:p>
              </w:tc>
              <w:tc>
                <w:tcPr>
                  <w:tcW w:w="3171"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26"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环境管理</w:t>
                  </w:r>
                </w:p>
              </w:tc>
              <w:tc>
                <w:tcPr>
                  <w:tcW w:w="3991" w:type="dxa"/>
                  <w:vAlign w:val="center"/>
                </w:tcPr>
                <w:p>
                  <w:pPr>
                    <w:pStyle w:val="11"/>
                    <w:jc w:val="both"/>
                    <w:rPr>
                      <w:rFonts w:hint="default" w:ascii="Times New Roman" w:hAnsi="Times New Roman" w:cs="Times New Roman"/>
                      <w:color w:val="auto"/>
                    </w:rPr>
                  </w:pPr>
                  <w:r>
                    <w:rPr>
                      <w:rFonts w:hint="default" w:ascii="Times New Roman" w:hAnsi="Times New Roman" w:cs="Times New Roman"/>
                      <w:color w:val="auto"/>
                    </w:rPr>
                    <w:t>加强管理后，安排工作人员定期检查</w:t>
                  </w:r>
                </w:p>
              </w:tc>
              <w:tc>
                <w:tcPr>
                  <w:tcW w:w="3171" w:type="dxa"/>
                  <w:vAlign w:val="center"/>
                </w:tcPr>
                <w:p>
                  <w:pPr>
                    <w:pStyle w:val="11"/>
                    <w:jc w:val="center"/>
                    <w:rPr>
                      <w:rFonts w:hint="default" w:ascii="Times New Roman" w:hAnsi="Times New Roman" w:cs="Times New Roman"/>
                      <w:color w:val="auto"/>
                    </w:rPr>
                  </w:pPr>
                  <w:r>
                    <w:rPr>
                      <w:rFonts w:hint="default" w:ascii="Times New Roman" w:hAnsi="Times New Roman" w:cs="Times New Roman"/>
                      <w:color w:val="auto"/>
                    </w:rPr>
                    <w:t>/</w:t>
                  </w:r>
                </w:p>
              </w:tc>
            </w:tr>
          </w:tbl>
          <w:p>
            <w:pPr>
              <w:bidi w:val="0"/>
              <w:rPr>
                <w:rFonts w:hint="default" w:ascii="Times New Roman" w:hAnsi="Times New Roman" w:cs="Times New Roman"/>
                <w:color w:val="auto"/>
              </w:rPr>
            </w:pPr>
          </w:p>
          <w:p>
            <w:pPr>
              <w:bidi w:val="0"/>
              <w:rPr>
                <w:rFonts w:hint="default"/>
              </w:rPr>
            </w:pPr>
          </w:p>
          <w:p>
            <w:pPr>
              <w:bidi w:val="0"/>
              <w:rPr>
                <w:rFonts w:hint="default"/>
              </w:rPr>
            </w:pPr>
          </w:p>
          <w:p>
            <w:pPr>
              <w:bidi w:val="0"/>
              <w:rPr>
                <w:rFonts w:hint="default"/>
              </w:rPr>
            </w:pPr>
          </w:p>
          <w:p>
            <w:pPr>
              <w:bidi w:val="0"/>
              <w:rPr>
                <w:rFonts w:hint="default"/>
              </w:rPr>
            </w:pPr>
          </w:p>
          <w:p>
            <w:pPr>
              <w:bidi w:val="0"/>
              <w:rPr>
                <w:rFonts w:hint="default"/>
              </w:rPr>
            </w:pPr>
          </w:p>
          <w:p>
            <w:pPr>
              <w:bidi w:val="0"/>
              <w:rPr>
                <w:rFonts w:hint="default"/>
              </w:rPr>
            </w:pPr>
          </w:p>
          <w:p>
            <w:pPr>
              <w:bidi w:val="0"/>
              <w:rPr>
                <w:rFonts w:hint="default"/>
              </w:rPr>
            </w:pPr>
          </w:p>
          <w:p>
            <w:pPr>
              <w:bidi w:val="0"/>
              <w:rPr>
                <w:rFonts w:hint="default"/>
              </w:rPr>
            </w:pPr>
          </w:p>
          <w:p>
            <w:pPr>
              <w:bidi w:val="0"/>
              <w:rPr>
                <w:rFonts w:hint="default"/>
              </w:rPr>
            </w:pPr>
          </w:p>
          <w:p>
            <w:pPr>
              <w:bidi w:val="0"/>
              <w:rPr>
                <w:rFonts w:hint="default"/>
              </w:rPr>
            </w:pPr>
          </w:p>
          <w:p>
            <w:pPr>
              <w:bidi w:val="0"/>
              <w:rPr>
                <w:rFonts w:hint="default"/>
              </w:rPr>
            </w:pPr>
          </w:p>
          <w:p>
            <w:pPr>
              <w:bidi w:val="0"/>
              <w:rPr>
                <w:rFonts w:hint="default"/>
              </w:rPr>
            </w:pPr>
          </w:p>
          <w:p>
            <w:pPr>
              <w:bidi w:val="0"/>
              <w:rPr>
                <w:rFonts w:hint="default"/>
              </w:rPr>
            </w:pPr>
          </w:p>
          <w:p>
            <w:pPr>
              <w:bidi w:val="0"/>
              <w:rPr>
                <w:rFonts w:hint="default"/>
              </w:rPr>
            </w:pPr>
          </w:p>
          <w:p>
            <w:pPr>
              <w:bidi w:val="0"/>
              <w:rPr>
                <w:rFonts w:hint="default"/>
              </w:rPr>
            </w:pPr>
          </w:p>
          <w:p>
            <w:pPr>
              <w:bidi w:val="0"/>
              <w:rPr>
                <w:rFonts w:hint="default"/>
              </w:rPr>
            </w:pPr>
          </w:p>
          <w:p>
            <w:pPr>
              <w:bidi w:val="0"/>
              <w:rPr>
                <w:rFonts w:hint="default"/>
              </w:rPr>
            </w:pPr>
          </w:p>
          <w:p>
            <w:pPr>
              <w:bidi w:val="0"/>
              <w:rPr>
                <w:rFonts w:hint="default"/>
              </w:rPr>
            </w:pPr>
          </w:p>
          <w:p>
            <w:pPr>
              <w:bidi w:val="0"/>
              <w:rPr>
                <w:rFonts w:hint="default"/>
              </w:rPr>
            </w:pPr>
          </w:p>
          <w:p>
            <w:pPr>
              <w:rPr>
                <w:rFonts w:hint="default"/>
              </w:rPr>
            </w:pPr>
          </w:p>
          <w:p>
            <w:pPr>
              <w:rPr>
                <w:rFonts w:hint="default"/>
              </w:rPr>
            </w:pPr>
          </w:p>
          <w:p>
            <w:pPr>
              <w:rPr>
                <w:rFonts w:hint="default"/>
              </w:rPr>
            </w:pPr>
          </w:p>
          <w:p>
            <w:pPr>
              <w:rPr>
                <w:rFonts w:hint="default"/>
              </w:rPr>
            </w:pPr>
          </w:p>
          <w:p>
            <w:pPr>
              <w:rPr>
                <w:rFonts w:hint="default"/>
              </w:rPr>
            </w:pPr>
          </w:p>
          <w:p>
            <w:pPr>
              <w:rPr>
                <w:rFonts w:hint="default"/>
              </w:rPr>
            </w:pPr>
          </w:p>
          <w:p>
            <w:pPr>
              <w:rPr>
                <w:rFonts w:hint="default"/>
              </w:rPr>
            </w:pPr>
          </w:p>
          <w:p>
            <w:pPr>
              <w:bidi w:val="0"/>
              <w:rPr>
                <w:rFonts w:hint="default"/>
              </w:rPr>
            </w:pPr>
          </w:p>
          <w:p>
            <w:pPr>
              <w:adjustRightInd w:val="0"/>
              <w:snapToGrid w:val="0"/>
              <w:ind w:firstLine="0" w:firstLineChars="0"/>
              <w:rPr>
                <w:rFonts w:hint="default" w:ascii="Times New Roman" w:hAnsi="Times New Roman" w:cs="Times New Roman"/>
                <w:bCs/>
                <w:color w:val="auto"/>
                <w:spacing w:val="-10"/>
                <w:szCs w:val="21"/>
              </w:rPr>
            </w:pPr>
          </w:p>
        </w:tc>
      </w:tr>
    </w:tbl>
    <w:p>
      <w:pPr>
        <w:adjustRightInd w:val="0"/>
        <w:snapToGrid w:val="0"/>
        <w:rPr>
          <w:b/>
          <w:color w:val="auto"/>
          <w:kern w:val="0"/>
          <w:sz w:val="28"/>
          <w:szCs w:val="28"/>
        </w:rPr>
        <w:sectPr>
          <w:pgSz w:w="11907" w:h="16840"/>
          <w:pgMar w:top="1440" w:right="1080" w:bottom="1440" w:left="1080" w:header="851" w:footer="851" w:gutter="0"/>
          <w:pgBorders>
            <w:top w:val="none" w:sz="0" w:space="0"/>
            <w:left w:val="none" w:sz="0" w:space="0"/>
            <w:bottom w:val="none" w:sz="0" w:space="0"/>
            <w:right w:val="none" w:sz="0" w:space="0"/>
          </w:pgBorders>
          <w:cols w:space="720" w:num="1"/>
          <w:docGrid w:linePitch="312" w:charSpace="0"/>
        </w:sectPr>
      </w:pPr>
    </w:p>
    <w:p>
      <w:pPr>
        <w:pStyle w:val="2"/>
        <w:ind w:firstLine="602"/>
        <w:rPr>
          <w:color w:val="auto"/>
        </w:rPr>
      </w:pPr>
      <w:bookmarkStart w:id="46" w:name="_Toc16308"/>
      <w:r>
        <w:rPr>
          <w:color w:val="auto"/>
        </w:rPr>
        <w:t>五、</w:t>
      </w:r>
      <w:bookmarkStart w:id="47" w:name="_Hlk54167917"/>
      <w:r>
        <w:rPr>
          <w:color w:val="auto"/>
        </w:rPr>
        <w:t>环境保护措施监督检查清单</w:t>
      </w:r>
      <w:bookmarkEnd w:id="46"/>
      <w:bookmarkEnd w:id="47"/>
    </w:p>
    <w:tbl>
      <w:tblPr>
        <w:tblStyle w:val="5"/>
        <w:tblW w:w="985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26"/>
        <w:gridCol w:w="1500"/>
        <w:gridCol w:w="1377"/>
        <w:gridCol w:w="2552"/>
        <w:gridCol w:w="319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226" w:type="dxa"/>
            <w:tcBorders>
              <w:tl2br w:val="single" w:color="auto" w:sz="4" w:space="0"/>
            </w:tcBorders>
          </w:tcPr>
          <w:p>
            <w:pPr>
              <w:pStyle w:val="11"/>
              <w:jc w:val="right"/>
              <w:rPr>
                <w:b/>
                <w:bCs/>
                <w:color w:val="auto"/>
              </w:rPr>
            </w:pPr>
            <w:r>
              <w:rPr>
                <w:b/>
                <w:bCs/>
                <w:color w:val="auto"/>
              </w:rPr>
              <w:t>内容</w:t>
            </w:r>
          </w:p>
          <w:p>
            <w:pPr>
              <w:pStyle w:val="11"/>
              <w:rPr>
                <w:b/>
                <w:bCs/>
                <w:color w:val="auto"/>
              </w:rPr>
            </w:pPr>
            <w:r>
              <w:rPr>
                <w:b/>
                <w:bCs/>
                <w:color w:val="auto"/>
              </w:rPr>
              <w:t>要素</w:t>
            </w:r>
          </w:p>
        </w:tc>
        <w:tc>
          <w:tcPr>
            <w:tcW w:w="1500" w:type="dxa"/>
            <w:vAlign w:val="center"/>
          </w:tcPr>
          <w:p>
            <w:pPr>
              <w:pStyle w:val="11"/>
              <w:jc w:val="center"/>
              <w:rPr>
                <w:b/>
                <w:bCs/>
                <w:color w:val="auto"/>
              </w:rPr>
            </w:pPr>
            <w:r>
              <w:rPr>
                <w:b/>
                <w:bCs/>
                <w:color w:val="auto"/>
              </w:rPr>
              <w:t>排放口(编号、</w:t>
            </w:r>
          </w:p>
          <w:p>
            <w:pPr>
              <w:pStyle w:val="11"/>
              <w:jc w:val="center"/>
              <w:rPr>
                <w:b/>
                <w:bCs/>
                <w:color w:val="auto"/>
              </w:rPr>
            </w:pPr>
            <w:r>
              <w:rPr>
                <w:b/>
                <w:bCs/>
                <w:color w:val="auto"/>
              </w:rPr>
              <w:t>名称)/污染源</w:t>
            </w:r>
          </w:p>
        </w:tc>
        <w:tc>
          <w:tcPr>
            <w:tcW w:w="1377" w:type="dxa"/>
            <w:vAlign w:val="center"/>
          </w:tcPr>
          <w:p>
            <w:pPr>
              <w:pStyle w:val="11"/>
              <w:jc w:val="center"/>
              <w:rPr>
                <w:b/>
                <w:bCs/>
                <w:color w:val="auto"/>
              </w:rPr>
            </w:pPr>
            <w:r>
              <w:rPr>
                <w:b/>
                <w:bCs/>
                <w:color w:val="auto"/>
              </w:rPr>
              <w:t>污染物项目</w:t>
            </w:r>
          </w:p>
        </w:tc>
        <w:tc>
          <w:tcPr>
            <w:tcW w:w="2552" w:type="dxa"/>
            <w:vAlign w:val="center"/>
          </w:tcPr>
          <w:p>
            <w:pPr>
              <w:pStyle w:val="11"/>
              <w:jc w:val="center"/>
              <w:rPr>
                <w:b/>
                <w:bCs/>
                <w:color w:val="auto"/>
              </w:rPr>
            </w:pPr>
            <w:r>
              <w:rPr>
                <w:b/>
                <w:bCs/>
                <w:color w:val="auto"/>
              </w:rPr>
              <w:t>环境保护措施</w:t>
            </w:r>
          </w:p>
        </w:tc>
        <w:tc>
          <w:tcPr>
            <w:tcW w:w="3198" w:type="dxa"/>
            <w:vAlign w:val="center"/>
          </w:tcPr>
          <w:p>
            <w:pPr>
              <w:pStyle w:val="11"/>
              <w:jc w:val="center"/>
              <w:rPr>
                <w:b/>
                <w:bCs/>
                <w:color w:val="auto"/>
              </w:rPr>
            </w:pPr>
            <w:r>
              <w:rPr>
                <w:b/>
                <w:bCs/>
                <w:color w:val="auto"/>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226" w:type="dxa"/>
            <w:vAlign w:val="center"/>
          </w:tcPr>
          <w:p>
            <w:pPr>
              <w:pStyle w:val="11"/>
              <w:jc w:val="center"/>
              <w:rPr>
                <w:color w:val="auto"/>
              </w:rPr>
            </w:pPr>
            <w:r>
              <w:rPr>
                <w:color w:val="auto"/>
              </w:rPr>
              <w:t>大气环境</w:t>
            </w:r>
          </w:p>
        </w:tc>
        <w:tc>
          <w:tcPr>
            <w:tcW w:w="1500" w:type="dxa"/>
            <w:vAlign w:val="center"/>
          </w:tcPr>
          <w:p>
            <w:pPr>
              <w:pStyle w:val="11"/>
              <w:jc w:val="center"/>
              <w:rPr>
                <w:color w:val="auto"/>
              </w:rPr>
            </w:pPr>
            <w:r>
              <w:rPr>
                <w:color w:val="auto"/>
              </w:rPr>
              <w:t>生产车间</w:t>
            </w:r>
          </w:p>
        </w:tc>
        <w:tc>
          <w:tcPr>
            <w:tcW w:w="1377" w:type="dxa"/>
            <w:vAlign w:val="center"/>
          </w:tcPr>
          <w:p>
            <w:pPr>
              <w:pStyle w:val="11"/>
              <w:jc w:val="center"/>
              <w:rPr>
                <w:rFonts w:ascii="Times New Roman" w:hAnsi="Times New Roman" w:eastAsia="宋体" w:cs="Times New Roman"/>
                <w:color w:val="auto"/>
                <w:kern w:val="2"/>
                <w:sz w:val="21"/>
                <w:szCs w:val="21"/>
                <w:lang w:val="en-US" w:eastAsia="zh-CN" w:bidi="ar-SA"/>
              </w:rPr>
            </w:pPr>
            <w:r>
              <w:rPr>
                <w:rFonts w:hint="eastAsia"/>
                <w:color w:val="auto"/>
                <w:kern w:val="2"/>
              </w:rPr>
              <w:t>有机废气</w:t>
            </w:r>
          </w:p>
        </w:tc>
        <w:tc>
          <w:tcPr>
            <w:tcW w:w="2552" w:type="dxa"/>
            <w:vAlign w:val="center"/>
          </w:tcPr>
          <w:p>
            <w:pPr>
              <w:pStyle w:val="11"/>
              <w:jc w:val="both"/>
              <w:rPr>
                <w:rFonts w:ascii="Times New Roman" w:hAnsi="Times New Roman" w:eastAsia="宋体" w:cs="Times New Roman"/>
                <w:color w:val="auto"/>
                <w:sz w:val="21"/>
                <w:szCs w:val="21"/>
                <w:lang w:val="en-US" w:eastAsia="zh-CN" w:bidi="ar-SA"/>
              </w:rPr>
            </w:pPr>
            <w:r>
              <w:rPr>
                <w:rFonts w:hint="eastAsia"/>
                <w:color w:val="auto"/>
              </w:rPr>
              <w:t>造粒废气</w:t>
            </w:r>
            <w:r>
              <w:rPr>
                <w:color w:val="auto"/>
              </w:rPr>
              <w:t>：采用1套“</w:t>
            </w:r>
            <w:r>
              <w:rPr>
                <w:rFonts w:hint="eastAsia"/>
                <w:color w:val="auto"/>
              </w:rPr>
              <w:t>两级活性炭吸附</w:t>
            </w:r>
            <w:r>
              <w:rPr>
                <w:color w:val="auto"/>
              </w:rPr>
              <w:t>”</w:t>
            </w:r>
            <w:r>
              <w:rPr>
                <w:rFonts w:hint="eastAsia"/>
                <w:color w:val="auto"/>
              </w:rPr>
              <w:t>装置（</w:t>
            </w:r>
            <w:r>
              <w:rPr>
                <w:rFonts w:hint="eastAsia"/>
                <w:color w:val="auto"/>
                <w:lang w:eastAsia="zh-CN"/>
              </w:rPr>
              <w:t>LA</w:t>
            </w:r>
            <w:r>
              <w:rPr>
                <w:rFonts w:hint="eastAsia"/>
                <w:color w:val="auto"/>
              </w:rPr>
              <w:t>-00</w:t>
            </w:r>
            <w:r>
              <w:rPr>
                <w:rFonts w:hint="eastAsia"/>
                <w:color w:val="auto"/>
                <w:lang w:val="en-US" w:eastAsia="zh-CN"/>
              </w:rPr>
              <w:t>1</w:t>
            </w:r>
            <w:r>
              <w:rPr>
                <w:rFonts w:hint="eastAsia"/>
                <w:color w:val="auto"/>
              </w:rPr>
              <w:t>）</w:t>
            </w:r>
            <w:r>
              <w:rPr>
                <w:color w:val="auto"/>
              </w:rPr>
              <w:t>处理</w:t>
            </w:r>
            <w:r>
              <w:rPr>
                <w:rFonts w:hint="eastAsia"/>
                <w:color w:val="auto"/>
              </w:rPr>
              <w:t>后经15m高排气筒排放；(</w:t>
            </w:r>
            <w:r>
              <w:rPr>
                <w:color w:val="auto"/>
              </w:rPr>
              <w:t>风量按</w:t>
            </w:r>
            <w:r>
              <w:rPr>
                <w:rFonts w:hint="eastAsia"/>
                <w:color w:val="auto"/>
                <w:lang w:eastAsia="zh-CN"/>
              </w:rPr>
              <w:t>10800m</w:t>
            </w:r>
            <w:r>
              <w:rPr>
                <w:color w:val="auto"/>
                <w:vertAlign w:val="superscript"/>
              </w:rPr>
              <w:t>3</w:t>
            </w:r>
            <w:r>
              <w:rPr>
                <w:color w:val="auto"/>
              </w:rPr>
              <w:t>/h计算</w:t>
            </w:r>
            <w:r>
              <w:rPr>
                <w:rFonts w:hint="eastAsia"/>
                <w:color w:val="auto"/>
              </w:rPr>
              <w:t>）</w:t>
            </w:r>
          </w:p>
        </w:tc>
        <w:tc>
          <w:tcPr>
            <w:tcW w:w="3198" w:type="dxa"/>
            <w:vAlign w:val="center"/>
          </w:tcPr>
          <w:p>
            <w:pPr>
              <w:pStyle w:val="11"/>
              <w:rPr>
                <w:color w:val="auto"/>
              </w:rPr>
            </w:pPr>
            <w:r>
              <w:rPr>
                <w:color w:val="auto"/>
              </w:rPr>
              <w:t>VOCs执行</w:t>
            </w:r>
            <w:r>
              <w:rPr>
                <w:rFonts w:hint="default"/>
                <w:color w:val="auto"/>
              </w:rPr>
              <w:t>执行</w:t>
            </w:r>
            <w:r>
              <w:rPr>
                <w:rFonts w:hint="default"/>
                <w:color w:val="auto"/>
                <w:lang w:val="en-US" w:eastAsia="zh-CN"/>
              </w:rPr>
              <w:t>《合成树脂工业污染物排放标准》（GB31572-2015）和</w:t>
            </w:r>
            <w:r>
              <w:rPr>
                <w:rFonts w:hint="default"/>
                <w:color w:val="auto"/>
              </w:rPr>
              <w:t>《四川省固定污染源大气挥发性有机物排放标准》</w:t>
            </w:r>
            <w:r>
              <w:rPr>
                <w:color w:val="auto"/>
              </w:rPr>
              <w:t>（DB51/2377-</w:t>
            </w:r>
            <w:r>
              <w:rPr>
                <w:rFonts w:hint="eastAsia"/>
                <w:color w:val="auto"/>
              </w:rPr>
              <w:t xml:space="preserve"> </w:t>
            </w:r>
            <w:r>
              <w:rPr>
                <w:color w:val="auto"/>
              </w:rPr>
              <w:t>2017）表3及表5</w:t>
            </w:r>
            <w:r>
              <w:rPr>
                <w:rFonts w:hint="eastAsia"/>
                <w:color w:val="auto"/>
              </w:rPr>
              <w:t>等</w:t>
            </w:r>
            <w:r>
              <w:rPr>
                <w:color w:val="auto"/>
              </w:rPr>
              <w:t>相关标准</w:t>
            </w:r>
          </w:p>
          <w:p>
            <w:pPr>
              <w:pStyle w:val="11"/>
              <w:jc w:val="both"/>
              <w:rPr>
                <w:rFonts w:ascii="Times New Roman" w:hAnsi="Times New Roman" w:eastAsia="宋体" w:cs="Times New Roman"/>
                <w:color w:val="auto"/>
                <w:sz w:val="21"/>
                <w:szCs w:val="21"/>
                <w:lang w:val="en-US" w:eastAsia="zh-CN" w:bidi="ar-SA"/>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226" w:type="dxa"/>
            <w:vMerge w:val="restart"/>
            <w:vAlign w:val="center"/>
          </w:tcPr>
          <w:p>
            <w:pPr>
              <w:pStyle w:val="11"/>
              <w:jc w:val="center"/>
              <w:rPr>
                <w:color w:val="auto"/>
              </w:rPr>
            </w:pPr>
            <w:r>
              <w:rPr>
                <w:color w:val="auto"/>
              </w:rPr>
              <w:t>地表水</w:t>
            </w:r>
          </w:p>
          <w:p>
            <w:pPr>
              <w:pStyle w:val="11"/>
              <w:jc w:val="center"/>
              <w:rPr>
                <w:color w:val="auto"/>
              </w:rPr>
            </w:pPr>
            <w:r>
              <w:rPr>
                <w:color w:val="auto"/>
              </w:rPr>
              <w:t>环境</w:t>
            </w:r>
          </w:p>
        </w:tc>
        <w:tc>
          <w:tcPr>
            <w:tcW w:w="1500" w:type="dxa"/>
            <w:vAlign w:val="center"/>
          </w:tcPr>
          <w:p>
            <w:pPr>
              <w:pStyle w:val="11"/>
              <w:jc w:val="center"/>
              <w:rPr>
                <w:color w:val="auto"/>
              </w:rPr>
            </w:pPr>
            <w:r>
              <w:rPr>
                <w:rFonts w:hint="eastAsia"/>
                <w:color w:val="auto"/>
              </w:rPr>
              <w:t>预处理池</w:t>
            </w:r>
          </w:p>
        </w:tc>
        <w:tc>
          <w:tcPr>
            <w:tcW w:w="1377" w:type="dxa"/>
            <w:vAlign w:val="center"/>
          </w:tcPr>
          <w:p>
            <w:pPr>
              <w:pStyle w:val="11"/>
              <w:jc w:val="center"/>
              <w:rPr>
                <w:color w:val="auto"/>
                <w:kern w:val="2"/>
              </w:rPr>
            </w:pPr>
            <w:r>
              <w:rPr>
                <w:color w:val="auto"/>
                <w:kern w:val="2"/>
              </w:rPr>
              <w:t>生活污水</w:t>
            </w:r>
          </w:p>
        </w:tc>
        <w:tc>
          <w:tcPr>
            <w:tcW w:w="2552" w:type="dxa"/>
            <w:vAlign w:val="center"/>
          </w:tcPr>
          <w:p>
            <w:pPr>
              <w:pStyle w:val="11"/>
              <w:rPr>
                <w:color w:val="auto"/>
                <w:kern w:val="2"/>
              </w:rPr>
            </w:pPr>
            <w:r>
              <w:rPr>
                <w:rFonts w:hint="eastAsia"/>
                <w:color w:val="auto"/>
              </w:rPr>
              <w:t>预处理池</w:t>
            </w:r>
            <w:r>
              <w:rPr>
                <w:color w:val="auto"/>
              </w:rPr>
              <w:t>总容积约</w:t>
            </w:r>
            <w:r>
              <w:rPr>
                <w:rFonts w:hint="eastAsia"/>
                <w:color w:val="auto"/>
              </w:rPr>
              <w:t>100m</w:t>
            </w:r>
            <w:r>
              <w:rPr>
                <w:rFonts w:hint="eastAsia"/>
                <w:color w:val="auto"/>
                <w:vertAlign w:val="superscript"/>
              </w:rPr>
              <w:t>3</w:t>
            </w:r>
            <w:r>
              <w:rPr>
                <w:color w:val="auto"/>
              </w:rPr>
              <w:t>，用于处理生活废水</w:t>
            </w:r>
          </w:p>
        </w:tc>
        <w:tc>
          <w:tcPr>
            <w:tcW w:w="3198" w:type="dxa"/>
            <w:vAlign w:val="center"/>
          </w:tcPr>
          <w:p>
            <w:pPr>
              <w:pStyle w:val="11"/>
              <w:rPr>
                <w:color w:val="auto"/>
              </w:rPr>
            </w:pPr>
            <w:r>
              <w:rPr>
                <w:color w:val="auto"/>
              </w:rPr>
              <w:t>水污染物排放执行《污水综合排放标准》（GB8978-1996）表4中的三级标准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226" w:type="dxa"/>
            <w:vMerge w:val="continue"/>
            <w:vAlign w:val="center"/>
          </w:tcPr>
          <w:p>
            <w:pPr>
              <w:pStyle w:val="11"/>
              <w:jc w:val="center"/>
              <w:rPr>
                <w:color w:val="auto"/>
              </w:rPr>
            </w:pPr>
          </w:p>
        </w:tc>
        <w:tc>
          <w:tcPr>
            <w:tcW w:w="1500" w:type="dxa"/>
            <w:vAlign w:val="center"/>
          </w:tcPr>
          <w:p>
            <w:pPr>
              <w:pStyle w:val="11"/>
              <w:jc w:val="center"/>
              <w:rPr>
                <w:color w:val="auto"/>
              </w:rPr>
            </w:pPr>
            <w:r>
              <w:rPr>
                <w:rFonts w:hint="eastAsia"/>
                <w:color w:val="auto"/>
              </w:rPr>
              <w:t>沉淀过滤池</w:t>
            </w:r>
          </w:p>
        </w:tc>
        <w:tc>
          <w:tcPr>
            <w:tcW w:w="1377" w:type="dxa"/>
            <w:vAlign w:val="center"/>
          </w:tcPr>
          <w:p>
            <w:pPr>
              <w:pStyle w:val="11"/>
              <w:jc w:val="center"/>
              <w:rPr>
                <w:color w:val="auto"/>
                <w:kern w:val="2"/>
              </w:rPr>
            </w:pPr>
            <w:r>
              <w:rPr>
                <w:rFonts w:hint="eastAsia"/>
                <w:color w:val="auto"/>
                <w:kern w:val="2"/>
              </w:rPr>
              <w:t>清洗废水</w:t>
            </w:r>
          </w:p>
        </w:tc>
        <w:tc>
          <w:tcPr>
            <w:tcW w:w="2552" w:type="dxa"/>
            <w:vAlign w:val="center"/>
          </w:tcPr>
          <w:p>
            <w:pPr>
              <w:pStyle w:val="11"/>
              <w:rPr>
                <w:color w:val="auto"/>
              </w:rPr>
            </w:pPr>
            <w:r>
              <w:rPr>
                <w:rFonts w:hint="eastAsia"/>
                <w:color w:val="auto"/>
              </w:rPr>
              <w:t>车间设置1套</w:t>
            </w:r>
            <w:r>
              <w:rPr>
                <w:rFonts w:hint="eastAsia"/>
                <w:bCs/>
                <w:color w:val="auto"/>
                <w:spacing w:val="-10"/>
              </w:rPr>
              <w:t>采用“沉淀+气浮”的清洗废水循环回用处理系统</w:t>
            </w:r>
          </w:p>
        </w:tc>
        <w:tc>
          <w:tcPr>
            <w:tcW w:w="3198" w:type="dxa"/>
            <w:vAlign w:val="center"/>
          </w:tcPr>
          <w:p>
            <w:pPr>
              <w:pStyle w:val="11"/>
              <w:jc w:val="center"/>
              <w:rPr>
                <w:color w:val="auto"/>
              </w:rPr>
            </w:pPr>
            <w:r>
              <w:rPr>
                <w:rFonts w:hint="eastAsia"/>
                <w:color w:val="auto"/>
              </w:rPr>
              <w:t>回用于生产，不直接外排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226" w:type="dxa"/>
            <w:vAlign w:val="center"/>
          </w:tcPr>
          <w:p>
            <w:pPr>
              <w:pStyle w:val="11"/>
              <w:jc w:val="center"/>
              <w:rPr>
                <w:color w:val="auto"/>
              </w:rPr>
            </w:pPr>
            <w:r>
              <w:rPr>
                <w:color w:val="auto"/>
              </w:rPr>
              <w:t>声环境</w:t>
            </w:r>
          </w:p>
        </w:tc>
        <w:tc>
          <w:tcPr>
            <w:tcW w:w="1500" w:type="dxa"/>
            <w:vAlign w:val="center"/>
          </w:tcPr>
          <w:p>
            <w:pPr>
              <w:pStyle w:val="11"/>
              <w:jc w:val="center"/>
              <w:rPr>
                <w:color w:val="auto"/>
              </w:rPr>
            </w:pPr>
            <w:r>
              <w:rPr>
                <w:color w:val="auto"/>
              </w:rPr>
              <w:t>生产车间</w:t>
            </w:r>
          </w:p>
        </w:tc>
        <w:tc>
          <w:tcPr>
            <w:tcW w:w="1377" w:type="dxa"/>
            <w:vAlign w:val="center"/>
          </w:tcPr>
          <w:p>
            <w:pPr>
              <w:pStyle w:val="11"/>
              <w:jc w:val="center"/>
              <w:rPr>
                <w:color w:val="auto"/>
              </w:rPr>
            </w:pPr>
            <w:r>
              <w:rPr>
                <w:color w:val="auto"/>
              </w:rPr>
              <w:t>生产过程中产生的机械噪声</w:t>
            </w:r>
          </w:p>
        </w:tc>
        <w:tc>
          <w:tcPr>
            <w:tcW w:w="2552" w:type="dxa"/>
            <w:vAlign w:val="center"/>
          </w:tcPr>
          <w:p>
            <w:pPr>
              <w:pStyle w:val="11"/>
              <w:jc w:val="both"/>
              <w:rPr>
                <w:color w:val="auto"/>
              </w:rPr>
            </w:pPr>
            <w:r>
              <w:rPr>
                <w:color w:val="auto"/>
              </w:rPr>
              <w:t>整个生产线，均进行封闭，设置减震装置，加强管理，避免设备不正常运转；</w:t>
            </w:r>
          </w:p>
        </w:tc>
        <w:tc>
          <w:tcPr>
            <w:tcW w:w="3198" w:type="dxa"/>
            <w:vAlign w:val="center"/>
          </w:tcPr>
          <w:p>
            <w:pPr>
              <w:pStyle w:val="11"/>
              <w:rPr>
                <w:color w:val="auto"/>
              </w:rPr>
            </w:pPr>
            <w:r>
              <w:rPr>
                <w:color w:val="auto"/>
              </w:rPr>
              <w:t>营运期噪声执行《工业企业厂界环境噪声排放标准》（GB12348-2008）的3类排放标准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226" w:type="dxa"/>
            <w:vAlign w:val="center"/>
          </w:tcPr>
          <w:p>
            <w:pPr>
              <w:pStyle w:val="11"/>
              <w:jc w:val="center"/>
              <w:rPr>
                <w:color w:val="auto"/>
              </w:rPr>
            </w:pPr>
            <w:r>
              <w:rPr>
                <w:color w:val="auto"/>
              </w:rPr>
              <w:t>电磁辐射</w:t>
            </w:r>
          </w:p>
        </w:tc>
        <w:tc>
          <w:tcPr>
            <w:tcW w:w="1500" w:type="dxa"/>
            <w:vAlign w:val="center"/>
          </w:tcPr>
          <w:p>
            <w:pPr>
              <w:pStyle w:val="11"/>
              <w:jc w:val="center"/>
              <w:rPr>
                <w:color w:val="auto"/>
              </w:rPr>
            </w:pPr>
            <w:r>
              <w:rPr>
                <w:color w:val="auto"/>
              </w:rPr>
              <w:t>/</w:t>
            </w:r>
          </w:p>
        </w:tc>
        <w:tc>
          <w:tcPr>
            <w:tcW w:w="1377" w:type="dxa"/>
            <w:vAlign w:val="center"/>
          </w:tcPr>
          <w:p>
            <w:pPr>
              <w:pStyle w:val="11"/>
              <w:jc w:val="center"/>
              <w:rPr>
                <w:color w:val="auto"/>
              </w:rPr>
            </w:pPr>
            <w:r>
              <w:rPr>
                <w:color w:val="auto"/>
              </w:rPr>
              <w:t>/</w:t>
            </w:r>
          </w:p>
        </w:tc>
        <w:tc>
          <w:tcPr>
            <w:tcW w:w="2552" w:type="dxa"/>
            <w:vAlign w:val="center"/>
          </w:tcPr>
          <w:p>
            <w:pPr>
              <w:pStyle w:val="11"/>
              <w:jc w:val="center"/>
              <w:rPr>
                <w:color w:val="auto"/>
              </w:rPr>
            </w:pPr>
            <w:r>
              <w:rPr>
                <w:color w:val="auto"/>
              </w:rPr>
              <w:t>/</w:t>
            </w:r>
          </w:p>
        </w:tc>
        <w:tc>
          <w:tcPr>
            <w:tcW w:w="3198" w:type="dxa"/>
            <w:vAlign w:val="center"/>
          </w:tcPr>
          <w:p>
            <w:pPr>
              <w:pStyle w:val="11"/>
              <w:jc w:val="center"/>
              <w:rPr>
                <w:color w:val="auto"/>
              </w:rPr>
            </w:pPr>
            <w:r>
              <w:rPr>
                <w:color w:val="auto"/>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226" w:type="dxa"/>
            <w:vAlign w:val="center"/>
          </w:tcPr>
          <w:p>
            <w:pPr>
              <w:pStyle w:val="11"/>
              <w:jc w:val="center"/>
              <w:rPr>
                <w:color w:val="auto"/>
              </w:rPr>
            </w:pPr>
            <w:r>
              <w:rPr>
                <w:color w:val="auto"/>
              </w:rPr>
              <w:t>固体废物</w:t>
            </w:r>
          </w:p>
        </w:tc>
        <w:tc>
          <w:tcPr>
            <w:tcW w:w="8627" w:type="dxa"/>
            <w:gridSpan w:val="4"/>
            <w:vAlign w:val="center"/>
          </w:tcPr>
          <w:p>
            <w:pPr>
              <w:pStyle w:val="11"/>
              <w:jc w:val="both"/>
              <w:rPr>
                <w:color w:val="auto"/>
              </w:rPr>
            </w:pPr>
            <w:r>
              <w:rPr>
                <w:color w:val="auto"/>
              </w:rPr>
              <w:t>设置固废储存区，其中一般固废储存区面积约</w:t>
            </w:r>
            <w:r>
              <w:rPr>
                <w:rFonts w:hint="eastAsia"/>
                <w:color w:val="auto"/>
              </w:rPr>
              <w:t>100</w:t>
            </w:r>
            <w:r>
              <w:rPr>
                <w:color w:val="auto"/>
              </w:rPr>
              <w:t>m</w:t>
            </w:r>
            <w:r>
              <w:rPr>
                <w:color w:val="auto"/>
                <w:vertAlign w:val="superscript"/>
              </w:rPr>
              <w:t>2</w:t>
            </w:r>
            <w:r>
              <w:rPr>
                <w:color w:val="auto"/>
              </w:rPr>
              <w:t>；危废储存区面积约为</w:t>
            </w:r>
            <w:r>
              <w:rPr>
                <w:rFonts w:hint="eastAsia"/>
                <w:color w:val="auto"/>
              </w:rPr>
              <w:t>20m</w:t>
            </w:r>
            <w:r>
              <w:rPr>
                <w:rFonts w:hint="eastAsia"/>
                <w:color w:val="auto"/>
                <w:vertAlign w:val="superscript"/>
              </w:rPr>
              <w:t>2</w:t>
            </w:r>
            <w:r>
              <w:rPr>
                <w:color w:val="auto"/>
              </w:rPr>
              <w:t>。设危废间，有合作的危废单位，要求按照《危险废物贮存污染控制标准》（GB18597）的规定，做好防风、防雨、防晒、防渗漏“四防”措施；</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226" w:type="dxa"/>
            <w:vAlign w:val="center"/>
          </w:tcPr>
          <w:p>
            <w:pPr>
              <w:pStyle w:val="11"/>
              <w:jc w:val="center"/>
              <w:rPr>
                <w:color w:val="auto"/>
              </w:rPr>
            </w:pPr>
            <w:r>
              <w:rPr>
                <w:color w:val="auto"/>
              </w:rPr>
              <w:t>土壤及</w:t>
            </w:r>
          </w:p>
          <w:p>
            <w:pPr>
              <w:pStyle w:val="11"/>
              <w:jc w:val="center"/>
              <w:rPr>
                <w:color w:val="auto"/>
              </w:rPr>
            </w:pPr>
            <w:r>
              <w:rPr>
                <w:color w:val="auto"/>
              </w:rPr>
              <w:t>地下水</w:t>
            </w:r>
          </w:p>
          <w:p>
            <w:pPr>
              <w:pStyle w:val="11"/>
              <w:jc w:val="center"/>
              <w:rPr>
                <w:color w:val="auto"/>
              </w:rPr>
            </w:pPr>
            <w:r>
              <w:rPr>
                <w:color w:val="auto"/>
              </w:rPr>
              <w:t>污染防治措施</w:t>
            </w:r>
          </w:p>
        </w:tc>
        <w:tc>
          <w:tcPr>
            <w:tcW w:w="8627" w:type="dxa"/>
            <w:gridSpan w:val="4"/>
            <w:vAlign w:val="center"/>
          </w:tcPr>
          <w:p>
            <w:pPr>
              <w:pStyle w:val="11"/>
              <w:rPr>
                <w:color w:val="auto"/>
              </w:rPr>
            </w:pPr>
            <w:r>
              <w:rPr>
                <w:color w:val="auto"/>
              </w:rPr>
              <w:t>①厂区内地面采用混凝土硬化，防止生产过程中跑、冒、滴、漏的物料渗入土壤，进而对地下水环境造成污染。</w:t>
            </w:r>
          </w:p>
          <w:p>
            <w:pPr>
              <w:pStyle w:val="11"/>
              <w:rPr>
                <w:color w:val="auto"/>
              </w:rPr>
            </w:pPr>
            <w:r>
              <w:rPr>
                <w:color w:val="auto"/>
              </w:rPr>
              <w:t>②厂区污水管道、</w:t>
            </w:r>
            <w:r>
              <w:rPr>
                <w:rFonts w:hint="eastAsia"/>
                <w:color w:val="auto"/>
              </w:rPr>
              <w:t>预处理池</w:t>
            </w:r>
            <w:r>
              <w:rPr>
                <w:color w:val="auto"/>
              </w:rPr>
              <w:t>等污水处理设施各构筑物根据设计要求采用严格的防腐防渗措施。</w:t>
            </w:r>
          </w:p>
          <w:p>
            <w:pPr>
              <w:pStyle w:val="11"/>
              <w:rPr>
                <w:color w:val="auto"/>
              </w:rPr>
            </w:pPr>
            <w:r>
              <w:rPr>
                <w:color w:val="auto"/>
              </w:rPr>
              <w:t>③危废仓库地面做好防腐、防渗、防泄漏、防雨淋措施。</w:t>
            </w:r>
          </w:p>
          <w:p>
            <w:pPr>
              <w:pStyle w:val="11"/>
              <w:rPr>
                <w:color w:val="auto"/>
              </w:rPr>
            </w:pPr>
            <w:r>
              <w:rPr>
                <w:color w:val="auto"/>
              </w:rPr>
              <w:t>④加强对原料贮存桶的管理，一旦发现有老化、破损现象须及时更换包装，防止发生泄漏进入土壤及地下水。</w:t>
            </w:r>
          </w:p>
          <w:p>
            <w:pPr>
              <w:pStyle w:val="11"/>
              <w:rPr>
                <w:color w:val="auto"/>
              </w:rPr>
            </w:pPr>
            <w:r>
              <w:rPr>
                <w:color w:val="auto"/>
              </w:rPr>
              <w:t>⑤分区防渗：对地下水、土壤存在污染风险的建设区应做好场地防渗，即根据污染可能性和影响程度划分为非污染区、一般污染防治区和重点污染防治区。做好一般污染防治区和重点污染防治区的防渗、防漏、防腐工作。</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6" w:hRule="atLeast"/>
          <w:jc w:val="center"/>
        </w:trPr>
        <w:tc>
          <w:tcPr>
            <w:tcW w:w="1226" w:type="dxa"/>
            <w:vAlign w:val="center"/>
          </w:tcPr>
          <w:p>
            <w:pPr>
              <w:pStyle w:val="11"/>
              <w:jc w:val="center"/>
              <w:rPr>
                <w:color w:val="auto"/>
              </w:rPr>
            </w:pPr>
            <w:r>
              <w:rPr>
                <w:color w:val="auto"/>
              </w:rPr>
              <w:t>生态保护措施</w:t>
            </w:r>
          </w:p>
        </w:tc>
        <w:tc>
          <w:tcPr>
            <w:tcW w:w="8627" w:type="dxa"/>
            <w:gridSpan w:val="4"/>
            <w:vAlign w:val="center"/>
          </w:tcPr>
          <w:p>
            <w:pPr>
              <w:pStyle w:val="11"/>
              <w:jc w:val="center"/>
              <w:rPr>
                <w:color w:val="auto"/>
              </w:rPr>
            </w:pPr>
          </w:p>
          <w:p>
            <w:pPr>
              <w:pStyle w:val="11"/>
              <w:jc w:val="center"/>
              <w:rPr>
                <w:color w:val="auto"/>
              </w:rPr>
            </w:pPr>
            <w:r>
              <w:rPr>
                <w:color w:val="auto"/>
              </w:rPr>
              <w:t>/</w:t>
            </w:r>
          </w:p>
          <w:p>
            <w:pPr>
              <w:pStyle w:val="11"/>
              <w:jc w:val="both"/>
              <w:rPr>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66" w:hRule="atLeast"/>
          <w:jc w:val="center"/>
        </w:trPr>
        <w:tc>
          <w:tcPr>
            <w:tcW w:w="1226" w:type="dxa"/>
            <w:vAlign w:val="center"/>
          </w:tcPr>
          <w:p>
            <w:pPr>
              <w:pStyle w:val="11"/>
              <w:jc w:val="center"/>
              <w:rPr>
                <w:color w:val="auto"/>
              </w:rPr>
            </w:pPr>
            <w:r>
              <w:rPr>
                <w:color w:val="auto"/>
              </w:rPr>
              <w:t>环境风险</w:t>
            </w:r>
          </w:p>
          <w:p>
            <w:pPr>
              <w:pStyle w:val="11"/>
              <w:jc w:val="center"/>
              <w:rPr>
                <w:color w:val="auto"/>
              </w:rPr>
            </w:pPr>
            <w:r>
              <w:rPr>
                <w:color w:val="auto"/>
              </w:rPr>
              <w:t>防范措施</w:t>
            </w:r>
          </w:p>
        </w:tc>
        <w:tc>
          <w:tcPr>
            <w:tcW w:w="8627" w:type="dxa"/>
            <w:gridSpan w:val="4"/>
            <w:vAlign w:val="center"/>
          </w:tcPr>
          <w:p>
            <w:pPr>
              <w:pStyle w:val="11"/>
              <w:jc w:val="both"/>
              <w:rPr>
                <w:color w:val="auto"/>
              </w:rPr>
            </w:pPr>
            <w:r>
              <w:rPr>
                <w:color w:val="auto"/>
              </w:rPr>
              <w:t>①要求企业强化风险意识、加强安全管理，进行广泛系统的培训，使所有操作人员熟悉自己的岗位，树立严谨规范的操作作风，并且在任何紧急状况下都能随时对工艺装置进行控制，并及时、独立、正确地实施相关应急措施。</w:t>
            </w:r>
          </w:p>
          <w:p>
            <w:pPr>
              <w:pStyle w:val="11"/>
              <w:jc w:val="both"/>
              <w:rPr>
                <w:color w:val="auto"/>
              </w:rPr>
            </w:pPr>
            <w:r>
              <w:rPr>
                <w:color w:val="auto"/>
              </w:rPr>
              <w:t>②对各类原料的包装须定期进行检查。</w:t>
            </w:r>
          </w:p>
          <w:p>
            <w:pPr>
              <w:pStyle w:val="11"/>
              <w:jc w:val="both"/>
              <w:rPr>
                <w:color w:val="auto"/>
              </w:rPr>
            </w:pPr>
            <w:r>
              <w:rPr>
                <w:color w:val="auto"/>
              </w:rPr>
              <w:t>③要求厂区内设置危险废物贮存场所，并按照《危险废物贮存污染控制标准》的规定做好防雨淋、防渗漏、防流失措施，各类危险废物平时收集后妥善贮存于危废贮存场所，液态危险废物贮存于密闭容器中，定期委托有资质单位处置。同时，建设单位在危险废物转移过程中须严格执行转移联单制度，并做好记录台账，防止危险废物在转移过程中发生遗失事故。</w:t>
            </w:r>
          </w:p>
          <w:p>
            <w:pPr>
              <w:pStyle w:val="11"/>
              <w:jc w:val="both"/>
              <w:rPr>
                <w:color w:val="auto"/>
              </w:rPr>
            </w:pPr>
            <w:r>
              <w:rPr>
                <w:color w:val="auto"/>
              </w:rPr>
              <w:t>④要求企业定期对企业雨污管道、生活污水治理设施、废气收集及处理设施等环保设施进行维护、修理，使其处于正常运转状态，杜绝事故性排放；一旦发现废水处理设施出现故障，须立即停止生产，待故障排除完毕、治理设施正常运行后方可恢复生产。</w:t>
            </w:r>
          </w:p>
          <w:p>
            <w:pPr>
              <w:pStyle w:val="11"/>
              <w:jc w:val="both"/>
              <w:rPr>
                <w:color w:val="auto"/>
              </w:rPr>
            </w:pPr>
            <w:r>
              <w:rPr>
                <w:color w:val="auto"/>
              </w:rPr>
              <w:t>⑤要求企业重视安全措施建设，除了配备必要的消防应急措施外，还应加强车间的通风设施建设，保证车间内良好通风。同时，车间内应杜绝明火，车间墙壁张贴相应警告标志，平时加强对生产设备的维护、检修，确保设备正常运行。</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1226" w:type="dxa"/>
            <w:vAlign w:val="center"/>
          </w:tcPr>
          <w:p>
            <w:pPr>
              <w:pStyle w:val="11"/>
              <w:jc w:val="center"/>
              <w:rPr>
                <w:color w:val="auto"/>
              </w:rPr>
            </w:pPr>
            <w:r>
              <w:rPr>
                <w:color w:val="auto"/>
              </w:rPr>
              <w:t>其他环境</w:t>
            </w:r>
          </w:p>
          <w:p>
            <w:pPr>
              <w:pStyle w:val="11"/>
              <w:jc w:val="center"/>
              <w:rPr>
                <w:color w:val="auto"/>
              </w:rPr>
            </w:pPr>
            <w:r>
              <w:rPr>
                <w:color w:val="auto"/>
              </w:rPr>
              <w:t>管理要求</w:t>
            </w:r>
          </w:p>
        </w:tc>
        <w:tc>
          <w:tcPr>
            <w:tcW w:w="8627" w:type="dxa"/>
            <w:gridSpan w:val="4"/>
            <w:vAlign w:val="center"/>
          </w:tcPr>
          <w:p>
            <w:pPr>
              <w:pStyle w:val="11"/>
              <w:jc w:val="center"/>
              <w:rPr>
                <w:color w:val="auto"/>
              </w:rPr>
            </w:pPr>
          </w:p>
          <w:p>
            <w:pPr>
              <w:pStyle w:val="11"/>
              <w:jc w:val="center"/>
              <w:rPr>
                <w:color w:val="auto"/>
              </w:rPr>
            </w:pPr>
          </w:p>
          <w:p>
            <w:pPr>
              <w:pStyle w:val="11"/>
              <w:jc w:val="center"/>
              <w:rPr>
                <w:color w:val="auto"/>
              </w:rPr>
            </w:pPr>
          </w:p>
          <w:p>
            <w:pPr>
              <w:pStyle w:val="11"/>
              <w:jc w:val="center"/>
              <w:rPr>
                <w:color w:val="auto"/>
              </w:rPr>
            </w:pPr>
          </w:p>
          <w:p>
            <w:pPr>
              <w:pStyle w:val="11"/>
              <w:jc w:val="center"/>
              <w:rPr>
                <w:color w:val="auto"/>
              </w:rPr>
            </w:pPr>
          </w:p>
          <w:p>
            <w:pPr>
              <w:pStyle w:val="11"/>
              <w:jc w:val="center"/>
              <w:rPr>
                <w:color w:val="auto"/>
              </w:rPr>
            </w:pPr>
          </w:p>
          <w:p>
            <w:pPr>
              <w:pStyle w:val="11"/>
              <w:jc w:val="center"/>
              <w:rPr>
                <w:color w:val="auto"/>
              </w:rPr>
            </w:pPr>
          </w:p>
          <w:p>
            <w:pPr>
              <w:pStyle w:val="11"/>
              <w:jc w:val="center"/>
              <w:rPr>
                <w:color w:val="auto"/>
              </w:rPr>
            </w:pPr>
          </w:p>
          <w:p>
            <w:pPr>
              <w:pStyle w:val="11"/>
              <w:jc w:val="center"/>
              <w:rPr>
                <w:color w:val="auto"/>
              </w:rPr>
            </w:pPr>
          </w:p>
          <w:p>
            <w:pPr>
              <w:pStyle w:val="11"/>
              <w:spacing w:line="600" w:lineRule="auto"/>
              <w:jc w:val="both"/>
              <w:rPr>
                <w:color w:val="auto"/>
              </w:rPr>
            </w:pPr>
            <w:r>
              <w:rPr>
                <w:color w:val="auto"/>
              </w:rPr>
              <w:t>①按本环评提出的各项要求严格落实污染治理设施和措施。</w:t>
            </w:r>
          </w:p>
          <w:p>
            <w:pPr>
              <w:pStyle w:val="11"/>
              <w:spacing w:line="600" w:lineRule="auto"/>
              <w:jc w:val="both"/>
              <w:rPr>
                <w:color w:val="auto"/>
              </w:rPr>
            </w:pPr>
            <w:r>
              <w:rPr>
                <w:color w:val="auto"/>
              </w:rPr>
              <w:t>②及时完成本项目环保“三同时”验收。</w:t>
            </w:r>
          </w:p>
          <w:p>
            <w:pPr>
              <w:pStyle w:val="11"/>
              <w:jc w:val="both"/>
              <w:rPr>
                <w:color w:val="auto"/>
              </w:rPr>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pStyle w:val="11"/>
              <w:jc w:val="center"/>
              <w:rPr>
                <w:color w:val="auto"/>
              </w:rPr>
            </w:pPr>
          </w:p>
        </w:tc>
      </w:tr>
    </w:tbl>
    <w:p>
      <w:pPr>
        <w:ind w:firstLine="0" w:firstLineChars="0"/>
        <w:jc w:val="center"/>
        <w:outlineLvl w:val="0"/>
        <w:rPr>
          <w:rFonts w:eastAsia="黑体"/>
          <w:b/>
          <w:bCs/>
          <w:snapToGrid w:val="0"/>
          <w:color w:val="auto"/>
          <w:sz w:val="30"/>
          <w:szCs w:val="30"/>
        </w:rPr>
      </w:pPr>
      <w:r>
        <w:rPr>
          <w:snapToGrid w:val="0"/>
          <w:color w:val="auto"/>
        </w:rPr>
        <w:br w:type="page"/>
      </w:r>
      <w:bookmarkStart w:id="48" w:name="_Toc7128"/>
      <w:r>
        <w:rPr>
          <w:rFonts w:eastAsia="黑体"/>
          <w:b/>
          <w:bCs/>
          <w:snapToGrid w:val="0"/>
          <w:color w:val="auto"/>
          <w:sz w:val="30"/>
          <w:szCs w:val="30"/>
        </w:rPr>
        <w:t>六、结论</w:t>
      </w:r>
      <w:bookmarkEnd w:id="48"/>
    </w:p>
    <w:tbl>
      <w:tblPr>
        <w:tblStyle w:val="5"/>
        <w:tblW w:w="973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73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9733" w:type="dxa"/>
            <w:vAlign w:val="center"/>
          </w:tcPr>
          <w:p>
            <w:pPr>
              <w:ind w:firstLine="480"/>
              <w:rPr>
                <w:rFonts w:hint="eastAsia"/>
                <w:color w:val="auto"/>
              </w:rPr>
            </w:pPr>
          </w:p>
          <w:p>
            <w:pPr>
              <w:ind w:firstLine="480"/>
              <w:rPr>
                <w:rFonts w:hint="eastAsia"/>
                <w:color w:val="auto"/>
              </w:rPr>
            </w:pPr>
          </w:p>
          <w:p>
            <w:pPr>
              <w:ind w:firstLine="480"/>
              <w:rPr>
                <w:rFonts w:hint="eastAsia"/>
                <w:color w:val="auto"/>
              </w:rPr>
            </w:pPr>
          </w:p>
          <w:p>
            <w:pPr>
              <w:ind w:firstLine="480"/>
              <w:rPr>
                <w:rFonts w:hint="eastAsia"/>
                <w:color w:val="auto"/>
              </w:rPr>
            </w:pPr>
          </w:p>
          <w:p>
            <w:pPr>
              <w:ind w:firstLine="480"/>
              <w:rPr>
                <w:rFonts w:hint="eastAsia"/>
                <w:color w:val="auto"/>
              </w:rPr>
            </w:pPr>
          </w:p>
          <w:p>
            <w:pPr>
              <w:ind w:firstLine="480"/>
              <w:rPr>
                <w:rFonts w:hint="eastAsia"/>
                <w:color w:val="auto"/>
              </w:rPr>
            </w:pPr>
          </w:p>
          <w:p>
            <w:pPr>
              <w:ind w:firstLine="480"/>
              <w:rPr>
                <w:color w:val="auto"/>
              </w:rPr>
            </w:pPr>
            <w:r>
              <w:rPr>
                <w:rFonts w:hint="eastAsia"/>
                <w:color w:val="auto"/>
                <w:lang w:eastAsia="zh-CN"/>
              </w:rPr>
              <w:t>四川力爱塑料科技有限公司</w:t>
            </w:r>
            <w:r>
              <w:rPr>
                <w:rFonts w:hint="eastAsia"/>
                <w:color w:val="auto"/>
              </w:rPr>
              <w:t>的塑料制品加工项目</w:t>
            </w:r>
            <w:r>
              <w:rPr>
                <w:color w:val="auto"/>
              </w:rPr>
              <w:t>符合国家产业政策，符合当地产业发展导向，选址符合当地政府规划。项目所在区域内无重大环境制约要素，环境质量现状较好。项目贯彻了“总量控制”和“达标排放”原则，采取的污染物治理方案均技术可行，措施有效。工程实施后对环境影响小，基本维持当地环境质量现状级别。只要落实本报告表提出的环保对策措施，本项目建设从环境保护角度而言是可行的。</w:t>
            </w:r>
          </w:p>
          <w:p>
            <w:pPr>
              <w:bidi w:val="0"/>
              <w:rPr>
                <w:color w:val="auto"/>
              </w:rPr>
            </w:pPr>
          </w:p>
          <w:p>
            <w:pPr>
              <w:bidi w:val="0"/>
              <w:rPr>
                <w:color w:val="auto"/>
              </w:rPr>
            </w:pPr>
          </w:p>
          <w:p>
            <w:pPr>
              <w:bidi w:val="0"/>
              <w:rPr>
                <w:color w:val="auto"/>
              </w:rPr>
            </w:pPr>
          </w:p>
          <w:p>
            <w:pPr>
              <w:bidi w:val="0"/>
              <w:rPr>
                <w:color w:val="auto"/>
              </w:rPr>
            </w:pPr>
          </w:p>
          <w:p>
            <w:pPr>
              <w:bidi w:val="0"/>
              <w:rPr>
                <w:color w:val="auto"/>
              </w:rPr>
            </w:pPr>
          </w:p>
          <w:p>
            <w:pPr>
              <w:bidi w:val="0"/>
              <w:rPr>
                <w:color w:val="auto"/>
              </w:rPr>
            </w:pPr>
          </w:p>
          <w:p>
            <w:pPr>
              <w:bidi w:val="0"/>
              <w:rPr>
                <w:color w:val="auto"/>
              </w:rPr>
            </w:pPr>
          </w:p>
          <w:p>
            <w:pPr>
              <w:bidi w:val="0"/>
              <w:rPr>
                <w:color w:val="auto"/>
              </w:rPr>
            </w:pPr>
          </w:p>
          <w:p>
            <w:pPr>
              <w:bidi w:val="0"/>
              <w:rPr>
                <w:color w:val="auto"/>
              </w:rPr>
            </w:pPr>
          </w:p>
          <w:p>
            <w:pPr>
              <w:bidi w:val="0"/>
              <w:rPr>
                <w:color w:val="auto"/>
              </w:rPr>
            </w:pPr>
          </w:p>
          <w:p>
            <w:pPr>
              <w:bidi w:val="0"/>
              <w:rPr>
                <w:color w:val="auto"/>
              </w:rPr>
            </w:pPr>
          </w:p>
          <w:p>
            <w:pPr>
              <w:bidi w:val="0"/>
              <w:rPr>
                <w:color w:val="auto"/>
              </w:rPr>
            </w:pPr>
          </w:p>
          <w:p>
            <w:pPr>
              <w:bidi w:val="0"/>
              <w:rPr>
                <w:color w:val="auto"/>
              </w:rPr>
            </w:pPr>
          </w:p>
          <w:p>
            <w:pPr>
              <w:bidi w:val="0"/>
              <w:rPr>
                <w:color w:val="auto"/>
              </w:rPr>
            </w:pPr>
          </w:p>
          <w:p>
            <w:pPr>
              <w:bidi w:val="0"/>
              <w:rPr>
                <w:color w:val="auto"/>
              </w:rPr>
            </w:pPr>
          </w:p>
          <w:p>
            <w:pPr>
              <w:bidi w:val="0"/>
              <w:rPr>
                <w:color w:val="auto"/>
              </w:rPr>
            </w:pPr>
          </w:p>
          <w:p>
            <w:pPr>
              <w:bidi w:val="0"/>
              <w:rPr>
                <w:color w:val="auto"/>
              </w:rPr>
            </w:pPr>
          </w:p>
          <w:p>
            <w:pPr>
              <w:bidi w:val="0"/>
              <w:rPr>
                <w:color w:val="auto"/>
              </w:rPr>
            </w:pPr>
          </w:p>
          <w:p>
            <w:pPr>
              <w:bidi w:val="0"/>
              <w:rPr>
                <w:color w:val="auto"/>
              </w:rPr>
            </w:pPr>
          </w:p>
        </w:tc>
      </w:tr>
    </w:tbl>
    <w:p>
      <w:pPr>
        <w:ind w:firstLine="480"/>
        <w:rPr>
          <w:color w:val="auto"/>
        </w:rPr>
        <w:sectPr>
          <w:pgSz w:w="11906" w:h="16838"/>
          <w:pgMar w:top="1440" w:right="1080" w:bottom="1440" w:left="1080" w:header="851" w:footer="851" w:gutter="0"/>
          <w:pgBorders>
            <w:top w:val="none" w:sz="0" w:space="0"/>
            <w:left w:val="none" w:sz="0" w:space="0"/>
            <w:bottom w:val="none" w:sz="0" w:space="0"/>
            <w:right w:val="none" w:sz="0" w:space="0"/>
          </w:pgBorders>
          <w:cols w:space="720" w:num="1"/>
          <w:docGrid w:linePitch="312" w:charSpace="0"/>
        </w:sectPr>
      </w:pPr>
    </w:p>
    <w:p>
      <w:pPr>
        <w:spacing w:line="240" w:lineRule="auto"/>
        <w:ind w:firstLine="0" w:firstLineChars="0"/>
        <w:rPr>
          <w:b/>
          <w:bCs/>
          <w:color w:val="auto"/>
          <w:sz w:val="32"/>
          <w:szCs w:val="32"/>
        </w:rPr>
      </w:pPr>
      <w:bookmarkStart w:id="49" w:name="_Toc1285"/>
      <w:r>
        <w:rPr>
          <w:b/>
          <w:bCs/>
          <w:color w:val="auto"/>
          <w:sz w:val="32"/>
          <w:szCs w:val="32"/>
        </w:rPr>
        <w:t>附表</w:t>
      </w:r>
      <w:bookmarkEnd w:id="49"/>
    </w:p>
    <w:p>
      <w:pPr>
        <w:spacing w:line="240" w:lineRule="auto"/>
        <w:ind w:firstLine="643"/>
        <w:jc w:val="center"/>
        <w:rPr>
          <w:b/>
          <w:bCs/>
          <w:color w:val="auto"/>
          <w:sz w:val="32"/>
          <w:szCs w:val="32"/>
        </w:rPr>
      </w:pPr>
      <w:bookmarkStart w:id="50" w:name="_Toc4453"/>
      <w:r>
        <w:rPr>
          <w:b/>
          <w:bCs/>
          <w:color w:val="auto"/>
          <w:sz w:val="32"/>
          <w:szCs w:val="32"/>
        </w:rPr>
        <w:t>建设项目污染物排放量汇总表</w:t>
      </w:r>
      <w:bookmarkEnd w:id="50"/>
    </w:p>
    <w:tbl>
      <w:tblPr>
        <w:tblStyle w:val="5"/>
        <w:tblW w:w="1457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81"/>
        <w:gridCol w:w="2305"/>
        <w:gridCol w:w="1701"/>
        <w:gridCol w:w="1276"/>
        <w:gridCol w:w="1701"/>
        <w:gridCol w:w="1559"/>
        <w:gridCol w:w="1761"/>
        <w:gridCol w:w="1959"/>
        <w:gridCol w:w="123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81" w:type="dxa"/>
            <w:tcBorders>
              <w:tl2br w:val="single" w:color="auto" w:sz="4" w:space="0"/>
            </w:tcBorders>
            <w:tcMar>
              <w:left w:w="28" w:type="dxa"/>
              <w:right w:w="28" w:type="dxa"/>
            </w:tcMar>
            <w:vAlign w:val="center"/>
          </w:tcPr>
          <w:p>
            <w:pPr>
              <w:pStyle w:val="11"/>
              <w:jc w:val="right"/>
              <w:rPr>
                <w:b/>
                <w:bCs/>
                <w:color w:val="auto"/>
              </w:rPr>
            </w:pPr>
            <w:r>
              <w:rPr>
                <w:b/>
                <w:bCs/>
                <w:color w:val="auto"/>
              </w:rPr>
              <w:t>项目</w:t>
            </w:r>
          </w:p>
          <w:p>
            <w:pPr>
              <w:pStyle w:val="11"/>
              <w:rPr>
                <w:b/>
                <w:bCs/>
                <w:color w:val="auto"/>
              </w:rPr>
            </w:pPr>
            <w:r>
              <w:rPr>
                <w:b/>
                <w:bCs/>
                <w:color w:val="auto"/>
              </w:rPr>
              <w:t>分类</w:t>
            </w:r>
          </w:p>
        </w:tc>
        <w:tc>
          <w:tcPr>
            <w:tcW w:w="2305" w:type="dxa"/>
            <w:tcMar>
              <w:left w:w="28" w:type="dxa"/>
              <w:right w:w="28" w:type="dxa"/>
            </w:tcMar>
            <w:vAlign w:val="center"/>
          </w:tcPr>
          <w:p>
            <w:pPr>
              <w:pStyle w:val="11"/>
              <w:jc w:val="center"/>
              <w:rPr>
                <w:b/>
                <w:bCs/>
                <w:color w:val="auto"/>
              </w:rPr>
            </w:pPr>
            <w:r>
              <w:rPr>
                <w:b/>
                <w:bCs/>
                <w:color w:val="auto"/>
              </w:rPr>
              <w:t>污染物名称</w:t>
            </w:r>
          </w:p>
        </w:tc>
        <w:tc>
          <w:tcPr>
            <w:tcW w:w="1701" w:type="dxa"/>
            <w:tcMar>
              <w:left w:w="28" w:type="dxa"/>
              <w:right w:w="28" w:type="dxa"/>
            </w:tcMar>
            <w:vAlign w:val="center"/>
          </w:tcPr>
          <w:p>
            <w:pPr>
              <w:pStyle w:val="11"/>
              <w:jc w:val="center"/>
              <w:rPr>
                <w:b/>
                <w:bCs/>
                <w:color w:val="auto"/>
              </w:rPr>
            </w:pPr>
            <w:r>
              <w:rPr>
                <w:b/>
                <w:bCs/>
                <w:color w:val="auto"/>
              </w:rPr>
              <w:t>现有工程</w:t>
            </w:r>
          </w:p>
          <w:p>
            <w:pPr>
              <w:pStyle w:val="11"/>
              <w:jc w:val="center"/>
              <w:rPr>
                <w:b/>
                <w:bCs/>
                <w:color w:val="auto"/>
              </w:rPr>
            </w:pPr>
            <w:r>
              <w:rPr>
                <w:b/>
                <w:bCs/>
                <w:color w:val="auto"/>
              </w:rPr>
              <w:t>排放量（固体废物产生量）</w:t>
            </w:r>
            <w:r>
              <w:rPr>
                <w:b/>
                <w:bCs/>
                <w:color w:val="auto"/>
              </w:rPr>
              <w:fldChar w:fldCharType="begin"/>
            </w:r>
            <w:r>
              <w:rPr>
                <w:b/>
                <w:bCs/>
                <w:color w:val="auto"/>
              </w:rPr>
              <w:instrText xml:space="preserve"> = 1 \* GB3 \* MERGEFORMAT </w:instrText>
            </w:r>
            <w:r>
              <w:rPr>
                <w:b/>
                <w:bCs/>
                <w:color w:val="auto"/>
              </w:rPr>
              <w:fldChar w:fldCharType="separate"/>
            </w:r>
            <w:r>
              <w:rPr>
                <w:b/>
                <w:bCs/>
                <w:color w:val="auto"/>
              </w:rPr>
              <w:t>①</w:t>
            </w:r>
            <w:r>
              <w:rPr>
                <w:b/>
                <w:bCs/>
                <w:color w:val="auto"/>
              </w:rPr>
              <w:fldChar w:fldCharType="end"/>
            </w:r>
          </w:p>
        </w:tc>
        <w:tc>
          <w:tcPr>
            <w:tcW w:w="1276" w:type="dxa"/>
            <w:tcMar>
              <w:left w:w="28" w:type="dxa"/>
              <w:right w:w="28" w:type="dxa"/>
            </w:tcMar>
            <w:vAlign w:val="center"/>
          </w:tcPr>
          <w:p>
            <w:pPr>
              <w:pStyle w:val="11"/>
              <w:jc w:val="center"/>
              <w:rPr>
                <w:b/>
                <w:bCs/>
                <w:color w:val="auto"/>
              </w:rPr>
            </w:pPr>
            <w:r>
              <w:rPr>
                <w:b/>
                <w:bCs/>
                <w:color w:val="auto"/>
              </w:rPr>
              <w:t>现有工程</w:t>
            </w:r>
          </w:p>
          <w:p>
            <w:pPr>
              <w:pStyle w:val="11"/>
              <w:jc w:val="center"/>
              <w:rPr>
                <w:b/>
                <w:bCs/>
                <w:color w:val="auto"/>
              </w:rPr>
            </w:pPr>
            <w:r>
              <w:rPr>
                <w:b/>
                <w:bCs/>
                <w:color w:val="auto"/>
              </w:rPr>
              <w:t>许可排放量</w:t>
            </w:r>
          </w:p>
          <w:p>
            <w:pPr>
              <w:pStyle w:val="11"/>
              <w:jc w:val="center"/>
              <w:rPr>
                <w:b/>
                <w:bCs/>
                <w:color w:val="auto"/>
              </w:rPr>
            </w:pPr>
            <w:r>
              <w:rPr>
                <w:b/>
                <w:bCs/>
                <w:color w:val="auto"/>
              </w:rPr>
              <w:fldChar w:fldCharType="begin"/>
            </w:r>
            <w:r>
              <w:rPr>
                <w:b/>
                <w:bCs/>
                <w:color w:val="auto"/>
              </w:rPr>
              <w:instrText xml:space="preserve"> = 2 \* GB3 \* MERGEFORMAT </w:instrText>
            </w:r>
            <w:r>
              <w:rPr>
                <w:b/>
                <w:bCs/>
                <w:color w:val="auto"/>
              </w:rPr>
              <w:fldChar w:fldCharType="separate"/>
            </w:r>
            <w:r>
              <w:rPr>
                <w:b/>
                <w:bCs/>
                <w:color w:val="auto"/>
              </w:rPr>
              <w:t>②</w:t>
            </w:r>
            <w:r>
              <w:rPr>
                <w:b/>
                <w:bCs/>
                <w:color w:val="auto"/>
              </w:rPr>
              <w:fldChar w:fldCharType="end"/>
            </w:r>
          </w:p>
        </w:tc>
        <w:tc>
          <w:tcPr>
            <w:tcW w:w="1701" w:type="dxa"/>
            <w:tcMar>
              <w:left w:w="28" w:type="dxa"/>
              <w:right w:w="28" w:type="dxa"/>
            </w:tcMar>
            <w:vAlign w:val="center"/>
          </w:tcPr>
          <w:p>
            <w:pPr>
              <w:pStyle w:val="11"/>
              <w:jc w:val="center"/>
              <w:rPr>
                <w:b/>
                <w:bCs/>
                <w:color w:val="auto"/>
              </w:rPr>
            </w:pPr>
            <w:r>
              <w:rPr>
                <w:b/>
                <w:bCs/>
                <w:color w:val="auto"/>
              </w:rPr>
              <w:t>在建工程</w:t>
            </w:r>
          </w:p>
          <w:p>
            <w:pPr>
              <w:pStyle w:val="11"/>
              <w:jc w:val="center"/>
              <w:rPr>
                <w:b/>
                <w:bCs/>
                <w:color w:val="auto"/>
              </w:rPr>
            </w:pPr>
            <w:r>
              <w:rPr>
                <w:b/>
                <w:bCs/>
                <w:color w:val="auto"/>
              </w:rPr>
              <w:t>排放量（固体废物产生量）</w:t>
            </w:r>
            <w:r>
              <w:rPr>
                <w:b/>
                <w:bCs/>
                <w:color w:val="auto"/>
              </w:rPr>
              <w:fldChar w:fldCharType="begin"/>
            </w:r>
            <w:r>
              <w:rPr>
                <w:b/>
                <w:bCs/>
                <w:color w:val="auto"/>
              </w:rPr>
              <w:instrText xml:space="preserve"> = 3 \* GB3 \* MERGEFORMAT </w:instrText>
            </w:r>
            <w:r>
              <w:rPr>
                <w:b/>
                <w:bCs/>
                <w:color w:val="auto"/>
              </w:rPr>
              <w:fldChar w:fldCharType="separate"/>
            </w:r>
            <w:r>
              <w:rPr>
                <w:b/>
                <w:bCs/>
                <w:color w:val="auto"/>
              </w:rPr>
              <w:t>③</w:t>
            </w:r>
            <w:r>
              <w:rPr>
                <w:b/>
                <w:bCs/>
                <w:color w:val="auto"/>
              </w:rPr>
              <w:fldChar w:fldCharType="end"/>
            </w:r>
          </w:p>
        </w:tc>
        <w:tc>
          <w:tcPr>
            <w:tcW w:w="1559" w:type="dxa"/>
            <w:tcMar>
              <w:left w:w="28" w:type="dxa"/>
              <w:right w:w="28" w:type="dxa"/>
            </w:tcMar>
            <w:vAlign w:val="center"/>
          </w:tcPr>
          <w:p>
            <w:pPr>
              <w:pStyle w:val="11"/>
              <w:jc w:val="center"/>
              <w:rPr>
                <w:b/>
                <w:bCs/>
                <w:color w:val="auto"/>
              </w:rPr>
            </w:pPr>
            <w:r>
              <w:rPr>
                <w:b/>
                <w:bCs/>
                <w:color w:val="auto"/>
              </w:rPr>
              <w:t>本项目</w:t>
            </w:r>
          </w:p>
          <w:p>
            <w:pPr>
              <w:pStyle w:val="11"/>
              <w:jc w:val="center"/>
              <w:rPr>
                <w:b/>
                <w:bCs/>
                <w:color w:val="auto"/>
              </w:rPr>
            </w:pPr>
            <w:r>
              <w:rPr>
                <w:b/>
                <w:bCs/>
                <w:color w:val="auto"/>
              </w:rPr>
              <w:t>排放量（固体废物产生量）</w:t>
            </w:r>
            <w:r>
              <w:rPr>
                <w:b/>
                <w:bCs/>
                <w:color w:val="auto"/>
              </w:rPr>
              <w:fldChar w:fldCharType="begin"/>
            </w:r>
            <w:r>
              <w:rPr>
                <w:b/>
                <w:bCs/>
                <w:color w:val="auto"/>
              </w:rPr>
              <w:instrText xml:space="preserve"> = 4 \* GB3 \* MERGEFORMAT </w:instrText>
            </w:r>
            <w:r>
              <w:rPr>
                <w:b/>
                <w:bCs/>
                <w:color w:val="auto"/>
              </w:rPr>
              <w:fldChar w:fldCharType="separate"/>
            </w:r>
            <w:r>
              <w:rPr>
                <w:b/>
                <w:bCs/>
                <w:color w:val="auto"/>
              </w:rPr>
              <w:t>④</w:t>
            </w:r>
            <w:r>
              <w:rPr>
                <w:b/>
                <w:bCs/>
                <w:color w:val="auto"/>
              </w:rPr>
              <w:fldChar w:fldCharType="end"/>
            </w:r>
          </w:p>
        </w:tc>
        <w:tc>
          <w:tcPr>
            <w:tcW w:w="1761" w:type="dxa"/>
            <w:tcMar>
              <w:left w:w="28" w:type="dxa"/>
              <w:right w:w="28" w:type="dxa"/>
            </w:tcMar>
            <w:vAlign w:val="center"/>
          </w:tcPr>
          <w:p>
            <w:pPr>
              <w:pStyle w:val="11"/>
              <w:jc w:val="center"/>
              <w:rPr>
                <w:b/>
                <w:bCs/>
                <w:color w:val="auto"/>
              </w:rPr>
            </w:pPr>
            <w:r>
              <w:rPr>
                <w:b/>
                <w:bCs/>
                <w:color w:val="auto"/>
              </w:rPr>
              <w:t>以新带老削减量</w:t>
            </w:r>
          </w:p>
          <w:p>
            <w:pPr>
              <w:pStyle w:val="11"/>
              <w:jc w:val="center"/>
              <w:rPr>
                <w:b/>
                <w:bCs/>
                <w:color w:val="auto"/>
              </w:rPr>
            </w:pPr>
            <w:r>
              <w:rPr>
                <w:b/>
                <w:bCs/>
                <w:color w:val="auto"/>
              </w:rPr>
              <w:t>（新建项目不填）</w:t>
            </w:r>
            <w:r>
              <w:rPr>
                <w:b/>
                <w:bCs/>
                <w:color w:val="auto"/>
              </w:rPr>
              <w:fldChar w:fldCharType="begin"/>
            </w:r>
            <w:r>
              <w:rPr>
                <w:b/>
                <w:bCs/>
                <w:color w:val="auto"/>
              </w:rPr>
              <w:instrText xml:space="preserve"> = 5 \* GB3 \* MERGEFORMAT </w:instrText>
            </w:r>
            <w:r>
              <w:rPr>
                <w:b/>
                <w:bCs/>
                <w:color w:val="auto"/>
              </w:rPr>
              <w:fldChar w:fldCharType="separate"/>
            </w:r>
            <w:r>
              <w:rPr>
                <w:b/>
                <w:bCs/>
                <w:color w:val="auto"/>
              </w:rPr>
              <w:t>⑤</w:t>
            </w:r>
            <w:r>
              <w:rPr>
                <w:b/>
                <w:bCs/>
                <w:color w:val="auto"/>
              </w:rPr>
              <w:fldChar w:fldCharType="end"/>
            </w:r>
          </w:p>
        </w:tc>
        <w:tc>
          <w:tcPr>
            <w:tcW w:w="1959" w:type="dxa"/>
            <w:tcMar>
              <w:left w:w="28" w:type="dxa"/>
              <w:right w:w="28" w:type="dxa"/>
            </w:tcMar>
            <w:vAlign w:val="center"/>
          </w:tcPr>
          <w:p>
            <w:pPr>
              <w:pStyle w:val="11"/>
              <w:jc w:val="center"/>
              <w:rPr>
                <w:b/>
                <w:bCs/>
                <w:color w:val="auto"/>
              </w:rPr>
            </w:pPr>
            <w:r>
              <w:rPr>
                <w:b/>
                <w:bCs/>
                <w:color w:val="auto"/>
              </w:rPr>
              <w:t>本项目建成后</w:t>
            </w:r>
          </w:p>
          <w:p>
            <w:pPr>
              <w:pStyle w:val="11"/>
              <w:jc w:val="center"/>
              <w:rPr>
                <w:b/>
                <w:bCs/>
                <w:color w:val="auto"/>
              </w:rPr>
            </w:pPr>
            <w:r>
              <w:rPr>
                <w:b/>
                <w:bCs/>
                <w:color w:val="auto"/>
              </w:rPr>
              <w:t>全厂排放量（固体废物产生量）</w:t>
            </w:r>
            <w:r>
              <w:rPr>
                <w:b/>
                <w:bCs/>
                <w:color w:val="auto"/>
              </w:rPr>
              <w:fldChar w:fldCharType="begin"/>
            </w:r>
            <w:r>
              <w:rPr>
                <w:b/>
                <w:bCs/>
                <w:color w:val="auto"/>
              </w:rPr>
              <w:instrText xml:space="preserve"> = 6 \* GB3 \* MERGEFORMAT </w:instrText>
            </w:r>
            <w:r>
              <w:rPr>
                <w:b/>
                <w:bCs/>
                <w:color w:val="auto"/>
              </w:rPr>
              <w:fldChar w:fldCharType="separate"/>
            </w:r>
            <w:r>
              <w:rPr>
                <w:b/>
                <w:bCs/>
                <w:color w:val="auto"/>
              </w:rPr>
              <w:t>⑥</w:t>
            </w:r>
            <w:r>
              <w:rPr>
                <w:b/>
                <w:bCs/>
                <w:color w:val="auto"/>
              </w:rPr>
              <w:fldChar w:fldCharType="end"/>
            </w:r>
          </w:p>
        </w:tc>
        <w:tc>
          <w:tcPr>
            <w:tcW w:w="1234" w:type="dxa"/>
            <w:tcMar>
              <w:left w:w="28" w:type="dxa"/>
              <w:right w:w="28" w:type="dxa"/>
            </w:tcMar>
            <w:vAlign w:val="center"/>
          </w:tcPr>
          <w:p>
            <w:pPr>
              <w:pStyle w:val="11"/>
              <w:jc w:val="center"/>
              <w:rPr>
                <w:b/>
                <w:bCs/>
                <w:color w:val="auto"/>
              </w:rPr>
            </w:pPr>
            <w:r>
              <w:rPr>
                <w:b/>
                <w:bCs/>
                <w:color w:val="auto"/>
              </w:rPr>
              <w:t>变化量</w:t>
            </w:r>
          </w:p>
          <w:p>
            <w:pPr>
              <w:pStyle w:val="11"/>
              <w:jc w:val="center"/>
              <w:rPr>
                <w:b/>
                <w:bCs/>
                <w:color w:val="auto"/>
              </w:rPr>
            </w:pPr>
            <w:r>
              <w:rPr>
                <w:b/>
                <w:bCs/>
                <w:color w:val="auto"/>
              </w:rPr>
              <w:fldChar w:fldCharType="begin"/>
            </w:r>
            <w:r>
              <w:rPr>
                <w:b/>
                <w:bCs/>
                <w:color w:val="auto"/>
              </w:rPr>
              <w:instrText xml:space="preserve"> = 7 \* GB3 \* MERGEFORMAT </w:instrText>
            </w:r>
            <w:r>
              <w:rPr>
                <w:b/>
                <w:bCs/>
                <w:color w:val="auto"/>
              </w:rPr>
              <w:fldChar w:fldCharType="separate"/>
            </w:r>
            <w:r>
              <w:rPr>
                <w:b/>
                <w:bCs/>
                <w:color w:val="auto"/>
              </w:rPr>
              <w:t>⑦</w:t>
            </w:r>
            <w:r>
              <w:rPr>
                <w:b/>
                <w:bCs/>
                <w:color w:val="auto"/>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81" w:type="dxa"/>
            <w:vAlign w:val="center"/>
          </w:tcPr>
          <w:p>
            <w:pPr>
              <w:pStyle w:val="11"/>
              <w:spacing w:line="360" w:lineRule="auto"/>
              <w:jc w:val="center"/>
              <w:rPr>
                <w:b/>
                <w:bCs/>
                <w:color w:val="auto"/>
              </w:rPr>
            </w:pPr>
            <w:r>
              <w:rPr>
                <w:b/>
                <w:bCs/>
                <w:color w:val="auto"/>
              </w:rPr>
              <w:t>废气</w:t>
            </w:r>
          </w:p>
        </w:tc>
        <w:tc>
          <w:tcPr>
            <w:tcW w:w="2305" w:type="dxa"/>
            <w:vAlign w:val="center"/>
          </w:tcPr>
          <w:p>
            <w:pPr>
              <w:pStyle w:val="11"/>
              <w:spacing w:line="360" w:lineRule="auto"/>
              <w:jc w:val="center"/>
              <w:rPr>
                <w:color w:val="auto"/>
              </w:rPr>
            </w:pPr>
            <w:r>
              <w:rPr>
                <w:color w:val="auto"/>
              </w:rPr>
              <w:t>VOCs</w:t>
            </w:r>
          </w:p>
        </w:tc>
        <w:tc>
          <w:tcPr>
            <w:tcW w:w="1701" w:type="dxa"/>
            <w:vAlign w:val="center"/>
          </w:tcPr>
          <w:p>
            <w:pPr>
              <w:pStyle w:val="11"/>
              <w:spacing w:line="360" w:lineRule="auto"/>
              <w:jc w:val="both"/>
              <w:rPr>
                <w:color w:val="auto"/>
              </w:rPr>
            </w:pPr>
          </w:p>
        </w:tc>
        <w:tc>
          <w:tcPr>
            <w:tcW w:w="1276" w:type="dxa"/>
            <w:vAlign w:val="center"/>
          </w:tcPr>
          <w:p>
            <w:pPr>
              <w:pStyle w:val="11"/>
              <w:spacing w:line="360" w:lineRule="auto"/>
              <w:jc w:val="both"/>
              <w:rPr>
                <w:color w:val="auto"/>
              </w:rPr>
            </w:pPr>
          </w:p>
        </w:tc>
        <w:tc>
          <w:tcPr>
            <w:tcW w:w="1701" w:type="dxa"/>
            <w:vAlign w:val="center"/>
          </w:tcPr>
          <w:p>
            <w:pPr>
              <w:pStyle w:val="11"/>
              <w:spacing w:line="360" w:lineRule="auto"/>
              <w:jc w:val="both"/>
              <w:rPr>
                <w:color w:val="auto"/>
              </w:rPr>
            </w:pPr>
          </w:p>
        </w:tc>
        <w:tc>
          <w:tcPr>
            <w:tcW w:w="1559" w:type="dxa"/>
            <w:vAlign w:val="center"/>
          </w:tcPr>
          <w:p>
            <w:pPr>
              <w:pStyle w:val="11"/>
              <w:spacing w:line="360" w:lineRule="auto"/>
              <w:jc w:val="center"/>
              <w:rPr>
                <w:color w:val="auto"/>
              </w:rPr>
            </w:pPr>
            <w:r>
              <w:rPr>
                <w:color w:val="auto"/>
              </w:rPr>
              <w:t>0.</w:t>
            </w:r>
            <w:r>
              <w:rPr>
                <w:rFonts w:hint="eastAsia"/>
                <w:color w:val="auto"/>
                <w:lang w:val="en-US" w:eastAsia="zh-CN"/>
              </w:rPr>
              <w:t>50</w:t>
            </w:r>
            <w:r>
              <w:rPr>
                <w:color w:val="auto"/>
              </w:rPr>
              <w:t>t</w:t>
            </w:r>
          </w:p>
        </w:tc>
        <w:tc>
          <w:tcPr>
            <w:tcW w:w="1761" w:type="dxa"/>
            <w:vAlign w:val="center"/>
          </w:tcPr>
          <w:p>
            <w:pPr>
              <w:pStyle w:val="11"/>
              <w:spacing w:line="360" w:lineRule="auto"/>
              <w:jc w:val="both"/>
              <w:rPr>
                <w:color w:val="auto"/>
              </w:rPr>
            </w:pPr>
          </w:p>
        </w:tc>
        <w:tc>
          <w:tcPr>
            <w:tcW w:w="1959" w:type="dxa"/>
            <w:vAlign w:val="center"/>
          </w:tcPr>
          <w:p>
            <w:pPr>
              <w:pStyle w:val="11"/>
              <w:spacing w:line="360" w:lineRule="auto"/>
              <w:jc w:val="center"/>
              <w:rPr>
                <w:color w:val="auto"/>
                <w:kern w:val="2"/>
              </w:rPr>
            </w:pPr>
            <w:r>
              <w:rPr>
                <w:color w:val="auto"/>
                <w:kern w:val="2"/>
              </w:rPr>
              <w:t>0.</w:t>
            </w:r>
            <w:r>
              <w:rPr>
                <w:rFonts w:hint="eastAsia"/>
                <w:color w:val="auto"/>
                <w:kern w:val="2"/>
                <w:lang w:val="en-US" w:eastAsia="zh-CN"/>
              </w:rPr>
              <w:t>50</w:t>
            </w:r>
            <w:r>
              <w:rPr>
                <w:color w:val="auto"/>
                <w:kern w:val="2"/>
              </w:rPr>
              <w:t>t</w:t>
            </w:r>
          </w:p>
        </w:tc>
        <w:tc>
          <w:tcPr>
            <w:tcW w:w="1234" w:type="dxa"/>
            <w:vAlign w:val="center"/>
          </w:tcPr>
          <w:p>
            <w:pPr>
              <w:pStyle w:val="11"/>
              <w:spacing w:line="360" w:lineRule="auto"/>
              <w:jc w:val="center"/>
              <w:rPr>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81" w:type="dxa"/>
            <w:vMerge w:val="restart"/>
            <w:vAlign w:val="center"/>
          </w:tcPr>
          <w:p>
            <w:pPr>
              <w:pStyle w:val="11"/>
              <w:spacing w:line="360" w:lineRule="auto"/>
              <w:jc w:val="center"/>
              <w:rPr>
                <w:b/>
                <w:bCs/>
                <w:color w:val="auto"/>
              </w:rPr>
            </w:pPr>
            <w:r>
              <w:rPr>
                <w:b/>
                <w:bCs/>
                <w:color w:val="auto"/>
              </w:rPr>
              <w:t>废水</w:t>
            </w:r>
          </w:p>
        </w:tc>
        <w:tc>
          <w:tcPr>
            <w:tcW w:w="2305" w:type="dxa"/>
            <w:vAlign w:val="center"/>
          </w:tcPr>
          <w:p>
            <w:pPr>
              <w:pStyle w:val="11"/>
              <w:jc w:val="center"/>
              <w:rPr>
                <w:color w:val="auto"/>
              </w:rPr>
            </w:pPr>
            <w:r>
              <w:rPr>
                <w:color w:val="auto"/>
              </w:rPr>
              <w:t>氨氮</w:t>
            </w:r>
          </w:p>
        </w:tc>
        <w:tc>
          <w:tcPr>
            <w:tcW w:w="1701" w:type="dxa"/>
            <w:vAlign w:val="center"/>
          </w:tcPr>
          <w:p>
            <w:pPr>
              <w:pStyle w:val="11"/>
              <w:jc w:val="center"/>
              <w:rPr>
                <w:color w:val="auto"/>
              </w:rPr>
            </w:pPr>
          </w:p>
        </w:tc>
        <w:tc>
          <w:tcPr>
            <w:tcW w:w="1276" w:type="dxa"/>
            <w:vAlign w:val="center"/>
          </w:tcPr>
          <w:p>
            <w:pPr>
              <w:pStyle w:val="11"/>
              <w:jc w:val="center"/>
              <w:rPr>
                <w:color w:val="auto"/>
              </w:rPr>
            </w:pPr>
          </w:p>
        </w:tc>
        <w:tc>
          <w:tcPr>
            <w:tcW w:w="1701" w:type="dxa"/>
            <w:vAlign w:val="center"/>
          </w:tcPr>
          <w:p>
            <w:pPr>
              <w:pStyle w:val="11"/>
              <w:jc w:val="center"/>
              <w:rPr>
                <w:color w:val="auto"/>
              </w:rPr>
            </w:pPr>
          </w:p>
        </w:tc>
        <w:tc>
          <w:tcPr>
            <w:tcW w:w="1559" w:type="dxa"/>
            <w:vAlign w:val="center"/>
          </w:tcPr>
          <w:p>
            <w:pPr>
              <w:pStyle w:val="11"/>
              <w:spacing w:line="360" w:lineRule="auto"/>
              <w:jc w:val="center"/>
              <w:rPr>
                <w:rFonts w:ascii="Times New Roman" w:hAnsi="Times New Roman" w:eastAsia="宋体" w:cs="Times New Roman"/>
                <w:color w:val="auto"/>
                <w:sz w:val="21"/>
                <w:szCs w:val="21"/>
                <w:lang w:val="en-US" w:eastAsia="zh-CN" w:bidi="ar-SA"/>
              </w:rPr>
            </w:pPr>
            <w:r>
              <w:rPr>
                <w:rFonts w:hint="eastAsia"/>
                <w:color w:val="auto"/>
                <w:lang w:val="en-US" w:eastAsia="zh-CN"/>
              </w:rPr>
              <w:t>0.015</w:t>
            </w:r>
            <w:r>
              <w:rPr>
                <w:color w:val="auto"/>
              </w:rPr>
              <w:t>t</w:t>
            </w:r>
          </w:p>
        </w:tc>
        <w:tc>
          <w:tcPr>
            <w:tcW w:w="1761" w:type="dxa"/>
            <w:vAlign w:val="center"/>
          </w:tcPr>
          <w:p>
            <w:pPr>
              <w:pStyle w:val="11"/>
              <w:jc w:val="center"/>
              <w:rPr>
                <w:color w:val="auto"/>
              </w:rPr>
            </w:pPr>
          </w:p>
        </w:tc>
        <w:tc>
          <w:tcPr>
            <w:tcW w:w="1959" w:type="dxa"/>
            <w:vAlign w:val="center"/>
          </w:tcPr>
          <w:p>
            <w:pPr>
              <w:pStyle w:val="11"/>
              <w:spacing w:line="360" w:lineRule="auto"/>
              <w:jc w:val="center"/>
              <w:rPr>
                <w:rFonts w:ascii="Times New Roman" w:hAnsi="Times New Roman" w:eastAsia="宋体" w:cs="Times New Roman"/>
                <w:color w:val="auto"/>
                <w:sz w:val="21"/>
                <w:szCs w:val="21"/>
                <w:lang w:val="en-US" w:eastAsia="zh-CN" w:bidi="ar-SA"/>
              </w:rPr>
            </w:pPr>
            <w:r>
              <w:rPr>
                <w:rFonts w:hint="eastAsia"/>
                <w:color w:val="auto"/>
                <w:lang w:val="en-US" w:eastAsia="zh-CN"/>
              </w:rPr>
              <w:t>0.015</w:t>
            </w:r>
            <w:r>
              <w:rPr>
                <w:color w:val="auto"/>
              </w:rPr>
              <w:t>t</w:t>
            </w:r>
          </w:p>
        </w:tc>
        <w:tc>
          <w:tcPr>
            <w:tcW w:w="1234" w:type="dxa"/>
            <w:vAlign w:val="center"/>
          </w:tcPr>
          <w:p>
            <w:pPr>
              <w:pStyle w:val="11"/>
              <w:spacing w:line="360" w:lineRule="auto"/>
              <w:jc w:val="center"/>
              <w:rPr>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81" w:type="dxa"/>
            <w:vMerge w:val="continue"/>
            <w:vAlign w:val="center"/>
          </w:tcPr>
          <w:p>
            <w:pPr>
              <w:pStyle w:val="11"/>
              <w:spacing w:line="360" w:lineRule="auto"/>
              <w:jc w:val="center"/>
              <w:rPr>
                <w:b/>
                <w:bCs/>
                <w:color w:val="auto"/>
              </w:rPr>
            </w:pPr>
          </w:p>
        </w:tc>
        <w:tc>
          <w:tcPr>
            <w:tcW w:w="2305" w:type="dxa"/>
            <w:vAlign w:val="center"/>
          </w:tcPr>
          <w:p>
            <w:pPr>
              <w:pStyle w:val="11"/>
              <w:jc w:val="center"/>
              <w:rPr>
                <w:color w:val="auto"/>
              </w:rPr>
            </w:pPr>
            <w:r>
              <w:rPr>
                <w:color w:val="auto"/>
              </w:rPr>
              <w:t>总磷</w:t>
            </w:r>
          </w:p>
        </w:tc>
        <w:tc>
          <w:tcPr>
            <w:tcW w:w="1701" w:type="dxa"/>
            <w:vAlign w:val="center"/>
          </w:tcPr>
          <w:p>
            <w:pPr>
              <w:pStyle w:val="11"/>
              <w:jc w:val="center"/>
              <w:rPr>
                <w:color w:val="auto"/>
              </w:rPr>
            </w:pPr>
          </w:p>
        </w:tc>
        <w:tc>
          <w:tcPr>
            <w:tcW w:w="1276" w:type="dxa"/>
            <w:vAlign w:val="center"/>
          </w:tcPr>
          <w:p>
            <w:pPr>
              <w:pStyle w:val="11"/>
              <w:jc w:val="center"/>
              <w:rPr>
                <w:color w:val="auto"/>
              </w:rPr>
            </w:pPr>
          </w:p>
        </w:tc>
        <w:tc>
          <w:tcPr>
            <w:tcW w:w="1701" w:type="dxa"/>
            <w:vAlign w:val="center"/>
          </w:tcPr>
          <w:p>
            <w:pPr>
              <w:pStyle w:val="11"/>
              <w:jc w:val="center"/>
              <w:rPr>
                <w:color w:val="auto"/>
              </w:rPr>
            </w:pPr>
          </w:p>
        </w:tc>
        <w:tc>
          <w:tcPr>
            <w:tcW w:w="1559" w:type="dxa"/>
            <w:vAlign w:val="center"/>
          </w:tcPr>
          <w:p>
            <w:pPr>
              <w:pStyle w:val="11"/>
              <w:spacing w:line="360" w:lineRule="auto"/>
              <w:jc w:val="center"/>
              <w:rPr>
                <w:rFonts w:ascii="Times New Roman" w:hAnsi="Times New Roman" w:eastAsia="宋体" w:cs="Times New Roman"/>
                <w:color w:val="auto"/>
                <w:sz w:val="21"/>
                <w:szCs w:val="21"/>
                <w:lang w:val="en-US" w:eastAsia="zh-CN" w:bidi="ar-SA"/>
              </w:rPr>
            </w:pPr>
            <w:r>
              <w:rPr>
                <w:color w:val="auto"/>
              </w:rPr>
              <w:t>0.0</w:t>
            </w:r>
            <w:r>
              <w:rPr>
                <w:rFonts w:hint="eastAsia"/>
                <w:color w:val="auto"/>
                <w:lang w:val="en-US" w:eastAsia="zh-CN"/>
              </w:rPr>
              <w:t>03</w:t>
            </w:r>
            <w:r>
              <w:rPr>
                <w:color w:val="auto"/>
              </w:rPr>
              <w:t>t</w:t>
            </w:r>
          </w:p>
        </w:tc>
        <w:tc>
          <w:tcPr>
            <w:tcW w:w="1761" w:type="dxa"/>
            <w:vAlign w:val="center"/>
          </w:tcPr>
          <w:p>
            <w:pPr>
              <w:pStyle w:val="11"/>
              <w:jc w:val="center"/>
              <w:rPr>
                <w:color w:val="auto"/>
              </w:rPr>
            </w:pPr>
          </w:p>
        </w:tc>
        <w:tc>
          <w:tcPr>
            <w:tcW w:w="1959" w:type="dxa"/>
            <w:vAlign w:val="center"/>
          </w:tcPr>
          <w:p>
            <w:pPr>
              <w:pStyle w:val="11"/>
              <w:spacing w:line="360" w:lineRule="auto"/>
              <w:jc w:val="center"/>
              <w:rPr>
                <w:rFonts w:ascii="Times New Roman" w:hAnsi="Times New Roman" w:eastAsia="宋体" w:cs="Times New Roman"/>
                <w:color w:val="auto"/>
                <w:sz w:val="21"/>
                <w:szCs w:val="21"/>
                <w:lang w:val="en-US" w:eastAsia="zh-CN" w:bidi="ar-SA"/>
              </w:rPr>
            </w:pPr>
            <w:r>
              <w:rPr>
                <w:color w:val="auto"/>
              </w:rPr>
              <w:t>0.0</w:t>
            </w:r>
            <w:r>
              <w:rPr>
                <w:rFonts w:hint="eastAsia"/>
                <w:color w:val="auto"/>
                <w:lang w:val="en-US" w:eastAsia="zh-CN"/>
              </w:rPr>
              <w:t>03</w:t>
            </w:r>
            <w:r>
              <w:rPr>
                <w:color w:val="auto"/>
              </w:rPr>
              <w:t>t</w:t>
            </w:r>
          </w:p>
        </w:tc>
        <w:tc>
          <w:tcPr>
            <w:tcW w:w="1234" w:type="dxa"/>
            <w:vAlign w:val="center"/>
          </w:tcPr>
          <w:p>
            <w:pPr>
              <w:pStyle w:val="11"/>
              <w:spacing w:line="360" w:lineRule="auto"/>
              <w:jc w:val="center"/>
              <w:rPr>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81" w:type="dxa"/>
            <w:vMerge w:val="continue"/>
            <w:vAlign w:val="center"/>
          </w:tcPr>
          <w:p>
            <w:pPr>
              <w:pStyle w:val="11"/>
              <w:spacing w:line="360" w:lineRule="auto"/>
              <w:jc w:val="center"/>
              <w:rPr>
                <w:b/>
                <w:bCs/>
                <w:color w:val="auto"/>
              </w:rPr>
            </w:pPr>
          </w:p>
        </w:tc>
        <w:tc>
          <w:tcPr>
            <w:tcW w:w="2305" w:type="dxa"/>
            <w:vAlign w:val="center"/>
          </w:tcPr>
          <w:p>
            <w:pPr>
              <w:pStyle w:val="11"/>
              <w:jc w:val="center"/>
              <w:rPr>
                <w:color w:val="auto"/>
              </w:rPr>
            </w:pPr>
            <w:r>
              <w:rPr>
                <w:color w:val="auto"/>
              </w:rPr>
              <w:t>总氮</w:t>
            </w:r>
          </w:p>
        </w:tc>
        <w:tc>
          <w:tcPr>
            <w:tcW w:w="1701" w:type="dxa"/>
            <w:vAlign w:val="center"/>
          </w:tcPr>
          <w:p>
            <w:pPr>
              <w:pStyle w:val="11"/>
              <w:jc w:val="center"/>
              <w:rPr>
                <w:color w:val="auto"/>
              </w:rPr>
            </w:pPr>
          </w:p>
        </w:tc>
        <w:tc>
          <w:tcPr>
            <w:tcW w:w="1276" w:type="dxa"/>
            <w:vAlign w:val="center"/>
          </w:tcPr>
          <w:p>
            <w:pPr>
              <w:pStyle w:val="11"/>
              <w:jc w:val="center"/>
              <w:rPr>
                <w:color w:val="auto"/>
              </w:rPr>
            </w:pPr>
          </w:p>
        </w:tc>
        <w:tc>
          <w:tcPr>
            <w:tcW w:w="1701" w:type="dxa"/>
            <w:vAlign w:val="center"/>
          </w:tcPr>
          <w:p>
            <w:pPr>
              <w:pStyle w:val="11"/>
              <w:jc w:val="center"/>
              <w:rPr>
                <w:color w:val="auto"/>
              </w:rPr>
            </w:pPr>
          </w:p>
        </w:tc>
        <w:tc>
          <w:tcPr>
            <w:tcW w:w="1559" w:type="dxa"/>
            <w:vAlign w:val="center"/>
          </w:tcPr>
          <w:p>
            <w:pPr>
              <w:pStyle w:val="11"/>
              <w:spacing w:line="360" w:lineRule="auto"/>
              <w:jc w:val="center"/>
              <w:rPr>
                <w:rFonts w:ascii="Times New Roman" w:hAnsi="Times New Roman" w:eastAsia="宋体" w:cs="Times New Roman"/>
                <w:color w:val="auto"/>
                <w:sz w:val="21"/>
                <w:szCs w:val="21"/>
                <w:lang w:val="en-US" w:eastAsia="zh-CN" w:bidi="ar-SA"/>
              </w:rPr>
            </w:pPr>
            <w:r>
              <w:rPr>
                <w:color w:val="auto"/>
              </w:rPr>
              <w:t>0.</w:t>
            </w:r>
            <w:r>
              <w:rPr>
                <w:rFonts w:hint="eastAsia"/>
                <w:color w:val="auto"/>
                <w:lang w:val="en-US" w:eastAsia="zh-CN"/>
              </w:rPr>
              <w:t>019</w:t>
            </w:r>
            <w:r>
              <w:rPr>
                <w:color w:val="auto"/>
              </w:rPr>
              <w:t>t</w:t>
            </w:r>
          </w:p>
        </w:tc>
        <w:tc>
          <w:tcPr>
            <w:tcW w:w="1761" w:type="dxa"/>
            <w:vAlign w:val="center"/>
          </w:tcPr>
          <w:p>
            <w:pPr>
              <w:pStyle w:val="11"/>
              <w:jc w:val="center"/>
              <w:rPr>
                <w:color w:val="auto"/>
              </w:rPr>
            </w:pPr>
          </w:p>
        </w:tc>
        <w:tc>
          <w:tcPr>
            <w:tcW w:w="1959" w:type="dxa"/>
            <w:vAlign w:val="center"/>
          </w:tcPr>
          <w:p>
            <w:pPr>
              <w:pStyle w:val="11"/>
              <w:spacing w:line="360" w:lineRule="auto"/>
              <w:jc w:val="center"/>
              <w:rPr>
                <w:rFonts w:ascii="Times New Roman" w:hAnsi="Times New Roman" w:eastAsia="宋体" w:cs="Times New Roman"/>
                <w:color w:val="auto"/>
                <w:sz w:val="21"/>
                <w:szCs w:val="21"/>
                <w:lang w:val="en-US" w:eastAsia="zh-CN" w:bidi="ar-SA"/>
              </w:rPr>
            </w:pPr>
            <w:r>
              <w:rPr>
                <w:color w:val="auto"/>
              </w:rPr>
              <w:t>0.</w:t>
            </w:r>
            <w:r>
              <w:rPr>
                <w:rFonts w:hint="eastAsia"/>
                <w:color w:val="auto"/>
                <w:lang w:val="en-US" w:eastAsia="zh-CN"/>
              </w:rPr>
              <w:t>019</w:t>
            </w:r>
            <w:r>
              <w:rPr>
                <w:color w:val="auto"/>
              </w:rPr>
              <w:t>t</w:t>
            </w:r>
          </w:p>
        </w:tc>
        <w:tc>
          <w:tcPr>
            <w:tcW w:w="1234" w:type="dxa"/>
            <w:vAlign w:val="center"/>
          </w:tcPr>
          <w:p>
            <w:pPr>
              <w:pStyle w:val="11"/>
              <w:spacing w:line="360" w:lineRule="auto"/>
              <w:jc w:val="center"/>
              <w:rPr>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81" w:type="dxa"/>
            <w:vMerge w:val="restart"/>
            <w:vAlign w:val="center"/>
          </w:tcPr>
          <w:p>
            <w:pPr>
              <w:pStyle w:val="11"/>
              <w:spacing w:line="360" w:lineRule="auto"/>
              <w:jc w:val="center"/>
              <w:rPr>
                <w:b/>
                <w:bCs/>
                <w:color w:val="auto"/>
              </w:rPr>
            </w:pPr>
            <w:r>
              <w:rPr>
                <w:b/>
                <w:bCs/>
                <w:color w:val="auto"/>
              </w:rPr>
              <w:t>一般工业</w:t>
            </w:r>
          </w:p>
          <w:p>
            <w:pPr>
              <w:pStyle w:val="11"/>
              <w:spacing w:line="360" w:lineRule="auto"/>
              <w:jc w:val="center"/>
              <w:rPr>
                <w:b/>
                <w:bCs/>
                <w:color w:val="auto"/>
              </w:rPr>
            </w:pPr>
            <w:r>
              <w:rPr>
                <w:b/>
                <w:bCs/>
                <w:color w:val="auto"/>
              </w:rPr>
              <w:t>固体废物</w:t>
            </w:r>
          </w:p>
        </w:tc>
        <w:tc>
          <w:tcPr>
            <w:tcW w:w="2305" w:type="dxa"/>
            <w:vAlign w:val="center"/>
          </w:tcPr>
          <w:p>
            <w:pPr>
              <w:pStyle w:val="11"/>
              <w:jc w:val="center"/>
              <w:rPr>
                <w:color w:val="auto"/>
              </w:rPr>
            </w:pPr>
            <w:r>
              <w:rPr>
                <w:color w:val="auto"/>
              </w:rPr>
              <w:t>预处理池污泥</w:t>
            </w:r>
          </w:p>
        </w:tc>
        <w:tc>
          <w:tcPr>
            <w:tcW w:w="1701" w:type="dxa"/>
            <w:vAlign w:val="center"/>
          </w:tcPr>
          <w:p>
            <w:pPr>
              <w:pStyle w:val="11"/>
              <w:jc w:val="center"/>
              <w:rPr>
                <w:color w:val="auto"/>
              </w:rPr>
            </w:pPr>
          </w:p>
        </w:tc>
        <w:tc>
          <w:tcPr>
            <w:tcW w:w="1276" w:type="dxa"/>
            <w:vAlign w:val="center"/>
          </w:tcPr>
          <w:p>
            <w:pPr>
              <w:pStyle w:val="11"/>
              <w:jc w:val="center"/>
              <w:rPr>
                <w:color w:val="auto"/>
              </w:rPr>
            </w:pPr>
          </w:p>
        </w:tc>
        <w:tc>
          <w:tcPr>
            <w:tcW w:w="1701" w:type="dxa"/>
            <w:vAlign w:val="center"/>
          </w:tcPr>
          <w:p>
            <w:pPr>
              <w:pStyle w:val="11"/>
              <w:jc w:val="center"/>
              <w:rPr>
                <w:color w:val="auto"/>
              </w:rPr>
            </w:pPr>
          </w:p>
        </w:tc>
        <w:tc>
          <w:tcPr>
            <w:tcW w:w="1559" w:type="dxa"/>
            <w:vAlign w:val="center"/>
          </w:tcPr>
          <w:p>
            <w:pPr>
              <w:pStyle w:val="11"/>
              <w:jc w:val="center"/>
              <w:rPr>
                <w:color w:val="auto"/>
                <w:kern w:val="2"/>
              </w:rPr>
            </w:pPr>
            <w:r>
              <w:rPr>
                <w:rFonts w:hint="eastAsia"/>
                <w:color w:val="auto"/>
                <w:lang w:val="en-US" w:eastAsia="zh-CN"/>
              </w:rPr>
              <w:t>2.0</w:t>
            </w:r>
            <w:r>
              <w:rPr>
                <w:color w:val="auto"/>
              </w:rPr>
              <w:t>t/a</w:t>
            </w:r>
          </w:p>
        </w:tc>
        <w:tc>
          <w:tcPr>
            <w:tcW w:w="1761" w:type="dxa"/>
            <w:vAlign w:val="center"/>
          </w:tcPr>
          <w:p>
            <w:pPr>
              <w:pStyle w:val="11"/>
              <w:jc w:val="center"/>
              <w:rPr>
                <w:color w:val="auto"/>
              </w:rPr>
            </w:pPr>
          </w:p>
        </w:tc>
        <w:tc>
          <w:tcPr>
            <w:tcW w:w="1959" w:type="dxa"/>
            <w:vAlign w:val="center"/>
          </w:tcPr>
          <w:p>
            <w:pPr>
              <w:pStyle w:val="11"/>
              <w:jc w:val="center"/>
              <w:rPr>
                <w:color w:val="auto"/>
                <w:kern w:val="2"/>
              </w:rPr>
            </w:pPr>
            <w:r>
              <w:rPr>
                <w:rFonts w:hint="eastAsia"/>
                <w:color w:val="auto"/>
                <w:lang w:val="en-US" w:eastAsia="zh-CN"/>
              </w:rPr>
              <w:t>2.0</w:t>
            </w:r>
            <w:r>
              <w:rPr>
                <w:color w:val="auto"/>
              </w:rPr>
              <w:t>t/a</w:t>
            </w:r>
          </w:p>
        </w:tc>
        <w:tc>
          <w:tcPr>
            <w:tcW w:w="1234" w:type="dxa"/>
            <w:vAlign w:val="center"/>
          </w:tcPr>
          <w:p>
            <w:pPr>
              <w:pStyle w:val="11"/>
              <w:spacing w:line="360" w:lineRule="auto"/>
              <w:jc w:val="center"/>
              <w:rPr>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81" w:type="dxa"/>
            <w:vMerge w:val="continue"/>
            <w:vAlign w:val="center"/>
          </w:tcPr>
          <w:p>
            <w:pPr>
              <w:pStyle w:val="11"/>
              <w:spacing w:line="360" w:lineRule="auto"/>
              <w:jc w:val="center"/>
              <w:rPr>
                <w:b/>
                <w:bCs/>
                <w:color w:val="auto"/>
              </w:rPr>
            </w:pPr>
          </w:p>
        </w:tc>
        <w:tc>
          <w:tcPr>
            <w:tcW w:w="2305" w:type="dxa"/>
            <w:vAlign w:val="center"/>
          </w:tcPr>
          <w:p>
            <w:pPr>
              <w:pStyle w:val="11"/>
              <w:jc w:val="center"/>
              <w:rPr>
                <w:rFonts w:hint="eastAsia" w:eastAsia="宋体"/>
                <w:color w:val="auto"/>
                <w:lang w:eastAsia="zh-CN"/>
              </w:rPr>
            </w:pPr>
            <w:r>
              <w:rPr>
                <w:rFonts w:hint="eastAsia"/>
                <w:color w:val="auto"/>
                <w:lang w:eastAsia="zh-CN"/>
              </w:rPr>
              <w:t>清洗沉淀池泥沙</w:t>
            </w:r>
          </w:p>
        </w:tc>
        <w:tc>
          <w:tcPr>
            <w:tcW w:w="1701" w:type="dxa"/>
            <w:vAlign w:val="center"/>
          </w:tcPr>
          <w:p>
            <w:pPr>
              <w:pStyle w:val="11"/>
              <w:jc w:val="center"/>
              <w:rPr>
                <w:color w:val="auto"/>
              </w:rPr>
            </w:pPr>
          </w:p>
        </w:tc>
        <w:tc>
          <w:tcPr>
            <w:tcW w:w="1276" w:type="dxa"/>
            <w:vAlign w:val="center"/>
          </w:tcPr>
          <w:p>
            <w:pPr>
              <w:pStyle w:val="11"/>
              <w:jc w:val="center"/>
              <w:rPr>
                <w:color w:val="auto"/>
              </w:rPr>
            </w:pPr>
          </w:p>
        </w:tc>
        <w:tc>
          <w:tcPr>
            <w:tcW w:w="1701" w:type="dxa"/>
            <w:vAlign w:val="center"/>
          </w:tcPr>
          <w:p>
            <w:pPr>
              <w:pStyle w:val="11"/>
              <w:jc w:val="center"/>
              <w:rPr>
                <w:color w:val="auto"/>
              </w:rPr>
            </w:pPr>
          </w:p>
        </w:tc>
        <w:tc>
          <w:tcPr>
            <w:tcW w:w="1559" w:type="dxa"/>
            <w:vAlign w:val="center"/>
          </w:tcPr>
          <w:p>
            <w:pPr>
              <w:pStyle w:val="11"/>
              <w:jc w:val="center"/>
              <w:rPr>
                <w:rFonts w:hint="eastAsia" w:eastAsia="宋体"/>
                <w:color w:val="auto"/>
                <w:lang w:eastAsia="zh-CN"/>
              </w:rPr>
            </w:pPr>
            <w:r>
              <w:rPr>
                <w:rFonts w:hint="eastAsia"/>
                <w:color w:val="auto"/>
                <w:lang w:val="en-US" w:eastAsia="zh-CN"/>
              </w:rPr>
              <w:t>40t/a</w:t>
            </w:r>
          </w:p>
        </w:tc>
        <w:tc>
          <w:tcPr>
            <w:tcW w:w="1761" w:type="dxa"/>
            <w:vAlign w:val="center"/>
          </w:tcPr>
          <w:p>
            <w:pPr>
              <w:pStyle w:val="11"/>
              <w:jc w:val="center"/>
              <w:rPr>
                <w:color w:val="auto"/>
              </w:rPr>
            </w:pPr>
          </w:p>
        </w:tc>
        <w:tc>
          <w:tcPr>
            <w:tcW w:w="1959" w:type="dxa"/>
            <w:vAlign w:val="center"/>
          </w:tcPr>
          <w:p>
            <w:pPr>
              <w:pStyle w:val="11"/>
              <w:jc w:val="center"/>
              <w:rPr>
                <w:rFonts w:hint="eastAsia" w:eastAsia="宋体"/>
                <w:color w:val="auto"/>
                <w:kern w:val="2"/>
                <w:lang w:eastAsia="zh-CN"/>
              </w:rPr>
            </w:pPr>
            <w:r>
              <w:rPr>
                <w:rFonts w:hint="eastAsia"/>
                <w:color w:val="auto"/>
                <w:lang w:val="en-US" w:eastAsia="zh-CN"/>
              </w:rPr>
              <w:t>40t/a</w:t>
            </w:r>
          </w:p>
        </w:tc>
        <w:tc>
          <w:tcPr>
            <w:tcW w:w="1234" w:type="dxa"/>
            <w:vAlign w:val="center"/>
          </w:tcPr>
          <w:p>
            <w:pPr>
              <w:pStyle w:val="11"/>
              <w:spacing w:line="360" w:lineRule="auto"/>
              <w:jc w:val="center"/>
              <w:rPr>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81" w:type="dxa"/>
            <w:vMerge w:val="continue"/>
            <w:vAlign w:val="center"/>
          </w:tcPr>
          <w:p>
            <w:pPr>
              <w:pStyle w:val="11"/>
              <w:spacing w:line="360" w:lineRule="auto"/>
              <w:jc w:val="center"/>
              <w:rPr>
                <w:b/>
                <w:bCs/>
                <w:color w:val="auto"/>
              </w:rPr>
            </w:pPr>
          </w:p>
        </w:tc>
        <w:tc>
          <w:tcPr>
            <w:tcW w:w="2305" w:type="dxa"/>
            <w:vAlign w:val="center"/>
          </w:tcPr>
          <w:p>
            <w:pPr>
              <w:pStyle w:val="11"/>
              <w:jc w:val="center"/>
              <w:rPr>
                <w:color w:val="auto"/>
              </w:rPr>
            </w:pPr>
            <w:r>
              <w:rPr>
                <w:color w:val="auto"/>
              </w:rPr>
              <w:t>废包装材料</w:t>
            </w:r>
          </w:p>
        </w:tc>
        <w:tc>
          <w:tcPr>
            <w:tcW w:w="1701" w:type="dxa"/>
            <w:vAlign w:val="center"/>
          </w:tcPr>
          <w:p>
            <w:pPr>
              <w:pStyle w:val="11"/>
              <w:jc w:val="center"/>
              <w:rPr>
                <w:color w:val="auto"/>
              </w:rPr>
            </w:pPr>
          </w:p>
        </w:tc>
        <w:tc>
          <w:tcPr>
            <w:tcW w:w="1276" w:type="dxa"/>
            <w:vAlign w:val="center"/>
          </w:tcPr>
          <w:p>
            <w:pPr>
              <w:pStyle w:val="11"/>
              <w:jc w:val="center"/>
              <w:rPr>
                <w:color w:val="auto"/>
              </w:rPr>
            </w:pPr>
          </w:p>
        </w:tc>
        <w:tc>
          <w:tcPr>
            <w:tcW w:w="1701" w:type="dxa"/>
            <w:vAlign w:val="center"/>
          </w:tcPr>
          <w:p>
            <w:pPr>
              <w:pStyle w:val="11"/>
              <w:jc w:val="center"/>
              <w:rPr>
                <w:color w:val="auto"/>
              </w:rPr>
            </w:pPr>
          </w:p>
        </w:tc>
        <w:tc>
          <w:tcPr>
            <w:tcW w:w="1559" w:type="dxa"/>
            <w:vAlign w:val="center"/>
          </w:tcPr>
          <w:p>
            <w:pPr>
              <w:pStyle w:val="11"/>
              <w:jc w:val="center"/>
              <w:rPr>
                <w:color w:val="auto"/>
              </w:rPr>
            </w:pPr>
            <w:r>
              <w:rPr>
                <w:color w:val="auto"/>
              </w:rPr>
              <w:t>0.5t/a</w:t>
            </w:r>
          </w:p>
        </w:tc>
        <w:tc>
          <w:tcPr>
            <w:tcW w:w="1761" w:type="dxa"/>
            <w:vAlign w:val="center"/>
          </w:tcPr>
          <w:p>
            <w:pPr>
              <w:pStyle w:val="11"/>
              <w:jc w:val="center"/>
              <w:rPr>
                <w:color w:val="auto"/>
              </w:rPr>
            </w:pPr>
          </w:p>
        </w:tc>
        <w:tc>
          <w:tcPr>
            <w:tcW w:w="1959" w:type="dxa"/>
            <w:vAlign w:val="center"/>
          </w:tcPr>
          <w:p>
            <w:pPr>
              <w:pStyle w:val="11"/>
              <w:jc w:val="center"/>
              <w:rPr>
                <w:color w:val="auto"/>
                <w:kern w:val="2"/>
              </w:rPr>
            </w:pPr>
            <w:r>
              <w:rPr>
                <w:color w:val="auto"/>
              </w:rPr>
              <w:t>0.5t/a</w:t>
            </w:r>
          </w:p>
        </w:tc>
        <w:tc>
          <w:tcPr>
            <w:tcW w:w="1234" w:type="dxa"/>
            <w:vAlign w:val="center"/>
          </w:tcPr>
          <w:p>
            <w:pPr>
              <w:pStyle w:val="11"/>
              <w:spacing w:line="360" w:lineRule="auto"/>
              <w:jc w:val="center"/>
              <w:rPr>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81" w:type="dxa"/>
            <w:vMerge w:val="continue"/>
            <w:vAlign w:val="center"/>
          </w:tcPr>
          <w:p>
            <w:pPr>
              <w:pStyle w:val="11"/>
              <w:spacing w:line="360" w:lineRule="auto"/>
              <w:jc w:val="center"/>
              <w:rPr>
                <w:b/>
                <w:bCs/>
                <w:color w:val="auto"/>
              </w:rPr>
            </w:pPr>
          </w:p>
        </w:tc>
        <w:tc>
          <w:tcPr>
            <w:tcW w:w="2305" w:type="dxa"/>
            <w:vAlign w:val="center"/>
          </w:tcPr>
          <w:p>
            <w:pPr>
              <w:pStyle w:val="11"/>
              <w:jc w:val="center"/>
              <w:rPr>
                <w:color w:val="auto"/>
              </w:rPr>
            </w:pPr>
            <w:r>
              <w:rPr>
                <w:color w:val="auto"/>
              </w:rPr>
              <w:t>不合格产品</w:t>
            </w:r>
          </w:p>
        </w:tc>
        <w:tc>
          <w:tcPr>
            <w:tcW w:w="1701" w:type="dxa"/>
            <w:vAlign w:val="center"/>
          </w:tcPr>
          <w:p>
            <w:pPr>
              <w:pStyle w:val="11"/>
              <w:jc w:val="center"/>
              <w:rPr>
                <w:color w:val="auto"/>
              </w:rPr>
            </w:pPr>
          </w:p>
        </w:tc>
        <w:tc>
          <w:tcPr>
            <w:tcW w:w="1276" w:type="dxa"/>
            <w:vAlign w:val="center"/>
          </w:tcPr>
          <w:p>
            <w:pPr>
              <w:pStyle w:val="11"/>
              <w:jc w:val="center"/>
              <w:rPr>
                <w:color w:val="auto"/>
              </w:rPr>
            </w:pPr>
          </w:p>
        </w:tc>
        <w:tc>
          <w:tcPr>
            <w:tcW w:w="1701" w:type="dxa"/>
            <w:vAlign w:val="center"/>
          </w:tcPr>
          <w:p>
            <w:pPr>
              <w:pStyle w:val="11"/>
              <w:jc w:val="center"/>
              <w:rPr>
                <w:color w:val="auto"/>
              </w:rPr>
            </w:pPr>
          </w:p>
        </w:tc>
        <w:tc>
          <w:tcPr>
            <w:tcW w:w="1559" w:type="dxa"/>
            <w:vAlign w:val="center"/>
          </w:tcPr>
          <w:p>
            <w:pPr>
              <w:pStyle w:val="11"/>
              <w:jc w:val="center"/>
              <w:rPr>
                <w:color w:val="auto"/>
              </w:rPr>
            </w:pPr>
            <w:r>
              <w:rPr>
                <w:rFonts w:hint="eastAsia" w:cs="Times New Roman"/>
                <w:color w:val="auto"/>
                <w:lang w:val="en-US" w:eastAsia="zh-CN"/>
              </w:rPr>
              <w:t>7.36</w:t>
            </w:r>
            <w:r>
              <w:rPr>
                <w:rFonts w:hint="default" w:ascii="Times New Roman" w:hAnsi="Times New Roman" w:cs="Times New Roman"/>
                <w:color w:val="auto"/>
              </w:rPr>
              <w:t>t/a</w:t>
            </w:r>
          </w:p>
        </w:tc>
        <w:tc>
          <w:tcPr>
            <w:tcW w:w="1761" w:type="dxa"/>
            <w:vAlign w:val="center"/>
          </w:tcPr>
          <w:p>
            <w:pPr>
              <w:pStyle w:val="11"/>
              <w:jc w:val="center"/>
              <w:rPr>
                <w:color w:val="auto"/>
              </w:rPr>
            </w:pPr>
          </w:p>
        </w:tc>
        <w:tc>
          <w:tcPr>
            <w:tcW w:w="1959" w:type="dxa"/>
            <w:vAlign w:val="center"/>
          </w:tcPr>
          <w:p>
            <w:pPr>
              <w:pStyle w:val="11"/>
              <w:jc w:val="center"/>
              <w:rPr>
                <w:color w:val="auto"/>
              </w:rPr>
            </w:pPr>
            <w:r>
              <w:rPr>
                <w:rFonts w:hint="eastAsia" w:cs="Times New Roman"/>
                <w:color w:val="auto"/>
                <w:lang w:val="en-US" w:eastAsia="zh-CN"/>
              </w:rPr>
              <w:t>7.36</w:t>
            </w:r>
            <w:r>
              <w:rPr>
                <w:rFonts w:hint="default" w:ascii="Times New Roman" w:hAnsi="Times New Roman" w:cs="Times New Roman"/>
                <w:color w:val="auto"/>
              </w:rPr>
              <w:t>t/a</w:t>
            </w:r>
          </w:p>
        </w:tc>
        <w:tc>
          <w:tcPr>
            <w:tcW w:w="1234" w:type="dxa"/>
            <w:vAlign w:val="center"/>
          </w:tcPr>
          <w:p>
            <w:pPr>
              <w:pStyle w:val="11"/>
              <w:spacing w:line="360" w:lineRule="auto"/>
              <w:jc w:val="center"/>
              <w:rPr>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81" w:type="dxa"/>
            <w:vMerge w:val="restart"/>
            <w:vAlign w:val="center"/>
          </w:tcPr>
          <w:p>
            <w:pPr>
              <w:pStyle w:val="11"/>
              <w:spacing w:line="360" w:lineRule="auto"/>
              <w:jc w:val="center"/>
              <w:rPr>
                <w:b/>
                <w:bCs/>
                <w:color w:val="auto"/>
              </w:rPr>
            </w:pPr>
            <w:r>
              <w:rPr>
                <w:b/>
                <w:bCs/>
                <w:color w:val="auto"/>
              </w:rPr>
              <w:t>危险废物</w:t>
            </w:r>
          </w:p>
        </w:tc>
        <w:tc>
          <w:tcPr>
            <w:tcW w:w="2305" w:type="dxa"/>
            <w:vAlign w:val="center"/>
          </w:tcPr>
          <w:p>
            <w:pPr>
              <w:pStyle w:val="11"/>
              <w:jc w:val="center"/>
              <w:rPr>
                <w:color w:val="auto"/>
                <w:kern w:val="2"/>
              </w:rPr>
            </w:pPr>
            <w:r>
              <w:rPr>
                <w:color w:val="auto"/>
              </w:rPr>
              <w:t>废机油</w:t>
            </w:r>
          </w:p>
        </w:tc>
        <w:tc>
          <w:tcPr>
            <w:tcW w:w="1701" w:type="dxa"/>
            <w:vAlign w:val="center"/>
          </w:tcPr>
          <w:p>
            <w:pPr>
              <w:pStyle w:val="11"/>
              <w:jc w:val="center"/>
              <w:rPr>
                <w:color w:val="auto"/>
              </w:rPr>
            </w:pPr>
          </w:p>
        </w:tc>
        <w:tc>
          <w:tcPr>
            <w:tcW w:w="1276" w:type="dxa"/>
            <w:vAlign w:val="center"/>
          </w:tcPr>
          <w:p>
            <w:pPr>
              <w:pStyle w:val="11"/>
              <w:jc w:val="center"/>
              <w:rPr>
                <w:color w:val="auto"/>
              </w:rPr>
            </w:pPr>
          </w:p>
        </w:tc>
        <w:tc>
          <w:tcPr>
            <w:tcW w:w="1701" w:type="dxa"/>
            <w:vAlign w:val="center"/>
          </w:tcPr>
          <w:p>
            <w:pPr>
              <w:pStyle w:val="11"/>
              <w:jc w:val="center"/>
              <w:rPr>
                <w:color w:val="auto"/>
              </w:rPr>
            </w:pPr>
          </w:p>
        </w:tc>
        <w:tc>
          <w:tcPr>
            <w:tcW w:w="1559" w:type="dxa"/>
            <w:vAlign w:val="center"/>
          </w:tcPr>
          <w:p>
            <w:pPr>
              <w:pStyle w:val="11"/>
              <w:jc w:val="center"/>
              <w:rPr>
                <w:color w:val="auto"/>
                <w:kern w:val="2"/>
              </w:rPr>
            </w:pPr>
            <w:r>
              <w:rPr>
                <w:color w:val="auto"/>
              </w:rPr>
              <w:t>0.010t/a</w:t>
            </w:r>
          </w:p>
        </w:tc>
        <w:tc>
          <w:tcPr>
            <w:tcW w:w="1761" w:type="dxa"/>
            <w:vAlign w:val="center"/>
          </w:tcPr>
          <w:p>
            <w:pPr>
              <w:pStyle w:val="11"/>
              <w:jc w:val="center"/>
              <w:rPr>
                <w:color w:val="auto"/>
              </w:rPr>
            </w:pPr>
          </w:p>
        </w:tc>
        <w:tc>
          <w:tcPr>
            <w:tcW w:w="1959" w:type="dxa"/>
            <w:vAlign w:val="center"/>
          </w:tcPr>
          <w:p>
            <w:pPr>
              <w:pStyle w:val="11"/>
              <w:jc w:val="center"/>
              <w:rPr>
                <w:color w:val="auto"/>
                <w:kern w:val="2"/>
              </w:rPr>
            </w:pPr>
            <w:r>
              <w:rPr>
                <w:color w:val="auto"/>
              </w:rPr>
              <w:t>0.010t/a</w:t>
            </w:r>
          </w:p>
        </w:tc>
        <w:tc>
          <w:tcPr>
            <w:tcW w:w="1234" w:type="dxa"/>
            <w:vAlign w:val="center"/>
          </w:tcPr>
          <w:p>
            <w:pPr>
              <w:pStyle w:val="11"/>
              <w:spacing w:line="360" w:lineRule="auto"/>
              <w:jc w:val="center"/>
              <w:rPr>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81" w:type="dxa"/>
            <w:vMerge w:val="continue"/>
            <w:vAlign w:val="center"/>
          </w:tcPr>
          <w:p>
            <w:pPr>
              <w:pStyle w:val="11"/>
              <w:spacing w:line="360" w:lineRule="auto"/>
              <w:jc w:val="center"/>
              <w:rPr>
                <w:b/>
                <w:bCs/>
                <w:color w:val="auto"/>
              </w:rPr>
            </w:pPr>
          </w:p>
        </w:tc>
        <w:tc>
          <w:tcPr>
            <w:tcW w:w="2305" w:type="dxa"/>
            <w:vAlign w:val="center"/>
          </w:tcPr>
          <w:p>
            <w:pPr>
              <w:pStyle w:val="11"/>
              <w:jc w:val="center"/>
              <w:rPr>
                <w:color w:val="auto"/>
                <w:kern w:val="2"/>
              </w:rPr>
            </w:pPr>
            <w:r>
              <w:rPr>
                <w:color w:val="auto"/>
              </w:rPr>
              <w:t>废液压油</w:t>
            </w:r>
          </w:p>
        </w:tc>
        <w:tc>
          <w:tcPr>
            <w:tcW w:w="1701" w:type="dxa"/>
            <w:vAlign w:val="center"/>
          </w:tcPr>
          <w:p>
            <w:pPr>
              <w:pStyle w:val="11"/>
              <w:jc w:val="center"/>
              <w:rPr>
                <w:color w:val="auto"/>
              </w:rPr>
            </w:pPr>
          </w:p>
        </w:tc>
        <w:tc>
          <w:tcPr>
            <w:tcW w:w="1276" w:type="dxa"/>
            <w:vAlign w:val="center"/>
          </w:tcPr>
          <w:p>
            <w:pPr>
              <w:pStyle w:val="11"/>
              <w:jc w:val="center"/>
              <w:rPr>
                <w:color w:val="auto"/>
              </w:rPr>
            </w:pPr>
          </w:p>
        </w:tc>
        <w:tc>
          <w:tcPr>
            <w:tcW w:w="1701" w:type="dxa"/>
            <w:vAlign w:val="center"/>
          </w:tcPr>
          <w:p>
            <w:pPr>
              <w:pStyle w:val="11"/>
              <w:jc w:val="center"/>
              <w:rPr>
                <w:color w:val="auto"/>
              </w:rPr>
            </w:pPr>
          </w:p>
        </w:tc>
        <w:tc>
          <w:tcPr>
            <w:tcW w:w="1559" w:type="dxa"/>
            <w:vAlign w:val="center"/>
          </w:tcPr>
          <w:p>
            <w:pPr>
              <w:pStyle w:val="11"/>
              <w:jc w:val="center"/>
              <w:rPr>
                <w:color w:val="auto"/>
                <w:kern w:val="2"/>
              </w:rPr>
            </w:pPr>
            <w:r>
              <w:rPr>
                <w:color w:val="auto"/>
              </w:rPr>
              <w:t>0.005t/a</w:t>
            </w:r>
          </w:p>
        </w:tc>
        <w:tc>
          <w:tcPr>
            <w:tcW w:w="1761" w:type="dxa"/>
            <w:vAlign w:val="center"/>
          </w:tcPr>
          <w:p>
            <w:pPr>
              <w:pStyle w:val="11"/>
              <w:jc w:val="center"/>
              <w:rPr>
                <w:color w:val="auto"/>
              </w:rPr>
            </w:pPr>
          </w:p>
        </w:tc>
        <w:tc>
          <w:tcPr>
            <w:tcW w:w="1959" w:type="dxa"/>
            <w:vAlign w:val="center"/>
          </w:tcPr>
          <w:p>
            <w:pPr>
              <w:pStyle w:val="11"/>
              <w:jc w:val="center"/>
              <w:rPr>
                <w:color w:val="auto"/>
                <w:kern w:val="2"/>
              </w:rPr>
            </w:pPr>
            <w:r>
              <w:rPr>
                <w:color w:val="auto"/>
              </w:rPr>
              <w:t>0.005t/a</w:t>
            </w:r>
          </w:p>
        </w:tc>
        <w:tc>
          <w:tcPr>
            <w:tcW w:w="1234" w:type="dxa"/>
            <w:vAlign w:val="center"/>
          </w:tcPr>
          <w:p>
            <w:pPr>
              <w:pStyle w:val="11"/>
              <w:spacing w:line="360" w:lineRule="auto"/>
              <w:jc w:val="center"/>
              <w:rPr>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81" w:type="dxa"/>
            <w:vMerge w:val="continue"/>
            <w:vAlign w:val="center"/>
          </w:tcPr>
          <w:p>
            <w:pPr>
              <w:pStyle w:val="11"/>
              <w:spacing w:line="360" w:lineRule="auto"/>
              <w:jc w:val="center"/>
              <w:rPr>
                <w:b/>
                <w:bCs/>
                <w:color w:val="auto"/>
              </w:rPr>
            </w:pPr>
          </w:p>
        </w:tc>
        <w:tc>
          <w:tcPr>
            <w:tcW w:w="2305" w:type="dxa"/>
            <w:vAlign w:val="center"/>
          </w:tcPr>
          <w:p>
            <w:pPr>
              <w:pStyle w:val="11"/>
              <w:jc w:val="center"/>
              <w:rPr>
                <w:color w:val="auto"/>
                <w:kern w:val="2"/>
              </w:rPr>
            </w:pPr>
            <w:r>
              <w:rPr>
                <w:color w:val="auto"/>
              </w:rPr>
              <w:t>废机油、液压油桶</w:t>
            </w:r>
          </w:p>
        </w:tc>
        <w:tc>
          <w:tcPr>
            <w:tcW w:w="1701" w:type="dxa"/>
            <w:vAlign w:val="center"/>
          </w:tcPr>
          <w:p>
            <w:pPr>
              <w:pStyle w:val="11"/>
              <w:jc w:val="center"/>
              <w:rPr>
                <w:color w:val="auto"/>
              </w:rPr>
            </w:pPr>
          </w:p>
        </w:tc>
        <w:tc>
          <w:tcPr>
            <w:tcW w:w="1276" w:type="dxa"/>
            <w:vAlign w:val="center"/>
          </w:tcPr>
          <w:p>
            <w:pPr>
              <w:pStyle w:val="11"/>
              <w:jc w:val="center"/>
              <w:rPr>
                <w:color w:val="auto"/>
              </w:rPr>
            </w:pPr>
          </w:p>
        </w:tc>
        <w:tc>
          <w:tcPr>
            <w:tcW w:w="1701" w:type="dxa"/>
            <w:vAlign w:val="center"/>
          </w:tcPr>
          <w:p>
            <w:pPr>
              <w:pStyle w:val="11"/>
              <w:jc w:val="center"/>
              <w:rPr>
                <w:color w:val="auto"/>
              </w:rPr>
            </w:pPr>
          </w:p>
        </w:tc>
        <w:tc>
          <w:tcPr>
            <w:tcW w:w="1559" w:type="dxa"/>
            <w:vAlign w:val="center"/>
          </w:tcPr>
          <w:p>
            <w:pPr>
              <w:pStyle w:val="11"/>
              <w:jc w:val="center"/>
              <w:rPr>
                <w:color w:val="auto"/>
                <w:kern w:val="2"/>
              </w:rPr>
            </w:pPr>
            <w:r>
              <w:rPr>
                <w:color w:val="auto"/>
              </w:rPr>
              <w:t>0.005t/a</w:t>
            </w:r>
          </w:p>
        </w:tc>
        <w:tc>
          <w:tcPr>
            <w:tcW w:w="1761" w:type="dxa"/>
            <w:vAlign w:val="center"/>
          </w:tcPr>
          <w:p>
            <w:pPr>
              <w:pStyle w:val="11"/>
              <w:jc w:val="center"/>
              <w:rPr>
                <w:color w:val="auto"/>
              </w:rPr>
            </w:pPr>
          </w:p>
        </w:tc>
        <w:tc>
          <w:tcPr>
            <w:tcW w:w="1959" w:type="dxa"/>
            <w:vAlign w:val="center"/>
          </w:tcPr>
          <w:p>
            <w:pPr>
              <w:pStyle w:val="11"/>
              <w:jc w:val="center"/>
              <w:rPr>
                <w:color w:val="auto"/>
                <w:kern w:val="2"/>
              </w:rPr>
            </w:pPr>
            <w:r>
              <w:rPr>
                <w:color w:val="auto"/>
              </w:rPr>
              <w:t>0.005t/a</w:t>
            </w:r>
          </w:p>
        </w:tc>
        <w:tc>
          <w:tcPr>
            <w:tcW w:w="1234" w:type="dxa"/>
            <w:vAlign w:val="center"/>
          </w:tcPr>
          <w:p>
            <w:pPr>
              <w:pStyle w:val="11"/>
              <w:spacing w:line="360" w:lineRule="auto"/>
              <w:jc w:val="center"/>
              <w:rPr>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81" w:type="dxa"/>
            <w:vMerge w:val="continue"/>
            <w:vAlign w:val="center"/>
          </w:tcPr>
          <w:p>
            <w:pPr>
              <w:pStyle w:val="11"/>
              <w:spacing w:line="360" w:lineRule="auto"/>
              <w:jc w:val="center"/>
              <w:rPr>
                <w:b/>
                <w:bCs/>
                <w:color w:val="auto"/>
              </w:rPr>
            </w:pPr>
          </w:p>
        </w:tc>
        <w:tc>
          <w:tcPr>
            <w:tcW w:w="2305" w:type="dxa"/>
            <w:vAlign w:val="center"/>
          </w:tcPr>
          <w:p>
            <w:pPr>
              <w:pStyle w:val="11"/>
              <w:jc w:val="center"/>
              <w:rPr>
                <w:color w:val="auto"/>
                <w:kern w:val="2"/>
              </w:rPr>
            </w:pPr>
            <w:r>
              <w:rPr>
                <w:color w:val="auto"/>
              </w:rPr>
              <w:t>废活性炭</w:t>
            </w:r>
          </w:p>
        </w:tc>
        <w:tc>
          <w:tcPr>
            <w:tcW w:w="1701" w:type="dxa"/>
            <w:vAlign w:val="center"/>
          </w:tcPr>
          <w:p>
            <w:pPr>
              <w:pStyle w:val="11"/>
              <w:jc w:val="center"/>
              <w:rPr>
                <w:color w:val="auto"/>
              </w:rPr>
            </w:pPr>
          </w:p>
        </w:tc>
        <w:tc>
          <w:tcPr>
            <w:tcW w:w="1276" w:type="dxa"/>
            <w:vAlign w:val="center"/>
          </w:tcPr>
          <w:p>
            <w:pPr>
              <w:pStyle w:val="11"/>
              <w:jc w:val="center"/>
              <w:rPr>
                <w:color w:val="auto"/>
              </w:rPr>
            </w:pPr>
          </w:p>
        </w:tc>
        <w:tc>
          <w:tcPr>
            <w:tcW w:w="1701" w:type="dxa"/>
            <w:vAlign w:val="center"/>
          </w:tcPr>
          <w:p>
            <w:pPr>
              <w:pStyle w:val="11"/>
              <w:jc w:val="center"/>
              <w:rPr>
                <w:color w:val="auto"/>
              </w:rPr>
            </w:pPr>
          </w:p>
        </w:tc>
        <w:tc>
          <w:tcPr>
            <w:tcW w:w="1559" w:type="dxa"/>
            <w:vAlign w:val="center"/>
          </w:tcPr>
          <w:p>
            <w:pPr>
              <w:pStyle w:val="11"/>
              <w:jc w:val="center"/>
              <w:rPr>
                <w:color w:val="auto"/>
                <w:kern w:val="2"/>
              </w:rPr>
            </w:pPr>
            <w:r>
              <w:rPr>
                <w:rFonts w:hint="eastAsia" w:cs="Times New Roman"/>
                <w:color w:val="auto"/>
                <w:lang w:val="en-US" w:eastAsia="zh-CN"/>
              </w:rPr>
              <w:t>1</w:t>
            </w:r>
            <w:r>
              <w:rPr>
                <w:rFonts w:hint="default" w:ascii="Times New Roman" w:hAnsi="Times New Roman" w:cs="Times New Roman"/>
                <w:color w:val="auto"/>
              </w:rPr>
              <w:t>t/a</w:t>
            </w:r>
          </w:p>
        </w:tc>
        <w:tc>
          <w:tcPr>
            <w:tcW w:w="1761" w:type="dxa"/>
            <w:vAlign w:val="center"/>
          </w:tcPr>
          <w:p>
            <w:pPr>
              <w:pStyle w:val="11"/>
              <w:jc w:val="center"/>
              <w:rPr>
                <w:color w:val="auto"/>
              </w:rPr>
            </w:pPr>
          </w:p>
        </w:tc>
        <w:tc>
          <w:tcPr>
            <w:tcW w:w="1959" w:type="dxa"/>
            <w:vAlign w:val="center"/>
          </w:tcPr>
          <w:p>
            <w:pPr>
              <w:pStyle w:val="11"/>
              <w:jc w:val="center"/>
              <w:rPr>
                <w:color w:val="auto"/>
                <w:kern w:val="2"/>
              </w:rPr>
            </w:pPr>
            <w:r>
              <w:rPr>
                <w:rFonts w:hint="eastAsia" w:cs="Times New Roman"/>
                <w:color w:val="auto"/>
                <w:lang w:val="en-US" w:eastAsia="zh-CN"/>
              </w:rPr>
              <w:t>1</w:t>
            </w:r>
            <w:r>
              <w:rPr>
                <w:rFonts w:hint="default" w:ascii="Times New Roman" w:hAnsi="Times New Roman" w:cs="Times New Roman"/>
                <w:color w:val="auto"/>
              </w:rPr>
              <w:t>t/a</w:t>
            </w:r>
          </w:p>
        </w:tc>
        <w:tc>
          <w:tcPr>
            <w:tcW w:w="1234" w:type="dxa"/>
            <w:vAlign w:val="center"/>
          </w:tcPr>
          <w:p>
            <w:pPr>
              <w:pStyle w:val="11"/>
              <w:spacing w:line="360" w:lineRule="auto"/>
              <w:jc w:val="center"/>
              <w:rPr>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81" w:type="dxa"/>
            <w:vMerge w:val="continue"/>
            <w:vAlign w:val="center"/>
          </w:tcPr>
          <w:p>
            <w:pPr>
              <w:pStyle w:val="11"/>
              <w:spacing w:line="360" w:lineRule="auto"/>
              <w:jc w:val="center"/>
              <w:rPr>
                <w:b/>
                <w:bCs/>
                <w:color w:val="auto"/>
              </w:rPr>
            </w:pPr>
          </w:p>
        </w:tc>
        <w:tc>
          <w:tcPr>
            <w:tcW w:w="2305" w:type="dxa"/>
            <w:vAlign w:val="center"/>
          </w:tcPr>
          <w:p>
            <w:pPr>
              <w:pStyle w:val="11"/>
              <w:jc w:val="center"/>
              <w:rPr>
                <w:color w:val="auto"/>
              </w:rPr>
            </w:pPr>
            <w:r>
              <w:rPr>
                <w:color w:val="auto"/>
              </w:rPr>
              <w:t>废过滤滤芯</w:t>
            </w:r>
          </w:p>
        </w:tc>
        <w:tc>
          <w:tcPr>
            <w:tcW w:w="1701" w:type="dxa"/>
            <w:vAlign w:val="center"/>
          </w:tcPr>
          <w:p>
            <w:pPr>
              <w:pStyle w:val="11"/>
              <w:jc w:val="center"/>
              <w:rPr>
                <w:color w:val="auto"/>
              </w:rPr>
            </w:pPr>
          </w:p>
        </w:tc>
        <w:tc>
          <w:tcPr>
            <w:tcW w:w="1276" w:type="dxa"/>
            <w:vAlign w:val="center"/>
          </w:tcPr>
          <w:p>
            <w:pPr>
              <w:pStyle w:val="11"/>
              <w:jc w:val="center"/>
              <w:rPr>
                <w:color w:val="auto"/>
              </w:rPr>
            </w:pPr>
          </w:p>
        </w:tc>
        <w:tc>
          <w:tcPr>
            <w:tcW w:w="1701" w:type="dxa"/>
            <w:vAlign w:val="center"/>
          </w:tcPr>
          <w:p>
            <w:pPr>
              <w:pStyle w:val="11"/>
              <w:jc w:val="center"/>
              <w:rPr>
                <w:color w:val="auto"/>
              </w:rPr>
            </w:pPr>
          </w:p>
        </w:tc>
        <w:tc>
          <w:tcPr>
            <w:tcW w:w="1559" w:type="dxa"/>
            <w:vAlign w:val="center"/>
          </w:tcPr>
          <w:p>
            <w:pPr>
              <w:pStyle w:val="11"/>
              <w:jc w:val="center"/>
              <w:rPr>
                <w:color w:val="auto"/>
              </w:rPr>
            </w:pPr>
            <w:r>
              <w:rPr>
                <w:color w:val="auto"/>
              </w:rPr>
              <w:t>0.010t/a</w:t>
            </w:r>
          </w:p>
        </w:tc>
        <w:tc>
          <w:tcPr>
            <w:tcW w:w="1761" w:type="dxa"/>
            <w:vAlign w:val="center"/>
          </w:tcPr>
          <w:p>
            <w:pPr>
              <w:pStyle w:val="11"/>
              <w:jc w:val="center"/>
              <w:rPr>
                <w:color w:val="auto"/>
              </w:rPr>
            </w:pPr>
          </w:p>
        </w:tc>
        <w:tc>
          <w:tcPr>
            <w:tcW w:w="1959" w:type="dxa"/>
            <w:vAlign w:val="center"/>
          </w:tcPr>
          <w:p>
            <w:pPr>
              <w:pStyle w:val="11"/>
              <w:jc w:val="center"/>
              <w:rPr>
                <w:color w:val="auto"/>
                <w:kern w:val="2"/>
              </w:rPr>
            </w:pPr>
            <w:r>
              <w:rPr>
                <w:color w:val="auto"/>
              </w:rPr>
              <w:t>0.010t/a</w:t>
            </w:r>
          </w:p>
        </w:tc>
        <w:tc>
          <w:tcPr>
            <w:tcW w:w="1234" w:type="dxa"/>
            <w:vAlign w:val="center"/>
          </w:tcPr>
          <w:p>
            <w:pPr>
              <w:pStyle w:val="11"/>
              <w:spacing w:line="360" w:lineRule="auto"/>
              <w:jc w:val="center"/>
              <w:rPr>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81" w:type="dxa"/>
            <w:vMerge w:val="continue"/>
            <w:vAlign w:val="center"/>
          </w:tcPr>
          <w:p>
            <w:pPr>
              <w:pStyle w:val="11"/>
              <w:spacing w:line="360" w:lineRule="auto"/>
              <w:jc w:val="center"/>
              <w:rPr>
                <w:b/>
                <w:bCs/>
                <w:color w:val="auto"/>
              </w:rPr>
            </w:pPr>
          </w:p>
        </w:tc>
        <w:tc>
          <w:tcPr>
            <w:tcW w:w="2305" w:type="dxa"/>
            <w:vAlign w:val="center"/>
          </w:tcPr>
          <w:p>
            <w:pPr>
              <w:pStyle w:val="11"/>
              <w:jc w:val="center"/>
              <w:rPr>
                <w:color w:val="auto"/>
              </w:rPr>
            </w:pPr>
          </w:p>
        </w:tc>
        <w:tc>
          <w:tcPr>
            <w:tcW w:w="1701" w:type="dxa"/>
            <w:vAlign w:val="center"/>
          </w:tcPr>
          <w:p>
            <w:pPr>
              <w:pStyle w:val="11"/>
              <w:jc w:val="center"/>
              <w:rPr>
                <w:color w:val="auto"/>
              </w:rPr>
            </w:pPr>
          </w:p>
        </w:tc>
        <w:tc>
          <w:tcPr>
            <w:tcW w:w="1276" w:type="dxa"/>
            <w:vAlign w:val="center"/>
          </w:tcPr>
          <w:p>
            <w:pPr>
              <w:pStyle w:val="11"/>
              <w:jc w:val="center"/>
              <w:rPr>
                <w:color w:val="auto"/>
              </w:rPr>
            </w:pPr>
          </w:p>
        </w:tc>
        <w:tc>
          <w:tcPr>
            <w:tcW w:w="1701" w:type="dxa"/>
            <w:vAlign w:val="center"/>
          </w:tcPr>
          <w:p>
            <w:pPr>
              <w:pStyle w:val="11"/>
              <w:jc w:val="center"/>
              <w:rPr>
                <w:color w:val="auto"/>
              </w:rPr>
            </w:pPr>
          </w:p>
        </w:tc>
        <w:tc>
          <w:tcPr>
            <w:tcW w:w="1559" w:type="dxa"/>
            <w:vAlign w:val="center"/>
          </w:tcPr>
          <w:p>
            <w:pPr>
              <w:pStyle w:val="11"/>
              <w:jc w:val="center"/>
              <w:rPr>
                <w:color w:val="auto"/>
              </w:rPr>
            </w:pPr>
          </w:p>
        </w:tc>
        <w:tc>
          <w:tcPr>
            <w:tcW w:w="1761" w:type="dxa"/>
            <w:vAlign w:val="center"/>
          </w:tcPr>
          <w:p>
            <w:pPr>
              <w:pStyle w:val="11"/>
              <w:jc w:val="center"/>
              <w:rPr>
                <w:color w:val="auto"/>
              </w:rPr>
            </w:pPr>
          </w:p>
        </w:tc>
        <w:tc>
          <w:tcPr>
            <w:tcW w:w="1959" w:type="dxa"/>
            <w:vAlign w:val="center"/>
          </w:tcPr>
          <w:p>
            <w:pPr>
              <w:pStyle w:val="11"/>
              <w:jc w:val="center"/>
              <w:rPr>
                <w:color w:val="auto"/>
              </w:rPr>
            </w:pPr>
          </w:p>
        </w:tc>
        <w:tc>
          <w:tcPr>
            <w:tcW w:w="1234" w:type="dxa"/>
            <w:vAlign w:val="center"/>
          </w:tcPr>
          <w:p>
            <w:pPr>
              <w:pStyle w:val="11"/>
              <w:spacing w:line="360" w:lineRule="auto"/>
              <w:jc w:val="center"/>
              <w:rPr>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81" w:type="dxa"/>
            <w:vMerge w:val="continue"/>
            <w:vAlign w:val="center"/>
          </w:tcPr>
          <w:p>
            <w:pPr>
              <w:pStyle w:val="11"/>
              <w:spacing w:line="360" w:lineRule="auto"/>
              <w:jc w:val="center"/>
              <w:rPr>
                <w:b/>
                <w:bCs/>
                <w:color w:val="auto"/>
              </w:rPr>
            </w:pPr>
          </w:p>
        </w:tc>
        <w:tc>
          <w:tcPr>
            <w:tcW w:w="2305" w:type="dxa"/>
            <w:vAlign w:val="center"/>
          </w:tcPr>
          <w:p>
            <w:pPr>
              <w:pStyle w:val="11"/>
              <w:jc w:val="center"/>
              <w:rPr>
                <w:color w:val="auto"/>
              </w:rPr>
            </w:pPr>
          </w:p>
        </w:tc>
        <w:tc>
          <w:tcPr>
            <w:tcW w:w="1701" w:type="dxa"/>
            <w:vAlign w:val="center"/>
          </w:tcPr>
          <w:p>
            <w:pPr>
              <w:pStyle w:val="11"/>
              <w:jc w:val="center"/>
              <w:rPr>
                <w:color w:val="auto"/>
              </w:rPr>
            </w:pPr>
          </w:p>
        </w:tc>
        <w:tc>
          <w:tcPr>
            <w:tcW w:w="1276" w:type="dxa"/>
            <w:vAlign w:val="center"/>
          </w:tcPr>
          <w:p>
            <w:pPr>
              <w:pStyle w:val="11"/>
              <w:jc w:val="center"/>
              <w:rPr>
                <w:color w:val="auto"/>
              </w:rPr>
            </w:pPr>
          </w:p>
        </w:tc>
        <w:tc>
          <w:tcPr>
            <w:tcW w:w="1701" w:type="dxa"/>
            <w:vAlign w:val="center"/>
          </w:tcPr>
          <w:p>
            <w:pPr>
              <w:pStyle w:val="11"/>
              <w:jc w:val="center"/>
              <w:rPr>
                <w:color w:val="auto"/>
              </w:rPr>
            </w:pPr>
          </w:p>
        </w:tc>
        <w:tc>
          <w:tcPr>
            <w:tcW w:w="1559" w:type="dxa"/>
            <w:vAlign w:val="center"/>
          </w:tcPr>
          <w:p>
            <w:pPr>
              <w:pStyle w:val="11"/>
              <w:jc w:val="center"/>
              <w:rPr>
                <w:color w:val="auto"/>
              </w:rPr>
            </w:pPr>
          </w:p>
        </w:tc>
        <w:tc>
          <w:tcPr>
            <w:tcW w:w="1761" w:type="dxa"/>
            <w:vAlign w:val="center"/>
          </w:tcPr>
          <w:p>
            <w:pPr>
              <w:pStyle w:val="11"/>
              <w:jc w:val="center"/>
              <w:rPr>
                <w:color w:val="auto"/>
              </w:rPr>
            </w:pPr>
          </w:p>
        </w:tc>
        <w:tc>
          <w:tcPr>
            <w:tcW w:w="1959" w:type="dxa"/>
            <w:vAlign w:val="center"/>
          </w:tcPr>
          <w:p>
            <w:pPr>
              <w:pStyle w:val="11"/>
              <w:jc w:val="center"/>
              <w:rPr>
                <w:color w:val="auto"/>
              </w:rPr>
            </w:pPr>
          </w:p>
        </w:tc>
        <w:tc>
          <w:tcPr>
            <w:tcW w:w="1234" w:type="dxa"/>
            <w:vAlign w:val="center"/>
          </w:tcPr>
          <w:p>
            <w:pPr>
              <w:pStyle w:val="11"/>
              <w:spacing w:line="360" w:lineRule="auto"/>
              <w:jc w:val="center"/>
              <w:rPr>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81" w:type="dxa"/>
            <w:vMerge w:val="continue"/>
            <w:vAlign w:val="center"/>
          </w:tcPr>
          <w:p>
            <w:pPr>
              <w:pStyle w:val="11"/>
              <w:spacing w:line="360" w:lineRule="auto"/>
              <w:jc w:val="center"/>
              <w:rPr>
                <w:b/>
                <w:bCs/>
                <w:color w:val="auto"/>
              </w:rPr>
            </w:pPr>
          </w:p>
        </w:tc>
        <w:tc>
          <w:tcPr>
            <w:tcW w:w="2305" w:type="dxa"/>
            <w:vAlign w:val="center"/>
          </w:tcPr>
          <w:p>
            <w:pPr>
              <w:pStyle w:val="11"/>
              <w:jc w:val="center"/>
              <w:rPr>
                <w:color w:val="auto"/>
              </w:rPr>
            </w:pPr>
          </w:p>
        </w:tc>
        <w:tc>
          <w:tcPr>
            <w:tcW w:w="1701" w:type="dxa"/>
            <w:vAlign w:val="center"/>
          </w:tcPr>
          <w:p>
            <w:pPr>
              <w:pStyle w:val="11"/>
              <w:jc w:val="center"/>
              <w:rPr>
                <w:color w:val="auto"/>
              </w:rPr>
            </w:pPr>
          </w:p>
        </w:tc>
        <w:tc>
          <w:tcPr>
            <w:tcW w:w="1276" w:type="dxa"/>
            <w:vAlign w:val="center"/>
          </w:tcPr>
          <w:p>
            <w:pPr>
              <w:pStyle w:val="11"/>
              <w:jc w:val="center"/>
              <w:rPr>
                <w:color w:val="auto"/>
              </w:rPr>
            </w:pPr>
          </w:p>
        </w:tc>
        <w:tc>
          <w:tcPr>
            <w:tcW w:w="1701" w:type="dxa"/>
            <w:vAlign w:val="center"/>
          </w:tcPr>
          <w:p>
            <w:pPr>
              <w:pStyle w:val="11"/>
              <w:jc w:val="center"/>
              <w:rPr>
                <w:color w:val="auto"/>
              </w:rPr>
            </w:pPr>
          </w:p>
        </w:tc>
        <w:tc>
          <w:tcPr>
            <w:tcW w:w="1559" w:type="dxa"/>
            <w:vAlign w:val="center"/>
          </w:tcPr>
          <w:p>
            <w:pPr>
              <w:pStyle w:val="11"/>
              <w:jc w:val="center"/>
              <w:rPr>
                <w:color w:val="auto"/>
              </w:rPr>
            </w:pPr>
          </w:p>
        </w:tc>
        <w:tc>
          <w:tcPr>
            <w:tcW w:w="1761" w:type="dxa"/>
            <w:vAlign w:val="center"/>
          </w:tcPr>
          <w:p>
            <w:pPr>
              <w:pStyle w:val="11"/>
              <w:jc w:val="center"/>
              <w:rPr>
                <w:color w:val="auto"/>
              </w:rPr>
            </w:pPr>
          </w:p>
        </w:tc>
        <w:tc>
          <w:tcPr>
            <w:tcW w:w="1959" w:type="dxa"/>
            <w:vAlign w:val="center"/>
          </w:tcPr>
          <w:p>
            <w:pPr>
              <w:pStyle w:val="11"/>
              <w:jc w:val="center"/>
              <w:rPr>
                <w:color w:val="auto"/>
              </w:rPr>
            </w:pPr>
          </w:p>
        </w:tc>
        <w:tc>
          <w:tcPr>
            <w:tcW w:w="1234" w:type="dxa"/>
            <w:vAlign w:val="center"/>
          </w:tcPr>
          <w:p>
            <w:pPr>
              <w:pStyle w:val="11"/>
              <w:spacing w:line="360" w:lineRule="auto"/>
              <w:jc w:val="center"/>
              <w:rPr>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81" w:type="dxa"/>
            <w:vMerge w:val="continue"/>
            <w:vAlign w:val="center"/>
          </w:tcPr>
          <w:p>
            <w:pPr>
              <w:pStyle w:val="11"/>
              <w:spacing w:line="360" w:lineRule="auto"/>
              <w:jc w:val="center"/>
              <w:rPr>
                <w:b/>
                <w:bCs/>
                <w:color w:val="auto"/>
              </w:rPr>
            </w:pPr>
          </w:p>
        </w:tc>
        <w:tc>
          <w:tcPr>
            <w:tcW w:w="2305" w:type="dxa"/>
            <w:vAlign w:val="center"/>
          </w:tcPr>
          <w:p>
            <w:pPr>
              <w:pStyle w:val="11"/>
              <w:spacing w:line="360" w:lineRule="auto"/>
              <w:jc w:val="center"/>
              <w:rPr>
                <w:color w:val="auto"/>
              </w:rPr>
            </w:pPr>
          </w:p>
        </w:tc>
        <w:tc>
          <w:tcPr>
            <w:tcW w:w="1701" w:type="dxa"/>
            <w:vAlign w:val="center"/>
          </w:tcPr>
          <w:p>
            <w:pPr>
              <w:pStyle w:val="11"/>
              <w:spacing w:line="360" w:lineRule="auto"/>
              <w:jc w:val="center"/>
              <w:rPr>
                <w:color w:val="auto"/>
              </w:rPr>
            </w:pPr>
          </w:p>
        </w:tc>
        <w:tc>
          <w:tcPr>
            <w:tcW w:w="1276" w:type="dxa"/>
            <w:vAlign w:val="center"/>
          </w:tcPr>
          <w:p>
            <w:pPr>
              <w:pStyle w:val="11"/>
              <w:spacing w:line="360" w:lineRule="auto"/>
              <w:jc w:val="center"/>
              <w:rPr>
                <w:color w:val="auto"/>
              </w:rPr>
            </w:pPr>
          </w:p>
        </w:tc>
        <w:tc>
          <w:tcPr>
            <w:tcW w:w="1701" w:type="dxa"/>
            <w:vAlign w:val="center"/>
          </w:tcPr>
          <w:p>
            <w:pPr>
              <w:pStyle w:val="11"/>
              <w:spacing w:line="360" w:lineRule="auto"/>
              <w:jc w:val="center"/>
              <w:rPr>
                <w:color w:val="auto"/>
              </w:rPr>
            </w:pPr>
          </w:p>
        </w:tc>
        <w:tc>
          <w:tcPr>
            <w:tcW w:w="1559" w:type="dxa"/>
            <w:vAlign w:val="center"/>
          </w:tcPr>
          <w:p>
            <w:pPr>
              <w:pStyle w:val="11"/>
              <w:spacing w:line="360" w:lineRule="auto"/>
              <w:jc w:val="center"/>
              <w:rPr>
                <w:color w:val="auto"/>
              </w:rPr>
            </w:pPr>
          </w:p>
        </w:tc>
        <w:tc>
          <w:tcPr>
            <w:tcW w:w="1761" w:type="dxa"/>
            <w:vAlign w:val="center"/>
          </w:tcPr>
          <w:p>
            <w:pPr>
              <w:pStyle w:val="11"/>
              <w:spacing w:line="360" w:lineRule="auto"/>
              <w:jc w:val="center"/>
              <w:rPr>
                <w:color w:val="auto"/>
              </w:rPr>
            </w:pPr>
          </w:p>
        </w:tc>
        <w:tc>
          <w:tcPr>
            <w:tcW w:w="1959" w:type="dxa"/>
            <w:vAlign w:val="center"/>
          </w:tcPr>
          <w:p>
            <w:pPr>
              <w:pStyle w:val="11"/>
              <w:spacing w:line="360" w:lineRule="auto"/>
              <w:jc w:val="center"/>
              <w:rPr>
                <w:color w:val="auto"/>
                <w:kern w:val="2"/>
              </w:rPr>
            </w:pPr>
          </w:p>
        </w:tc>
        <w:tc>
          <w:tcPr>
            <w:tcW w:w="1234" w:type="dxa"/>
            <w:vAlign w:val="center"/>
          </w:tcPr>
          <w:p>
            <w:pPr>
              <w:pStyle w:val="11"/>
              <w:spacing w:line="360" w:lineRule="auto"/>
              <w:jc w:val="center"/>
              <w:rPr>
                <w:color w:val="auto"/>
              </w:rPr>
            </w:pPr>
          </w:p>
        </w:tc>
      </w:tr>
    </w:tbl>
    <w:p>
      <w:pPr>
        <w:ind w:firstLine="480"/>
        <w:rPr>
          <w:color w:val="auto"/>
        </w:rPr>
      </w:pPr>
    </w:p>
    <w:p>
      <w:pPr>
        <w:ind w:firstLine="480"/>
        <w:rPr>
          <w:rFonts w:hint="default" w:ascii="Times New Roman" w:hAnsi="Times New Roman" w:cs="Times New Roman"/>
          <w:color w:val="auto"/>
        </w:rPr>
      </w:pPr>
      <w:r>
        <w:rPr>
          <w:rFonts w:hint="default" w:ascii="Times New Roman" w:hAnsi="Times New Roman" w:cs="Times New Roman"/>
          <w:color w:val="auto"/>
        </w:rPr>
        <w:t>注：</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 6 \* GB3 \* MERGEFORMAT </w:instrText>
      </w:r>
      <w:r>
        <w:rPr>
          <w:rFonts w:hint="default" w:ascii="Times New Roman" w:hAnsi="Times New Roman" w:cs="Times New Roman"/>
          <w:color w:val="auto"/>
        </w:rPr>
        <w:fldChar w:fldCharType="separate"/>
      </w:r>
      <w:r>
        <w:rPr>
          <w:rFonts w:hint="default" w:ascii="Times New Roman" w:hAnsi="Times New Roman" w:cs="Times New Roman"/>
          <w:color w:val="auto"/>
        </w:rPr>
        <w:t>⑥</w:t>
      </w:r>
      <w:r>
        <w:rPr>
          <w:rFonts w:hint="default" w:ascii="Times New Roman" w:hAnsi="Times New Roman" w:cs="Times New Roman"/>
          <w:color w:val="auto"/>
        </w:rPr>
        <w:fldChar w:fldCharType="end"/>
      </w:r>
      <w:r>
        <w:rPr>
          <w:rFonts w:hint="default" w:ascii="Times New Roman" w:hAnsi="Times New Roman" w:cs="Times New Roman"/>
          <w:color w:val="auto"/>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 1 \* GB3 \* MERGEFORMAT </w:instrText>
      </w:r>
      <w:r>
        <w:rPr>
          <w:rFonts w:hint="default" w:ascii="Times New Roman" w:hAnsi="Times New Roman" w:cs="Times New Roman"/>
          <w:color w:val="auto"/>
        </w:rPr>
        <w:fldChar w:fldCharType="separate"/>
      </w:r>
      <w:r>
        <w:rPr>
          <w:rFonts w:hint="default" w:ascii="Times New Roman" w:hAnsi="Times New Roman" w:cs="Times New Roman"/>
          <w:color w:val="auto"/>
        </w:rPr>
        <w:t>①</w:t>
      </w:r>
      <w:r>
        <w:rPr>
          <w:rFonts w:hint="default" w:ascii="Times New Roman" w:hAnsi="Times New Roman" w:cs="Times New Roman"/>
          <w:color w:val="auto"/>
        </w:rPr>
        <w:fldChar w:fldCharType="end"/>
      </w:r>
      <w:r>
        <w:rPr>
          <w:rFonts w:hint="default" w:ascii="Times New Roman" w:hAnsi="Times New Roman" w:cs="Times New Roman"/>
          <w:color w:val="auto"/>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 3 \* GB3 \* MERGEFORMAT </w:instrText>
      </w:r>
      <w:r>
        <w:rPr>
          <w:rFonts w:hint="default" w:ascii="Times New Roman" w:hAnsi="Times New Roman" w:cs="Times New Roman"/>
          <w:color w:val="auto"/>
        </w:rPr>
        <w:fldChar w:fldCharType="separate"/>
      </w:r>
      <w:r>
        <w:rPr>
          <w:rFonts w:hint="default" w:ascii="Times New Roman" w:hAnsi="Times New Roman" w:cs="Times New Roman"/>
          <w:color w:val="auto"/>
        </w:rPr>
        <w:t>③</w:t>
      </w:r>
      <w:r>
        <w:rPr>
          <w:rFonts w:hint="default" w:ascii="Times New Roman" w:hAnsi="Times New Roman" w:cs="Times New Roman"/>
          <w:color w:val="auto"/>
        </w:rPr>
        <w:fldChar w:fldCharType="end"/>
      </w:r>
      <w:r>
        <w:rPr>
          <w:rFonts w:hint="default" w:ascii="Times New Roman" w:hAnsi="Times New Roman" w:cs="Times New Roman"/>
          <w:color w:val="auto"/>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 4 \* GB3 \* MERGEFORMAT </w:instrText>
      </w:r>
      <w:r>
        <w:rPr>
          <w:rFonts w:hint="default" w:ascii="Times New Roman" w:hAnsi="Times New Roman" w:cs="Times New Roman"/>
          <w:color w:val="auto"/>
        </w:rPr>
        <w:fldChar w:fldCharType="separate"/>
      </w:r>
      <w:r>
        <w:rPr>
          <w:rFonts w:hint="default" w:ascii="Times New Roman" w:hAnsi="Times New Roman" w:cs="Times New Roman"/>
          <w:color w:val="auto"/>
        </w:rPr>
        <w:t>④</w:t>
      </w:r>
      <w:r>
        <w:rPr>
          <w:rFonts w:hint="default" w:ascii="Times New Roman" w:hAnsi="Times New Roman" w:cs="Times New Roman"/>
          <w:color w:val="auto"/>
        </w:rPr>
        <w:fldChar w:fldCharType="end"/>
      </w:r>
      <w:r>
        <w:rPr>
          <w:rFonts w:hint="default" w:ascii="Times New Roman" w:hAnsi="Times New Roman" w:cs="Times New Roman"/>
          <w:color w:val="auto"/>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 5 \* GB3 \* MERGEFORMAT </w:instrText>
      </w:r>
      <w:r>
        <w:rPr>
          <w:rFonts w:hint="default" w:ascii="Times New Roman" w:hAnsi="Times New Roman" w:cs="Times New Roman"/>
          <w:color w:val="auto"/>
        </w:rPr>
        <w:fldChar w:fldCharType="separate"/>
      </w:r>
      <w:r>
        <w:rPr>
          <w:rFonts w:hint="default" w:ascii="Times New Roman" w:hAnsi="Times New Roman" w:cs="Times New Roman"/>
          <w:color w:val="auto"/>
        </w:rPr>
        <w:t>⑤</w:t>
      </w:r>
      <w:r>
        <w:rPr>
          <w:rFonts w:hint="default" w:ascii="Times New Roman" w:hAnsi="Times New Roman" w:cs="Times New Roman"/>
          <w:color w:val="auto"/>
        </w:rPr>
        <w:fldChar w:fldCharType="end"/>
      </w:r>
      <w:r>
        <w:rPr>
          <w:rFonts w:hint="default" w:ascii="Times New Roman" w:hAnsi="Times New Roman" w:cs="Times New Roman"/>
          <w:color w:val="auto"/>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 7 \* GB3 \* MERGEFORMAT </w:instrText>
      </w:r>
      <w:r>
        <w:rPr>
          <w:rFonts w:hint="default" w:ascii="Times New Roman" w:hAnsi="Times New Roman" w:cs="Times New Roman"/>
          <w:color w:val="auto"/>
        </w:rPr>
        <w:fldChar w:fldCharType="separate"/>
      </w:r>
      <w:r>
        <w:rPr>
          <w:rFonts w:hint="default" w:ascii="Times New Roman" w:hAnsi="Times New Roman" w:cs="Times New Roman"/>
          <w:color w:val="auto"/>
        </w:rPr>
        <w:t>⑦</w:t>
      </w:r>
      <w:r>
        <w:rPr>
          <w:rFonts w:hint="default" w:ascii="Times New Roman" w:hAnsi="Times New Roman" w:cs="Times New Roman"/>
          <w:color w:val="auto"/>
        </w:rPr>
        <w:fldChar w:fldCharType="end"/>
      </w:r>
      <w:r>
        <w:rPr>
          <w:rFonts w:hint="default" w:ascii="Times New Roman" w:hAnsi="Times New Roman" w:cs="Times New Roman"/>
          <w:color w:val="auto"/>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 6 \* GB3 \* MERGEFORMAT </w:instrText>
      </w:r>
      <w:r>
        <w:rPr>
          <w:rFonts w:hint="default" w:ascii="Times New Roman" w:hAnsi="Times New Roman" w:cs="Times New Roman"/>
          <w:color w:val="auto"/>
        </w:rPr>
        <w:fldChar w:fldCharType="separate"/>
      </w:r>
      <w:r>
        <w:rPr>
          <w:rFonts w:hint="default" w:ascii="Times New Roman" w:hAnsi="Times New Roman" w:cs="Times New Roman"/>
          <w:color w:val="auto"/>
        </w:rPr>
        <w:t>⑥</w:t>
      </w:r>
      <w:r>
        <w:rPr>
          <w:rFonts w:hint="default" w:ascii="Times New Roman" w:hAnsi="Times New Roman" w:cs="Times New Roman"/>
          <w:color w:val="auto"/>
        </w:rPr>
        <w:fldChar w:fldCharType="end"/>
      </w:r>
      <w:r>
        <w:rPr>
          <w:rFonts w:hint="default" w:ascii="Times New Roman" w:hAnsi="Times New Roman" w:cs="Times New Roman"/>
          <w:color w:val="auto"/>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 1 \* GB3 \* MERGEFORMAT </w:instrText>
      </w:r>
      <w:r>
        <w:rPr>
          <w:rFonts w:hint="default" w:ascii="Times New Roman" w:hAnsi="Times New Roman" w:cs="Times New Roman"/>
          <w:color w:val="auto"/>
        </w:rPr>
        <w:fldChar w:fldCharType="separate"/>
      </w:r>
      <w:r>
        <w:rPr>
          <w:rFonts w:hint="default" w:ascii="Times New Roman" w:hAnsi="Times New Roman" w:cs="Times New Roman"/>
          <w:color w:val="auto"/>
        </w:rPr>
        <w:t>①</w:t>
      </w:r>
      <w:r>
        <w:rPr>
          <w:rFonts w:hint="default" w:ascii="Times New Roman" w:hAnsi="Times New Roman" w:cs="Times New Roman"/>
          <w:color w:val="auto"/>
        </w:rPr>
        <w:fldChar w:fldCharType="end"/>
      </w:r>
    </w:p>
    <w:sectPr>
      <w:footerReference r:id="rId13" w:type="default"/>
      <w:pgSz w:w="16838" w:h="11906" w:orient="landscape"/>
      <w:pgMar w:top="1440" w:right="1080" w:bottom="1440" w:left="1080" w:header="851" w:footer="851" w:gutter="0"/>
      <w:pgBorders>
        <w:top w:val="none" w:sz="0" w:space="0"/>
        <w:left w:val="none" w:sz="0" w:space="0"/>
        <w:bottom w:val="none" w:sz="0" w:space="0"/>
        <w:right w:val="none" w:sz="0" w:space="0"/>
      </w:pgBorders>
      <w:cols w:space="720" w:num="1"/>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Helvetica">
    <w:altName w:val="Arial"/>
    <w:panose1 w:val="020B0604020202020204"/>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ind w:right="360" w:firstLine="48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framePr w:wrap="around" w:vAnchor="text" w:hAnchor="margin" w:xAlign="center" w:y="1"/>
      <w:tabs>
        <w:tab w:val="center" w:pos="4153"/>
        <w:tab w:val="right" w:pos="8306"/>
      </w:tabs>
      <w:ind w:firstLine="480"/>
    </w:pPr>
    <w:r>
      <w:fldChar w:fldCharType="begin"/>
    </w:r>
    <w:r>
      <w:instrText xml:space="preserve">PAGE  </w:instrText>
    </w:r>
    <w:r>
      <w:fldChar w:fldCharType="end"/>
    </w:r>
  </w:p>
  <w:p>
    <w:pPr>
      <w:tabs>
        <w:tab w:val="center" w:pos="4153"/>
        <w:tab w:val="right" w:pos="8306"/>
      </w:tabs>
      <w:ind w:right="360" w:firstLine="48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420"/>
    </w:pPr>
    <w:r>
      <w:rPr>
        <w:sz w:val="21"/>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10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ind w:firstLine="0" w:firstLineChars="0"/>
                          </w:pPr>
                          <w:r>
                            <w:fldChar w:fldCharType="begin"/>
                          </w:r>
                          <w:r>
                            <w:instrText xml:space="preserve"> PAGE  \* MERGEFORMAT </w:instrText>
                          </w:r>
                          <w:r>
                            <w:fldChar w:fldCharType="separate"/>
                          </w:r>
                          <w:r>
                            <w:t>II</w:t>
                          </w:r>
                          <w:r>
                            <w:fldChar w:fldCharType="end"/>
                          </w:r>
                        </w:p>
                      </w:txbxContent>
                    </wps:txbx>
                    <wps:bodyPr vert="horz" wrap="none" lIns="0" tIns="0" rIns="0" bIns="0" anchor="t" anchorCtr="0">
                      <a:spAutoFit/>
                    </wps:bodyPr>
                  </wps:wsp>
                </a:graphicData>
              </a:graphic>
            </wp:anchor>
          </w:drawing>
        </mc:Choice>
        <mc:Fallback>
          <w:pict>
            <v:shape id="文本框 1028"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OqXm5zwAAAAUBAAAPAAAAAAAAAAEAIAAAACIA&#10;AABkcnMvZG93bnJldi54bWxQSwECFAAUAAAACACHTuJA/pilrNkBAAC2AwAADgAAAAAAAAABACAA&#10;AAAeAQAAZHJzL2Uyb0RvYy54bWxQSwUGAAAAAAYABgBZAQAAaQUAAAAA&#10;">
              <v:fill on="f" focussize="0,0"/>
              <v:stroke on="f"/>
              <v:imagedata o:title=""/>
              <o:lock v:ext="edit" aspectratio="f"/>
              <v:textbox inset="0mm,0mm,0mm,0mm" style="mso-fit-shape-to-text:t;">
                <w:txbxContent>
                  <w:p>
                    <w:pPr>
                      <w:ind w:firstLine="0" w:firstLineChars="0"/>
                    </w:pPr>
                    <w:r>
                      <w:fldChar w:fldCharType="begin"/>
                    </w:r>
                    <w:r>
                      <w:instrText xml:space="preserve"> PAGE  \* MERGEFORMAT </w:instrText>
                    </w:r>
                    <w:r>
                      <w:fldChar w:fldCharType="separate"/>
                    </w:r>
                    <w:r>
                      <w:t>II</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420"/>
    </w:pPr>
    <w:r>
      <w:rPr>
        <w:sz w:val="21"/>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10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ind w:firstLine="0" w:firstLineChars="0"/>
                          </w:pPr>
                          <w:r>
                            <w:fldChar w:fldCharType="begin"/>
                          </w:r>
                          <w:r>
                            <w:instrText xml:space="preserve"> PAGE  \* MERGEFORMAT </w:instrText>
                          </w:r>
                          <w:r>
                            <w:fldChar w:fldCharType="separate"/>
                          </w:r>
                          <w:r>
                            <w:t>17</w:t>
                          </w:r>
                          <w:r>
                            <w:fldChar w:fldCharType="end"/>
                          </w:r>
                        </w:p>
                      </w:txbxContent>
                    </wps:txbx>
                    <wps:bodyPr vert="horz" wrap="none" lIns="0" tIns="0" rIns="0" bIns="0" anchor="t" anchorCtr="0">
                      <a:spAutoFit/>
                    </wps:bodyPr>
                  </wps:wsp>
                </a:graphicData>
              </a:graphic>
            </wp:anchor>
          </w:drawing>
        </mc:Choice>
        <mc:Fallback>
          <w:pict>
            <v:shape id="文本框 1029"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OqXm5zwAAAAUBAAAPAAAAAAAAAAEAIAAAACIA&#10;AABkcnMvZG93bnJldi54bWxQSwECFAAUAAAACACHTuJAHQ2AB9kBAAC2AwAADgAAAAAAAAABACAA&#10;AAAeAQAAZHJzL2Uyb0RvYy54bWxQSwUGAAAAAAYABgBZAQAAaQUAAAAA&#10;">
              <v:fill on="f" focussize="0,0"/>
              <v:stroke on="f"/>
              <v:imagedata o:title=""/>
              <o:lock v:ext="edit" aspectratio="f"/>
              <v:textbox inset="0mm,0mm,0mm,0mm" style="mso-fit-shape-to-text:t;">
                <w:txbxContent>
                  <w:p>
                    <w:pPr>
                      <w:ind w:firstLine="0" w:firstLineChars="0"/>
                    </w:pPr>
                    <w:r>
                      <w:fldChar w:fldCharType="begin"/>
                    </w:r>
                    <w:r>
                      <w:instrText xml:space="preserve"> PAGE  \* MERGEFORMAT </w:instrText>
                    </w:r>
                    <w:r>
                      <w:fldChar w:fldCharType="separate"/>
                    </w:r>
                    <w:r>
                      <w:t>17</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ind w:right="360" w:firstLine="48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1"/>
      </w:pBdr>
      <w:tabs>
        <w:tab w:val="center" w:pos="4153"/>
        <w:tab w:val="right" w:pos="8306"/>
      </w:tabs>
      <w:ind w:firstLine="48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ind w:firstLine="48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ind w:firstLine="48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dit="trackedChanges" w:enforcement="0"/>
  <w:defaultTabStop w:val="42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M5OGRjYTA0ODFjY2YwMmIzOTUwMjMyMTAwY2VkZGUifQ=="/>
  </w:docVars>
  <w:rsids>
    <w:rsidRoot w:val="00A14947"/>
    <w:rsid w:val="000060B3"/>
    <w:rsid w:val="0003624B"/>
    <w:rsid w:val="0004364B"/>
    <w:rsid w:val="00061B1F"/>
    <w:rsid w:val="000733C4"/>
    <w:rsid w:val="00074783"/>
    <w:rsid w:val="0008070B"/>
    <w:rsid w:val="000810AC"/>
    <w:rsid w:val="00081A02"/>
    <w:rsid w:val="00082231"/>
    <w:rsid w:val="00092D38"/>
    <w:rsid w:val="0009377B"/>
    <w:rsid w:val="000947BF"/>
    <w:rsid w:val="000A20C9"/>
    <w:rsid w:val="000B058F"/>
    <w:rsid w:val="000B3C9B"/>
    <w:rsid w:val="000B4467"/>
    <w:rsid w:val="000B4DB9"/>
    <w:rsid w:val="000C09AC"/>
    <w:rsid w:val="000C5A73"/>
    <w:rsid w:val="000C767F"/>
    <w:rsid w:val="000D5A44"/>
    <w:rsid w:val="000E3ED2"/>
    <w:rsid w:val="00115777"/>
    <w:rsid w:val="00125344"/>
    <w:rsid w:val="00131F42"/>
    <w:rsid w:val="001357F1"/>
    <w:rsid w:val="00140FA8"/>
    <w:rsid w:val="00142FEB"/>
    <w:rsid w:val="00143A2D"/>
    <w:rsid w:val="00145A41"/>
    <w:rsid w:val="00151675"/>
    <w:rsid w:val="00152C53"/>
    <w:rsid w:val="00157435"/>
    <w:rsid w:val="0017504D"/>
    <w:rsid w:val="0017671A"/>
    <w:rsid w:val="00177422"/>
    <w:rsid w:val="00184590"/>
    <w:rsid w:val="001870D1"/>
    <w:rsid w:val="0018781E"/>
    <w:rsid w:val="00191E24"/>
    <w:rsid w:val="0019262D"/>
    <w:rsid w:val="001A1B35"/>
    <w:rsid w:val="001A48A2"/>
    <w:rsid w:val="001A6F61"/>
    <w:rsid w:val="001B3DBF"/>
    <w:rsid w:val="001B72B8"/>
    <w:rsid w:val="001C69B3"/>
    <w:rsid w:val="001D5595"/>
    <w:rsid w:val="001D7874"/>
    <w:rsid w:val="001D7F22"/>
    <w:rsid w:val="001F0F17"/>
    <w:rsid w:val="001F3347"/>
    <w:rsid w:val="001F69E4"/>
    <w:rsid w:val="002125B4"/>
    <w:rsid w:val="002155B8"/>
    <w:rsid w:val="0022181C"/>
    <w:rsid w:val="00224839"/>
    <w:rsid w:val="002249B2"/>
    <w:rsid w:val="00226574"/>
    <w:rsid w:val="002278EC"/>
    <w:rsid w:val="00230675"/>
    <w:rsid w:val="0023280E"/>
    <w:rsid w:val="002377D1"/>
    <w:rsid w:val="002506BC"/>
    <w:rsid w:val="00254345"/>
    <w:rsid w:val="00260C26"/>
    <w:rsid w:val="0026169A"/>
    <w:rsid w:val="00264557"/>
    <w:rsid w:val="002805AB"/>
    <w:rsid w:val="00284204"/>
    <w:rsid w:val="00291773"/>
    <w:rsid w:val="002933B0"/>
    <w:rsid w:val="002A168C"/>
    <w:rsid w:val="002A3DC7"/>
    <w:rsid w:val="002B49E2"/>
    <w:rsid w:val="002B7B00"/>
    <w:rsid w:val="002B7C44"/>
    <w:rsid w:val="002C2B17"/>
    <w:rsid w:val="002C3B66"/>
    <w:rsid w:val="002D3DD0"/>
    <w:rsid w:val="002E1F3A"/>
    <w:rsid w:val="002E298A"/>
    <w:rsid w:val="00301978"/>
    <w:rsid w:val="0030332C"/>
    <w:rsid w:val="00304624"/>
    <w:rsid w:val="003051C2"/>
    <w:rsid w:val="00312296"/>
    <w:rsid w:val="00314F0E"/>
    <w:rsid w:val="00321D8E"/>
    <w:rsid w:val="00325928"/>
    <w:rsid w:val="00332863"/>
    <w:rsid w:val="0033684D"/>
    <w:rsid w:val="00337B42"/>
    <w:rsid w:val="00341B42"/>
    <w:rsid w:val="0034348F"/>
    <w:rsid w:val="00356653"/>
    <w:rsid w:val="0035743F"/>
    <w:rsid w:val="00357BE2"/>
    <w:rsid w:val="0036170C"/>
    <w:rsid w:val="00361C8D"/>
    <w:rsid w:val="00366E0F"/>
    <w:rsid w:val="00381A72"/>
    <w:rsid w:val="00384676"/>
    <w:rsid w:val="00390857"/>
    <w:rsid w:val="003A4BF3"/>
    <w:rsid w:val="003B420D"/>
    <w:rsid w:val="003C2C06"/>
    <w:rsid w:val="003C6C16"/>
    <w:rsid w:val="003D794D"/>
    <w:rsid w:val="003E3058"/>
    <w:rsid w:val="003E62AB"/>
    <w:rsid w:val="003E76A9"/>
    <w:rsid w:val="003F0809"/>
    <w:rsid w:val="003F6A8C"/>
    <w:rsid w:val="003F755C"/>
    <w:rsid w:val="00406F01"/>
    <w:rsid w:val="0041306A"/>
    <w:rsid w:val="00416D50"/>
    <w:rsid w:val="00416FD5"/>
    <w:rsid w:val="00417772"/>
    <w:rsid w:val="00420E6A"/>
    <w:rsid w:val="00425A9E"/>
    <w:rsid w:val="00426D6B"/>
    <w:rsid w:val="00431E6C"/>
    <w:rsid w:val="00433CE7"/>
    <w:rsid w:val="00452738"/>
    <w:rsid w:val="00456091"/>
    <w:rsid w:val="00466321"/>
    <w:rsid w:val="00484B9B"/>
    <w:rsid w:val="00485368"/>
    <w:rsid w:val="004855F6"/>
    <w:rsid w:val="0048661E"/>
    <w:rsid w:val="00494670"/>
    <w:rsid w:val="004A3823"/>
    <w:rsid w:val="004C63E3"/>
    <w:rsid w:val="004E04E5"/>
    <w:rsid w:val="004E3740"/>
    <w:rsid w:val="004E6946"/>
    <w:rsid w:val="004F1AD8"/>
    <w:rsid w:val="005039CB"/>
    <w:rsid w:val="0050558F"/>
    <w:rsid w:val="00506286"/>
    <w:rsid w:val="00510813"/>
    <w:rsid w:val="00511990"/>
    <w:rsid w:val="00511DE0"/>
    <w:rsid w:val="00514870"/>
    <w:rsid w:val="00514B9B"/>
    <w:rsid w:val="00517F02"/>
    <w:rsid w:val="00524303"/>
    <w:rsid w:val="005258A2"/>
    <w:rsid w:val="005401AE"/>
    <w:rsid w:val="00542E07"/>
    <w:rsid w:val="00544B6F"/>
    <w:rsid w:val="00545424"/>
    <w:rsid w:val="00554A7B"/>
    <w:rsid w:val="0055572C"/>
    <w:rsid w:val="0056106A"/>
    <w:rsid w:val="005720AE"/>
    <w:rsid w:val="00577240"/>
    <w:rsid w:val="00593D61"/>
    <w:rsid w:val="00594D77"/>
    <w:rsid w:val="005969E4"/>
    <w:rsid w:val="005A06B7"/>
    <w:rsid w:val="005A1759"/>
    <w:rsid w:val="005A68A7"/>
    <w:rsid w:val="005B0EAD"/>
    <w:rsid w:val="005B1877"/>
    <w:rsid w:val="005D2C46"/>
    <w:rsid w:val="005D36AB"/>
    <w:rsid w:val="00617CC3"/>
    <w:rsid w:val="006377A6"/>
    <w:rsid w:val="00637A3D"/>
    <w:rsid w:val="006411EF"/>
    <w:rsid w:val="006455AD"/>
    <w:rsid w:val="006748B8"/>
    <w:rsid w:val="006775C3"/>
    <w:rsid w:val="0069290A"/>
    <w:rsid w:val="0069775A"/>
    <w:rsid w:val="00697813"/>
    <w:rsid w:val="006A3EE8"/>
    <w:rsid w:val="006A72BF"/>
    <w:rsid w:val="006B03F2"/>
    <w:rsid w:val="006B37DC"/>
    <w:rsid w:val="006B4F68"/>
    <w:rsid w:val="006C0592"/>
    <w:rsid w:val="006C272E"/>
    <w:rsid w:val="006C5479"/>
    <w:rsid w:val="006D13B5"/>
    <w:rsid w:val="006E12FF"/>
    <w:rsid w:val="006E607E"/>
    <w:rsid w:val="00706C5D"/>
    <w:rsid w:val="00732922"/>
    <w:rsid w:val="0075162E"/>
    <w:rsid w:val="00754034"/>
    <w:rsid w:val="00756556"/>
    <w:rsid w:val="007618C4"/>
    <w:rsid w:val="00767980"/>
    <w:rsid w:val="00770B19"/>
    <w:rsid w:val="0077463F"/>
    <w:rsid w:val="00777AA9"/>
    <w:rsid w:val="007836EA"/>
    <w:rsid w:val="00784CDA"/>
    <w:rsid w:val="007906C4"/>
    <w:rsid w:val="007940EA"/>
    <w:rsid w:val="007967E8"/>
    <w:rsid w:val="007A2170"/>
    <w:rsid w:val="007A22BF"/>
    <w:rsid w:val="007A3323"/>
    <w:rsid w:val="007A6D35"/>
    <w:rsid w:val="007B72B8"/>
    <w:rsid w:val="007B7A58"/>
    <w:rsid w:val="007C0F2D"/>
    <w:rsid w:val="007C21B5"/>
    <w:rsid w:val="007D4809"/>
    <w:rsid w:val="007E4BD2"/>
    <w:rsid w:val="00801393"/>
    <w:rsid w:val="00802F88"/>
    <w:rsid w:val="0080584C"/>
    <w:rsid w:val="00805928"/>
    <w:rsid w:val="0081293E"/>
    <w:rsid w:val="00815465"/>
    <w:rsid w:val="00817E9A"/>
    <w:rsid w:val="008306BD"/>
    <w:rsid w:val="00831A80"/>
    <w:rsid w:val="00833743"/>
    <w:rsid w:val="008340A4"/>
    <w:rsid w:val="0086457D"/>
    <w:rsid w:val="0087135F"/>
    <w:rsid w:val="00872D94"/>
    <w:rsid w:val="00880364"/>
    <w:rsid w:val="00886593"/>
    <w:rsid w:val="008878BD"/>
    <w:rsid w:val="00891592"/>
    <w:rsid w:val="00891E9E"/>
    <w:rsid w:val="008945DA"/>
    <w:rsid w:val="008A2F68"/>
    <w:rsid w:val="008B4FA6"/>
    <w:rsid w:val="008B5282"/>
    <w:rsid w:val="008B7C17"/>
    <w:rsid w:val="008C2D01"/>
    <w:rsid w:val="008C40E6"/>
    <w:rsid w:val="008D0F7A"/>
    <w:rsid w:val="008D68E4"/>
    <w:rsid w:val="008E0506"/>
    <w:rsid w:val="008E0CFF"/>
    <w:rsid w:val="008E5D6B"/>
    <w:rsid w:val="008E76F0"/>
    <w:rsid w:val="008F15FE"/>
    <w:rsid w:val="008F2D29"/>
    <w:rsid w:val="008F5187"/>
    <w:rsid w:val="008F60D8"/>
    <w:rsid w:val="00902727"/>
    <w:rsid w:val="0090312B"/>
    <w:rsid w:val="009164DB"/>
    <w:rsid w:val="0091736D"/>
    <w:rsid w:val="0093037A"/>
    <w:rsid w:val="0094154D"/>
    <w:rsid w:val="0095155F"/>
    <w:rsid w:val="00954429"/>
    <w:rsid w:val="009563CE"/>
    <w:rsid w:val="00976328"/>
    <w:rsid w:val="0097680D"/>
    <w:rsid w:val="00982438"/>
    <w:rsid w:val="0098404C"/>
    <w:rsid w:val="00985283"/>
    <w:rsid w:val="00995992"/>
    <w:rsid w:val="009A03E5"/>
    <w:rsid w:val="009A063D"/>
    <w:rsid w:val="009A0F3B"/>
    <w:rsid w:val="009A1BB4"/>
    <w:rsid w:val="009A2628"/>
    <w:rsid w:val="009A3200"/>
    <w:rsid w:val="009B0897"/>
    <w:rsid w:val="009B7BD9"/>
    <w:rsid w:val="009C7DD5"/>
    <w:rsid w:val="009E227D"/>
    <w:rsid w:val="009E5019"/>
    <w:rsid w:val="00A04F1B"/>
    <w:rsid w:val="00A0501B"/>
    <w:rsid w:val="00A14947"/>
    <w:rsid w:val="00A204EF"/>
    <w:rsid w:val="00A32A83"/>
    <w:rsid w:val="00A368DB"/>
    <w:rsid w:val="00A423AA"/>
    <w:rsid w:val="00A53EC6"/>
    <w:rsid w:val="00A55C0F"/>
    <w:rsid w:val="00A76A2D"/>
    <w:rsid w:val="00A8713F"/>
    <w:rsid w:val="00A90BA1"/>
    <w:rsid w:val="00A97A9A"/>
    <w:rsid w:val="00AA0671"/>
    <w:rsid w:val="00AA2531"/>
    <w:rsid w:val="00AB1E09"/>
    <w:rsid w:val="00AB5330"/>
    <w:rsid w:val="00AB5EA6"/>
    <w:rsid w:val="00AB7747"/>
    <w:rsid w:val="00AC14CE"/>
    <w:rsid w:val="00AC2A56"/>
    <w:rsid w:val="00AD055E"/>
    <w:rsid w:val="00AD44A1"/>
    <w:rsid w:val="00AD47A7"/>
    <w:rsid w:val="00AF0CBF"/>
    <w:rsid w:val="00AF257F"/>
    <w:rsid w:val="00AF2787"/>
    <w:rsid w:val="00AF33CF"/>
    <w:rsid w:val="00AF4D50"/>
    <w:rsid w:val="00AF6179"/>
    <w:rsid w:val="00B1074B"/>
    <w:rsid w:val="00B1295A"/>
    <w:rsid w:val="00B17D7E"/>
    <w:rsid w:val="00B20A45"/>
    <w:rsid w:val="00B22C5C"/>
    <w:rsid w:val="00B24F30"/>
    <w:rsid w:val="00B30F67"/>
    <w:rsid w:val="00B31456"/>
    <w:rsid w:val="00B31ABF"/>
    <w:rsid w:val="00B33BE3"/>
    <w:rsid w:val="00B53B5D"/>
    <w:rsid w:val="00B6055E"/>
    <w:rsid w:val="00B6317D"/>
    <w:rsid w:val="00B65CC1"/>
    <w:rsid w:val="00B7723F"/>
    <w:rsid w:val="00B80534"/>
    <w:rsid w:val="00B8433C"/>
    <w:rsid w:val="00B87491"/>
    <w:rsid w:val="00BA29E9"/>
    <w:rsid w:val="00BA7142"/>
    <w:rsid w:val="00BB237C"/>
    <w:rsid w:val="00BB41A3"/>
    <w:rsid w:val="00BC261C"/>
    <w:rsid w:val="00BC32DC"/>
    <w:rsid w:val="00BC35B6"/>
    <w:rsid w:val="00BD0DE4"/>
    <w:rsid w:val="00BD1B51"/>
    <w:rsid w:val="00BD4596"/>
    <w:rsid w:val="00BE1405"/>
    <w:rsid w:val="00BE312D"/>
    <w:rsid w:val="00BF1C20"/>
    <w:rsid w:val="00C042D6"/>
    <w:rsid w:val="00C10578"/>
    <w:rsid w:val="00C135BC"/>
    <w:rsid w:val="00C15C95"/>
    <w:rsid w:val="00C2596A"/>
    <w:rsid w:val="00C27537"/>
    <w:rsid w:val="00C328FE"/>
    <w:rsid w:val="00C33507"/>
    <w:rsid w:val="00C340FC"/>
    <w:rsid w:val="00C4409D"/>
    <w:rsid w:val="00C44E72"/>
    <w:rsid w:val="00C45A06"/>
    <w:rsid w:val="00C47E5B"/>
    <w:rsid w:val="00C57889"/>
    <w:rsid w:val="00C61E4B"/>
    <w:rsid w:val="00C621A8"/>
    <w:rsid w:val="00C64261"/>
    <w:rsid w:val="00C64BFF"/>
    <w:rsid w:val="00C704E9"/>
    <w:rsid w:val="00C763C9"/>
    <w:rsid w:val="00C80057"/>
    <w:rsid w:val="00C82232"/>
    <w:rsid w:val="00C82913"/>
    <w:rsid w:val="00C972B1"/>
    <w:rsid w:val="00CA2CCE"/>
    <w:rsid w:val="00CA43FD"/>
    <w:rsid w:val="00CA4C47"/>
    <w:rsid w:val="00CA613C"/>
    <w:rsid w:val="00CA7EF8"/>
    <w:rsid w:val="00CB48DF"/>
    <w:rsid w:val="00CC489B"/>
    <w:rsid w:val="00CD2BCD"/>
    <w:rsid w:val="00CD3A4C"/>
    <w:rsid w:val="00CE10E9"/>
    <w:rsid w:val="00CE17A0"/>
    <w:rsid w:val="00CE2910"/>
    <w:rsid w:val="00CE5393"/>
    <w:rsid w:val="00CF0B29"/>
    <w:rsid w:val="00CF36BE"/>
    <w:rsid w:val="00CF6000"/>
    <w:rsid w:val="00D003F3"/>
    <w:rsid w:val="00D0364F"/>
    <w:rsid w:val="00D06834"/>
    <w:rsid w:val="00D20A09"/>
    <w:rsid w:val="00D308ED"/>
    <w:rsid w:val="00D36D86"/>
    <w:rsid w:val="00D428AA"/>
    <w:rsid w:val="00D50A34"/>
    <w:rsid w:val="00D53EFA"/>
    <w:rsid w:val="00D70E20"/>
    <w:rsid w:val="00D75336"/>
    <w:rsid w:val="00D80676"/>
    <w:rsid w:val="00D94A7C"/>
    <w:rsid w:val="00D95896"/>
    <w:rsid w:val="00DB2983"/>
    <w:rsid w:val="00DC1257"/>
    <w:rsid w:val="00DC3DC0"/>
    <w:rsid w:val="00DC5B2B"/>
    <w:rsid w:val="00DC6BB5"/>
    <w:rsid w:val="00DD318D"/>
    <w:rsid w:val="00DE55D3"/>
    <w:rsid w:val="00DF2E12"/>
    <w:rsid w:val="00DF514A"/>
    <w:rsid w:val="00DF6690"/>
    <w:rsid w:val="00DF6804"/>
    <w:rsid w:val="00E0358D"/>
    <w:rsid w:val="00E04323"/>
    <w:rsid w:val="00E070A2"/>
    <w:rsid w:val="00E256E2"/>
    <w:rsid w:val="00E2656A"/>
    <w:rsid w:val="00E412D0"/>
    <w:rsid w:val="00E457F5"/>
    <w:rsid w:val="00E56322"/>
    <w:rsid w:val="00E60982"/>
    <w:rsid w:val="00E62C62"/>
    <w:rsid w:val="00E654C1"/>
    <w:rsid w:val="00E65D97"/>
    <w:rsid w:val="00E72A5A"/>
    <w:rsid w:val="00E73354"/>
    <w:rsid w:val="00E76F33"/>
    <w:rsid w:val="00E817E5"/>
    <w:rsid w:val="00E9242D"/>
    <w:rsid w:val="00E93724"/>
    <w:rsid w:val="00E9528D"/>
    <w:rsid w:val="00EA14B8"/>
    <w:rsid w:val="00EB5255"/>
    <w:rsid w:val="00EB5C47"/>
    <w:rsid w:val="00EC7D71"/>
    <w:rsid w:val="00ED0639"/>
    <w:rsid w:val="00EE78FE"/>
    <w:rsid w:val="00EF4755"/>
    <w:rsid w:val="00EF70BC"/>
    <w:rsid w:val="00EF7135"/>
    <w:rsid w:val="00EF7950"/>
    <w:rsid w:val="00F027DB"/>
    <w:rsid w:val="00F14A7A"/>
    <w:rsid w:val="00F22985"/>
    <w:rsid w:val="00F3383E"/>
    <w:rsid w:val="00F465A7"/>
    <w:rsid w:val="00F50B7C"/>
    <w:rsid w:val="00F550E6"/>
    <w:rsid w:val="00F74345"/>
    <w:rsid w:val="00F80A0A"/>
    <w:rsid w:val="00F82B19"/>
    <w:rsid w:val="00F9212D"/>
    <w:rsid w:val="00F965DA"/>
    <w:rsid w:val="00F97C4F"/>
    <w:rsid w:val="00FA406A"/>
    <w:rsid w:val="00FA5D65"/>
    <w:rsid w:val="00FB503A"/>
    <w:rsid w:val="00FB516C"/>
    <w:rsid w:val="00FD0236"/>
    <w:rsid w:val="00FD18F4"/>
    <w:rsid w:val="00FD54DB"/>
    <w:rsid w:val="00FD619F"/>
    <w:rsid w:val="00FD6DC2"/>
    <w:rsid w:val="00FE2B68"/>
    <w:rsid w:val="00FE2F7D"/>
    <w:rsid w:val="00FE4037"/>
    <w:rsid w:val="0108144E"/>
    <w:rsid w:val="010A6538"/>
    <w:rsid w:val="01175DE7"/>
    <w:rsid w:val="01176EA7"/>
    <w:rsid w:val="011F393D"/>
    <w:rsid w:val="01253372"/>
    <w:rsid w:val="0127048B"/>
    <w:rsid w:val="0127533C"/>
    <w:rsid w:val="01290F7E"/>
    <w:rsid w:val="013167DB"/>
    <w:rsid w:val="014579B1"/>
    <w:rsid w:val="01552E6A"/>
    <w:rsid w:val="015D1E09"/>
    <w:rsid w:val="01663508"/>
    <w:rsid w:val="016A3C8F"/>
    <w:rsid w:val="01723229"/>
    <w:rsid w:val="019457C4"/>
    <w:rsid w:val="019460D1"/>
    <w:rsid w:val="0196601E"/>
    <w:rsid w:val="01A32CDC"/>
    <w:rsid w:val="01AE0F0E"/>
    <w:rsid w:val="01BE1295"/>
    <w:rsid w:val="01DA20AA"/>
    <w:rsid w:val="01E76AED"/>
    <w:rsid w:val="01F33470"/>
    <w:rsid w:val="01F3694F"/>
    <w:rsid w:val="01F571E8"/>
    <w:rsid w:val="01F61D66"/>
    <w:rsid w:val="01F65C3C"/>
    <w:rsid w:val="01FE29A1"/>
    <w:rsid w:val="02331C17"/>
    <w:rsid w:val="025217CB"/>
    <w:rsid w:val="02671768"/>
    <w:rsid w:val="02697903"/>
    <w:rsid w:val="02887C6F"/>
    <w:rsid w:val="02954528"/>
    <w:rsid w:val="0295646F"/>
    <w:rsid w:val="029D3556"/>
    <w:rsid w:val="02A06393"/>
    <w:rsid w:val="02AD71B3"/>
    <w:rsid w:val="02B06F97"/>
    <w:rsid w:val="02B56F1E"/>
    <w:rsid w:val="02BA5D3C"/>
    <w:rsid w:val="02CD3D39"/>
    <w:rsid w:val="02CE3596"/>
    <w:rsid w:val="02CF2E9E"/>
    <w:rsid w:val="02E62FD5"/>
    <w:rsid w:val="02E64983"/>
    <w:rsid w:val="02F456F2"/>
    <w:rsid w:val="02F71E79"/>
    <w:rsid w:val="02F96569"/>
    <w:rsid w:val="02FF1DA7"/>
    <w:rsid w:val="03040C21"/>
    <w:rsid w:val="030513D7"/>
    <w:rsid w:val="03101E00"/>
    <w:rsid w:val="03141AF6"/>
    <w:rsid w:val="0324467D"/>
    <w:rsid w:val="033750BB"/>
    <w:rsid w:val="03621178"/>
    <w:rsid w:val="03675BF2"/>
    <w:rsid w:val="0368362D"/>
    <w:rsid w:val="036B62CA"/>
    <w:rsid w:val="03807C96"/>
    <w:rsid w:val="039B791C"/>
    <w:rsid w:val="03A129F7"/>
    <w:rsid w:val="03A22816"/>
    <w:rsid w:val="03B81CC3"/>
    <w:rsid w:val="03C24D40"/>
    <w:rsid w:val="03CE1E00"/>
    <w:rsid w:val="03CF0ED0"/>
    <w:rsid w:val="03E6134A"/>
    <w:rsid w:val="03E73DE4"/>
    <w:rsid w:val="03EA7B21"/>
    <w:rsid w:val="03F03B68"/>
    <w:rsid w:val="03FD4168"/>
    <w:rsid w:val="04041965"/>
    <w:rsid w:val="04050DFA"/>
    <w:rsid w:val="0405748B"/>
    <w:rsid w:val="041B59CE"/>
    <w:rsid w:val="041D729F"/>
    <w:rsid w:val="04251287"/>
    <w:rsid w:val="04334681"/>
    <w:rsid w:val="043F00B2"/>
    <w:rsid w:val="04481347"/>
    <w:rsid w:val="04565DE3"/>
    <w:rsid w:val="04683BF2"/>
    <w:rsid w:val="04683DFE"/>
    <w:rsid w:val="0470479E"/>
    <w:rsid w:val="047168CE"/>
    <w:rsid w:val="047E1FF4"/>
    <w:rsid w:val="0486237A"/>
    <w:rsid w:val="049C7DEF"/>
    <w:rsid w:val="049D409D"/>
    <w:rsid w:val="049E65AB"/>
    <w:rsid w:val="04BE1481"/>
    <w:rsid w:val="04C907A4"/>
    <w:rsid w:val="04CC1D57"/>
    <w:rsid w:val="04D01FBE"/>
    <w:rsid w:val="04E50456"/>
    <w:rsid w:val="04E90B5B"/>
    <w:rsid w:val="04FC74F6"/>
    <w:rsid w:val="05014E32"/>
    <w:rsid w:val="050D5709"/>
    <w:rsid w:val="055C757F"/>
    <w:rsid w:val="055D3305"/>
    <w:rsid w:val="05615A10"/>
    <w:rsid w:val="056D2675"/>
    <w:rsid w:val="05791EDF"/>
    <w:rsid w:val="057B3913"/>
    <w:rsid w:val="058C1873"/>
    <w:rsid w:val="05AC5C43"/>
    <w:rsid w:val="05B537F8"/>
    <w:rsid w:val="05C23338"/>
    <w:rsid w:val="05DB7EF5"/>
    <w:rsid w:val="05F83EAE"/>
    <w:rsid w:val="05FE4E74"/>
    <w:rsid w:val="05FE71E6"/>
    <w:rsid w:val="060431E1"/>
    <w:rsid w:val="0607573C"/>
    <w:rsid w:val="061D6D0E"/>
    <w:rsid w:val="061F2A86"/>
    <w:rsid w:val="062277B0"/>
    <w:rsid w:val="06233BF8"/>
    <w:rsid w:val="06396C90"/>
    <w:rsid w:val="063D2496"/>
    <w:rsid w:val="063E7D85"/>
    <w:rsid w:val="064E58BC"/>
    <w:rsid w:val="06564C91"/>
    <w:rsid w:val="0659586C"/>
    <w:rsid w:val="06823015"/>
    <w:rsid w:val="06872EAD"/>
    <w:rsid w:val="06976AC0"/>
    <w:rsid w:val="069F5975"/>
    <w:rsid w:val="06A905A2"/>
    <w:rsid w:val="06A92D9C"/>
    <w:rsid w:val="06B75EE8"/>
    <w:rsid w:val="06B84C89"/>
    <w:rsid w:val="06BA25C5"/>
    <w:rsid w:val="06C62F02"/>
    <w:rsid w:val="06CA7211"/>
    <w:rsid w:val="06D46C16"/>
    <w:rsid w:val="06E822A2"/>
    <w:rsid w:val="06E91363"/>
    <w:rsid w:val="06FA011B"/>
    <w:rsid w:val="06FD1DB9"/>
    <w:rsid w:val="07005D6D"/>
    <w:rsid w:val="07027B3B"/>
    <w:rsid w:val="070F5A7A"/>
    <w:rsid w:val="071A2D6C"/>
    <w:rsid w:val="071A324D"/>
    <w:rsid w:val="07293586"/>
    <w:rsid w:val="07295285"/>
    <w:rsid w:val="074107DA"/>
    <w:rsid w:val="0742301C"/>
    <w:rsid w:val="075E4EF4"/>
    <w:rsid w:val="075F5104"/>
    <w:rsid w:val="07636392"/>
    <w:rsid w:val="076E0496"/>
    <w:rsid w:val="07770C56"/>
    <w:rsid w:val="0779747E"/>
    <w:rsid w:val="07994C48"/>
    <w:rsid w:val="07AA45D1"/>
    <w:rsid w:val="07AF3886"/>
    <w:rsid w:val="07B04F69"/>
    <w:rsid w:val="07B56526"/>
    <w:rsid w:val="07B74F40"/>
    <w:rsid w:val="07BB137C"/>
    <w:rsid w:val="07BC4C25"/>
    <w:rsid w:val="07CC0430"/>
    <w:rsid w:val="07FC2953"/>
    <w:rsid w:val="08014B1E"/>
    <w:rsid w:val="08221119"/>
    <w:rsid w:val="084438CD"/>
    <w:rsid w:val="084C1971"/>
    <w:rsid w:val="08545B61"/>
    <w:rsid w:val="08732C15"/>
    <w:rsid w:val="087C5487"/>
    <w:rsid w:val="08805332"/>
    <w:rsid w:val="088766C0"/>
    <w:rsid w:val="088A7F5F"/>
    <w:rsid w:val="089E7D74"/>
    <w:rsid w:val="08A059D4"/>
    <w:rsid w:val="08A52C48"/>
    <w:rsid w:val="08AC35B4"/>
    <w:rsid w:val="08D742C3"/>
    <w:rsid w:val="08DA2C94"/>
    <w:rsid w:val="08E50D18"/>
    <w:rsid w:val="09095535"/>
    <w:rsid w:val="091837BC"/>
    <w:rsid w:val="092217DD"/>
    <w:rsid w:val="09282EFB"/>
    <w:rsid w:val="09300B06"/>
    <w:rsid w:val="09395E1A"/>
    <w:rsid w:val="093A7294"/>
    <w:rsid w:val="093C56FD"/>
    <w:rsid w:val="094A0C64"/>
    <w:rsid w:val="094E128F"/>
    <w:rsid w:val="095552CC"/>
    <w:rsid w:val="09567E25"/>
    <w:rsid w:val="098F5893"/>
    <w:rsid w:val="0994134E"/>
    <w:rsid w:val="099E251D"/>
    <w:rsid w:val="09A909AA"/>
    <w:rsid w:val="09AD2157"/>
    <w:rsid w:val="09B2718F"/>
    <w:rsid w:val="09C000DC"/>
    <w:rsid w:val="09C34750"/>
    <w:rsid w:val="09D111AA"/>
    <w:rsid w:val="09DF2D06"/>
    <w:rsid w:val="09E244F6"/>
    <w:rsid w:val="09E751CF"/>
    <w:rsid w:val="09F87D04"/>
    <w:rsid w:val="09FB416E"/>
    <w:rsid w:val="0A027C67"/>
    <w:rsid w:val="0A0A1357"/>
    <w:rsid w:val="0A1506D3"/>
    <w:rsid w:val="0A187F18"/>
    <w:rsid w:val="0A262BE1"/>
    <w:rsid w:val="0A263993"/>
    <w:rsid w:val="0A2D3AC2"/>
    <w:rsid w:val="0A303E35"/>
    <w:rsid w:val="0A314E36"/>
    <w:rsid w:val="0A374116"/>
    <w:rsid w:val="0A494281"/>
    <w:rsid w:val="0A4959AC"/>
    <w:rsid w:val="0A501E88"/>
    <w:rsid w:val="0A531420"/>
    <w:rsid w:val="0A5759D8"/>
    <w:rsid w:val="0A5F254C"/>
    <w:rsid w:val="0A6A44EC"/>
    <w:rsid w:val="0A7D6513"/>
    <w:rsid w:val="0A832B9A"/>
    <w:rsid w:val="0A912C8D"/>
    <w:rsid w:val="0A950E07"/>
    <w:rsid w:val="0A995B11"/>
    <w:rsid w:val="0AA7129C"/>
    <w:rsid w:val="0AA755DF"/>
    <w:rsid w:val="0ABA1813"/>
    <w:rsid w:val="0AD63C41"/>
    <w:rsid w:val="0B022976"/>
    <w:rsid w:val="0B0A077C"/>
    <w:rsid w:val="0B120D44"/>
    <w:rsid w:val="0B1526A9"/>
    <w:rsid w:val="0B16398F"/>
    <w:rsid w:val="0B1F67D0"/>
    <w:rsid w:val="0B280DA2"/>
    <w:rsid w:val="0B2E1F20"/>
    <w:rsid w:val="0B380146"/>
    <w:rsid w:val="0B487818"/>
    <w:rsid w:val="0B50653C"/>
    <w:rsid w:val="0B5E5B43"/>
    <w:rsid w:val="0B5F6258"/>
    <w:rsid w:val="0B7218AA"/>
    <w:rsid w:val="0B770C6E"/>
    <w:rsid w:val="0B8468C0"/>
    <w:rsid w:val="0B8C03E3"/>
    <w:rsid w:val="0B96019A"/>
    <w:rsid w:val="0BA304D3"/>
    <w:rsid w:val="0BB377CC"/>
    <w:rsid w:val="0BB7550F"/>
    <w:rsid w:val="0BD27BF6"/>
    <w:rsid w:val="0BE63462"/>
    <w:rsid w:val="0BF11918"/>
    <w:rsid w:val="0BF2218B"/>
    <w:rsid w:val="0C087EE8"/>
    <w:rsid w:val="0C0D68EE"/>
    <w:rsid w:val="0C1567CE"/>
    <w:rsid w:val="0C1C6299"/>
    <w:rsid w:val="0C374503"/>
    <w:rsid w:val="0C38140B"/>
    <w:rsid w:val="0C3B3C7D"/>
    <w:rsid w:val="0C4B4DB0"/>
    <w:rsid w:val="0C5A6E6F"/>
    <w:rsid w:val="0C6555BA"/>
    <w:rsid w:val="0C6A5825"/>
    <w:rsid w:val="0C6A7729"/>
    <w:rsid w:val="0C8342CB"/>
    <w:rsid w:val="0C876168"/>
    <w:rsid w:val="0C887271"/>
    <w:rsid w:val="0CA0491D"/>
    <w:rsid w:val="0CA67A14"/>
    <w:rsid w:val="0CAB2EAE"/>
    <w:rsid w:val="0CB23C55"/>
    <w:rsid w:val="0CB44BFC"/>
    <w:rsid w:val="0CBB186B"/>
    <w:rsid w:val="0CC57E71"/>
    <w:rsid w:val="0CD67C16"/>
    <w:rsid w:val="0CDB347F"/>
    <w:rsid w:val="0CE560AB"/>
    <w:rsid w:val="0D0C39BD"/>
    <w:rsid w:val="0D0D0AF1"/>
    <w:rsid w:val="0D185B8C"/>
    <w:rsid w:val="0D2157E1"/>
    <w:rsid w:val="0D2833CD"/>
    <w:rsid w:val="0D384AE5"/>
    <w:rsid w:val="0D487431"/>
    <w:rsid w:val="0D4C23E4"/>
    <w:rsid w:val="0D4C456F"/>
    <w:rsid w:val="0D523621"/>
    <w:rsid w:val="0D5E46FD"/>
    <w:rsid w:val="0D621C7D"/>
    <w:rsid w:val="0D6B6FFD"/>
    <w:rsid w:val="0D7A4D61"/>
    <w:rsid w:val="0D7B5F88"/>
    <w:rsid w:val="0D8924EA"/>
    <w:rsid w:val="0D8958C7"/>
    <w:rsid w:val="0D8E04F1"/>
    <w:rsid w:val="0D906017"/>
    <w:rsid w:val="0D9A2563"/>
    <w:rsid w:val="0DB04355"/>
    <w:rsid w:val="0DBE02F8"/>
    <w:rsid w:val="0DD03F18"/>
    <w:rsid w:val="0DD91058"/>
    <w:rsid w:val="0DE157FA"/>
    <w:rsid w:val="0DE819AF"/>
    <w:rsid w:val="0DEE57D7"/>
    <w:rsid w:val="0DF46E8E"/>
    <w:rsid w:val="0DFE5AD6"/>
    <w:rsid w:val="0E066535"/>
    <w:rsid w:val="0E3015A8"/>
    <w:rsid w:val="0E3A4317"/>
    <w:rsid w:val="0E466FDF"/>
    <w:rsid w:val="0E535265"/>
    <w:rsid w:val="0E5377AA"/>
    <w:rsid w:val="0E5B3C6A"/>
    <w:rsid w:val="0E6014B1"/>
    <w:rsid w:val="0E616DD5"/>
    <w:rsid w:val="0E693476"/>
    <w:rsid w:val="0E73034D"/>
    <w:rsid w:val="0E734B51"/>
    <w:rsid w:val="0E7D6EDB"/>
    <w:rsid w:val="0E8813E4"/>
    <w:rsid w:val="0E9503CA"/>
    <w:rsid w:val="0E966124"/>
    <w:rsid w:val="0E9F5094"/>
    <w:rsid w:val="0EA36CE2"/>
    <w:rsid w:val="0EA469DC"/>
    <w:rsid w:val="0EAA61D3"/>
    <w:rsid w:val="0EB57B69"/>
    <w:rsid w:val="0EB64DAA"/>
    <w:rsid w:val="0EBE7516"/>
    <w:rsid w:val="0EC44971"/>
    <w:rsid w:val="0EC65E95"/>
    <w:rsid w:val="0EC81D77"/>
    <w:rsid w:val="0EDD5B43"/>
    <w:rsid w:val="0EFC2350"/>
    <w:rsid w:val="0F065ABD"/>
    <w:rsid w:val="0F104F12"/>
    <w:rsid w:val="0F1217BA"/>
    <w:rsid w:val="0F13775A"/>
    <w:rsid w:val="0F1D1CBF"/>
    <w:rsid w:val="0F205C72"/>
    <w:rsid w:val="0F317386"/>
    <w:rsid w:val="0F427144"/>
    <w:rsid w:val="0F4C5F6E"/>
    <w:rsid w:val="0F5F45FE"/>
    <w:rsid w:val="0F6115F4"/>
    <w:rsid w:val="0F6B527E"/>
    <w:rsid w:val="0F6D523B"/>
    <w:rsid w:val="0F7151EB"/>
    <w:rsid w:val="0F855338"/>
    <w:rsid w:val="0F895B11"/>
    <w:rsid w:val="0F95738E"/>
    <w:rsid w:val="0F9A112B"/>
    <w:rsid w:val="0FA41C18"/>
    <w:rsid w:val="0FA607A8"/>
    <w:rsid w:val="0FA7589A"/>
    <w:rsid w:val="0FBB52E6"/>
    <w:rsid w:val="0FBF56D8"/>
    <w:rsid w:val="0FDE0260"/>
    <w:rsid w:val="0FE94232"/>
    <w:rsid w:val="0FF852E7"/>
    <w:rsid w:val="0FFD6F01"/>
    <w:rsid w:val="10007BDE"/>
    <w:rsid w:val="10021CE0"/>
    <w:rsid w:val="10024CD2"/>
    <w:rsid w:val="100E24D4"/>
    <w:rsid w:val="10132E27"/>
    <w:rsid w:val="102A5583"/>
    <w:rsid w:val="102B21AE"/>
    <w:rsid w:val="103F0670"/>
    <w:rsid w:val="104650B3"/>
    <w:rsid w:val="10500078"/>
    <w:rsid w:val="105519AE"/>
    <w:rsid w:val="10612087"/>
    <w:rsid w:val="106D2F64"/>
    <w:rsid w:val="106E48C8"/>
    <w:rsid w:val="10B3028E"/>
    <w:rsid w:val="10B4201D"/>
    <w:rsid w:val="10B63710"/>
    <w:rsid w:val="10C37F75"/>
    <w:rsid w:val="10DE3FCF"/>
    <w:rsid w:val="10E13F0B"/>
    <w:rsid w:val="10F10820"/>
    <w:rsid w:val="10FB587F"/>
    <w:rsid w:val="11022F0D"/>
    <w:rsid w:val="111568B2"/>
    <w:rsid w:val="11185811"/>
    <w:rsid w:val="111C2F7A"/>
    <w:rsid w:val="111D52BF"/>
    <w:rsid w:val="112B7416"/>
    <w:rsid w:val="113028E2"/>
    <w:rsid w:val="11357601"/>
    <w:rsid w:val="113C7ED8"/>
    <w:rsid w:val="113E3FDC"/>
    <w:rsid w:val="113F4382"/>
    <w:rsid w:val="1140470E"/>
    <w:rsid w:val="11444322"/>
    <w:rsid w:val="11447845"/>
    <w:rsid w:val="11453790"/>
    <w:rsid w:val="11562809"/>
    <w:rsid w:val="115D6768"/>
    <w:rsid w:val="11624305"/>
    <w:rsid w:val="116457F1"/>
    <w:rsid w:val="11665CA1"/>
    <w:rsid w:val="116710E5"/>
    <w:rsid w:val="116752E1"/>
    <w:rsid w:val="1168677D"/>
    <w:rsid w:val="11847C41"/>
    <w:rsid w:val="118C11EC"/>
    <w:rsid w:val="119114EB"/>
    <w:rsid w:val="11B82621"/>
    <w:rsid w:val="11C31D1C"/>
    <w:rsid w:val="11C53FAE"/>
    <w:rsid w:val="11C835CB"/>
    <w:rsid w:val="11CE6188"/>
    <w:rsid w:val="11D02E86"/>
    <w:rsid w:val="11D10977"/>
    <w:rsid w:val="12062F66"/>
    <w:rsid w:val="12064AFA"/>
    <w:rsid w:val="12125011"/>
    <w:rsid w:val="12274A70"/>
    <w:rsid w:val="124A2031"/>
    <w:rsid w:val="126333F2"/>
    <w:rsid w:val="12696E37"/>
    <w:rsid w:val="126F08F1"/>
    <w:rsid w:val="12824A0E"/>
    <w:rsid w:val="12B05A56"/>
    <w:rsid w:val="12D22C2E"/>
    <w:rsid w:val="12D42538"/>
    <w:rsid w:val="12DC2168"/>
    <w:rsid w:val="12DC3AAD"/>
    <w:rsid w:val="12E73517"/>
    <w:rsid w:val="12EA2F48"/>
    <w:rsid w:val="12FD4233"/>
    <w:rsid w:val="12FE634E"/>
    <w:rsid w:val="12FF0AE7"/>
    <w:rsid w:val="130A3246"/>
    <w:rsid w:val="13160D6D"/>
    <w:rsid w:val="13262209"/>
    <w:rsid w:val="132C71E6"/>
    <w:rsid w:val="13373B93"/>
    <w:rsid w:val="13381619"/>
    <w:rsid w:val="13507A9C"/>
    <w:rsid w:val="13533D6F"/>
    <w:rsid w:val="135E7E4D"/>
    <w:rsid w:val="13645F2E"/>
    <w:rsid w:val="13734F7B"/>
    <w:rsid w:val="137708CD"/>
    <w:rsid w:val="137912FC"/>
    <w:rsid w:val="137D49D6"/>
    <w:rsid w:val="138A347F"/>
    <w:rsid w:val="13923A6C"/>
    <w:rsid w:val="13951726"/>
    <w:rsid w:val="139974C9"/>
    <w:rsid w:val="13A51B3A"/>
    <w:rsid w:val="13A64843"/>
    <w:rsid w:val="13B5532C"/>
    <w:rsid w:val="13C311C7"/>
    <w:rsid w:val="13C61AF2"/>
    <w:rsid w:val="13C72B32"/>
    <w:rsid w:val="13DE4AE1"/>
    <w:rsid w:val="13E729A1"/>
    <w:rsid w:val="14043D65"/>
    <w:rsid w:val="14095BDD"/>
    <w:rsid w:val="140D65AD"/>
    <w:rsid w:val="140F5AB0"/>
    <w:rsid w:val="14135B26"/>
    <w:rsid w:val="14171F90"/>
    <w:rsid w:val="142257E9"/>
    <w:rsid w:val="14283371"/>
    <w:rsid w:val="142E381C"/>
    <w:rsid w:val="14396509"/>
    <w:rsid w:val="14490B01"/>
    <w:rsid w:val="147D0B9B"/>
    <w:rsid w:val="14936352"/>
    <w:rsid w:val="149728B8"/>
    <w:rsid w:val="14AD74AF"/>
    <w:rsid w:val="14B06F9F"/>
    <w:rsid w:val="14CC4F79"/>
    <w:rsid w:val="14CF33D4"/>
    <w:rsid w:val="14D25167"/>
    <w:rsid w:val="14DD2C3C"/>
    <w:rsid w:val="14E05AD6"/>
    <w:rsid w:val="14E6377A"/>
    <w:rsid w:val="14F9476E"/>
    <w:rsid w:val="14F97C48"/>
    <w:rsid w:val="14FA4E51"/>
    <w:rsid w:val="1516514B"/>
    <w:rsid w:val="151F5CD6"/>
    <w:rsid w:val="152F4CF6"/>
    <w:rsid w:val="154B6492"/>
    <w:rsid w:val="15562BC7"/>
    <w:rsid w:val="155F0AA6"/>
    <w:rsid w:val="15602773"/>
    <w:rsid w:val="156264EB"/>
    <w:rsid w:val="156F5B9B"/>
    <w:rsid w:val="1578258A"/>
    <w:rsid w:val="15800815"/>
    <w:rsid w:val="15831E8A"/>
    <w:rsid w:val="158829F9"/>
    <w:rsid w:val="159C340F"/>
    <w:rsid w:val="15AB3355"/>
    <w:rsid w:val="15CB300D"/>
    <w:rsid w:val="15CE3B81"/>
    <w:rsid w:val="15E16465"/>
    <w:rsid w:val="15E45152"/>
    <w:rsid w:val="15E50ECA"/>
    <w:rsid w:val="15ED1529"/>
    <w:rsid w:val="15ED4AC0"/>
    <w:rsid w:val="15F15C66"/>
    <w:rsid w:val="15F72D2D"/>
    <w:rsid w:val="15FA088E"/>
    <w:rsid w:val="160534C6"/>
    <w:rsid w:val="16087E1D"/>
    <w:rsid w:val="16144A8D"/>
    <w:rsid w:val="16170A33"/>
    <w:rsid w:val="161F4837"/>
    <w:rsid w:val="16326782"/>
    <w:rsid w:val="1638198E"/>
    <w:rsid w:val="16425C19"/>
    <w:rsid w:val="164F1927"/>
    <w:rsid w:val="16507558"/>
    <w:rsid w:val="165F63FA"/>
    <w:rsid w:val="166401D7"/>
    <w:rsid w:val="166921C4"/>
    <w:rsid w:val="166D1E8E"/>
    <w:rsid w:val="16704C38"/>
    <w:rsid w:val="16756E8F"/>
    <w:rsid w:val="16B14441"/>
    <w:rsid w:val="16B62681"/>
    <w:rsid w:val="16B9712D"/>
    <w:rsid w:val="16CC55D2"/>
    <w:rsid w:val="16D10953"/>
    <w:rsid w:val="16EC368E"/>
    <w:rsid w:val="16F467D2"/>
    <w:rsid w:val="17030DFD"/>
    <w:rsid w:val="17115724"/>
    <w:rsid w:val="17280439"/>
    <w:rsid w:val="17384938"/>
    <w:rsid w:val="17461AE9"/>
    <w:rsid w:val="174F6F43"/>
    <w:rsid w:val="176D28C4"/>
    <w:rsid w:val="176D5FB9"/>
    <w:rsid w:val="17701D14"/>
    <w:rsid w:val="17735226"/>
    <w:rsid w:val="178564C1"/>
    <w:rsid w:val="178B5EB3"/>
    <w:rsid w:val="178F5592"/>
    <w:rsid w:val="17AB1339"/>
    <w:rsid w:val="17AC762E"/>
    <w:rsid w:val="17B35259"/>
    <w:rsid w:val="17B412FD"/>
    <w:rsid w:val="17C23271"/>
    <w:rsid w:val="17C26585"/>
    <w:rsid w:val="17C82725"/>
    <w:rsid w:val="17CC4866"/>
    <w:rsid w:val="17CF3BE0"/>
    <w:rsid w:val="17E13E9C"/>
    <w:rsid w:val="17F90A0F"/>
    <w:rsid w:val="18010C38"/>
    <w:rsid w:val="182F051F"/>
    <w:rsid w:val="18300B23"/>
    <w:rsid w:val="18452495"/>
    <w:rsid w:val="18495740"/>
    <w:rsid w:val="18496C72"/>
    <w:rsid w:val="18586850"/>
    <w:rsid w:val="18624A54"/>
    <w:rsid w:val="18663113"/>
    <w:rsid w:val="186749BA"/>
    <w:rsid w:val="1869193F"/>
    <w:rsid w:val="186C29D2"/>
    <w:rsid w:val="18703313"/>
    <w:rsid w:val="18720CCA"/>
    <w:rsid w:val="1878612C"/>
    <w:rsid w:val="18972950"/>
    <w:rsid w:val="1899763E"/>
    <w:rsid w:val="189F624C"/>
    <w:rsid w:val="18A03E51"/>
    <w:rsid w:val="18A21A2D"/>
    <w:rsid w:val="18A50E86"/>
    <w:rsid w:val="18AA2C88"/>
    <w:rsid w:val="18B35B7D"/>
    <w:rsid w:val="18C02B8E"/>
    <w:rsid w:val="18C04D61"/>
    <w:rsid w:val="18C928CE"/>
    <w:rsid w:val="18CA554E"/>
    <w:rsid w:val="18DC4807"/>
    <w:rsid w:val="18F46042"/>
    <w:rsid w:val="19011550"/>
    <w:rsid w:val="19116B06"/>
    <w:rsid w:val="191915B7"/>
    <w:rsid w:val="193803F7"/>
    <w:rsid w:val="195D1C99"/>
    <w:rsid w:val="195E16BF"/>
    <w:rsid w:val="19660810"/>
    <w:rsid w:val="198976DB"/>
    <w:rsid w:val="1996103A"/>
    <w:rsid w:val="1996213F"/>
    <w:rsid w:val="19982EFA"/>
    <w:rsid w:val="199944A6"/>
    <w:rsid w:val="19BE5CBA"/>
    <w:rsid w:val="19C534ED"/>
    <w:rsid w:val="19D171ED"/>
    <w:rsid w:val="19E528A1"/>
    <w:rsid w:val="19E962F6"/>
    <w:rsid w:val="19EB676A"/>
    <w:rsid w:val="19EF7E1D"/>
    <w:rsid w:val="19F752F6"/>
    <w:rsid w:val="19FF5ACB"/>
    <w:rsid w:val="1A0D716D"/>
    <w:rsid w:val="1A121F48"/>
    <w:rsid w:val="1A1237C6"/>
    <w:rsid w:val="1A1C66C0"/>
    <w:rsid w:val="1A20619E"/>
    <w:rsid w:val="1A3413A4"/>
    <w:rsid w:val="1A3A39F7"/>
    <w:rsid w:val="1A3F6DFB"/>
    <w:rsid w:val="1A42393B"/>
    <w:rsid w:val="1A4F533A"/>
    <w:rsid w:val="1A50725A"/>
    <w:rsid w:val="1A607278"/>
    <w:rsid w:val="1A634A7F"/>
    <w:rsid w:val="1A644AB4"/>
    <w:rsid w:val="1A676333"/>
    <w:rsid w:val="1A6F27E0"/>
    <w:rsid w:val="1A88796E"/>
    <w:rsid w:val="1A8B4DD7"/>
    <w:rsid w:val="1A9B4B52"/>
    <w:rsid w:val="1AA325A8"/>
    <w:rsid w:val="1AA55BED"/>
    <w:rsid w:val="1AAD45DE"/>
    <w:rsid w:val="1AAF1499"/>
    <w:rsid w:val="1AB32372"/>
    <w:rsid w:val="1ACC3AB1"/>
    <w:rsid w:val="1AD24DA0"/>
    <w:rsid w:val="1AD90340"/>
    <w:rsid w:val="1ADC289C"/>
    <w:rsid w:val="1AE87493"/>
    <w:rsid w:val="1AEC6857"/>
    <w:rsid w:val="1AED7C45"/>
    <w:rsid w:val="1B041DF3"/>
    <w:rsid w:val="1B046F80"/>
    <w:rsid w:val="1B2A12C0"/>
    <w:rsid w:val="1B3267B5"/>
    <w:rsid w:val="1B326960"/>
    <w:rsid w:val="1B3A3C5E"/>
    <w:rsid w:val="1B40161D"/>
    <w:rsid w:val="1B441859"/>
    <w:rsid w:val="1B444886"/>
    <w:rsid w:val="1B551FD8"/>
    <w:rsid w:val="1B574618"/>
    <w:rsid w:val="1B6606B1"/>
    <w:rsid w:val="1B742AD4"/>
    <w:rsid w:val="1B75684C"/>
    <w:rsid w:val="1B76791E"/>
    <w:rsid w:val="1B856B54"/>
    <w:rsid w:val="1B8A4174"/>
    <w:rsid w:val="1B8B66A4"/>
    <w:rsid w:val="1BB11EDB"/>
    <w:rsid w:val="1BCF68E1"/>
    <w:rsid w:val="1BDF7652"/>
    <w:rsid w:val="1BE67576"/>
    <w:rsid w:val="1BEC449D"/>
    <w:rsid w:val="1BF105C9"/>
    <w:rsid w:val="1C167019"/>
    <w:rsid w:val="1C2B31F4"/>
    <w:rsid w:val="1C2C7853"/>
    <w:rsid w:val="1C330BCB"/>
    <w:rsid w:val="1C332E5D"/>
    <w:rsid w:val="1C366FF9"/>
    <w:rsid w:val="1C377EFF"/>
    <w:rsid w:val="1C534316"/>
    <w:rsid w:val="1C555547"/>
    <w:rsid w:val="1C586631"/>
    <w:rsid w:val="1C5D12C5"/>
    <w:rsid w:val="1C5E7925"/>
    <w:rsid w:val="1C7D3FF2"/>
    <w:rsid w:val="1C8621E7"/>
    <w:rsid w:val="1C884062"/>
    <w:rsid w:val="1C8A6A8C"/>
    <w:rsid w:val="1C905BCE"/>
    <w:rsid w:val="1C9176B6"/>
    <w:rsid w:val="1C9249BA"/>
    <w:rsid w:val="1CA07754"/>
    <w:rsid w:val="1CBE44AA"/>
    <w:rsid w:val="1CBF2152"/>
    <w:rsid w:val="1CC84781"/>
    <w:rsid w:val="1CC900D9"/>
    <w:rsid w:val="1CDE1C3D"/>
    <w:rsid w:val="1CEC3628"/>
    <w:rsid w:val="1CFD070F"/>
    <w:rsid w:val="1D13631D"/>
    <w:rsid w:val="1D552DD9"/>
    <w:rsid w:val="1D5F6196"/>
    <w:rsid w:val="1D6132A5"/>
    <w:rsid w:val="1D6B102B"/>
    <w:rsid w:val="1D6D3C7F"/>
    <w:rsid w:val="1D745CED"/>
    <w:rsid w:val="1D7C3A58"/>
    <w:rsid w:val="1D8170ED"/>
    <w:rsid w:val="1D8E56D5"/>
    <w:rsid w:val="1D925BF4"/>
    <w:rsid w:val="1DA0658B"/>
    <w:rsid w:val="1DA8115B"/>
    <w:rsid w:val="1DB47B00"/>
    <w:rsid w:val="1DC1221D"/>
    <w:rsid w:val="1DC92C25"/>
    <w:rsid w:val="1DCD0BC2"/>
    <w:rsid w:val="1DD243C0"/>
    <w:rsid w:val="1DD34B61"/>
    <w:rsid w:val="1DDC1F9E"/>
    <w:rsid w:val="1DF306C1"/>
    <w:rsid w:val="1E067C30"/>
    <w:rsid w:val="1E087E4C"/>
    <w:rsid w:val="1E122CC6"/>
    <w:rsid w:val="1E182E21"/>
    <w:rsid w:val="1E1F308C"/>
    <w:rsid w:val="1E303CBE"/>
    <w:rsid w:val="1E357184"/>
    <w:rsid w:val="1E446C36"/>
    <w:rsid w:val="1E4B4B5A"/>
    <w:rsid w:val="1E523043"/>
    <w:rsid w:val="1E5831B2"/>
    <w:rsid w:val="1E676920"/>
    <w:rsid w:val="1E6E3680"/>
    <w:rsid w:val="1E6E5F01"/>
    <w:rsid w:val="1E730C13"/>
    <w:rsid w:val="1E7552D0"/>
    <w:rsid w:val="1E7A43DA"/>
    <w:rsid w:val="1E83132C"/>
    <w:rsid w:val="1E8562FD"/>
    <w:rsid w:val="1E935967"/>
    <w:rsid w:val="1E982F7E"/>
    <w:rsid w:val="1EA15953"/>
    <w:rsid w:val="1EA83BBB"/>
    <w:rsid w:val="1EAD34D2"/>
    <w:rsid w:val="1ECC70CB"/>
    <w:rsid w:val="1ECE38CC"/>
    <w:rsid w:val="1EDE60D4"/>
    <w:rsid w:val="1EE05281"/>
    <w:rsid w:val="1EE33016"/>
    <w:rsid w:val="1F02489B"/>
    <w:rsid w:val="1F0471E6"/>
    <w:rsid w:val="1F086472"/>
    <w:rsid w:val="1F0D246D"/>
    <w:rsid w:val="1F101AB6"/>
    <w:rsid w:val="1F132A6B"/>
    <w:rsid w:val="1F277B85"/>
    <w:rsid w:val="1F2C2C9E"/>
    <w:rsid w:val="1F334A54"/>
    <w:rsid w:val="1F4B2751"/>
    <w:rsid w:val="1F4D1E1D"/>
    <w:rsid w:val="1F4D2FDA"/>
    <w:rsid w:val="1F6B283A"/>
    <w:rsid w:val="1F757A5A"/>
    <w:rsid w:val="1F923E32"/>
    <w:rsid w:val="1F9A2D26"/>
    <w:rsid w:val="1F9D458E"/>
    <w:rsid w:val="1F9F20EA"/>
    <w:rsid w:val="1FA025B1"/>
    <w:rsid w:val="1FB16B20"/>
    <w:rsid w:val="1FC21E1F"/>
    <w:rsid w:val="1FC2452C"/>
    <w:rsid w:val="1FC35DD8"/>
    <w:rsid w:val="1FDE4317"/>
    <w:rsid w:val="1FE40455"/>
    <w:rsid w:val="1FE7539E"/>
    <w:rsid w:val="1FF24910"/>
    <w:rsid w:val="1FF42436"/>
    <w:rsid w:val="200211C3"/>
    <w:rsid w:val="2003693F"/>
    <w:rsid w:val="200C2F94"/>
    <w:rsid w:val="200F3EAF"/>
    <w:rsid w:val="2010009E"/>
    <w:rsid w:val="20151B7B"/>
    <w:rsid w:val="201817FB"/>
    <w:rsid w:val="202A2D2D"/>
    <w:rsid w:val="205F6FE8"/>
    <w:rsid w:val="20671BE0"/>
    <w:rsid w:val="208D41D2"/>
    <w:rsid w:val="20963CB8"/>
    <w:rsid w:val="2098452F"/>
    <w:rsid w:val="20A81A1B"/>
    <w:rsid w:val="20AA6F98"/>
    <w:rsid w:val="20B07FB6"/>
    <w:rsid w:val="20B646FB"/>
    <w:rsid w:val="20B9014C"/>
    <w:rsid w:val="20CF3331"/>
    <w:rsid w:val="20D53AB5"/>
    <w:rsid w:val="20E418C1"/>
    <w:rsid w:val="20E95D13"/>
    <w:rsid w:val="20F55F8C"/>
    <w:rsid w:val="20F7141D"/>
    <w:rsid w:val="210378DB"/>
    <w:rsid w:val="210B1C2A"/>
    <w:rsid w:val="210C3137"/>
    <w:rsid w:val="210D2203"/>
    <w:rsid w:val="210D3CD7"/>
    <w:rsid w:val="21117017"/>
    <w:rsid w:val="213B74B1"/>
    <w:rsid w:val="215A2310"/>
    <w:rsid w:val="215D70C0"/>
    <w:rsid w:val="2163106E"/>
    <w:rsid w:val="21640117"/>
    <w:rsid w:val="21682E44"/>
    <w:rsid w:val="216D5DDE"/>
    <w:rsid w:val="217038B5"/>
    <w:rsid w:val="218407DF"/>
    <w:rsid w:val="218B67FD"/>
    <w:rsid w:val="2190442A"/>
    <w:rsid w:val="21983404"/>
    <w:rsid w:val="21AD2CD3"/>
    <w:rsid w:val="21B856E5"/>
    <w:rsid w:val="21BC6F83"/>
    <w:rsid w:val="21DE318A"/>
    <w:rsid w:val="21DF0EC4"/>
    <w:rsid w:val="21E02DB4"/>
    <w:rsid w:val="21EF5B80"/>
    <w:rsid w:val="22122FE0"/>
    <w:rsid w:val="221C2118"/>
    <w:rsid w:val="222A739D"/>
    <w:rsid w:val="222C2765"/>
    <w:rsid w:val="223F57F7"/>
    <w:rsid w:val="224623B3"/>
    <w:rsid w:val="224F3AF6"/>
    <w:rsid w:val="22576990"/>
    <w:rsid w:val="22607F7A"/>
    <w:rsid w:val="22713CDC"/>
    <w:rsid w:val="22803731"/>
    <w:rsid w:val="228D1C60"/>
    <w:rsid w:val="228E5B83"/>
    <w:rsid w:val="22A335D8"/>
    <w:rsid w:val="22A963ED"/>
    <w:rsid w:val="22AE0EB4"/>
    <w:rsid w:val="22AF206E"/>
    <w:rsid w:val="22B56515"/>
    <w:rsid w:val="22C203C0"/>
    <w:rsid w:val="22C40E29"/>
    <w:rsid w:val="22C63C28"/>
    <w:rsid w:val="22CA0F2E"/>
    <w:rsid w:val="22F22B4C"/>
    <w:rsid w:val="22F259F6"/>
    <w:rsid w:val="22F47480"/>
    <w:rsid w:val="22F664C5"/>
    <w:rsid w:val="22FA2BE2"/>
    <w:rsid w:val="22FD2099"/>
    <w:rsid w:val="22FE11E8"/>
    <w:rsid w:val="230B2EA9"/>
    <w:rsid w:val="23122559"/>
    <w:rsid w:val="23143FDA"/>
    <w:rsid w:val="23152DEF"/>
    <w:rsid w:val="23250BC2"/>
    <w:rsid w:val="232551EF"/>
    <w:rsid w:val="23264FFC"/>
    <w:rsid w:val="232A50C7"/>
    <w:rsid w:val="233226C0"/>
    <w:rsid w:val="2336009A"/>
    <w:rsid w:val="233E2A6C"/>
    <w:rsid w:val="234A390D"/>
    <w:rsid w:val="235A6A54"/>
    <w:rsid w:val="23612532"/>
    <w:rsid w:val="23626A1D"/>
    <w:rsid w:val="236500EA"/>
    <w:rsid w:val="23651495"/>
    <w:rsid w:val="23796302"/>
    <w:rsid w:val="237C67AF"/>
    <w:rsid w:val="23810484"/>
    <w:rsid w:val="238B4E5F"/>
    <w:rsid w:val="2392186F"/>
    <w:rsid w:val="23A10440"/>
    <w:rsid w:val="23AD7D53"/>
    <w:rsid w:val="23AE6D9F"/>
    <w:rsid w:val="23B031E1"/>
    <w:rsid w:val="23B045A6"/>
    <w:rsid w:val="23C748EB"/>
    <w:rsid w:val="23C81C42"/>
    <w:rsid w:val="23CD52D2"/>
    <w:rsid w:val="23DE1C48"/>
    <w:rsid w:val="23E94A7C"/>
    <w:rsid w:val="23FD6613"/>
    <w:rsid w:val="240210CD"/>
    <w:rsid w:val="24044E19"/>
    <w:rsid w:val="240D6701"/>
    <w:rsid w:val="24130C88"/>
    <w:rsid w:val="2418420C"/>
    <w:rsid w:val="2425112A"/>
    <w:rsid w:val="2435126F"/>
    <w:rsid w:val="243C3722"/>
    <w:rsid w:val="24483433"/>
    <w:rsid w:val="244D11A3"/>
    <w:rsid w:val="245556F9"/>
    <w:rsid w:val="246050C9"/>
    <w:rsid w:val="247B1F1B"/>
    <w:rsid w:val="247B3B7B"/>
    <w:rsid w:val="24817DFC"/>
    <w:rsid w:val="248762B2"/>
    <w:rsid w:val="248D4C07"/>
    <w:rsid w:val="249661B1"/>
    <w:rsid w:val="24B93C4E"/>
    <w:rsid w:val="24BB46D0"/>
    <w:rsid w:val="24BF09F7"/>
    <w:rsid w:val="24C7636B"/>
    <w:rsid w:val="24CB39E1"/>
    <w:rsid w:val="24DB224F"/>
    <w:rsid w:val="24F2253C"/>
    <w:rsid w:val="250745CC"/>
    <w:rsid w:val="250810CB"/>
    <w:rsid w:val="251175E6"/>
    <w:rsid w:val="2517136E"/>
    <w:rsid w:val="251D5F8B"/>
    <w:rsid w:val="252603A1"/>
    <w:rsid w:val="252D53FE"/>
    <w:rsid w:val="25311187"/>
    <w:rsid w:val="25497BF7"/>
    <w:rsid w:val="25514269"/>
    <w:rsid w:val="2554491A"/>
    <w:rsid w:val="25693610"/>
    <w:rsid w:val="256C7CE8"/>
    <w:rsid w:val="256F1FE0"/>
    <w:rsid w:val="257760D2"/>
    <w:rsid w:val="25977435"/>
    <w:rsid w:val="25A20311"/>
    <w:rsid w:val="25AF4EDF"/>
    <w:rsid w:val="25C2328F"/>
    <w:rsid w:val="25CC2570"/>
    <w:rsid w:val="25D074A1"/>
    <w:rsid w:val="25D51F9C"/>
    <w:rsid w:val="25D64199"/>
    <w:rsid w:val="25DF1993"/>
    <w:rsid w:val="25EC2D81"/>
    <w:rsid w:val="25FB35AA"/>
    <w:rsid w:val="260158AC"/>
    <w:rsid w:val="260D06F7"/>
    <w:rsid w:val="261263BB"/>
    <w:rsid w:val="261E1141"/>
    <w:rsid w:val="261E31A6"/>
    <w:rsid w:val="26202D49"/>
    <w:rsid w:val="262B0B7B"/>
    <w:rsid w:val="262F48E8"/>
    <w:rsid w:val="26401EFE"/>
    <w:rsid w:val="26420C3F"/>
    <w:rsid w:val="265858BD"/>
    <w:rsid w:val="265B2103"/>
    <w:rsid w:val="265C2AE3"/>
    <w:rsid w:val="26747E2C"/>
    <w:rsid w:val="267A225A"/>
    <w:rsid w:val="269008BD"/>
    <w:rsid w:val="26A5652B"/>
    <w:rsid w:val="26A61D3D"/>
    <w:rsid w:val="26A67EE3"/>
    <w:rsid w:val="26A94E85"/>
    <w:rsid w:val="26B5049F"/>
    <w:rsid w:val="26B548EC"/>
    <w:rsid w:val="26D5357B"/>
    <w:rsid w:val="26F56361"/>
    <w:rsid w:val="27161E01"/>
    <w:rsid w:val="271E08FB"/>
    <w:rsid w:val="2720769D"/>
    <w:rsid w:val="273406C0"/>
    <w:rsid w:val="27407D24"/>
    <w:rsid w:val="274B1B9E"/>
    <w:rsid w:val="274F2647"/>
    <w:rsid w:val="27592805"/>
    <w:rsid w:val="275E288B"/>
    <w:rsid w:val="277057A2"/>
    <w:rsid w:val="277420AE"/>
    <w:rsid w:val="2775172B"/>
    <w:rsid w:val="2776247D"/>
    <w:rsid w:val="277E71B3"/>
    <w:rsid w:val="279A56C8"/>
    <w:rsid w:val="27A02EA3"/>
    <w:rsid w:val="27A74232"/>
    <w:rsid w:val="27B32BD6"/>
    <w:rsid w:val="27BF6D79"/>
    <w:rsid w:val="27C02877"/>
    <w:rsid w:val="27CF7A36"/>
    <w:rsid w:val="27E60CAF"/>
    <w:rsid w:val="27F45D65"/>
    <w:rsid w:val="27FD02F5"/>
    <w:rsid w:val="27FF77F8"/>
    <w:rsid w:val="280451E0"/>
    <w:rsid w:val="28136142"/>
    <w:rsid w:val="28142218"/>
    <w:rsid w:val="281968B1"/>
    <w:rsid w:val="284A0044"/>
    <w:rsid w:val="284F3E71"/>
    <w:rsid w:val="28584810"/>
    <w:rsid w:val="28587F8D"/>
    <w:rsid w:val="285F360F"/>
    <w:rsid w:val="286839C1"/>
    <w:rsid w:val="28742969"/>
    <w:rsid w:val="287A47A7"/>
    <w:rsid w:val="28800E11"/>
    <w:rsid w:val="28810F26"/>
    <w:rsid w:val="288412F1"/>
    <w:rsid w:val="28905503"/>
    <w:rsid w:val="28916E8B"/>
    <w:rsid w:val="28924C1A"/>
    <w:rsid w:val="289406EB"/>
    <w:rsid w:val="28993A08"/>
    <w:rsid w:val="28A05722"/>
    <w:rsid w:val="28A414CC"/>
    <w:rsid w:val="28A55FE4"/>
    <w:rsid w:val="28AC1C11"/>
    <w:rsid w:val="28B543C7"/>
    <w:rsid w:val="28B80896"/>
    <w:rsid w:val="28C64B8B"/>
    <w:rsid w:val="28CC5DCF"/>
    <w:rsid w:val="28D420CF"/>
    <w:rsid w:val="28DC17E6"/>
    <w:rsid w:val="28DD56BD"/>
    <w:rsid w:val="28E75BE0"/>
    <w:rsid w:val="28FC2D0A"/>
    <w:rsid w:val="29023E15"/>
    <w:rsid w:val="291B51CA"/>
    <w:rsid w:val="29206EB8"/>
    <w:rsid w:val="29357C6B"/>
    <w:rsid w:val="29385A89"/>
    <w:rsid w:val="293B7327"/>
    <w:rsid w:val="29595666"/>
    <w:rsid w:val="295D104C"/>
    <w:rsid w:val="295D5BEA"/>
    <w:rsid w:val="295E3016"/>
    <w:rsid w:val="296F0AAE"/>
    <w:rsid w:val="29820015"/>
    <w:rsid w:val="29874881"/>
    <w:rsid w:val="29981DC6"/>
    <w:rsid w:val="299A22A0"/>
    <w:rsid w:val="299C0CA3"/>
    <w:rsid w:val="29AB625B"/>
    <w:rsid w:val="29B06CCC"/>
    <w:rsid w:val="29B81AE0"/>
    <w:rsid w:val="29CE1F49"/>
    <w:rsid w:val="29D15596"/>
    <w:rsid w:val="29D551AF"/>
    <w:rsid w:val="29DF22EF"/>
    <w:rsid w:val="29E325E0"/>
    <w:rsid w:val="29F179E6"/>
    <w:rsid w:val="29F3428B"/>
    <w:rsid w:val="29FA27CA"/>
    <w:rsid w:val="2A0C2A72"/>
    <w:rsid w:val="2A0F1C27"/>
    <w:rsid w:val="2A135BAE"/>
    <w:rsid w:val="2A157BF5"/>
    <w:rsid w:val="2A37403F"/>
    <w:rsid w:val="2A452503"/>
    <w:rsid w:val="2A454252"/>
    <w:rsid w:val="2A482E16"/>
    <w:rsid w:val="2A5E1EAF"/>
    <w:rsid w:val="2A632133"/>
    <w:rsid w:val="2A6F054F"/>
    <w:rsid w:val="2A7A5C2D"/>
    <w:rsid w:val="2A915482"/>
    <w:rsid w:val="2A9D5364"/>
    <w:rsid w:val="2AA5611A"/>
    <w:rsid w:val="2AB12B97"/>
    <w:rsid w:val="2AB6770F"/>
    <w:rsid w:val="2ACD4471"/>
    <w:rsid w:val="2AD13FE4"/>
    <w:rsid w:val="2AD1624A"/>
    <w:rsid w:val="2AD662DD"/>
    <w:rsid w:val="2ADB2019"/>
    <w:rsid w:val="2AE9690F"/>
    <w:rsid w:val="2AEC271E"/>
    <w:rsid w:val="2AF07C9E"/>
    <w:rsid w:val="2AFD022D"/>
    <w:rsid w:val="2B0B17FE"/>
    <w:rsid w:val="2B0B4F30"/>
    <w:rsid w:val="2B141BDE"/>
    <w:rsid w:val="2B1A4D1A"/>
    <w:rsid w:val="2B4634F6"/>
    <w:rsid w:val="2B464915"/>
    <w:rsid w:val="2B514BE0"/>
    <w:rsid w:val="2B5678F1"/>
    <w:rsid w:val="2B7A4B5A"/>
    <w:rsid w:val="2B824D9A"/>
    <w:rsid w:val="2B8C5C18"/>
    <w:rsid w:val="2B920D55"/>
    <w:rsid w:val="2B976CF5"/>
    <w:rsid w:val="2B996FE3"/>
    <w:rsid w:val="2BA936A8"/>
    <w:rsid w:val="2BAE64DD"/>
    <w:rsid w:val="2BAF6A3F"/>
    <w:rsid w:val="2BB62E40"/>
    <w:rsid w:val="2BC058C2"/>
    <w:rsid w:val="2BCB1F9B"/>
    <w:rsid w:val="2BD872CA"/>
    <w:rsid w:val="2BDC5A87"/>
    <w:rsid w:val="2BE06F7E"/>
    <w:rsid w:val="2BE6660F"/>
    <w:rsid w:val="2BF043F9"/>
    <w:rsid w:val="2C011B6F"/>
    <w:rsid w:val="2C196321"/>
    <w:rsid w:val="2C1A13E9"/>
    <w:rsid w:val="2C2B6E7C"/>
    <w:rsid w:val="2C315A5A"/>
    <w:rsid w:val="2C336AA4"/>
    <w:rsid w:val="2C4666AC"/>
    <w:rsid w:val="2C47560B"/>
    <w:rsid w:val="2C4A157B"/>
    <w:rsid w:val="2C4B1C25"/>
    <w:rsid w:val="2C521827"/>
    <w:rsid w:val="2C783532"/>
    <w:rsid w:val="2C803EDB"/>
    <w:rsid w:val="2C866549"/>
    <w:rsid w:val="2C8D45D3"/>
    <w:rsid w:val="2C9E3E55"/>
    <w:rsid w:val="2CA970CB"/>
    <w:rsid w:val="2CAA0192"/>
    <w:rsid w:val="2CB44EAA"/>
    <w:rsid w:val="2CD57086"/>
    <w:rsid w:val="2CDB0B61"/>
    <w:rsid w:val="2CDC4517"/>
    <w:rsid w:val="2CE02E7F"/>
    <w:rsid w:val="2CE37ABA"/>
    <w:rsid w:val="2CF9552F"/>
    <w:rsid w:val="2CFE48F4"/>
    <w:rsid w:val="2D0465C5"/>
    <w:rsid w:val="2D0F6B01"/>
    <w:rsid w:val="2D14258E"/>
    <w:rsid w:val="2D217935"/>
    <w:rsid w:val="2D271D5E"/>
    <w:rsid w:val="2D2C64E3"/>
    <w:rsid w:val="2D3B275C"/>
    <w:rsid w:val="2D547E3F"/>
    <w:rsid w:val="2D59037A"/>
    <w:rsid w:val="2D5A6E02"/>
    <w:rsid w:val="2D611067"/>
    <w:rsid w:val="2D732991"/>
    <w:rsid w:val="2D88744E"/>
    <w:rsid w:val="2D984D48"/>
    <w:rsid w:val="2D9E1E24"/>
    <w:rsid w:val="2D9E56F5"/>
    <w:rsid w:val="2DA82AB1"/>
    <w:rsid w:val="2DC22DEA"/>
    <w:rsid w:val="2DCB4ECE"/>
    <w:rsid w:val="2DD03F61"/>
    <w:rsid w:val="2DD90923"/>
    <w:rsid w:val="2DDA7B1D"/>
    <w:rsid w:val="2DE159F5"/>
    <w:rsid w:val="2DE66F94"/>
    <w:rsid w:val="2E132621"/>
    <w:rsid w:val="2E1818FD"/>
    <w:rsid w:val="2E182697"/>
    <w:rsid w:val="2E3053A4"/>
    <w:rsid w:val="2E4D59DA"/>
    <w:rsid w:val="2E4E257F"/>
    <w:rsid w:val="2E66565E"/>
    <w:rsid w:val="2E667F96"/>
    <w:rsid w:val="2E7E7DC6"/>
    <w:rsid w:val="2E7F1A64"/>
    <w:rsid w:val="2E8226AB"/>
    <w:rsid w:val="2E907846"/>
    <w:rsid w:val="2E976DAE"/>
    <w:rsid w:val="2E9A5D03"/>
    <w:rsid w:val="2EA35084"/>
    <w:rsid w:val="2EAC6D51"/>
    <w:rsid w:val="2EAE0880"/>
    <w:rsid w:val="2ED31EF0"/>
    <w:rsid w:val="2EEB6541"/>
    <w:rsid w:val="2EEB7482"/>
    <w:rsid w:val="2EF830C6"/>
    <w:rsid w:val="2EFC1239"/>
    <w:rsid w:val="2F0B3B38"/>
    <w:rsid w:val="2F246A44"/>
    <w:rsid w:val="2F25085E"/>
    <w:rsid w:val="2F3A3B1A"/>
    <w:rsid w:val="2F3D3B1D"/>
    <w:rsid w:val="2F42668B"/>
    <w:rsid w:val="2F4D1B62"/>
    <w:rsid w:val="2F546A4D"/>
    <w:rsid w:val="2F564DF5"/>
    <w:rsid w:val="2F693FAA"/>
    <w:rsid w:val="2F726557"/>
    <w:rsid w:val="2F78198B"/>
    <w:rsid w:val="2F7C6285"/>
    <w:rsid w:val="2F7F6117"/>
    <w:rsid w:val="2F8D6403"/>
    <w:rsid w:val="2F9502B7"/>
    <w:rsid w:val="2F986395"/>
    <w:rsid w:val="2FA42696"/>
    <w:rsid w:val="2FAA0D63"/>
    <w:rsid w:val="2FAF3D59"/>
    <w:rsid w:val="2FB46457"/>
    <w:rsid w:val="2FBA0ACE"/>
    <w:rsid w:val="2FC67810"/>
    <w:rsid w:val="2FC94381"/>
    <w:rsid w:val="2FCC676A"/>
    <w:rsid w:val="2FD04D90"/>
    <w:rsid w:val="2FD065E6"/>
    <w:rsid w:val="2FD20736"/>
    <w:rsid w:val="2FD24C89"/>
    <w:rsid w:val="2FD96870"/>
    <w:rsid w:val="2FDA7E82"/>
    <w:rsid w:val="2FE5513E"/>
    <w:rsid w:val="2FEF0BC4"/>
    <w:rsid w:val="2FF355C0"/>
    <w:rsid w:val="30001D2D"/>
    <w:rsid w:val="3014224E"/>
    <w:rsid w:val="30155912"/>
    <w:rsid w:val="303509CA"/>
    <w:rsid w:val="304457DF"/>
    <w:rsid w:val="30462016"/>
    <w:rsid w:val="304B69E5"/>
    <w:rsid w:val="304E58B4"/>
    <w:rsid w:val="3055748A"/>
    <w:rsid w:val="30580BC9"/>
    <w:rsid w:val="305A7CDF"/>
    <w:rsid w:val="30670A02"/>
    <w:rsid w:val="3069477A"/>
    <w:rsid w:val="306C4BB2"/>
    <w:rsid w:val="308819B0"/>
    <w:rsid w:val="308F19E9"/>
    <w:rsid w:val="309057B4"/>
    <w:rsid w:val="309335A5"/>
    <w:rsid w:val="3096540F"/>
    <w:rsid w:val="30AC4667"/>
    <w:rsid w:val="30BB6015"/>
    <w:rsid w:val="30C61284"/>
    <w:rsid w:val="30DC0219"/>
    <w:rsid w:val="30DE4599"/>
    <w:rsid w:val="30DE6937"/>
    <w:rsid w:val="30EB452B"/>
    <w:rsid w:val="30F13FEF"/>
    <w:rsid w:val="30F1626C"/>
    <w:rsid w:val="30F571F0"/>
    <w:rsid w:val="310315B7"/>
    <w:rsid w:val="310E5321"/>
    <w:rsid w:val="310F7AFB"/>
    <w:rsid w:val="31143E67"/>
    <w:rsid w:val="311E2ED7"/>
    <w:rsid w:val="311F12DD"/>
    <w:rsid w:val="312B0213"/>
    <w:rsid w:val="312D57A8"/>
    <w:rsid w:val="31327760"/>
    <w:rsid w:val="313844C5"/>
    <w:rsid w:val="31490108"/>
    <w:rsid w:val="315619EE"/>
    <w:rsid w:val="315C449C"/>
    <w:rsid w:val="3165529B"/>
    <w:rsid w:val="316723F9"/>
    <w:rsid w:val="3170172A"/>
    <w:rsid w:val="31734D60"/>
    <w:rsid w:val="317B2811"/>
    <w:rsid w:val="317C6896"/>
    <w:rsid w:val="319B1D6E"/>
    <w:rsid w:val="319C0B7F"/>
    <w:rsid w:val="31A1011D"/>
    <w:rsid w:val="31AE2251"/>
    <w:rsid w:val="31B81BE5"/>
    <w:rsid w:val="31B82709"/>
    <w:rsid w:val="31BA2024"/>
    <w:rsid w:val="31BE4652"/>
    <w:rsid w:val="31C50377"/>
    <w:rsid w:val="31D05482"/>
    <w:rsid w:val="31D11CC9"/>
    <w:rsid w:val="31E367AE"/>
    <w:rsid w:val="31EB11BF"/>
    <w:rsid w:val="31F745C9"/>
    <w:rsid w:val="32034221"/>
    <w:rsid w:val="320F30FF"/>
    <w:rsid w:val="320F4CE1"/>
    <w:rsid w:val="32216876"/>
    <w:rsid w:val="32261822"/>
    <w:rsid w:val="32272714"/>
    <w:rsid w:val="323F13D0"/>
    <w:rsid w:val="32400B34"/>
    <w:rsid w:val="3243139D"/>
    <w:rsid w:val="324B465A"/>
    <w:rsid w:val="32575BB8"/>
    <w:rsid w:val="325823B4"/>
    <w:rsid w:val="326604B8"/>
    <w:rsid w:val="32787927"/>
    <w:rsid w:val="329E6876"/>
    <w:rsid w:val="32A314EE"/>
    <w:rsid w:val="32A36527"/>
    <w:rsid w:val="32AC094E"/>
    <w:rsid w:val="32B45CFA"/>
    <w:rsid w:val="32C830F1"/>
    <w:rsid w:val="32D56359"/>
    <w:rsid w:val="32DB0C08"/>
    <w:rsid w:val="32DB597E"/>
    <w:rsid w:val="32DE7621"/>
    <w:rsid w:val="32E71A40"/>
    <w:rsid w:val="32F02F31"/>
    <w:rsid w:val="32F15B31"/>
    <w:rsid w:val="330B38C7"/>
    <w:rsid w:val="33150A6D"/>
    <w:rsid w:val="331718E2"/>
    <w:rsid w:val="33186085"/>
    <w:rsid w:val="331C5628"/>
    <w:rsid w:val="331C7682"/>
    <w:rsid w:val="332350B4"/>
    <w:rsid w:val="332A1E79"/>
    <w:rsid w:val="332A6E19"/>
    <w:rsid w:val="333015F2"/>
    <w:rsid w:val="33386686"/>
    <w:rsid w:val="333A0650"/>
    <w:rsid w:val="333A7377"/>
    <w:rsid w:val="333F6177"/>
    <w:rsid w:val="3345419A"/>
    <w:rsid w:val="33471033"/>
    <w:rsid w:val="334B6320"/>
    <w:rsid w:val="33564EB3"/>
    <w:rsid w:val="33693FB2"/>
    <w:rsid w:val="336C1E57"/>
    <w:rsid w:val="337033D4"/>
    <w:rsid w:val="33B6534C"/>
    <w:rsid w:val="33BA60C8"/>
    <w:rsid w:val="33C1613D"/>
    <w:rsid w:val="33CD537E"/>
    <w:rsid w:val="33D11D2C"/>
    <w:rsid w:val="33D313E6"/>
    <w:rsid w:val="33D934D4"/>
    <w:rsid w:val="33E510BC"/>
    <w:rsid w:val="33F1158D"/>
    <w:rsid w:val="33F30946"/>
    <w:rsid w:val="33F97BC3"/>
    <w:rsid w:val="33FE2F6A"/>
    <w:rsid w:val="34000F51"/>
    <w:rsid w:val="340E07E5"/>
    <w:rsid w:val="340F73E6"/>
    <w:rsid w:val="341243C8"/>
    <w:rsid w:val="341E5AE0"/>
    <w:rsid w:val="34235BF7"/>
    <w:rsid w:val="342804A8"/>
    <w:rsid w:val="34296069"/>
    <w:rsid w:val="342E5EF5"/>
    <w:rsid w:val="34341E4E"/>
    <w:rsid w:val="343432F1"/>
    <w:rsid w:val="34420100"/>
    <w:rsid w:val="344F72F7"/>
    <w:rsid w:val="345474EF"/>
    <w:rsid w:val="345A690F"/>
    <w:rsid w:val="34612C4D"/>
    <w:rsid w:val="34643435"/>
    <w:rsid w:val="34857D29"/>
    <w:rsid w:val="34AF11BB"/>
    <w:rsid w:val="34BD6E42"/>
    <w:rsid w:val="34C3443D"/>
    <w:rsid w:val="34C91C8B"/>
    <w:rsid w:val="34D253A4"/>
    <w:rsid w:val="34DA79F4"/>
    <w:rsid w:val="34E868DA"/>
    <w:rsid w:val="34F02BB2"/>
    <w:rsid w:val="34F9113F"/>
    <w:rsid w:val="34FA1019"/>
    <w:rsid w:val="34FC3E0F"/>
    <w:rsid w:val="350F7D2D"/>
    <w:rsid w:val="351849C1"/>
    <w:rsid w:val="352719B0"/>
    <w:rsid w:val="352A4856"/>
    <w:rsid w:val="35300A69"/>
    <w:rsid w:val="35322552"/>
    <w:rsid w:val="353973DC"/>
    <w:rsid w:val="353C1662"/>
    <w:rsid w:val="353D7F83"/>
    <w:rsid w:val="35576C7F"/>
    <w:rsid w:val="3566482E"/>
    <w:rsid w:val="35803815"/>
    <w:rsid w:val="358C5FA8"/>
    <w:rsid w:val="35952ADB"/>
    <w:rsid w:val="359E033D"/>
    <w:rsid w:val="35A42122"/>
    <w:rsid w:val="35A629EA"/>
    <w:rsid w:val="35A85694"/>
    <w:rsid w:val="35BC1338"/>
    <w:rsid w:val="35C15DF1"/>
    <w:rsid w:val="35C525B7"/>
    <w:rsid w:val="35D74B01"/>
    <w:rsid w:val="35D7713F"/>
    <w:rsid w:val="35DE7D00"/>
    <w:rsid w:val="35E0631F"/>
    <w:rsid w:val="35F37046"/>
    <w:rsid w:val="35F569DF"/>
    <w:rsid w:val="36074A7F"/>
    <w:rsid w:val="3637733A"/>
    <w:rsid w:val="36383AD0"/>
    <w:rsid w:val="3643781B"/>
    <w:rsid w:val="365C3AFA"/>
    <w:rsid w:val="36714388"/>
    <w:rsid w:val="367222F9"/>
    <w:rsid w:val="368C61B0"/>
    <w:rsid w:val="36923549"/>
    <w:rsid w:val="36940077"/>
    <w:rsid w:val="369F3CD4"/>
    <w:rsid w:val="36B3674F"/>
    <w:rsid w:val="36B75FBF"/>
    <w:rsid w:val="36BD0C45"/>
    <w:rsid w:val="36C8268B"/>
    <w:rsid w:val="36D402E7"/>
    <w:rsid w:val="36DF7544"/>
    <w:rsid w:val="36F34D9D"/>
    <w:rsid w:val="3700570C"/>
    <w:rsid w:val="37021484"/>
    <w:rsid w:val="37054AD1"/>
    <w:rsid w:val="370933FE"/>
    <w:rsid w:val="37096DA9"/>
    <w:rsid w:val="371B152F"/>
    <w:rsid w:val="372431A9"/>
    <w:rsid w:val="37333025"/>
    <w:rsid w:val="37354910"/>
    <w:rsid w:val="37371B9F"/>
    <w:rsid w:val="373C0FA3"/>
    <w:rsid w:val="37490888"/>
    <w:rsid w:val="375622BD"/>
    <w:rsid w:val="375B3FD0"/>
    <w:rsid w:val="375D2B5F"/>
    <w:rsid w:val="375D41E8"/>
    <w:rsid w:val="37604154"/>
    <w:rsid w:val="376448D2"/>
    <w:rsid w:val="376D7696"/>
    <w:rsid w:val="37AB1B1C"/>
    <w:rsid w:val="37BA1119"/>
    <w:rsid w:val="37DA7D0B"/>
    <w:rsid w:val="37E00298"/>
    <w:rsid w:val="37E24438"/>
    <w:rsid w:val="37EC1976"/>
    <w:rsid w:val="37F14C7A"/>
    <w:rsid w:val="380134EA"/>
    <w:rsid w:val="38021D36"/>
    <w:rsid w:val="38025370"/>
    <w:rsid w:val="38062B18"/>
    <w:rsid w:val="380770C4"/>
    <w:rsid w:val="38086B94"/>
    <w:rsid w:val="38126834"/>
    <w:rsid w:val="381505DE"/>
    <w:rsid w:val="381D2D7B"/>
    <w:rsid w:val="382C5ECC"/>
    <w:rsid w:val="38342060"/>
    <w:rsid w:val="38355C5E"/>
    <w:rsid w:val="383B75DA"/>
    <w:rsid w:val="383C116C"/>
    <w:rsid w:val="38464FAA"/>
    <w:rsid w:val="385E319C"/>
    <w:rsid w:val="386046B4"/>
    <w:rsid w:val="386E4E5E"/>
    <w:rsid w:val="387827D6"/>
    <w:rsid w:val="38784E14"/>
    <w:rsid w:val="387B005A"/>
    <w:rsid w:val="388114A1"/>
    <w:rsid w:val="38960718"/>
    <w:rsid w:val="38B302F9"/>
    <w:rsid w:val="38C075B5"/>
    <w:rsid w:val="38C2463D"/>
    <w:rsid w:val="38D26C34"/>
    <w:rsid w:val="38DC21F0"/>
    <w:rsid w:val="38E2331B"/>
    <w:rsid w:val="38F12CD3"/>
    <w:rsid w:val="38F94775"/>
    <w:rsid w:val="38FA5D11"/>
    <w:rsid w:val="38FE7EC1"/>
    <w:rsid w:val="38FF6F23"/>
    <w:rsid w:val="392971ED"/>
    <w:rsid w:val="39325651"/>
    <w:rsid w:val="393C0411"/>
    <w:rsid w:val="39565A73"/>
    <w:rsid w:val="39577CB8"/>
    <w:rsid w:val="396F64EF"/>
    <w:rsid w:val="397167E6"/>
    <w:rsid w:val="397D133E"/>
    <w:rsid w:val="397E2D4B"/>
    <w:rsid w:val="39900FC9"/>
    <w:rsid w:val="39A769F2"/>
    <w:rsid w:val="39AE3AD5"/>
    <w:rsid w:val="39B37BFF"/>
    <w:rsid w:val="39C60C68"/>
    <w:rsid w:val="39C83B1B"/>
    <w:rsid w:val="39DB1B52"/>
    <w:rsid w:val="39DF5AAD"/>
    <w:rsid w:val="3A10210A"/>
    <w:rsid w:val="3A134F3F"/>
    <w:rsid w:val="3A1E0635"/>
    <w:rsid w:val="3A231E3E"/>
    <w:rsid w:val="3A317165"/>
    <w:rsid w:val="3A372A8F"/>
    <w:rsid w:val="3A3F1290"/>
    <w:rsid w:val="3A42735F"/>
    <w:rsid w:val="3A5059B7"/>
    <w:rsid w:val="3A622AD5"/>
    <w:rsid w:val="3A652265"/>
    <w:rsid w:val="3A670A6C"/>
    <w:rsid w:val="3A726921"/>
    <w:rsid w:val="3A797CAF"/>
    <w:rsid w:val="3A872856"/>
    <w:rsid w:val="3A8A443D"/>
    <w:rsid w:val="3A8D375B"/>
    <w:rsid w:val="3A9832FF"/>
    <w:rsid w:val="3AA14FA4"/>
    <w:rsid w:val="3AC34045"/>
    <w:rsid w:val="3ACA4067"/>
    <w:rsid w:val="3AE065F4"/>
    <w:rsid w:val="3AE9743C"/>
    <w:rsid w:val="3AF477E4"/>
    <w:rsid w:val="3AFF103C"/>
    <w:rsid w:val="3B101BBE"/>
    <w:rsid w:val="3B18141E"/>
    <w:rsid w:val="3B1852D8"/>
    <w:rsid w:val="3B22245F"/>
    <w:rsid w:val="3B3763D1"/>
    <w:rsid w:val="3B44206B"/>
    <w:rsid w:val="3B523786"/>
    <w:rsid w:val="3B585C68"/>
    <w:rsid w:val="3B5B4D0C"/>
    <w:rsid w:val="3B5B73B5"/>
    <w:rsid w:val="3B62267D"/>
    <w:rsid w:val="3B6F07FD"/>
    <w:rsid w:val="3B707990"/>
    <w:rsid w:val="3B89767A"/>
    <w:rsid w:val="3B8C4160"/>
    <w:rsid w:val="3B931565"/>
    <w:rsid w:val="3B934DA1"/>
    <w:rsid w:val="3BA47F47"/>
    <w:rsid w:val="3BA64AD4"/>
    <w:rsid w:val="3BA774DA"/>
    <w:rsid w:val="3BB01F7D"/>
    <w:rsid w:val="3BB43175"/>
    <w:rsid w:val="3BB52F3F"/>
    <w:rsid w:val="3BBB51E8"/>
    <w:rsid w:val="3BD04307"/>
    <w:rsid w:val="3BD163D2"/>
    <w:rsid w:val="3BEC2ECF"/>
    <w:rsid w:val="3BFE3E01"/>
    <w:rsid w:val="3C0A0285"/>
    <w:rsid w:val="3C0B4937"/>
    <w:rsid w:val="3C112218"/>
    <w:rsid w:val="3C177D2D"/>
    <w:rsid w:val="3C205D00"/>
    <w:rsid w:val="3C2261D1"/>
    <w:rsid w:val="3C2F6E1E"/>
    <w:rsid w:val="3C48380C"/>
    <w:rsid w:val="3C4F64BA"/>
    <w:rsid w:val="3C5F1BB5"/>
    <w:rsid w:val="3C612F90"/>
    <w:rsid w:val="3C6A5B02"/>
    <w:rsid w:val="3C6F162B"/>
    <w:rsid w:val="3C7015CB"/>
    <w:rsid w:val="3C70339D"/>
    <w:rsid w:val="3C767331"/>
    <w:rsid w:val="3C9303AB"/>
    <w:rsid w:val="3CAE5095"/>
    <w:rsid w:val="3CB63385"/>
    <w:rsid w:val="3CB63EAE"/>
    <w:rsid w:val="3CB76450"/>
    <w:rsid w:val="3CD218F9"/>
    <w:rsid w:val="3CD264BC"/>
    <w:rsid w:val="3CD31364"/>
    <w:rsid w:val="3CD843F5"/>
    <w:rsid w:val="3CDA245A"/>
    <w:rsid w:val="3CDB0CF0"/>
    <w:rsid w:val="3CF655E7"/>
    <w:rsid w:val="3D1E06B7"/>
    <w:rsid w:val="3D3A1520"/>
    <w:rsid w:val="3D3C3731"/>
    <w:rsid w:val="3D3D3216"/>
    <w:rsid w:val="3D4775ED"/>
    <w:rsid w:val="3D4B074D"/>
    <w:rsid w:val="3D4D6987"/>
    <w:rsid w:val="3D5043CA"/>
    <w:rsid w:val="3D545329"/>
    <w:rsid w:val="3D65276D"/>
    <w:rsid w:val="3D667416"/>
    <w:rsid w:val="3D6B695F"/>
    <w:rsid w:val="3D842BF3"/>
    <w:rsid w:val="3D860DB8"/>
    <w:rsid w:val="3D8F42DD"/>
    <w:rsid w:val="3D923C56"/>
    <w:rsid w:val="3D954E00"/>
    <w:rsid w:val="3D956BAE"/>
    <w:rsid w:val="3D9F1C31"/>
    <w:rsid w:val="3DBB53C2"/>
    <w:rsid w:val="3DC13A3E"/>
    <w:rsid w:val="3DCC4D79"/>
    <w:rsid w:val="3DD6759D"/>
    <w:rsid w:val="3DDD6FC1"/>
    <w:rsid w:val="3DE037F4"/>
    <w:rsid w:val="3E0916D7"/>
    <w:rsid w:val="3E1D4CB6"/>
    <w:rsid w:val="3E26781F"/>
    <w:rsid w:val="3E2C6A03"/>
    <w:rsid w:val="3E2C7884"/>
    <w:rsid w:val="3E321F13"/>
    <w:rsid w:val="3E3501DB"/>
    <w:rsid w:val="3E3C4BA5"/>
    <w:rsid w:val="3E4405D4"/>
    <w:rsid w:val="3E6A424E"/>
    <w:rsid w:val="3E772758"/>
    <w:rsid w:val="3E781495"/>
    <w:rsid w:val="3E7F160D"/>
    <w:rsid w:val="3E8B1D5F"/>
    <w:rsid w:val="3E985AB9"/>
    <w:rsid w:val="3EAD617A"/>
    <w:rsid w:val="3EC3693C"/>
    <w:rsid w:val="3ED061BF"/>
    <w:rsid w:val="3ED800CA"/>
    <w:rsid w:val="3EDA0523"/>
    <w:rsid w:val="3EE000F5"/>
    <w:rsid w:val="3EEB6EB0"/>
    <w:rsid w:val="3EF10DD0"/>
    <w:rsid w:val="3F0A6FBE"/>
    <w:rsid w:val="3F130EBC"/>
    <w:rsid w:val="3F13306E"/>
    <w:rsid w:val="3F151D62"/>
    <w:rsid w:val="3F180415"/>
    <w:rsid w:val="3F1B1335"/>
    <w:rsid w:val="3F2410E0"/>
    <w:rsid w:val="3F2D11B2"/>
    <w:rsid w:val="3F32667F"/>
    <w:rsid w:val="3F484939"/>
    <w:rsid w:val="3F5F2621"/>
    <w:rsid w:val="3F6237FC"/>
    <w:rsid w:val="3F656A54"/>
    <w:rsid w:val="3F6E3B5B"/>
    <w:rsid w:val="3F773C09"/>
    <w:rsid w:val="3F785539"/>
    <w:rsid w:val="3F8166AC"/>
    <w:rsid w:val="3F8607BB"/>
    <w:rsid w:val="3F8B3484"/>
    <w:rsid w:val="3F9C69F7"/>
    <w:rsid w:val="3FB1507C"/>
    <w:rsid w:val="3FB51AB4"/>
    <w:rsid w:val="3FC51C6A"/>
    <w:rsid w:val="3FCE3CEB"/>
    <w:rsid w:val="3FD208B6"/>
    <w:rsid w:val="3FD63EFC"/>
    <w:rsid w:val="3FDA4D4C"/>
    <w:rsid w:val="3FE13306"/>
    <w:rsid w:val="3FEF3341"/>
    <w:rsid w:val="3FF26C3A"/>
    <w:rsid w:val="3FF26C9D"/>
    <w:rsid w:val="3FF610AB"/>
    <w:rsid w:val="3FF968FB"/>
    <w:rsid w:val="3FFB58E6"/>
    <w:rsid w:val="402220CB"/>
    <w:rsid w:val="402715B4"/>
    <w:rsid w:val="40472AE2"/>
    <w:rsid w:val="407A6407"/>
    <w:rsid w:val="407C4263"/>
    <w:rsid w:val="4081166C"/>
    <w:rsid w:val="40814152"/>
    <w:rsid w:val="40943E61"/>
    <w:rsid w:val="40956EC5"/>
    <w:rsid w:val="409A0A3D"/>
    <w:rsid w:val="40A46492"/>
    <w:rsid w:val="40A62FAE"/>
    <w:rsid w:val="40B1005D"/>
    <w:rsid w:val="40BA7884"/>
    <w:rsid w:val="40CB087C"/>
    <w:rsid w:val="40CD4784"/>
    <w:rsid w:val="40DA0D7C"/>
    <w:rsid w:val="40E5109C"/>
    <w:rsid w:val="40E93E3F"/>
    <w:rsid w:val="40EB11DB"/>
    <w:rsid w:val="40FF039C"/>
    <w:rsid w:val="4104427B"/>
    <w:rsid w:val="41114BBA"/>
    <w:rsid w:val="4117091A"/>
    <w:rsid w:val="41175582"/>
    <w:rsid w:val="411E7452"/>
    <w:rsid w:val="41222EAF"/>
    <w:rsid w:val="412E33F1"/>
    <w:rsid w:val="414C6342"/>
    <w:rsid w:val="414F3518"/>
    <w:rsid w:val="41504B07"/>
    <w:rsid w:val="41564B68"/>
    <w:rsid w:val="41597EF3"/>
    <w:rsid w:val="415C527B"/>
    <w:rsid w:val="41857D43"/>
    <w:rsid w:val="418C7366"/>
    <w:rsid w:val="418E1832"/>
    <w:rsid w:val="419E1DAA"/>
    <w:rsid w:val="419F31E8"/>
    <w:rsid w:val="41A73354"/>
    <w:rsid w:val="41AB2D07"/>
    <w:rsid w:val="41AC736C"/>
    <w:rsid w:val="41CD3D71"/>
    <w:rsid w:val="41CE19DD"/>
    <w:rsid w:val="41D02A92"/>
    <w:rsid w:val="41D269DF"/>
    <w:rsid w:val="41D42B98"/>
    <w:rsid w:val="41D76B43"/>
    <w:rsid w:val="41E36897"/>
    <w:rsid w:val="41E4752D"/>
    <w:rsid w:val="41EF6C19"/>
    <w:rsid w:val="41F8770C"/>
    <w:rsid w:val="41FC00B9"/>
    <w:rsid w:val="41FC7C91"/>
    <w:rsid w:val="4200449D"/>
    <w:rsid w:val="42024A2E"/>
    <w:rsid w:val="420A4685"/>
    <w:rsid w:val="420E0051"/>
    <w:rsid w:val="422E77D5"/>
    <w:rsid w:val="422F45CC"/>
    <w:rsid w:val="42354BF3"/>
    <w:rsid w:val="423A3BCC"/>
    <w:rsid w:val="42490F91"/>
    <w:rsid w:val="424E557E"/>
    <w:rsid w:val="424E57D2"/>
    <w:rsid w:val="425A706F"/>
    <w:rsid w:val="425C6E99"/>
    <w:rsid w:val="4260469A"/>
    <w:rsid w:val="427878F1"/>
    <w:rsid w:val="42822321"/>
    <w:rsid w:val="42857B53"/>
    <w:rsid w:val="4290424B"/>
    <w:rsid w:val="4293026C"/>
    <w:rsid w:val="42B26C49"/>
    <w:rsid w:val="42B977DD"/>
    <w:rsid w:val="42CC3D1A"/>
    <w:rsid w:val="42CD0B98"/>
    <w:rsid w:val="42E163F2"/>
    <w:rsid w:val="42E77A79"/>
    <w:rsid w:val="42ED415A"/>
    <w:rsid w:val="42ED4D97"/>
    <w:rsid w:val="42EE2F09"/>
    <w:rsid w:val="43046D0D"/>
    <w:rsid w:val="430A74A2"/>
    <w:rsid w:val="430B346F"/>
    <w:rsid w:val="4312068C"/>
    <w:rsid w:val="43122A4F"/>
    <w:rsid w:val="431F63BB"/>
    <w:rsid w:val="433A6FE6"/>
    <w:rsid w:val="433E45A3"/>
    <w:rsid w:val="43432C09"/>
    <w:rsid w:val="43480868"/>
    <w:rsid w:val="434D79EC"/>
    <w:rsid w:val="434D7F2B"/>
    <w:rsid w:val="43503578"/>
    <w:rsid w:val="4350713C"/>
    <w:rsid w:val="43600DFA"/>
    <w:rsid w:val="436123F5"/>
    <w:rsid w:val="4366367B"/>
    <w:rsid w:val="436653E0"/>
    <w:rsid w:val="43681D2F"/>
    <w:rsid w:val="43735FDB"/>
    <w:rsid w:val="437764B0"/>
    <w:rsid w:val="437B7FBD"/>
    <w:rsid w:val="43851473"/>
    <w:rsid w:val="438F31CE"/>
    <w:rsid w:val="43931322"/>
    <w:rsid w:val="439F19F9"/>
    <w:rsid w:val="43A770D2"/>
    <w:rsid w:val="43A973DA"/>
    <w:rsid w:val="43AE71DC"/>
    <w:rsid w:val="43B761DA"/>
    <w:rsid w:val="43C4431A"/>
    <w:rsid w:val="43C755E8"/>
    <w:rsid w:val="43CC05E0"/>
    <w:rsid w:val="43D83C99"/>
    <w:rsid w:val="43EC0865"/>
    <w:rsid w:val="43F21163"/>
    <w:rsid w:val="43FD54AD"/>
    <w:rsid w:val="44041A91"/>
    <w:rsid w:val="44224F14"/>
    <w:rsid w:val="442531AC"/>
    <w:rsid w:val="44330ECF"/>
    <w:rsid w:val="443844D1"/>
    <w:rsid w:val="444F4C93"/>
    <w:rsid w:val="44586B88"/>
    <w:rsid w:val="445D06F0"/>
    <w:rsid w:val="44637CF5"/>
    <w:rsid w:val="44652B42"/>
    <w:rsid w:val="44817E8C"/>
    <w:rsid w:val="449636D2"/>
    <w:rsid w:val="44A50461"/>
    <w:rsid w:val="44B36F68"/>
    <w:rsid w:val="44B951CC"/>
    <w:rsid w:val="44C1472D"/>
    <w:rsid w:val="44CD14E0"/>
    <w:rsid w:val="44E82DD0"/>
    <w:rsid w:val="44F20B0B"/>
    <w:rsid w:val="45012D7B"/>
    <w:rsid w:val="45076D3E"/>
    <w:rsid w:val="45135F9D"/>
    <w:rsid w:val="45146220"/>
    <w:rsid w:val="452B1BA6"/>
    <w:rsid w:val="452E5F4C"/>
    <w:rsid w:val="45320AE5"/>
    <w:rsid w:val="453E36AC"/>
    <w:rsid w:val="453E5D7D"/>
    <w:rsid w:val="4543393B"/>
    <w:rsid w:val="455C47D6"/>
    <w:rsid w:val="45612018"/>
    <w:rsid w:val="45692560"/>
    <w:rsid w:val="457C4EEB"/>
    <w:rsid w:val="457C7AD6"/>
    <w:rsid w:val="45840168"/>
    <w:rsid w:val="45847A09"/>
    <w:rsid w:val="458946E9"/>
    <w:rsid w:val="45A01123"/>
    <w:rsid w:val="45A47C0E"/>
    <w:rsid w:val="45C04D34"/>
    <w:rsid w:val="45C1745C"/>
    <w:rsid w:val="45C269AF"/>
    <w:rsid w:val="45C600D0"/>
    <w:rsid w:val="45E5247B"/>
    <w:rsid w:val="45EA7CB3"/>
    <w:rsid w:val="45EB6F4F"/>
    <w:rsid w:val="45EE6685"/>
    <w:rsid w:val="45F22CC7"/>
    <w:rsid w:val="45F47242"/>
    <w:rsid w:val="46023F2F"/>
    <w:rsid w:val="4605384E"/>
    <w:rsid w:val="460B2DF1"/>
    <w:rsid w:val="4616052D"/>
    <w:rsid w:val="46252A99"/>
    <w:rsid w:val="463C6BB0"/>
    <w:rsid w:val="464C70F8"/>
    <w:rsid w:val="46511A73"/>
    <w:rsid w:val="46546F3A"/>
    <w:rsid w:val="46577FD6"/>
    <w:rsid w:val="465E7D9B"/>
    <w:rsid w:val="466C7855"/>
    <w:rsid w:val="4671748D"/>
    <w:rsid w:val="467C267B"/>
    <w:rsid w:val="46805F22"/>
    <w:rsid w:val="46AC4AE4"/>
    <w:rsid w:val="46B82B93"/>
    <w:rsid w:val="46CE4EDF"/>
    <w:rsid w:val="46D5357B"/>
    <w:rsid w:val="46D955A7"/>
    <w:rsid w:val="46E6047B"/>
    <w:rsid w:val="46EC39BD"/>
    <w:rsid w:val="47017063"/>
    <w:rsid w:val="470740F2"/>
    <w:rsid w:val="470B1E18"/>
    <w:rsid w:val="47133957"/>
    <w:rsid w:val="47142AC6"/>
    <w:rsid w:val="471843AC"/>
    <w:rsid w:val="47253DC6"/>
    <w:rsid w:val="47256037"/>
    <w:rsid w:val="473C4B84"/>
    <w:rsid w:val="473F5DDD"/>
    <w:rsid w:val="474154AE"/>
    <w:rsid w:val="474D22A8"/>
    <w:rsid w:val="47505EDD"/>
    <w:rsid w:val="47542911"/>
    <w:rsid w:val="476133F1"/>
    <w:rsid w:val="476475F1"/>
    <w:rsid w:val="47761D35"/>
    <w:rsid w:val="4787717A"/>
    <w:rsid w:val="478C5987"/>
    <w:rsid w:val="479229E6"/>
    <w:rsid w:val="47936940"/>
    <w:rsid w:val="47986858"/>
    <w:rsid w:val="479A4A50"/>
    <w:rsid w:val="47A07E0C"/>
    <w:rsid w:val="47AA14A8"/>
    <w:rsid w:val="47B01C41"/>
    <w:rsid w:val="47B74AF5"/>
    <w:rsid w:val="47B75973"/>
    <w:rsid w:val="47CB11C4"/>
    <w:rsid w:val="47D45A30"/>
    <w:rsid w:val="47D97FDF"/>
    <w:rsid w:val="47DC26CA"/>
    <w:rsid w:val="47F57449"/>
    <w:rsid w:val="480713C8"/>
    <w:rsid w:val="480F10A6"/>
    <w:rsid w:val="4811658C"/>
    <w:rsid w:val="48142DC6"/>
    <w:rsid w:val="481A518F"/>
    <w:rsid w:val="481A6884"/>
    <w:rsid w:val="48310DA3"/>
    <w:rsid w:val="48403C0E"/>
    <w:rsid w:val="48436DDA"/>
    <w:rsid w:val="484641FC"/>
    <w:rsid w:val="48580735"/>
    <w:rsid w:val="485D089C"/>
    <w:rsid w:val="485E2CBC"/>
    <w:rsid w:val="486E4BDA"/>
    <w:rsid w:val="4870272E"/>
    <w:rsid w:val="487F2935"/>
    <w:rsid w:val="48827295"/>
    <w:rsid w:val="488337A2"/>
    <w:rsid w:val="488A77F8"/>
    <w:rsid w:val="489A7CB5"/>
    <w:rsid w:val="48A27F13"/>
    <w:rsid w:val="48BE2C56"/>
    <w:rsid w:val="48C12365"/>
    <w:rsid w:val="48C94013"/>
    <w:rsid w:val="48CE566A"/>
    <w:rsid w:val="48E3642F"/>
    <w:rsid w:val="48F76DE7"/>
    <w:rsid w:val="48FD6F78"/>
    <w:rsid w:val="48FF75D2"/>
    <w:rsid w:val="49054BAB"/>
    <w:rsid w:val="49125987"/>
    <w:rsid w:val="49181494"/>
    <w:rsid w:val="491B5E0C"/>
    <w:rsid w:val="492A3877"/>
    <w:rsid w:val="492B6DA5"/>
    <w:rsid w:val="4932231E"/>
    <w:rsid w:val="495A77A1"/>
    <w:rsid w:val="495C393B"/>
    <w:rsid w:val="49643131"/>
    <w:rsid w:val="496B2EB9"/>
    <w:rsid w:val="4970227E"/>
    <w:rsid w:val="49795019"/>
    <w:rsid w:val="498F38C3"/>
    <w:rsid w:val="499B42CB"/>
    <w:rsid w:val="499F0D8D"/>
    <w:rsid w:val="49AB2A4A"/>
    <w:rsid w:val="49C12BEF"/>
    <w:rsid w:val="49C204C4"/>
    <w:rsid w:val="49D46CB0"/>
    <w:rsid w:val="49D542DC"/>
    <w:rsid w:val="49D722FD"/>
    <w:rsid w:val="49DB003F"/>
    <w:rsid w:val="49DC7715"/>
    <w:rsid w:val="49E23EAC"/>
    <w:rsid w:val="4A021E4C"/>
    <w:rsid w:val="4A023139"/>
    <w:rsid w:val="4A042075"/>
    <w:rsid w:val="4A1277D9"/>
    <w:rsid w:val="4A1730DA"/>
    <w:rsid w:val="4A174B75"/>
    <w:rsid w:val="4A1E7312"/>
    <w:rsid w:val="4A280DAA"/>
    <w:rsid w:val="4A2E7C45"/>
    <w:rsid w:val="4A3D7B12"/>
    <w:rsid w:val="4A433353"/>
    <w:rsid w:val="4A580E1C"/>
    <w:rsid w:val="4A5E32F3"/>
    <w:rsid w:val="4A675519"/>
    <w:rsid w:val="4A6A4E48"/>
    <w:rsid w:val="4A7B576F"/>
    <w:rsid w:val="4A7B7B50"/>
    <w:rsid w:val="4A8D0C0F"/>
    <w:rsid w:val="4AA62D94"/>
    <w:rsid w:val="4AAC66ED"/>
    <w:rsid w:val="4AB71446"/>
    <w:rsid w:val="4ABA50A3"/>
    <w:rsid w:val="4ABB70FA"/>
    <w:rsid w:val="4ADB4F09"/>
    <w:rsid w:val="4AE5697A"/>
    <w:rsid w:val="4AEE0891"/>
    <w:rsid w:val="4AF561A9"/>
    <w:rsid w:val="4AF65AC7"/>
    <w:rsid w:val="4AFA6A8C"/>
    <w:rsid w:val="4AFE06CB"/>
    <w:rsid w:val="4B0356A2"/>
    <w:rsid w:val="4B11162B"/>
    <w:rsid w:val="4B1732F9"/>
    <w:rsid w:val="4B1A68E2"/>
    <w:rsid w:val="4B1B26BD"/>
    <w:rsid w:val="4B1F5D09"/>
    <w:rsid w:val="4B460640"/>
    <w:rsid w:val="4B4B4D50"/>
    <w:rsid w:val="4B53152C"/>
    <w:rsid w:val="4B5E583B"/>
    <w:rsid w:val="4B760003"/>
    <w:rsid w:val="4B7E52E7"/>
    <w:rsid w:val="4B8478BF"/>
    <w:rsid w:val="4B8A1D1C"/>
    <w:rsid w:val="4BC05513"/>
    <w:rsid w:val="4BDC4DF4"/>
    <w:rsid w:val="4BE81BD9"/>
    <w:rsid w:val="4BF11A7C"/>
    <w:rsid w:val="4C0B05BD"/>
    <w:rsid w:val="4C0C3F5F"/>
    <w:rsid w:val="4C12586E"/>
    <w:rsid w:val="4C201085"/>
    <w:rsid w:val="4C207F8B"/>
    <w:rsid w:val="4C2C779B"/>
    <w:rsid w:val="4C483165"/>
    <w:rsid w:val="4C4A0649"/>
    <w:rsid w:val="4C5A2238"/>
    <w:rsid w:val="4C6D0CF6"/>
    <w:rsid w:val="4C7764D9"/>
    <w:rsid w:val="4C7D5509"/>
    <w:rsid w:val="4C7E5ECA"/>
    <w:rsid w:val="4C876AA5"/>
    <w:rsid w:val="4C8C6D83"/>
    <w:rsid w:val="4C8C7ABB"/>
    <w:rsid w:val="4C946762"/>
    <w:rsid w:val="4C973727"/>
    <w:rsid w:val="4C9A4AB5"/>
    <w:rsid w:val="4C9C3918"/>
    <w:rsid w:val="4CB610D7"/>
    <w:rsid w:val="4CB63D35"/>
    <w:rsid w:val="4CC172FC"/>
    <w:rsid w:val="4CC520C4"/>
    <w:rsid w:val="4CCC63A4"/>
    <w:rsid w:val="4CD313A2"/>
    <w:rsid w:val="4CE95498"/>
    <w:rsid w:val="4CF33A66"/>
    <w:rsid w:val="4D004675"/>
    <w:rsid w:val="4D0E00FB"/>
    <w:rsid w:val="4D102146"/>
    <w:rsid w:val="4D176606"/>
    <w:rsid w:val="4D193F02"/>
    <w:rsid w:val="4D196A18"/>
    <w:rsid w:val="4D241CFD"/>
    <w:rsid w:val="4D2845DA"/>
    <w:rsid w:val="4D2C0E58"/>
    <w:rsid w:val="4D327813"/>
    <w:rsid w:val="4D354F96"/>
    <w:rsid w:val="4D440BF3"/>
    <w:rsid w:val="4D5D0CE7"/>
    <w:rsid w:val="4D5F4561"/>
    <w:rsid w:val="4D622825"/>
    <w:rsid w:val="4D682F38"/>
    <w:rsid w:val="4D8D3010"/>
    <w:rsid w:val="4DAD0258"/>
    <w:rsid w:val="4DB500F8"/>
    <w:rsid w:val="4DCC2F75"/>
    <w:rsid w:val="4DDE2E32"/>
    <w:rsid w:val="4DE575CF"/>
    <w:rsid w:val="4DEA1F48"/>
    <w:rsid w:val="4DEC108D"/>
    <w:rsid w:val="4DEC4FB0"/>
    <w:rsid w:val="4DF0398D"/>
    <w:rsid w:val="4DF711BF"/>
    <w:rsid w:val="4DF83089"/>
    <w:rsid w:val="4DFD7086"/>
    <w:rsid w:val="4E06228D"/>
    <w:rsid w:val="4E075D8A"/>
    <w:rsid w:val="4E1618F6"/>
    <w:rsid w:val="4E265601"/>
    <w:rsid w:val="4E35275F"/>
    <w:rsid w:val="4E36077C"/>
    <w:rsid w:val="4E4019B5"/>
    <w:rsid w:val="4E4F2DA9"/>
    <w:rsid w:val="4E52408A"/>
    <w:rsid w:val="4E5B4F82"/>
    <w:rsid w:val="4E635994"/>
    <w:rsid w:val="4E6A615B"/>
    <w:rsid w:val="4E7F5E3D"/>
    <w:rsid w:val="4E910D5D"/>
    <w:rsid w:val="4E9133C2"/>
    <w:rsid w:val="4E920463"/>
    <w:rsid w:val="4E962786"/>
    <w:rsid w:val="4E9C7470"/>
    <w:rsid w:val="4EA60109"/>
    <w:rsid w:val="4EB032D6"/>
    <w:rsid w:val="4EB04235"/>
    <w:rsid w:val="4EBA4486"/>
    <w:rsid w:val="4EBB73DC"/>
    <w:rsid w:val="4EBF7C2F"/>
    <w:rsid w:val="4EC00FAD"/>
    <w:rsid w:val="4EC96D0A"/>
    <w:rsid w:val="4ED82808"/>
    <w:rsid w:val="4EDF237F"/>
    <w:rsid w:val="4EF30BE0"/>
    <w:rsid w:val="4EF33964"/>
    <w:rsid w:val="4EF66A17"/>
    <w:rsid w:val="4EFD0833"/>
    <w:rsid w:val="4F041BE5"/>
    <w:rsid w:val="4F2320A5"/>
    <w:rsid w:val="4F4109AD"/>
    <w:rsid w:val="4F457FB9"/>
    <w:rsid w:val="4F4D05CD"/>
    <w:rsid w:val="4F53245E"/>
    <w:rsid w:val="4F553D3D"/>
    <w:rsid w:val="4F560168"/>
    <w:rsid w:val="4F57658E"/>
    <w:rsid w:val="4F6939F7"/>
    <w:rsid w:val="4F893F63"/>
    <w:rsid w:val="4F9843DC"/>
    <w:rsid w:val="4FA03191"/>
    <w:rsid w:val="4FA74254"/>
    <w:rsid w:val="4FB01626"/>
    <w:rsid w:val="4FB437DA"/>
    <w:rsid w:val="4FBD38BF"/>
    <w:rsid w:val="4FC370CD"/>
    <w:rsid w:val="4FC62A8C"/>
    <w:rsid w:val="4FC9093A"/>
    <w:rsid w:val="4FCA3333"/>
    <w:rsid w:val="4FD67431"/>
    <w:rsid w:val="4FDC066D"/>
    <w:rsid w:val="4FE20F0D"/>
    <w:rsid w:val="4FE237A9"/>
    <w:rsid w:val="4FE51552"/>
    <w:rsid w:val="4FEC4864"/>
    <w:rsid w:val="4FF7373F"/>
    <w:rsid w:val="4FFF2A60"/>
    <w:rsid w:val="50035372"/>
    <w:rsid w:val="500707B6"/>
    <w:rsid w:val="50103692"/>
    <w:rsid w:val="501E70B5"/>
    <w:rsid w:val="5028071B"/>
    <w:rsid w:val="503106F6"/>
    <w:rsid w:val="504C75E6"/>
    <w:rsid w:val="50504C4B"/>
    <w:rsid w:val="505446A7"/>
    <w:rsid w:val="50765CFB"/>
    <w:rsid w:val="507A3706"/>
    <w:rsid w:val="507B147D"/>
    <w:rsid w:val="5082112D"/>
    <w:rsid w:val="509C6E7C"/>
    <w:rsid w:val="50A2369A"/>
    <w:rsid w:val="50AA2519"/>
    <w:rsid w:val="50BC5DEA"/>
    <w:rsid w:val="50DE73A5"/>
    <w:rsid w:val="50FB0FC7"/>
    <w:rsid w:val="5100482F"/>
    <w:rsid w:val="510F43FB"/>
    <w:rsid w:val="51113082"/>
    <w:rsid w:val="51117742"/>
    <w:rsid w:val="5117212E"/>
    <w:rsid w:val="511D2CEB"/>
    <w:rsid w:val="51290141"/>
    <w:rsid w:val="513A1AEF"/>
    <w:rsid w:val="51445646"/>
    <w:rsid w:val="51510BE7"/>
    <w:rsid w:val="51512495"/>
    <w:rsid w:val="5153495F"/>
    <w:rsid w:val="5162104E"/>
    <w:rsid w:val="51654AD5"/>
    <w:rsid w:val="51761C98"/>
    <w:rsid w:val="51762E32"/>
    <w:rsid w:val="517A1818"/>
    <w:rsid w:val="518145F6"/>
    <w:rsid w:val="51850685"/>
    <w:rsid w:val="518F604F"/>
    <w:rsid w:val="51AF1095"/>
    <w:rsid w:val="51AF7748"/>
    <w:rsid w:val="51BB0E99"/>
    <w:rsid w:val="51C65153"/>
    <w:rsid w:val="51CA234B"/>
    <w:rsid w:val="51E14D3C"/>
    <w:rsid w:val="51EE696A"/>
    <w:rsid w:val="51F43319"/>
    <w:rsid w:val="51F67CE9"/>
    <w:rsid w:val="52122A39"/>
    <w:rsid w:val="52140D07"/>
    <w:rsid w:val="52207417"/>
    <w:rsid w:val="52207C02"/>
    <w:rsid w:val="52222ABF"/>
    <w:rsid w:val="52283F5A"/>
    <w:rsid w:val="523005C3"/>
    <w:rsid w:val="52416EAD"/>
    <w:rsid w:val="524F67DB"/>
    <w:rsid w:val="52560243"/>
    <w:rsid w:val="525E3FDA"/>
    <w:rsid w:val="526B54EB"/>
    <w:rsid w:val="527168E3"/>
    <w:rsid w:val="52762476"/>
    <w:rsid w:val="528A0994"/>
    <w:rsid w:val="52923265"/>
    <w:rsid w:val="52994D0A"/>
    <w:rsid w:val="529B1859"/>
    <w:rsid w:val="52B62DE6"/>
    <w:rsid w:val="52BC408E"/>
    <w:rsid w:val="52BF72D2"/>
    <w:rsid w:val="52CF32C5"/>
    <w:rsid w:val="52D82DEA"/>
    <w:rsid w:val="52DD457F"/>
    <w:rsid w:val="52E02222"/>
    <w:rsid w:val="52E35127"/>
    <w:rsid w:val="52E73A8B"/>
    <w:rsid w:val="53041C6F"/>
    <w:rsid w:val="53081EBC"/>
    <w:rsid w:val="531F704D"/>
    <w:rsid w:val="53381C8C"/>
    <w:rsid w:val="533D6839"/>
    <w:rsid w:val="53484085"/>
    <w:rsid w:val="535D2482"/>
    <w:rsid w:val="53740BBC"/>
    <w:rsid w:val="53774AA5"/>
    <w:rsid w:val="537A2677"/>
    <w:rsid w:val="53814E3E"/>
    <w:rsid w:val="53881C3B"/>
    <w:rsid w:val="53882435"/>
    <w:rsid w:val="53956971"/>
    <w:rsid w:val="53A039CC"/>
    <w:rsid w:val="53A1505A"/>
    <w:rsid w:val="53A31564"/>
    <w:rsid w:val="53A35923"/>
    <w:rsid w:val="53A82D63"/>
    <w:rsid w:val="53B66150"/>
    <w:rsid w:val="53CA40DC"/>
    <w:rsid w:val="53CB1FF6"/>
    <w:rsid w:val="53D2081D"/>
    <w:rsid w:val="53E43F94"/>
    <w:rsid w:val="53F57580"/>
    <w:rsid w:val="53FD0BDC"/>
    <w:rsid w:val="54063E08"/>
    <w:rsid w:val="54091C4C"/>
    <w:rsid w:val="540E37DB"/>
    <w:rsid w:val="541833A2"/>
    <w:rsid w:val="543117F2"/>
    <w:rsid w:val="543437E8"/>
    <w:rsid w:val="544302F6"/>
    <w:rsid w:val="54502F91"/>
    <w:rsid w:val="545F7F51"/>
    <w:rsid w:val="5467093A"/>
    <w:rsid w:val="54707886"/>
    <w:rsid w:val="54973DD2"/>
    <w:rsid w:val="54A45956"/>
    <w:rsid w:val="54AA0C49"/>
    <w:rsid w:val="54BE5B45"/>
    <w:rsid w:val="54BF5CAA"/>
    <w:rsid w:val="54EC1A50"/>
    <w:rsid w:val="54ED6E78"/>
    <w:rsid w:val="54F73313"/>
    <w:rsid w:val="54F80955"/>
    <w:rsid w:val="551268DF"/>
    <w:rsid w:val="551570E8"/>
    <w:rsid w:val="551C475E"/>
    <w:rsid w:val="55273FC7"/>
    <w:rsid w:val="552D54C7"/>
    <w:rsid w:val="552E5A45"/>
    <w:rsid w:val="5530425E"/>
    <w:rsid w:val="55391092"/>
    <w:rsid w:val="554B232F"/>
    <w:rsid w:val="554F3A18"/>
    <w:rsid w:val="555170A7"/>
    <w:rsid w:val="5560462E"/>
    <w:rsid w:val="556F3D31"/>
    <w:rsid w:val="557B298D"/>
    <w:rsid w:val="5587536D"/>
    <w:rsid w:val="55967510"/>
    <w:rsid w:val="559B174B"/>
    <w:rsid w:val="55B53714"/>
    <w:rsid w:val="55C6589C"/>
    <w:rsid w:val="55CE0CF4"/>
    <w:rsid w:val="55D50038"/>
    <w:rsid w:val="55DD4AF1"/>
    <w:rsid w:val="55DF4A23"/>
    <w:rsid w:val="5613647C"/>
    <w:rsid w:val="562118B8"/>
    <w:rsid w:val="56215851"/>
    <w:rsid w:val="562E7748"/>
    <w:rsid w:val="56397E29"/>
    <w:rsid w:val="563C00B7"/>
    <w:rsid w:val="56436DEA"/>
    <w:rsid w:val="564F3968"/>
    <w:rsid w:val="56625644"/>
    <w:rsid w:val="56883CEF"/>
    <w:rsid w:val="5689497F"/>
    <w:rsid w:val="56A877FD"/>
    <w:rsid w:val="56B22A9C"/>
    <w:rsid w:val="56B656D9"/>
    <w:rsid w:val="56C3050E"/>
    <w:rsid w:val="56CC7A38"/>
    <w:rsid w:val="56D04374"/>
    <w:rsid w:val="56D31A02"/>
    <w:rsid w:val="56DA40D1"/>
    <w:rsid w:val="56DA72EB"/>
    <w:rsid w:val="56DC7FCD"/>
    <w:rsid w:val="56E566F9"/>
    <w:rsid w:val="56F92C43"/>
    <w:rsid w:val="570F30D6"/>
    <w:rsid w:val="571878A7"/>
    <w:rsid w:val="5738105F"/>
    <w:rsid w:val="573C7C43"/>
    <w:rsid w:val="57471845"/>
    <w:rsid w:val="575A5650"/>
    <w:rsid w:val="576113C5"/>
    <w:rsid w:val="5765719A"/>
    <w:rsid w:val="577967BF"/>
    <w:rsid w:val="578F5C2B"/>
    <w:rsid w:val="57957137"/>
    <w:rsid w:val="579F67DE"/>
    <w:rsid w:val="57AF0E5C"/>
    <w:rsid w:val="57B72A76"/>
    <w:rsid w:val="57B76F14"/>
    <w:rsid w:val="57BD6FD6"/>
    <w:rsid w:val="57C3426C"/>
    <w:rsid w:val="57CE1F93"/>
    <w:rsid w:val="57D736D9"/>
    <w:rsid w:val="57DC3861"/>
    <w:rsid w:val="57E2517A"/>
    <w:rsid w:val="57E502DB"/>
    <w:rsid w:val="57E641BF"/>
    <w:rsid w:val="58093FC9"/>
    <w:rsid w:val="581A5EF7"/>
    <w:rsid w:val="58262DCD"/>
    <w:rsid w:val="584F1C4F"/>
    <w:rsid w:val="585719B1"/>
    <w:rsid w:val="58580AAD"/>
    <w:rsid w:val="586338A7"/>
    <w:rsid w:val="5866766D"/>
    <w:rsid w:val="588122D4"/>
    <w:rsid w:val="588743D1"/>
    <w:rsid w:val="5887701A"/>
    <w:rsid w:val="588A0224"/>
    <w:rsid w:val="588C0756"/>
    <w:rsid w:val="589F660C"/>
    <w:rsid w:val="58A2160E"/>
    <w:rsid w:val="58A3441E"/>
    <w:rsid w:val="58B82A6F"/>
    <w:rsid w:val="58C3761D"/>
    <w:rsid w:val="58CB127E"/>
    <w:rsid w:val="58F012BE"/>
    <w:rsid w:val="58F92290"/>
    <w:rsid w:val="59066C26"/>
    <w:rsid w:val="59125FCC"/>
    <w:rsid w:val="591846FB"/>
    <w:rsid w:val="593D6572"/>
    <w:rsid w:val="593F06C1"/>
    <w:rsid w:val="59475B51"/>
    <w:rsid w:val="594B4ECD"/>
    <w:rsid w:val="596679DC"/>
    <w:rsid w:val="596E7DB9"/>
    <w:rsid w:val="59730DE0"/>
    <w:rsid w:val="597436C4"/>
    <w:rsid w:val="597933D0"/>
    <w:rsid w:val="598C05E9"/>
    <w:rsid w:val="59AF294E"/>
    <w:rsid w:val="59B60181"/>
    <w:rsid w:val="59BA0ECE"/>
    <w:rsid w:val="59C0439F"/>
    <w:rsid w:val="59CA3C2C"/>
    <w:rsid w:val="59CE5170"/>
    <w:rsid w:val="59DA0E45"/>
    <w:rsid w:val="59EB60DB"/>
    <w:rsid w:val="59EE7217"/>
    <w:rsid w:val="5A196034"/>
    <w:rsid w:val="5A1D4970"/>
    <w:rsid w:val="5A1F4B06"/>
    <w:rsid w:val="5A1F69E3"/>
    <w:rsid w:val="5A261E9C"/>
    <w:rsid w:val="5A2C0974"/>
    <w:rsid w:val="5A2D2A86"/>
    <w:rsid w:val="5A4C2C68"/>
    <w:rsid w:val="5A516E99"/>
    <w:rsid w:val="5A5E2EFD"/>
    <w:rsid w:val="5A5F4374"/>
    <w:rsid w:val="5A694041"/>
    <w:rsid w:val="5A700A12"/>
    <w:rsid w:val="5A706A30"/>
    <w:rsid w:val="5A7533AE"/>
    <w:rsid w:val="5A8710E3"/>
    <w:rsid w:val="5A8D3038"/>
    <w:rsid w:val="5A935193"/>
    <w:rsid w:val="5AA033AB"/>
    <w:rsid w:val="5AA208F6"/>
    <w:rsid w:val="5AB346C0"/>
    <w:rsid w:val="5ABE2233"/>
    <w:rsid w:val="5AC5028E"/>
    <w:rsid w:val="5ADC2610"/>
    <w:rsid w:val="5AF078C5"/>
    <w:rsid w:val="5AF32A1E"/>
    <w:rsid w:val="5AFF4BBA"/>
    <w:rsid w:val="5B073D6C"/>
    <w:rsid w:val="5B0D4BD2"/>
    <w:rsid w:val="5B136654"/>
    <w:rsid w:val="5B157C01"/>
    <w:rsid w:val="5B1A015D"/>
    <w:rsid w:val="5B2F1F99"/>
    <w:rsid w:val="5B2F624B"/>
    <w:rsid w:val="5B4A25E8"/>
    <w:rsid w:val="5B4E422D"/>
    <w:rsid w:val="5B5E462C"/>
    <w:rsid w:val="5B6737C1"/>
    <w:rsid w:val="5B6F3FE4"/>
    <w:rsid w:val="5B774DD9"/>
    <w:rsid w:val="5B856587"/>
    <w:rsid w:val="5B876AF2"/>
    <w:rsid w:val="5B9E1E26"/>
    <w:rsid w:val="5BA2379D"/>
    <w:rsid w:val="5BAA534A"/>
    <w:rsid w:val="5BBA0D15"/>
    <w:rsid w:val="5BC07095"/>
    <w:rsid w:val="5BD40D92"/>
    <w:rsid w:val="5BD44E4C"/>
    <w:rsid w:val="5BDB3D9F"/>
    <w:rsid w:val="5BDD02C0"/>
    <w:rsid w:val="5BDF5D95"/>
    <w:rsid w:val="5BE865EB"/>
    <w:rsid w:val="5BEF2C47"/>
    <w:rsid w:val="5BFE7528"/>
    <w:rsid w:val="5C0B727A"/>
    <w:rsid w:val="5C236392"/>
    <w:rsid w:val="5C34538D"/>
    <w:rsid w:val="5C4904AF"/>
    <w:rsid w:val="5C533A65"/>
    <w:rsid w:val="5C621EFA"/>
    <w:rsid w:val="5C757C47"/>
    <w:rsid w:val="5C7C3D94"/>
    <w:rsid w:val="5C7C4B35"/>
    <w:rsid w:val="5C7D31D8"/>
    <w:rsid w:val="5C7F0CFE"/>
    <w:rsid w:val="5C806824"/>
    <w:rsid w:val="5C95253E"/>
    <w:rsid w:val="5C990449"/>
    <w:rsid w:val="5C9A1694"/>
    <w:rsid w:val="5C9A5D6E"/>
    <w:rsid w:val="5CAE665E"/>
    <w:rsid w:val="5CC54B98"/>
    <w:rsid w:val="5CD571CF"/>
    <w:rsid w:val="5CDD5A24"/>
    <w:rsid w:val="5CDF79EE"/>
    <w:rsid w:val="5CE97F95"/>
    <w:rsid w:val="5CFB501A"/>
    <w:rsid w:val="5D0127AD"/>
    <w:rsid w:val="5D0A4E6E"/>
    <w:rsid w:val="5D0B6F08"/>
    <w:rsid w:val="5D193BD8"/>
    <w:rsid w:val="5D1C02FB"/>
    <w:rsid w:val="5D2E01C6"/>
    <w:rsid w:val="5D3316E7"/>
    <w:rsid w:val="5D3407E6"/>
    <w:rsid w:val="5D3A16C4"/>
    <w:rsid w:val="5D427D31"/>
    <w:rsid w:val="5D631442"/>
    <w:rsid w:val="5D684EF5"/>
    <w:rsid w:val="5D6F6DE2"/>
    <w:rsid w:val="5D7874FB"/>
    <w:rsid w:val="5D7A14C5"/>
    <w:rsid w:val="5D7E23EA"/>
    <w:rsid w:val="5D8949F0"/>
    <w:rsid w:val="5D8B2D00"/>
    <w:rsid w:val="5DAF116F"/>
    <w:rsid w:val="5DB02C78"/>
    <w:rsid w:val="5DB6074F"/>
    <w:rsid w:val="5DBE5856"/>
    <w:rsid w:val="5DD36924"/>
    <w:rsid w:val="5DF23751"/>
    <w:rsid w:val="5DF9063C"/>
    <w:rsid w:val="5DFE6965"/>
    <w:rsid w:val="5DFE72D2"/>
    <w:rsid w:val="5E084856"/>
    <w:rsid w:val="5E2467F1"/>
    <w:rsid w:val="5E301EB4"/>
    <w:rsid w:val="5E345B18"/>
    <w:rsid w:val="5E434BB5"/>
    <w:rsid w:val="5E453020"/>
    <w:rsid w:val="5E595AA5"/>
    <w:rsid w:val="5E5E2869"/>
    <w:rsid w:val="5E616953"/>
    <w:rsid w:val="5E671A49"/>
    <w:rsid w:val="5E700981"/>
    <w:rsid w:val="5E741897"/>
    <w:rsid w:val="5E767EDE"/>
    <w:rsid w:val="5E77638A"/>
    <w:rsid w:val="5E821FFE"/>
    <w:rsid w:val="5E863B81"/>
    <w:rsid w:val="5E87125F"/>
    <w:rsid w:val="5E891E86"/>
    <w:rsid w:val="5E8F5D28"/>
    <w:rsid w:val="5E933A70"/>
    <w:rsid w:val="5E9A5DEE"/>
    <w:rsid w:val="5EA979D8"/>
    <w:rsid w:val="5EAE6080"/>
    <w:rsid w:val="5EB27BC2"/>
    <w:rsid w:val="5EB744E2"/>
    <w:rsid w:val="5EC70539"/>
    <w:rsid w:val="5ECF3162"/>
    <w:rsid w:val="5EDF4CD3"/>
    <w:rsid w:val="5EE27CB0"/>
    <w:rsid w:val="5F1A2B43"/>
    <w:rsid w:val="5F226EEC"/>
    <w:rsid w:val="5F292449"/>
    <w:rsid w:val="5F2C5095"/>
    <w:rsid w:val="5F343A84"/>
    <w:rsid w:val="5F434301"/>
    <w:rsid w:val="5F4555E9"/>
    <w:rsid w:val="5F635895"/>
    <w:rsid w:val="5F8E0A79"/>
    <w:rsid w:val="5F9542AB"/>
    <w:rsid w:val="5FB474FB"/>
    <w:rsid w:val="5FB837BB"/>
    <w:rsid w:val="5FB8795D"/>
    <w:rsid w:val="5FBC5DC5"/>
    <w:rsid w:val="5FC364AF"/>
    <w:rsid w:val="5FDD4C99"/>
    <w:rsid w:val="5FEC1CFE"/>
    <w:rsid w:val="5FF0364B"/>
    <w:rsid w:val="600C142F"/>
    <w:rsid w:val="600F6F91"/>
    <w:rsid w:val="60145578"/>
    <w:rsid w:val="601E701F"/>
    <w:rsid w:val="602C451B"/>
    <w:rsid w:val="602D64A5"/>
    <w:rsid w:val="60534544"/>
    <w:rsid w:val="605D5FA7"/>
    <w:rsid w:val="60651FB9"/>
    <w:rsid w:val="60677AC6"/>
    <w:rsid w:val="60763F7C"/>
    <w:rsid w:val="60790FCC"/>
    <w:rsid w:val="60813EFB"/>
    <w:rsid w:val="60867413"/>
    <w:rsid w:val="60946D22"/>
    <w:rsid w:val="60957A64"/>
    <w:rsid w:val="60986E2D"/>
    <w:rsid w:val="60A709E9"/>
    <w:rsid w:val="60AB4AC7"/>
    <w:rsid w:val="60B25223"/>
    <w:rsid w:val="60CC405A"/>
    <w:rsid w:val="60E94998"/>
    <w:rsid w:val="60E95680"/>
    <w:rsid w:val="60F31A2A"/>
    <w:rsid w:val="60F90953"/>
    <w:rsid w:val="61095938"/>
    <w:rsid w:val="610D7072"/>
    <w:rsid w:val="61132EC1"/>
    <w:rsid w:val="61186DFA"/>
    <w:rsid w:val="611A0FF5"/>
    <w:rsid w:val="611B6840"/>
    <w:rsid w:val="612C27E6"/>
    <w:rsid w:val="61481763"/>
    <w:rsid w:val="614F0D0B"/>
    <w:rsid w:val="617A7CE6"/>
    <w:rsid w:val="618E4624"/>
    <w:rsid w:val="61913EE5"/>
    <w:rsid w:val="61A11716"/>
    <w:rsid w:val="61AB4343"/>
    <w:rsid w:val="61AC2A52"/>
    <w:rsid w:val="61B52ACC"/>
    <w:rsid w:val="61C761E0"/>
    <w:rsid w:val="61CD42B9"/>
    <w:rsid w:val="61D911FF"/>
    <w:rsid w:val="61E215D8"/>
    <w:rsid w:val="61E81713"/>
    <w:rsid w:val="61EF3628"/>
    <w:rsid w:val="61F37E6F"/>
    <w:rsid w:val="61F606D6"/>
    <w:rsid w:val="62057779"/>
    <w:rsid w:val="62097324"/>
    <w:rsid w:val="621B3775"/>
    <w:rsid w:val="62310848"/>
    <w:rsid w:val="62327C45"/>
    <w:rsid w:val="62364782"/>
    <w:rsid w:val="6236479E"/>
    <w:rsid w:val="62404314"/>
    <w:rsid w:val="62540537"/>
    <w:rsid w:val="62604D93"/>
    <w:rsid w:val="62743F97"/>
    <w:rsid w:val="627E70DC"/>
    <w:rsid w:val="629372B1"/>
    <w:rsid w:val="62A00BE3"/>
    <w:rsid w:val="62A64DBA"/>
    <w:rsid w:val="62AF704F"/>
    <w:rsid w:val="62C236F2"/>
    <w:rsid w:val="62C3746A"/>
    <w:rsid w:val="62CA5A78"/>
    <w:rsid w:val="62CE02E9"/>
    <w:rsid w:val="63040FB0"/>
    <w:rsid w:val="63041F5D"/>
    <w:rsid w:val="63091321"/>
    <w:rsid w:val="63166E7D"/>
    <w:rsid w:val="631A3E21"/>
    <w:rsid w:val="632F4BB7"/>
    <w:rsid w:val="633270AF"/>
    <w:rsid w:val="63344897"/>
    <w:rsid w:val="63476361"/>
    <w:rsid w:val="63497EDA"/>
    <w:rsid w:val="63670935"/>
    <w:rsid w:val="636C1DCE"/>
    <w:rsid w:val="637C7D45"/>
    <w:rsid w:val="637D1D0F"/>
    <w:rsid w:val="63833E72"/>
    <w:rsid w:val="63882F33"/>
    <w:rsid w:val="638B645D"/>
    <w:rsid w:val="638C2694"/>
    <w:rsid w:val="6394356A"/>
    <w:rsid w:val="639460F4"/>
    <w:rsid w:val="639A2CB5"/>
    <w:rsid w:val="63A37C03"/>
    <w:rsid w:val="63A4104A"/>
    <w:rsid w:val="63B64AC0"/>
    <w:rsid w:val="63C61B2C"/>
    <w:rsid w:val="63C65464"/>
    <w:rsid w:val="63D2523D"/>
    <w:rsid w:val="63D25821"/>
    <w:rsid w:val="63D40BE9"/>
    <w:rsid w:val="63E544CA"/>
    <w:rsid w:val="63E87EB8"/>
    <w:rsid w:val="63F05CC5"/>
    <w:rsid w:val="64055F8C"/>
    <w:rsid w:val="640B520C"/>
    <w:rsid w:val="640F04AE"/>
    <w:rsid w:val="64102431"/>
    <w:rsid w:val="6412787B"/>
    <w:rsid w:val="642230A6"/>
    <w:rsid w:val="64360EF8"/>
    <w:rsid w:val="643A5574"/>
    <w:rsid w:val="643A5C42"/>
    <w:rsid w:val="6443443A"/>
    <w:rsid w:val="645D49A4"/>
    <w:rsid w:val="6461518D"/>
    <w:rsid w:val="646675CA"/>
    <w:rsid w:val="64686CDE"/>
    <w:rsid w:val="64821539"/>
    <w:rsid w:val="648A6492"/>
    <w:rsid w:val="648E1410"/>
    <w:rsid w:val="64A5243A"/>
    <w:rsid w:val="64A537E1"/>
    <w:rsid w:val="64B00C7E"/>
    <w:rsid w:val="64B747E6"/>
    <w:rsid w:val="64C66D2B"/>
    <w:rsid w:val="64D67929"/>
    <w:rsid w:val="64D863FA"/>
    <w:rsid w:val="64E86956"/>
    <w:rsid w:val="64EB70BB"/>
    <w:rsid w:val="64F531DE"/>
    <w:rsid w:val="65101EB0"/>
    <w:rsid w:val="65362730"/>
    <w:rsid w:val="65373578"/>
    <w:rsid w:val="653E6561"/>
    <w:rsid w:val="65423517"/>
    <w:rsid w:val="65482496"/>
    <w:rsid w:val="654A65FA"/>
    <w:rsid w:val="654E5711"/>
    <w:rsid w:val="655138BC"/>
    <w:rsid w:val="65644F35"/>
    <w:rsid w:val="657219D1"/>
    <w:rsid w:val="657A549D"/>
    <w:rsid w:val="657A6CE5"/>
    <w:rsid w:val="657C1609"/>
    <w:rsid w:val="65AB12E7"/>
    <w:rsid w:val="65BD3DA0"/>
    <w:rsid w:val="65BF216B"/>
    <w:rsid w:val="65D254B3"/>
    <w:rsid w:val="65D26342"/>
    <w:rsid w:val="65EC4433"/>
    <w:rsid w:val="65F04A1A"/>
    <w:rsid w:val="660B5BFB"/>
    <w:rsid w:val="6617099E"/>
    <w:rsid w:val="66236B9E"/>
    <w:rsid w:val="6628507D"/>
    <w:rsid w:val="66291CDA"/>
    <w:rsid w:val="662D5327"/>
    <w:rsid w:val="6641155E"/>
    <w:rsid w:val="66490E8D"/>
    <w:rsid w:val="664C5BF6"/>
    <w:rsid w:val="664D59C9"/>
    <w:rsid w:val="66635B72"/>
    <w:rsid w:val="666A3283"/>
    <w:rsid w:val="667602A9"/>
    <w:rsid w:val="669F50D7"/>
    <w:rsid w:val="66A016B9"/>
    <w:rsid w:val="66A84677"/>
    <w:rsid w:val="66BA13CA"/>
    <w:rsid w:val="66C0619B"/>
    <w:rsid w:val="66D236C5"/>
    <w:rsid w:val="66D80F22"/>
    <w:rsid w:val="66FA7955"/>
    <w:rsid w:val="66FF63A4"/>
    <w:rsid w:val="67020624"/>
    <w:rsid w:val="671F124A"/>
    <w:rsid w:val="672D7CBF"/>
    <w:rsid w:val="675A5A28"/>
    <w:rsid w:val="675D4E32"/>
    <w:rsid w:val="67630292"/>
    <w:rsid w:val="677376B1"/>
    <w:rsid w:val="677A33C6"/>
    <w:rsid w:val="678521E4"/>
    <w:rsid w:val="6787358B"/>
    <w:rsid w:val="678F1ADF"/>
    <w:rsid w:val="6798270B"/>
    <w:rsid w:val="67987117"/>
    <w:rsid w:val="67A46064"/>
    <w:rsid w:val="67AF7FBD"/>
    <w:rsid w:val="67C16680"/>
    <w:rsid w:val="67D77264"/>
    <w:rsid w:val="67EA6AA1"/>
    <w:rsid w:val="67EB1CB1"/>
    <w:rsid w:val="680227E3"/>
    <w:rsid w:val="681A2338"/>
    <w:rsid w:val="681A5F3F"/>
    <w:rsid w:val="681F6961"/>
    <w:rsid w:val="682B7F8C"/>
    <w:rsid w:val="682D6E76"/>
    <w:rsid w:val="682E563A"/>
    <w:rsid w:val="682F75F3"/>
    <w:rsid w:val="6832131A"/>
    <w:rsid w:val="68487939"/>
    <w:rsid w:val="68490412"/>
    <w:rsid w:val="68516B3A"/>
    <w:rsid w:val="685272C6"/>
    <w:rsid w:val="68610A2F"/>
    <w:rsid w:val="68681826"/>
    <w:rsid w:val="6879600D"/>
    <w:rsid w:val="68805514"/>
    <w:rsid w:val="6884144A"/>
    <w:rsid w:val="688D6938"/>
    <w:rsid w:val="689D2CBD"/>
    <w:rsid w:val="68A01C30"/>
    <w:rsid w:val="68AF5A01"/>
    <w:rsid w:val="68B250D4"/>
    <w:rsid w:val="68C07402"/>
    <w:rsid w:val="68C42017"/>
    <w:rsid w:val="68D216CB"/>
    <w:rsid w:val="68E25E09"/>
    <w:rsid w:val="68EB275A"/>
    <w:rsid w:val="68F748D0"/>
    <w:rsid w:val="6901768C"/>
    <w:rsid w:val="69034A64"/>
    <w:rsid w:val="69256F9A"/>
    <w:rsid w:val="692E6D5F"/>
    <w:rsid w:val="69316E2F"/>
    <w:rsid w:val="693B543A"/>
    <w:rsid w:val="6946236B"/>
    <w:rsid w:val="694D7A8E"/>
    <w:rsid w:val="694E2071"/>
    <w:rsid w:val="69545F5B"/>
    <w:rsid w:val="695D6586"/>
    <w:rsid w:val="69763336"/>
    <w:rsid w:val="69766163"/>
    <w:rsid w:val="697A3B33"/>
    <w:rsid w:val="697F4FAA"/>
    <w:rsid w:val="69837618"/>
    <w:rsid w:val="69A0765A"/>
    <w:rsid w:val="69A60031"/>
    <w:rsid w:val="69A973BA"/>
    <w:rsid w:val="69C354F4"/>
    <w:rsid w:val="69CC30A8"/>
    <w:rsid w:val="69CD4D3C"/>
    <w:rsid w:val="69D44760"/>
    <w:rsid w:val="69E26225"/>
    <w:rsid w:val="69E37AA5"/>
    <w:rsid w:val="69FB51E0"/>
    <w:rsid w:val="6A0342B1"/>
    <w:rsid w:val="6A2D60E5"/>
    <w:rsid w:val="6A3F7D1E"/>
    <w:rsid w:val="6A4C5C9E"/>
    <w:rsid w:val="6A520EC7"/>
    <w:rsid w:val="6A525085"/>
    <w:rsid w:val="6A600383"/>
    <w:rsid w:val="6A6C64CE"/>
    <w:rsid w:val="6A793230"/>
    <w:rsid w:val="6A7B3884"/>
    <w:rsid w:val="6A7E2EB9"/>
    <w:rsid w:val="6A894F96"/>
    <w:rsid w:val="6A923724"/>
    <w:rsid w:val="6A927F16"/>
    <w:rsid w:val="6A954482"/>
    <w:rsid w:val="6AB11B40"/>
    <w:rsid w:val="6AB46016"/>
    <w:rsid w:val="6AD22940"/>
    <w:rsid w:val="6ADA0640"/>
    <w:rsid w:val="6AE20301"/>
    <w:rsid w:val="6AE3649F"/>
    <w:rsid w:val="6AE83309"/>
    <w:rsid w:val="6AEB2586"/>
    <w:rsid w:val="6AF470E7"/>
    <w:rsid w:val="6AF87E20"/>
    <w:rsid w:val="6AFB248B"/>
    <w:rsid w:val="6B0741AB"/>
    <w:rsid w:val="6B150BA1"/>
    <w:rsid w:val="6B1B628E"/>
    <w:rsid w:val="6B1C3E68"/>
    <w:rsid w:val="6B1E16E2"/>
    <w:rsid w:val="6B2B6357"/>
    <w:rsid w:val="6B2B6B4D"/>
    <w:rsid w:val="6B2F1C8D"/>
    <w:rsid w:val="6B322639"/>
    <w:rsid w:val="6B496B0F"/>
    <w:rsid w:val="6B642903"/>
    <w:rsid w:val="6B7678FF"/>
    <w:rsid w:val="6B8448F8"/>
    <w:rsid w:val="6B8B348A"/>
    <w:rsid w:val="6B9124C1"/>
    <w:rsid w:val="6B960F09"/>
    <w:rsid w:val="6B985705"/>
    <w:rsid w:val="6BA0659B"/>
    <w:rsid w:val="6BA823A4"/>
    <w:rsid w:val="6BAB2FA1"/>
    <w:rsid w:val="6BCA6E6F"/>
    <w:rsid w:val="6BCE15F5"/>
    <w:rsid w:val="6BCF5346"/>
    <w:rsid w:val="6BD32EF5"/>
    <w:rsid w:val="6BDF70C3"/>
    <w:rsid w:val="6BE52119"/>
    <w:rsid w:val="6BEF1CFA"/>
    <w:rsid w:val="6BF80185"/>
    <w:rsid w:val="6BF94067"/>
    <w:rsid w:val="6BFC7B3D"/>
    <w:rsid w:val="6C133511"/>
    <w:rsid w:val="6C197215"/>
    <w:rsid w:val="6C276CBC"/>
    <w:rsid w:val="6C28525B"/>
    <w:rsid w:val="6C36056A"/>
    <w:rsid w:val="6C3E6083"/>
    <w:rsid w:val="6C5206D8"/>
    <w:rsid w:val="6C5B2BF6"/>
    <w:rsid w:val="6C5C4FF7"/>
    <w:rsid w:val="6C5E551A"/>
    <w:rsid w:val="6C636C38"/>
    <w:rsid w:val="6C682C68"/>
    <w:rsid w:val="6C7A2733"/>
    <w:rsid w:val="6C863B68"/>
    <w:rsid w:val="6C871024"/>
    <w:rsid w:val="6C95705E"/>
    <w:rsid w:val="6C9A7195"/>
    <w:rsid w:val="6CA45E27"/>
    <w:rsid w:val="6CAB28C0"/>
    <w:rsid w:val="6CB423CE"/>
    <w:rsid w:val="6CBA368C"/>
    <w:rsid w:val="6CF319A2"/>
    <w:rsid w:val="6D036DE1"/>
    <w:rsid w:val="6D2207DC"/>
    <w:rsid w:val="6D2A01B4"/>
    <w:rsid w:val="6D325918"/>
    <w:rsid w:val="6D3E1BAE"/>
    <w:rsid w:val="6D422E69"/>
    <w:rsid w:val="6D512242"/>
    <w:rsid w:val="6D5F09F8"/>
    <w:rsid w:val="6D7060B3"/>
    <w:rsid w:val="6D7F7F3F"/>
    <w:rsid w:val="6D820CB3"/>
    <w:rsid w:val="6D870AD5"/>
    <w:rsid w:val="6D9869C9"/>
    <w:rsid w:val="6DA22A64"/>
    <w:rsid w:val="6DA40B24"/>
    <w:rsid w:val="6DA415D0"/>
    <w:rsid w:val="6DAC56CB"/>
    <w:rsid w:val="6DAD31F1"/>
    <w:rsid w:val="6DB23E92"/>
    <w:rsid w:val="6DB34098"/>
    <w:rsid w:val="6DB545B6"/>
    <w:rsid w:val="6DC97D09"/>
    <w:rsid w:val="6DCF54D8"/>
    <w:rsid w:val="6DD479A0"/>
    <w:rsid w:val="6DE02FB4"/>
    <w:rsid w:val="6DE3694A"/>
    <w:rsid w:val="6DE77FDB"/>
    <w:rsid w:val="6DEE0B47"/>
    <w:rsid w:val="6DF37C67"/>
    <w:rsid w:val="6DFB5EE0"/>
    <w:rsid w:val="6E197045"/>
    <w:rsid w:val="6E1C23EB"/>
    <w:rsid w:val="6E313CE5"/>
    <w:rsid w:val="6E31797E"/>
    <w:rsid w:val="6E3D1F82"/>
    <w:rsid w:val="6E4E6493"/>
    <w:rsid w:val="6E514CED"/>
    <w:rsid w:val="6E5A1BC9"/>
    <w:rsid w:val="6E600F53"/>
    <w:rsid w:val="6E957F0D"/>
    <w:rsid w:val="6EA74786"/>
    <w:rsid w:val="6EB563D5"/>
    <w:rsid w:val="6EBF3F24"/>
    <w:rsid w:val="6ED92677"/>
    <w:rsid w:val="6EE90259"/>
    <w:rsid w:val="6EF725C8"/>
    <w:rsid w:val="6F050DF5"/>
    <w:rsid w:val="6F165C23"/>
    <w:rsid w:val="6F180782"/>
    <w:rsid w:val="6F20483E"/>
    <w:rsid w:val="6F225983"/>
    <w:rsid w:val="6F2A51BA"/>
    <w:rsid w:val="6F2A7937"/>
    <w:rsid w:val="6F2B72B3"/>
    <w:rsid w:val="6F3E651D"/>
    <w:rsid w:val="6F4411B2"/>
    <w:rsid w:val="6F4B254E"/>
    <w:rsid w:val="6F653D83"/>
    <w:rsid w:val="6F83245B"/>
    <w:rsid w:val="6F92487E"/>
    <w:rsid w:val="6FC34F4E"/>
    <w:rsid w:val="6FCC795E"/>
    <w:rsid w:val="6FD129E6"/>
    <w:rsid w:val="6FD9207B"/>
    <w:rsid w:val="6FEA072C"/>
    <w:rsid w:val="6FEC0446"/>
    <w:rsid w:val="6FF016E1"/>
    <w:rsid w:val="6FF93052"/>
    <w:rsid w:val="6FFB6495"/>
    <w:rsid w:val="6FFC5590"/>
    <w:rsid w:val="6FFD3FBC"/>
    <w:rsid w:val="6FFD636E"/>
    <w:rsid w:val="6FFE09D3"/>
    <w:rsid w:val="70074822"/>
    <w:rsid w:val="700773DB"/>
    <w:rsid w:val="700F170E"/>
    <w:rsid w:val="70323B22"/>
    <w:rsid w:val="703D3958"/>
    <w:rsid w:val="7053406C"/>
    <w:rsid w:val="705C082B"/>
    <w:rsid w:val="706856D7"/>
    <w:rsid w:val="70695117"/>
    <w:rsid w:val="706D13C2"/>
    <w:rsid w:val="706D1DD0"/>
    <w:rsid w:val="70781894"/>
    <w:rsid w:val="707E2436"/>
    <w:rsid w:val="70806727"/>
    <w:rsid w:val="708232DF"/>
    <w:rsid w:val="70856B87"/>
    <w:rsid w:val="708C533F"/>
    <w:rsid w:val="709455E4"/>
    <w:rsid w:val="7099229E"/>
    <w:rsid w:val="70A800C3"/>
    <w:rsid w:val="70AC4264"/>
    <w:rsid w:val="70BF2DD1"/>
    <w:rsid w:val="70BF5715"/>
    <w:rsid w:val="70C005AE"/>
    <w:rsid w:val="70CC39C6"/>
    <w:rsid w:val="70D50A94"/>
    <w:rsid w:val="70D527EE"/>
    <w:rsid w:val="70D540DF"/>
    <w:rsid w:val="70E909E4"/>
    <w:rsid w:val="71196B34"/>
    <w:rsid w:val="711A2AB9"/>
    <w:rsid w:val="712565D7"/>
    <w:rsid w:val="71316B5E"/>
    <w:rsid w:val="713A123F"/>
    <w:rsid w:val="713F13F2"/>
    <w:rsid w:val="714C08A4"/>
    <w:rsid w:val="71562C1B"/>
    <w:rsid w:val="715B5084"/>
    <w:rsid w:val="715B5300"/>
    <w:rsid w:val="715C794B"/>
    <w:rsid w:val="716653CC"/>
    <w:rsid w:val="716E58D6"/>
    <w:rsid w:val="71754A1B"/>
    <w:rsid w:val="71863B83"/>
    <w:rsid w:val="71961394"/>
    <w:rsid w:val="71CA25C3"/>
    <w:rsid w:val="71D27F8A"/>
    <w:rsid w:val="71E42855"/>
    <w:rsid w:val="72026AC4"/>
    <w:rsid w:val="72155F5A"/>
    <w:rsid w:val="721D4359"/>
    <w:rsid w:val="722717C4"/>
    <w:rsid w:val="722A1C8D"/>
    <w:rsid w:val="723B4C48"/>
    <w:rsid w:val="72423485"/>
    <w:rsid w:val="724C6F09"/>
    <w:rsid w:val="724D20AF"/>
    <w:rsid w:val="72516841"/>
    <w:rsid w:val="72553024"/>
    <w:rsid w:val="725C6A44"/>
    <w:rsid w:val="7270196F"/>
    <w:rsid w:val="727121B9"/>
    <w:rsid w:val="727260E7"/>
    <w:rsid w:val="72766586"/>
    <w:rsid w:val="72856FA3"/>
    <w:rsid w:val="72916989"/>
    <w:rsid w:val="7294335E"/>
    <w:rsid w:val="7298499B"/>
    <w:rsid w:val="72A2709C"/>
    <w:rsid w:val="72AC58C9"/>
    <w:rsid w:val="72B161BE"/>
    <w:rsid w:val="72C41406"/>
    <w:rsid w:val="72C74C64"/>
    <w:rsid w:val="72CE5BF7"/>
    <w:rsid w:val="72DB5BAA"/>
    <w:rsid w:val="72E5287E"/>
    <w:rsid w:val="72E93A1B"/>
    <w:rsid w:val="7303052D"/>
    <w:rsid w:val="73090EC9"/>
    <w:rsid w:val="73122968"/>
    <w:rsid w:val="73141947"/>
    <w:rsid w:val="731C0BFD"/>
    <w:rsid w:val="731F5D5E"/>
    <w:rsid w:val="73247AB1"/>
    <w:rsid w:val="732748EA"/>
    <w:rsid w:val="732B7092"/>
    <w:rsid w:val="73432BC9"/>
    <w:rsid w:val="734E365B"/>
    <w:rsid w:val="73541491"/>
    <w:rsid w:val="7362595B"/>
    <w:rsid w:val="7368060D"/>
    <w:rsid w:val="73787988"/>
    <w:rsid w:val="73800049"/>
    <w:rsid w:val="739008B3"/>
    <w:rsid w:val="73942E89"/>
    <w:rsid w:val="739A5FC5"/>
    <w:rsid w:val="73BB49CC"/>
    <w:rsid w:val="73C51AD5"/>
    <w:rsid w:val="73D634A1"/>
    <w:rsid w:val="73D743A2"/>
    <w:rsid w:val="73E105F6"/>
    <w:rsid w:val="73EB32AA"/>
    <w:rsid w:val="74032EFE"/>
    <w:rsid w:val="741E793C"/>
    <w:rsid w:val="742329E9"/>
    <w:rsid w:val="742C30C1"/>
    <w:rsid w:val="742F670E"/>
    <w:rsid w:val="7437653D"/>
    <w:rsid w:val="743B1556"/>
    <w:rsid w:val="744877CF"/>
    <w:rsid w:val="744A103F"/>
    <w:rsid w:val="744E07DE"/>
    <w:rsid w:val="744F6FC2"/>
    <w:rsid w:val="745E0CB4"/>
    <w:rsid w:val="745E3944"/>
    <w:rsid w:val="74626AE3"/>
    <w:rsid w:val="74734C4D"/>
    <w:rsid w:val="747B070D"/>
    <w:rsid w:val="748A47CE"/>
    <w:rsid w:val="748E1A5D"/>
    <w:rsid w:val="749C3ABE"/>
    <w:rsid w:val="74A54C22"/>
    <w:rsid w:val="74AB6AA0"/>
    <w:rsid w:val="74BC44F1"/>
    <w:rsid w:val="74C42FF2"/>
    <w:rsid w:val="74D426A1"/>
    <w:rsid w:val="74D55507"/>
    <w:rsid w:val="74DD0860"/>
    <w:rsid w:val="74EF1773"/>
    <w:rsid w:val="75097E5E"/>
    <w:rsid w:val="75106442"/>
    <w:rsid w:val="751653F3"/>
    <w:rsid w:val="751A1084"/>
    <w:rsid w:val="751B19FB"/>
    <w:rsid w:val="751B35A0"/>
    <w:rsid w:val="751E223E"/>
    <w:rsid w:val="75243D99"/>
    <w:rsid w:val="752D00C0"/>
    <w:rsid w:val="754361E3"/>
    <w:rsid w:val="75484951"/>
    <w:rsid w:val="75515022"/>
    <w:rsid w:val="75534F10"/>
    <w:rsid w:val="75683CDD"/>
    <w:rsid w:val="756D5080"/>
    <w:rsid w:val="75763609"/>
    <w:rsid w:val="757F1917"/>
    <w:rsid w:val="758142C0"/>
    <w:rsid w:val="75B62C87"/>
    <w:rsid w:val="75C04967"/>
    <w:rsid w:val="75C62CE0"/>
    <w:rsid w:val="75D742B7"/>
    <w:rsid w:val="75D75B0A"/>
    <w:rsid w:val="75E157DD"/>
    <w:rsid w:val="75E874BC"/>
    <w:rsid w:val="75E9031A"/>
    <w:rsid w:val="75EF21C0"/>
    <w:rsid w:val="75FC4DE2"/>
    <w:rsid w:val="75FD6934"/>
    <w:rsid w:val="75FF3025"/>
    <w:rsid w:val="760065B4"/>
    <w:rsid w:val="7606521E"/>
    <w:rsid w:val="760D580D"/>
    <w:rsid w:val="760D7729"/>
    <w:rsid w:val="760F67F7"/>
    <w:rsid w:val="76136CAA"/>
    <w:rsid w:val="7614205F"/>
    <w:rsid w:val="761D7791"/>
    <w:rsid w:val="76250680"/>
    <w:rsid w:val="7626048C"/>
    <w:rsid w:val="762B1157"/>
    <w:rsid w:val="763141F3"/>
    <w:rsid w:val="7635099D"/>
    <w:rsid w:val="76391AC6"/>
    <w:rsid w:val="764C28CA"/>
    <w:rsid w:val="765D6045"/>
    <w:rsid w:val="766C1B2C"/>
    <w:rsid w:val="76804F12"/>
    <w:rsid w:val="768E1321"/>
    <w:rsid w:val="76914FD7"/>
    <w:rsid w:val="76A038F3"/>
    <w:rsid w:val="76B22EF1"/>
    <w:rsid w:val="76B850E0"/>
    <w:rsid w:val="76BA0D28"/>
    <w:rsid w:val="76C03F95"/>
    <w:rsid w:val="76C5219A"/>
    <w:rsid w:val="76E6709F"/>
    <w:rsid w:val="76EE494C"/>
    <w:rsid w:val="770519A8"/>
    <w:rsid w:val="771340C5"/>
    <w:rsid w:val="77244524"/>
    <w:rsid w:val="77356B45"/>
    <w:rsid w:val="773D7394"/>
    <w:rsid w:val="77520C8C"/>
    <w:rsid w:val="775546DD"/>
    <w:rsid w:val="775C5D7B"/>
    <w:rsid w:val="776677F3"/>
    <w:rsid w:val="777029AA"/>
    <w:rsid w:val="77762421"/>
    <w:rsid w:val="777C0FE5"/>
    <w:rsid w:val="77851C3A"/>
    <w:rsid w:val="77862AE9"/>
    <w:rsid w:val="77884AB3"/>
    <w:rsid w:val="7790475A"/>
    <w:rsid w:val="77993398"/>
    <w:rsid w:val="77B238DE"/>
    <w:rsid w:val="77B56B1F"/>
    <w:rsid w:val="77B73818"/>
    <w:rsid w:val="77C86C9B"/>
    <w:rsid w:val="77CF26E1"/>
    <w:rsid w:val="77CF27AD"/>
    <w:rsid w:val="77D0645A"/>
    <w:rsid w:val="77DB69E3"/>
    <w:rsid w:val="77E043FD"/>
    <w:rsid w:val="77E617D9"/>
    <w:rsid w:val="77FB66F1"/>
    <w:rsid w:val="780F09F4"/>
    <w:rsid w:val="78104700"/>
    <w:rsid w:val="78281DF2"/>
    <w:rsid w:val="78411105"/>
    <w:rsid w:val="78525E2D"/>
    <w:rsid w:val="786521C5"/>
    <w:rsid w:val="787509E4"/>
    <w:rsid w:val="78A22303"/>
    <w:rsid w:val="78A524CA"/>
    <w:rsid w:val="78A90480"/>
    <w:rsid w:val="78B930B5"/>
    <w:rsid w:val="78C31B1A"/>
    <w:rsid w:val="78D6064F"/>
    <w:rsid w:val="790A4B4B"/>
    <w:rsid w:val="79142CEE"/>
    <w:rsid w:val="79181E66"/>
    <w:rsid w:val="7930196F"/>
    <w:rsid w:val="793D1A19"/>
    <w:rsid w:val="794E638A"/>
    <w:rsid w:val="795253C4"/>
    <w:rsid w:val="7953129A"/>
    <w:rsid w:val="796230E1"/>
    <w:rsid w:val="796D09BD"/>
    <w:rsid w:val="7973159F"/>
    <w:rsid w:val="79745D61"/>
    <w:rsid w:val="79C66DEF"/>
    <w:rsid w:val="79D060FF"/>
    <w:rsid w:val="79D31B8D"/>
    <w:rsid w:val="79E25726"/>
    <w:rsid w:val="79FF5367"/>
    <w:rsid w:val="7A016841"/>
    <w:rsid w:val="7A1B7E60"/>
    <w:rsid w:val="7A212F9C"/>
    <w:rsid w:val="7A2A2791"/>
    <w:rsid w:val="7A301431"/>
    <w:rsid w:val="7A364017"/>
    <w:rsid w:val="7A3D2163"/>
    <w:rsid w:val="7A494824"/>
    <w:rsid w:val="7A4A165E"/>
    <w:rsid w:val="7A6A40CD"/>
    <w:rsid w:val="7A6B6F12"/>
    <w:rsid w:val="7A726476"/>
    <w:rsid w:val="7A7C0965"/>
    <w:rsid w:val="7A7F056E"/>
    <w:rsid w:val="7A8265E1"/>
    <w:rsid w:val="7A987D3A"/>
    <w:rsid w:val="7AA17C39"/>
    <w:rsid w:val="7ABC7F94"/>
    <w:rsid w:val="7ABE4FDC"/>
    <w:rsid w:val="7AD27FAE"/>
    <w:rsid w:val="7AD42A29"/>
    <w:rsid w:val="7ADA0FF3"/>
    <w:rsid w:val="7AF33603"/>
    <w:rsid w:val="7AF45837"/>
    <w:rsid w:val="7B006DE5"/>
    <w:rsid w:val="7B184B87"/>
    <w:rsid w:val="7B367550"/>
    <w:rsid w:val="7B3E36DA"/>
    <w:rsid w:val="7B403498"/>
    <w:rsid w:val="7B4F1915"/>
    <w:rsid w:val="7B686D42"/>
    <w:rsid w:val="7B6F70C2"/>
    <w:rsid w:val="7B787A4F"/>
    <w:rsid w:val="7B841746"/>
    <w:rsid w:val="7B872B63"/>
    <w:rsid w:val="7B8C7CC4"/>
    <w:rsid w:val="7B922412"/>
    <w:rsid w:val="7B971B7F"/>
    <w:rsid w:val="7BA14395"/>
    <w:rsid w:val="7BAE260E"/>
    <w:rsid w:val="7BAF3D1C"/>
    <w:rsid w:val="7BBA64B8"/>
    <w:rsid w:val="7BC57958"/>
    <w:rsid w:val="7BD11CE2"/>
    <w:rsid w:val="7BD654DF"/>
    <w:rsid w:val="7BDB7E29"/>
    <w:rsid w:val="7BE937E1"/>
    <w:rsid w:val="7BEF6D8A"/>
    <w:rsid w:val="7BF551A7"/>
    <w:rsid w:val="7C211799"/>
    <w:rsid w:val="7C3662C4"/>
    <w:rsid w:val="7C366302"/>
    <w:rsid w:val="7C62129B"/>
    <w:rsid w:val="7C686C61"/>
    <w:rsid w:val="7C6C5AC7"/>
    <w:rsid w:val="7C6F4493"/>
    <w:rsid w:val="7C796908"/>
    <w:rsid w:val="7C8812DB"/>
    <w:rsid w:val="7CC41F7F"/>
    <w:rsid w:val="7CC6544B"/>
    <w:rsid w:val="7CCA7B33"/>
    <w:rsid w:val="7CDE555B"/>
    <w:rsid w:val="7CE24C65"/>
    <w:rsid w:val="7CE752CF"/>
    <w:rsid w:val="7D0239FF"/>
    <w:rsid w:val="7D2F554B"/>
    <w:rsid w:val="7D3B093C"/>
    <w:rsid w:val="7D5E40CD"/>
    <w:rsid w:val="7D665E3B"/>
    <w:rsid w:val="7D740F30"/>
    <w:rsid w:val="7D7D0339"/>
    <w:rsid w:val="7D8F021D"/>
    <w:rsid w:val="7D9D27E3"/>
    <w:rsid w:val="7DA01535"/>
    <w:rsid w:val="7DA06BB6"/>
    <w:rsid w:val="7DB008BF"/>
    <w:rsid w:val="7DC16953"/>
    <w:rsid w:val="7DCA74A7"/>
    <w:rsid w:val="7DCD56F2"/>
    <w:rsid w:val="7DDF0F28"/>
    <w:rsid w:val="7DE07220"/>
    <w:rsid w:val="7DE222C8"/>
    <w:rsid w:val="7DEB2D7B"/>
    <w:rsid w:val="7DF34C50"/>
    <w:rsid w:val="7DF76028"/>
    <w:rsid w:val="7E0806FB"/>
    <w:rsid w:val="7E0F091A"/>
    <w:rsid w:val="7E2161F2"/>
    <w:rsid w:val="7E230837"/>
    <w:rsid w:val="7E2A725C"/>
    <w:rsid w:val="7E354813"/>
    <w:rsid w:val="7E3859D8"/>
    <w:rsid w:val="7E5B702C"/>
    <w:rsid w:val="7E69785B"/>
    <w:rsid w:val="7E7044F2"/>
    <w:rsid w:val="7E704E13"/>
    <w:rsid w:val="7E853A34"/>
    <w:rsid w:val="7E8E45EC"/>
    <w:rsid w:val="7EAA3560"/>
    <w:rsid w:val="7EAD3B33"/>
    <w:rsid w:val="7EB10F2F"/>
    <w:rsid w:val="7EC363D0"/>
    <w:rsid w:val="7ED13C94"/>
    <w:rsid w:val="7ED87AC9"/>
    <w:rsid w:val="7ED92098"/>
    <w:rsid w:val="7F001CE7"/>
    <w:rsid w:val="7F1C0F4E"/>
    <w:rsid w:val="7F280929"/>
    <w:rsid w:val="7F2C666B"/>
    <w:rsid w:val="7F3F03A9"/>
    <w:rsid w:val="7F41022C"/>
    <w:rsid w:val="7F673190"/>
    <w:rsid w:val="7F6748AE"/>
    <w:rsid w:val="7F685CF2"/>
    <w:rsid w:val="7F6A74E4"/>
    <w:rsid w:val="7F95395E"/>
    <w:rsid w:val="7FA2248A"/>
    <w:rsid w:val="7FCE7F34"/>
    <w:rsid w:val="7FE24D5A"/>
    <w:rsid w:val="7FE47E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nhideWhenUsed="0" w:uiPriority="0" w:semiHidden="0" w:name="Normal Indent"/>
    <w:lsdException w:unhideWhenUsed="0" w:uiPriority="0" w:semiHidden="0" w:name="footnote text" w:locked="1"/>
    <w:lsdException w:qFormat="1"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ocked="1"/>
    <w:lsdException w:qFormat="1" w:uiPriority="0" w:name="caption" w:locked="1"/>
    <w:lsdException w:unhideWhenUsed="0" w:uiPriority="0" w:semiHidden="0" w:name="table of figures"/>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semiHidden="0" w:name="annotation reference"/>
    <w:lsdException w:unhideWhenUsed="0" w:uiPriority="0" w:semiHidden="0" w:name="line number" w:locked="1"/>
    <w:lsdException w:unhideWhenUsed="0" w:uiPriority="0" w:semiHidden="0" w:name="page number"/>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ocked="1"/>
    <w:lsdException w:unhideWhenUsed="0" w:uiPriority="0" w:semiHidden="0" w:name="Body Text 2" w:locked="1"/>
    <w:lsdException w:unhideWhenUsed="0" w:uiPriority="0" w:semiHidden="0" w:name="Body Text 3" w:locked="1"/>
    <w:lsdException w:unhideWhenUsed="0" w:uiPriority="0" w:semiHidden="0" w:name="Body Text Indent 2"/>
    <w:lsdException w:unhideWhenUsed="0" w:uiPriority="0" w:semiHidden="0" w:name="Body Text Indent 3" w:locked="1"/>
    <w:lsdException w:unhideWhenUsed="0" w:uiPriority="0" w:semiHidden="0" w:name="Block Text" w:locked="1"/>
    <w:lsdException w:unhideWhenUsed="0" w:uiPriority="0" w:semiHidden="0" w:name="Hyperlink"/>
    <w:lsdException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unhideWhenUsed="0" w:uiPriority="0" w:semiHidden="0" w:name="Plain Text" w:locked="1"/>
    <w:lsdException w:unhideWhenUsed="0" w:uiPriority="0" w:semiHidden="0" w:name="E-mail Signature" w:locked="1"/>
    <w:lsdException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iPriority="99" w:name="Normal Table"/>
    <w:lsdException w:qFormat="1" w:unhideWhenUsed="0" w:uiPriority="0" w:semiHidden="0" w:name="annotation subject"/>
    <w:lsdException w:uiPriority="0" w:name="Table Simple 1" w:locked="1"/>
    <w:lsdException w:uiPriority="0" w:name="Table Simple 2" w:locked="1"/>
    <w:lsdException w:uiPriority="0" w:name="Table Simple 3" w:locked="1"/>
    <w:lsdException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uiPriority="0" w:name="Table Grid 1" w:locked="1"/>
    <w:lsdException w:uiPriority="0" w:name="Table Grid 2" w:locked="1"/>
    <w:lsdException w:uiPriority="0" w:name="Table Grid 3" w:locked="1"/>
    <w:lsdException w:uiPriority="0" w:name="Table Grid 4" w:locked="1"/>
    <w:lsdException w:uiPriority="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uiPriority="0" w:name="Table Elegant" w:locked="1"/>
    <w:lsdException w:uiPriority="0" w:name="Table Professional" w:locked="1"/>
    <w:lsdException w:uiPriority="0" w:name="Table Subtle 1" w:locked="1"/>
    <w:lsdException w:uiPriority="0" w:name="Table Subtle 2" w:locked="1"/>
    <w:lsdException w:uiPriority="0" w:name="Table Web 1" w:locked="1"/>
    <w:lsdException w:uiPriority="0" w:name="Table Web 2" w:locked="1"/>
    <w:lsdException w:uiPriority="0" w:name="Table Web 3" w:locked="1"/>
    <w:lsdException w:unhideWhenUsed="0" w:uiPriority="0" w:semiHidden="0" w:name="Balloon Text"/>
    <w:lsdException w:qFormat="1" w:unhideWhenUsed="0" w:uiPriority="0" w:semiHidden="0" w:name="Table Grid"/>
    <w:lsdException w:uiPriority="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562" w:firstLineChars="200"/>
      <w:jc w:val="both"/>
    </w:pPr>
    <w:rPr>
      <w:rFonts w:ascii="Times New Roman" w:hAnsi="Times New Roman" w:eastAsia="宋体" w:cs="Times New Roman"/>
      <w:kern w:val="2"/>
      <w:sz w:val="24"/>
      <w:szCs w:val="24"/>
      <w:lang w:val="en-US" w:eastAsia="zh-CN" w:bidi="ar-SA"/>
    </w:rPr>
  </w:style>
  <w:style w:type="paragraph" w:styleId="2">
    <w:name w:val="heading 1"/>
    <w:basedOn w:val="1"/>
    <w:next w:val="1"/>
    <w:link w:val="9"/>
    <w:qFormat/>
    <w:locked/>
    <w:uiPriority w:val="99"/>
    <w:pPr>
      <w:keepNext/>
      <w:overflowPunct w:val="0"/>
      <w:snapToGrid w:val="0"/>
      <w:ind w:firstLine="0"/>
      <w:jc w:val="center"/>
      <w:outlineLvl w:val="0"/>
    </w:pPr>
    <w:rPr>
      <w:rFonts w:eastAsia="黑体"/>
      <w:b/>
      <w:bCs/>
      <w:color w:val="000000"/>
      <w:kern w:val="44"/>
      <w:sz w:val="30"/>
      <w:szCs w:val="30"/>
    </w:rPr>
  </w:style>
  <w:style w:type="character" w:default="1" w:styleId="7">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link w:val="14"/>
    <w:qFormat/>
    <w:uiPriority w:val="0"/>
    <w:pPr>
      <w:jc w:val="left"/>
    </w:pPr>
  </w:style>
  <w:style w:type="paragraph" w:styleId="4">
    <w:name w:val="annotation subject"/>
    <w:basedOn w:val="3"/>
    <w:next w:val="3"/>
    <w:link w:val="15"/>
    <w:qFormat/>
    <w:uiPriority w:val="0"/>
    <w:rPr>
      <w:b/>
      <w:bCs/>
    </w:rPr>
  </w:style>
  <w:style w:type="table" w:styleId="6">
    <w:name w:val="Table Grid"/>
    <w:basedOn w:val="5"/>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annotation reference"/>
    <w:basedOn w:val="7"/>
    <w:qFormat/>
    <w:uiPriority w:val="0"/>
    <w:rPr>
      <w:sz w:val="21"/>
      <w:szCs w:val="21"/>
    </w:rPr>
  </w:style>
  <w:style w:type="character" w:customStyle="1" w:styleId="9">
    <w:name w:val="标题 1 字符"/>
    <w:link w:val="2"/>
    <w:qFormat/>
    <w:uiPriority w:val="99"/>
    <w:rPr>
      <w:rFonts w:ascii="Times New Roman" w:hAnsi="Times New Roman" w:eastAsia="黑体"/>
      <w:b/>
      <w:bCs/>
      <w:color w:val="000000"/>
      <w:kern w:val="44"/>
      <w:sz w:val="30"/>
      <w:szCs w:val="30"/>
    </w:rPr>
  </w:style>
  <w:style w:type="character" w:customStyle="1" w:styleId="10">
    <w:name w:val="表格-1 Char"/>
    <w:link w:val="11"/>
    <w:qFormat/>
    <w:uiPriority w:val="0"/>
    <w:rPr>
      <w:rFonts w:ascii="Times New Roman" w:hAnsi="Times New Roman" w:eastAsia="宋体"/>
      <w:sz w:val="21"/>
      <w:szCs w:val="21"/>
    </w:rPr>
  </w:style>
  <w:style w:type="paragraph" w:customStyle="1" w:styleId="11">
    <w:name w:val="表格-1"/>
    <w:link w:val="10"/>
    <w:qFormat/>
    <w:uiPriority w:val="0"/>
    <w:rPr>
      <w:rFonts w:ascii="Times New Roman" w:hAnsi="Times New Roman" w:eastAsia="宋体" w:cs="Times New Roman"/>
      <w:sz w:val="21"/>
      <w:szCs w:val="21"/>
      <w:lang w:val="en-US" w:eastAsia="zh-CN" w:bidi="ar-SA"/>
    </w:rPr>
  </w:style>
  <w:style w:type="table" w:customStyle="1" w:styleId="12">
    <w:name w:val="表格边框"/>
    <w:basedOn w:val="5"/>
    <w:qFormat/>
    <w:uiPriority w:val="99"/>
    <w:pPr>
      <w:jc w:val="center"/>
    </w:pPr>
    <w:tblPr>
      <w:jc w:val="center"/>
      <w:tblBorders>
        <w:top w:val="single" w:color="auto" w:sz="12" w:space="0"/>
        <w:bottom w:val="single" w:color="auto" w:sz="12" w:space="0"/>
        <w:insideH w:val="single" w:color="auto" w:sz="6" w:space="0"/>
        <w:insideV w:val="single" w:color="auto" w:sz="6" w:space="0"/>
      </w:tblBorders>
      <w:tblCellMar>
        <w:left w:w="28" w:type="dxa"/>
        <w:right w:w="28" w:type="dxa"/>
      </w:tblCellMar>
    </w:tblPr>
    <w:trPr>
      <w:jc w:val="center"/>
    </w:trPr>
    <w:tcPr>
      <w:vAlign w:val="center"/>
    </w:tcPr>
  </w:style>
  <w:style w:type="table" w:customStyle="1" w:styleId="13">
    <w:name w:val="Table Grid_0"/>
    <w:basedOn w:val="5"/>
    <w:qFormat/>
    <w:uiPriority w:val="0"/>
    <w:rPr>
      <w:rFonts w:eastAsia="仿宋"/>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4">
    <w:name w:val="批注文字 字符"/>
    <w:basedOn w:val="7"/>
    <w:link w:val="3"/>
    <w:qFormat/>
    <w:uiPriority w:val="0"/>
    <w:rPr>
      <w:kern w:val="2"/>
      <w:sz w:val="24"/>
      <w:szCs w:val="24"/>
    </w:rPr>
  </w:style>
  <w:style w:type="character" w:customStyle="1" w:styleId="15">
    <w:name w:val="批注主题 字符"/>
    <w:basedOn w:val="14"/>
    <w:link w:val="4"/>
    <w:qFormat/>
    <w:uiPriority w:val="0"/>
    <w:rPr>
      <w:b/>
      <w:bCs/>
      <w:kern w:val="2"/>
      <w:sz w:val="24"/>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5" Type="http://schemas.openxmlformats.org/officeDocument/2006/relationships/fontTable" Target="fontTable.xml"/><Relationship Id="rId34" Type="http://schemas.openxmlformats.org/officeDocument/2006/relationships/customXml" Target="../customXml/item1.xml"/><Relationship Id="rId33" Type="http://schemas.openxmlformats.org/officeDocument/2006/relationships/image" Target="media/image15.wmf"/><Relationship Id="rId32" Type="http://schemas.openxmlformats.org/officeDocument/2006/relationships/oleObject" Target="embeddings/oleObject4.bin"/><Relationship Id="rId31" Type="http://schemas.openxmlformats.org/officeDocument/2006/relationships/image" Target="media/image14.wmf"/><Relationship Id="rId30" Type="http://schemas.openxmlformats.org/officeDocument/2006/relationships/oleObject" Target="embeddings/oleObject3.bin"/><Relationship Id="rId3" Type="http://schemas.openxmlformats.org/officeDocument/2006/relationships/footnotes" Target="footnotes.xml"/><Relationship Id="rId29" Type="http://schemas.openxmlformats.org/officeDocument/2006/relationships/image" Target="media/image13.wmf"/><Relationship Id="rId28" Type="http://schemas.openxmlformats.org/officeDocument/2006/relationships/oleObject" Target="embeddings/oleObject2.bin"/><Relationship Id="rId27" Type="http://schemas.openxmlformats.org/officeDocument/2006/relationships/image" Target="media/image12.wmf"/><Relationship Id="rId26" Type="http://schemas.openxmlformats.org/officeDocument/2006/relationships/oleObject" Target="embeddings/oleObject1.bin"/><Relationship Id="rId25" Type="http://schemas.openxmlformats.org/officeDocument/2006/relationships/image" Target="media/image11.png"/><Relationship Id="rId24" Type="http://schemas.openxmlformats.org/officeDocument/2006/relationships/image" Target="media/image10.png"/><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65</Pages>
  <Words>43716</Words>
  <Characters>48268</Characters>
  <Lines>385</Lines>
  <Paragraphs>108</Paragraphs>
  <TotalTime>0</TotalTime>
  <ScaleCrop>false</ScaleCrop>
  <LinksUpToDate>false</LinksUpToDate>
  <CharactersWithSpaces>48693</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2020-12-24T01:29:00Z</dcterms:created>
  <dc:creator>lhj</dc:creator>
  <cp:lastModifiedBy>LL-Pis</cp:lastModifiedBy>
  <cp:lastPrinted>2020-12-29T02:43:00Z</cp:lastPrinted>
  <dcterms:modified xsi:type="dcterms:W3CDTF">2023-10-13T09:41:18Z</dcterms:modified>
  <dc:title>附件2</dc:title>
  <cp:revision>64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F43AA7CA75794EC48B134ABF7180BE17</vt:lpwstr>
  </property>
</Properties>
</file>