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eastAsia"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sz w:val="52"/>
          <w:szCs w:val="52"/>
        </w:rPr>
      </w:pPr>
      <w:r>
        <w:rPr>
          <w:rFonts w:ascii="Times New Roman" w:cs="Times New Roman"/>
          <w:b/>
          <w:sz w:val="52"/>
          <w:szCs w:val="52"/>
        </w:rPr>
        <w:t>普光气田P108井台钻井及试采工程</w:t>
      </w:r>
    </w:p>
    <w:p>
      <w:pPr>
        <w:ind w:firstLine="0" w:firstLineChars="0"/>
        <w:jc w:val="center"/>
        <w:rPr>
          <w:rFonts w:ascii="Times New Roman" w:cs="Times New Roman"/>
          <w:b/>
          <w:sz w:val="52"/>
          <w:szCs w:val="52"/>
        </w:rPr>
      </w:pPr>
      <w:r>
        <w:rPr>
          <w:rFonts w:ascii="Times New Roman" w:cs="Times New Roman"/>
          <w:b/>
          <w:sz w:val="52"/>
          <w:szCs w:val="52"/>
        </w:rPr>
        <w:t>环境影响报告书</w:t>
      </w:r>
    </w:p>
    <w:p>
      <w:pPr>
        <w:ind w:firstLine="0" w:firstLineChars="0"/>
        <w:jc w:val="center"/>
        <w:rPr>
          <w:rFonts w:ascii="Times New Roman" w:cs="Times New Roman"/>
          <w:sz w:val="36"/>
          <w:szCs w:val="36"/>
        </w:rPr>
      </w:pPr>
      <w:r>
        <w:rPr>
          <w:rFonts w:ascii="Times New Roman" w:cs="Times New Roman"/>
          <w:sz w:val="36"/>
          <w:szCs w:val="36"/>
        </w:rPr>
        <w:t>（</w:t>
      </w:r>
      <w:r>
        <w:rPr>
          <w:rFonts w:hint="eastAsia" w:ascii="Times New Roman" w:cs="Times New Roman"/>
          <w:sz w:val="36"/>
          <w:szCs w:val="36"/>
          <w:lang w:val="en-US" w:eastAsia="zh-CN"/>
        </w:rPr>
        <w:t>公示</w:t>
      </w:r>
      <w:r>
        <w:rPr>
          <w:rFonts w:ascii="Times New Roman" w:cs="Times New Roman"/>
          <w:sz w:val="36"/>
          <w:szCs w:val="36"/>
        </w:rPr>
        <w:t>版）</w:t>
      </w: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bCs/>
          <w:sz w:val="32"/>
          <w:szCs w:val="32"/>
        </w:rPr>
      </w:pPr>
      <w:r>
        <w:rPr>
          <w:rFonts w:ascii="Times New Roman" w:cs="Times New Roman"/>
          <w:b/>
          <w:bCs/>
          <w:sz w:val="32"/>
          <w:szCs w:val="32"/>
        </w:rPr>
        <w:t>建设单位：中国石油化工股份有限公司中原油田普光分公司</w:t>
      </w:r>
    </w:p>
    <w:p>
      <w:pPr>
        <w:ind w:firstLine="199" w:firstLineChars="62"/>
        <w:jc w:val="center"/>
        <w:rPr>
          <w:rFonts w:ascii="Times New Roman" w:cs="Times New Roman"/>
          <w:b/>
          <w:bCs/>
          <w:sz w:val="32"/>
          <w:szCs w:val="32"/>
        </w:rPr>
      </w:pPr>
      <w:r>
        <w:rPr>
          <w:rFonts w:ascii="Times New Roman" w:cs="Times New Roman"/>
          <w:b/>
          <w:bCs/>
          <w:sz w:val="32"/>
          <w:szCs w:val="32"/>
        </w:rPr>
        <w:t>评价单位：重庆后科环保有限责任公司</w:t>
      </w:r>
    </w:p>
    <w:p>
      <w:pPr>
        <w:ind w:firstLine="0" w:firstLineChars="0"/>
        <w:jc w:val="center"/>
        <w:rPr>
          <w:rFonts w:ascii="Times New Roman" w:cs="Times New Roman"/>
          <w:b/>
          <w:bCs/>
          <w:sz w:val="32"/>
          <w:szCs w:val="32"/>
        </w:rPr>
      </w:pPr>
      <w:r>
        <w:rPr>
          <w:rFonts w:ascii="Times New Roman" w:cs="Times New Roman"/>
          <w:b/>
          <w:bCs/>
          <w:sz w:val="32"/>
          <w:szCs w:val="32"/>
        </w:rPr>
        <w:t>二〇二三年</w:t>
      </w:r>
      <w:r>
        <w:rPr>
          <w:rFonts w:hint="eastAsia" w:ascii="Times New Roman" w:cs="Times New Roman"/>
          <w:b/>
          <w:bCs/>
          <w:sz w:val="32"/>
          <w:szCs w:val="32"/>
        </w:rPr>
        <w:t>十</w:t>
      </w:r>
      <w:r>
        <w:rPr>
          <w:rFonts w:ascii="Times New Roman" w:cs="Times New Roman"/>
          <w:b/>
          <w:bCs/>
          <w:sz w:val="32"/>
          <w:szCs w:val="32"/>
        </w:rPr>
        <w:t>月</w:t>
      </w:r>
    </w:p>
    <w:p>
      <w:pPr>
        <w:ind w:firstLine="0" w:firstLineChars="0"/>
        <w:jc w:val="center"/>
        <w:rPr>
          <w:rFonts w:ascii="Times New Roman" w:cs="Times New Roman"/>
          <w:sz w:val="32"/>
          <w:szCs w:val="32"/>
        </w:rPr>
      </w:pPr>
    </w:p>
    <w:p>
      <w:pPr>
        <w:widowControl/>
        <w:topLinePunct w:val="0"/>
        <w:adjustRightInd/>
        <w:ind w:firstLine="0" w:firstLineChars="0"/>
        <w:jc w:val="left"/>
        <w:rPr>
          <w:rFonts w:ascii="Times New Roman" w:cs="Times New Roman"/>
          <w:sz w:val="32"/>
          <w:szCs w:val="32"/>
        </w:rPr>
        <w:sectPr>
          <w:headerReference r:id="rId7" w:type="first"/>
          <w:footerReference r:id="rId10" w:type="first"/>
          <w:headerReference r:id="rId5" w:type="default"/>
          <w:footerReference r:id="rId8" w:type="default"/>
          <w:headerReference r:id="rId6" w:type="even"/>
          <w:footerReference r:id="rId9" w:type="even"/>
          <w:pgSz w:w="11910" w:h="16840"/>
          <w:pgMar w:top="1417" w:right="1417" w:bottom="1417" w:left="1701" w:header="720" w:footer="720" w:gutter="0"/>
          <w:pgBorders>
            <w:top w:val="none" w:sz="0" w:space="0"/>
            <w:left w:val="none" w:sz="0" w:space="0"/>
            <w:bottom w:val="none" w:sz="0" w:space="0"/>
            <w:right w:val="none" w:sz="0" w:space="0"/>
          </w:pgBorders>
          <w:pgNumType w:fmt="upperRoman" w:start="1"/>
          <w:cols w:space="720" w:num="1"/>
        </w:sectPr>
      </w:pPr>
    </w:p>
    <w:p>
      <w:pPr>
        <w:pStyle w:val="99"/>
        <w:spacing w:before="0" w:line="360" w:lineRule="auto"/>
        <w:jc w:val="center"/>
        <w:rPr>
          <w:rFonts w:ascii="Times New Roman" w:hAnsi="Times New Roman"/>
          <w:b/>
          <w:bCs w:val="0"/>
          <w:color w:val="auto"/>
          <w:sz w:val="24"/>
          <w:szCs w:val="24"/>
        </w:rPr>
      </w:pPr>
      <w:bookmarkStart w:id="0" w:name="_Toc19815912"/>
      <w:r>
        <w:rPr>
          <w:rFonts w:ascii="Times New Roman" w:hAnsi="Times New Roman"/>
          <w:b/>
          <w:bCs w:val="0"/>
          <w:color w:val="auto"/>
          <w:sz w:val="36"/>
          <w:szCs w:val="36"/>
          <w:lang w:val="zh-CN"/>
        </w:rPr>
        <w:t>目  录</w:t>
      </w:r>
    </w:p>
    <w:p>
      <w:pPr>
        <w:pStyle w:val="39"/>
        <w:tabs>
          <w:tab w:val="right" w:leader="dot" w:pos="8792"/>
        </w:tabs>
      </w:pPr>
      <w:r>
        <w:rPr>
          <w:rFonts w:cs="Times New Roman"/>
          <w:b w:val="0"/>
          <w:sz w:val="24"/>
        </w:rPr>
        <w:fldChar w:fldCharType="begin"/>
      </w:r>
      <w:r>
        <w:rPr>
          <w:rFonts w:cs="Times New Roman"/>
          <w:b w:val="0"/>
          <w:sz w:val="24"/>
        </w:rPr>
        <w:instrText xml:space="preserve"> TOC \o "1-2" \h \z \u </w:instrText>
      </w:r>
      <w:r>
        <w:rPr>
          <w:rFonts w:cs="Times New Roman"/>
          <w:b w:val="0"/>
          <w:sz w:val="24"/>
        </w:rPr>
        <w:fldChar w:fldCharType="separate"/>
      </w:r>
      <w:r>
        <w:fldChar w:fldCharType="begin"/>
      </w:r>
      <w:r>
        <w:instrText xml:space="preserve"> HYPERLINK \l "_Toc26726" </w:instrText>
      </w:r>
      <w:r>
        <w:fldChar w:fldCharType="separate"/>
      </w:r>
      <w:r>
        <w:rPr>
          <w:rFonts w:cs="Times New Roman"/>
          <w:kern w:val="44"/>
          <w:szCs w:val="44"/>
        </w:rPr>
        <w:t>概述</w:t>
      </w:r>
      <w:r>
        <w:tab/>
      </w:r>
      <w:r>
        <w:fldChar w:fldCharType="begin"/>
      </w:r>
      <w:r>
        <w:instrText xml:space="preserve"> PAGEREF _Toc26726 \h </w:instrText>
      </w:r>
      <w:r>
        <w:fldChar w:fldCharType="separate"/>
      </w:r>
      <w:r>
        <w:t>1</w:t>
      </w:r>
      <w:r>
        <w:fldChar w:fldCharType="end"/>
      </w:r>
      <w:r>
        <w:fldChar w:fldCharType="end"/>
      </w:r>
    </w:p>
    <w:p>
      <w:pPr>
        <w:pStyle w:val="49"/>
        <w:tabs>
          <w:tab w:val="right" w:leader="dot" w:pos="8792"/>
        </w:tabs>
        <w:ind w:left="480" w:firstLine="480"/>
      </w:pPr>
      <w:r>
        <w:fldChar w:fldCharType="begin"/>
      </w:r>
      <w:r>
        <w:instrText xml:space="preserve"> HYPERLINK \l "_Toc27005" </w:instrText>
      </w:r>
      <w:r>
        <w:fldChar w:fldCharType="separate"/>
      </w:r>
      <w:r>
        <w:rPr>
          <w:rFonts w:ascii="Times New Roman" w:cs="Times New Roman"/>
          <w:bCs/>
          <w:szCs w:val="32"/>
        </w:rPr>
        <w:t>一、项目由来</w:t>
      </w:r>
      <w:r>
        <w:tab/>
      </w:r>
      <w:r>
        <w:fldChar w:fldCharType="begin"/>
      </w:r>
      <w:r>
        <w:instrText xml:space="preserve"> PAGEREF _Toc27005 \h </w:instrText>
      </w:r>
      <w:r>
        <w:fldChar w:fldCharType="separate"/>
      </w:r>
      <w:r>
        <w:t>1</w:t>
      </w:r>
      <w:r>
        <w:fldChar w:fldCharType="end"/>
      </w:r>
      <w:r>
        <w:fldChar w:fldCharType="end"/>
      </w:r>
    </w:p>
    <w:p>
      <w:pPr>
        <w:pStyle w:val="49"/>
        <w:tabs>
          <w:tab w:val="right" w:leader="dot" w:pos="8792"/>
        </w:tabs>
        <w:ind w:left="480" w:firstLine="480"/>
      </w:pPr>
      <w:r>
        <w:fldChar w:fldCharType="begin"/>
      </w:r>
      <w:r>
        <w:instrText xml:space="preserve"> HYPERLINK \l "_Toc12837" </w:instrText>
      </w:r>
      <w:r>
        <w:fldChar w:fldCharType="separate"/>
      </w:r>
      <w:r>
        <w:rPr>
          <w:rFonts w:ascii="Times New Roman" w:cs="Times New Roman"/>
          <w:bCs/>
          <w:szCs w:val="32"/>
        </w:rPr>
        <w:t>二、项目特点</w:t>
      </w:r>
      <w:r>
        <w:tab/>
      </w:r>
      <w:r>
        <w:fldChar w:fldCharType="begin"/>
      </w:r>
      <w:r>
        <w:instrText xml:space="preserve"> PAGEREF _Toc12837 \h </w:instrText>
      </w:r>
      <w:r>
        <w:fldChar w:fldCharType="separate"/>
      </w:r>
      <w:r>
        <w:t>3</w:t>
      </w:r>
      <w:r>
        <w:fldChar w:fldCharType="end"/>
      </w:r>
      <w:r>
        <w:fldChar w:fldCharType="end"/>
      </w:r>
    </w:p>
    <w:p>
      <w:pPr>
        <w:pStyle w:val="49"/>
        <w:tabs>
          <w:tab w:val="right" w:leader="dot" w:pos="8792"/>
        </w:tabs>
        <w:ind w:left="480" w:firstLine="480"/>
      </w:pPr>
      <w:r>
        <w:fldChar w:fldCharType="begin"/>
      </w:r>
      <w:r>
        <w:instrText xml:space="preserve"> HYPERLINK \l "_Toc17" </w:instrText>
      </w:r>
      <w:r>
        <w:fldChar w:fldCharType="separate"/>
      </w:r>
      <w:r>
        <w:rPr>
          <w:rFonts w:ascii="Times New Roman" w:cs="Times New Roman"/>
          <w:bCs/>
          <w:szCs w:val="32"/>
        </w:rPr>
        <w:t>三、环境影响评价工作过程</w:t>
      </w:r>
      <w:r>
        <w:tab/>
      </w:r>
      <w:r>
        <w:fldChar w:fldCharType="begin"/>
      </w:r>
      <w:r>
        <w:instrText xml:space="preserve"> PAGEREF _Toc17 \h </w:instrText>
      </w:r>
      <w:r>
        <w:fldChar w:fldCharType="separate"/>
      </w:r>
      <w:r>
        <w:t>3</w:t>
      </w:r>
      <w:r>
        <w:fldChar w:fldCharType="end"/>
      </w:r>
      <w:r>
        <w:fldChar w:fldCharType="end"/>
      </w:r>
    </w:p>
    <w:p>
      <w:pPr>
        <w:pStyle w:val="49"/>
        <w:tabs>
          <w:tab w:val="right" w:leader="dot" w:pos="8792"/>
        </w:tabs>
        <w:ind w:left="480" w:firstLine="480"/>
      </w:pPr>
      <w:r>
        <w:fldChar w:fldCharType="begin"/>
      </w:r>
      <w:r>
        <w:instrText xml:space="preserve"> HYPERLINK \l "_Toc15252" </w:instrText>
      </w:r>
      <w:r>
        <w:fldChar w:fldCharType="separate"/>
      </w:r>
      <w:r>
        <w:rPr>
          <w:rFonts w:ascii="Times New Roman" w:cs="Times New Roman"/>
          <w:bCs/>
          <w:szCs w:val="32"/>
        </w:rPr>
        <w:t>四、分析判定相关情况</w:t>
      </w:r>
      <w:r>
        <w:tab/>
      </w:r>
      <w:r>
        <w:fldChar w:fldCharType="begin"/>
      </w:r>
      <w:r>
        <w:instrText xml:space="preserve"> PAGEREF _Toc15252 \h </w:instrText>
      </w:r>
      <w:r>
        <w:fldChar w:fldCharType="separate"/>
      </w:r>
      <w:r>
        <w:t>4</w:t>
      </w:r>
      <w:r>
        <w:fldChar w:fldCharType="end"/>
      </w:r>
      <w:r>
        <w:fldChar w:fldCharType="end"/>
      </w:r>
    </w:p>
    <w:p>
      <w:pPr>
        <w:pStyle w:val="49"/>
        <w:tabs>
          <w:tab w:val="right" w:leader="dot" w:pos="8792"/>
        </w:tabs>
        <w:ind w:left="480" w:firstLine="480"/>
      </w:pPr>
      <w:r>
        <w:fldChar w:fldCharType="begin"/>
      </w:r>
      <w:r>
        <w:instrText xml:space="preserve"> HYPERLINK \l "_Toc611" </w:instrText>
      </w:r>
      <w:r>
        <w:fldChar w:fldCharType="separate"/>
      </w:r>
      <w:r>
        <w:rPr>
          <w:rFonts w:ascii="Times New Roman" w:cs="Times New Roman"/>
          <w:bCs/>
          <w:szCs w:val="32"/>
        </w:rPr>
        <w:t>五、项目关注的主要环境问题及环境影响</w:t>
      </w:r>
      <w:r>
        <w:tab/>
      </w:r>
      <w:r>
        <w:fldChar w:fldCharType="begin"/>
      </w:r>
      <w:r>
        <w:instrText xml:space="preserve"> PAGEREF _Toc611 \h </w:instrText>
      </w:r>
      <w:r>
        <w:fldChar w:fldCharType="separate"/>
      </w:r>
      <w:r>
        <w:t>5</w:t>
      </w:r>
      <w:r>
        <w:fldChar w:fldCharType="end"/>
      </w:r>
      <w:r>
        <w:fldChar w:fldCharType="end"/>
      </w:r>
    </w:p>
    <w:p>
      <w:pPr>
        <w:pStyle w:val="49"/>
        <w:tabs>
          <w:tab w:val="right" w:leader="dot" w:pos="8792"/>
        </w:tabs>
        <w:ind w:left="480" w:firstLine="480"/>
      </w:pPr>
      <w:r>
        <w:fldChar w:fldCharType="begin"/>
      </w:r>
      <w:r>
        <w:instrText xml:space="preserve"> HYPERLINK \l "_Toc18018" </w:instrText>
      </w:r>
      <w:r>
        <w:fldChar w:fldCharType="separate"/>
      </w:r>
      <w:r>
        <w:rPr>
          <w:rFonts w:ascii="Times New Roman" w:cs="Times New Roman"/>
          <w:bCs/>
          <w:szCs w:val="32"/>
        </w:rPr>
        <w:t>六、主要环境影响结论</w:t>
      </w:r>
      <w:r>
        <w:tab/>
      </w:r>
      <w:r>
        <w:fldChar w:fldCharType="begin"/>
      </w:r>
      <w:r>
        <w:instrText xml:space="preserve"> PAGEREF _Toc18018 \h </w:instrText>
      </w:r>
      <w:r>
        <w:fldChar w:fldCharType="separate"/>
      </w:r>
      <w:r>
        <w:t>5</w:t>
      </w:r>
      <w:r>
        <w:fldChar w:fldCharType="end"/>
      </w:r>
      <w:r>
        <w:fldChar w:fldCharType="end"/>
      </w:r>
    </w:p>
    <w:p>
      <w:pPr>
        <w:pStyle w:val="39"/>
        <w:tabs>
          <w:tab w:val="right" w:leader="dot" w:pos="8792"/>
        </w:tabs>
      </w:pPr>
      <w:r>
        <w:fldChar w:fldCharType="begin"/>
      </w:r>
      <w:r>
        <w:instrText xml:space="preserve"> HYPERLINK \l "_Toc25552" </w:instrText>
      </w:r>
      <w:r>
        <w:fldChar w:fldCharType="separate"/>
      </w:r>
      <w:r>
        <w:rPr>
          <w:rFonts w:cs="Times New Roman"/>
          <w:kern w:val="44"/>
          <w:szCs w:val="44"/>
        </w:rPr>
        <w:t>1 总则</w:t>
      </w:r>
      <w:r>
        <w:tab/>
      </w:r>
      <w:r>
        <w:fldChar w:fldCharType="begin"/>
      </w:r>
      <w:r>
        <w:instrText xml:space="preserve"> PAGEREF _Toc25552 \h </w:instrText>
      </w:r>
      <w:r>
        <w:fldChar w:fldCharType="separate"/>
      </w:r>
      <w:r>
        <w:t>7</w:t>
      </w:r>
      <w:r>
        <w:fldChar w:fldCharType="end"/>
      </w:r>
      <w:r>
        <w:fldChar w:fldCharType="end"/>
      </w:r>
    </w:p>
    <w:p>
      <w:pPr>
        <w:pStyle w:val="49"/>
        <w:tabs>
          <w:tab w:val="right" w:leader="dot" w:pos="8792"/>
        </w:tabs>
        <w:ind w:left="480" w:firstLine="480"/>
      </w:pPr>
      <w:r>
        <w:fldChar w:fldCharType="begin"/>
      </w:r>
      <w:r>
        <w:instrText xml:space="preserve"> HYPERLINK \l "_Toc30522" </w:instrText>
      </w:r>
      <w:r>
        <w:fldChar w:fldCharType="separate"/>
      </w:r>
      <w:r>
        <w:rPr>
          <w:rFonts w:ascii="Times New Roman" w:cs="Times New Roman"/>
          <w:bCs/>
          <w:szCs w:val="32"/>
        </w:rPr>
        <w:t>1.1 编制依据</w:t>
      </w:r>
      <w:r>
        <w:tab/>
      </w:r>
      <w:r>
        <w:fldChar w:fldCharType="begin"/>
      </w:r>
      <w:r>
        <w:instrText xml:space="preserve"> PAGEREF _Toc30522 \h </w:instrText>
      </w:r>
      <w:r>
        <w:fldChar w:fldCharType="separate"/>
      </w:r>
      <w:r>
        <w:t>7</w:t>
      </w:r>
      <w:r>
        <w:fldChar w:fldCharType="end"/>
      </w:r>
      <w:r>
        <w:fldChar w:fldCharType="end"/>
      </w:r>
    </w:p>
    <w:p>
      <w:pPr>
        <w:pStyle w:val="49"/>
        <w:tabs>
          <w:tab w:val="right" w:leader="dot" w:pos="8792"/>
        </w:tabs>
        <w:ind w:left="480" w:firstLine="480"/>
      </w:pPr>
      <w:r>
        <w:fldChar w:fldCharType="begin"/>
      </w:r>
      <w:r>
        <w:instrText xml:space="preserve"> HYPERLINK \l "_Toc16910" </w:instrText>
      </w:r>
      <w:r>
        <w:fldChar w:fldCharType="separate"/>
      </w:r>
      <w:r>
        <w:rPr>
          <w:rFonts w:ascii="Times New Roman" w:cs="Times New Roman"/>
          <w:bCs/>
          <w:szCs w:val="32"/>
        </w:rPr>
        <w:t>1.2 评价目的、原则与评价重点</w:t>
      </w:r>
      <w:r>
        <w:tab/>
      </w:r>
      <w:r>
        <w:fldChar w:fldCharType="begin"/>
      </w:r>
      <w:r>
        <w:instrText xml:space="preserve"> PAGEREF _Toc16910 \h </w:instrText>
      </w:r>
      <w:r>
        <w:fldChar w:fldCharType="separate"/>
      </w:r>
      <w:r>
        <w:t>11</w:t>
      </w:r>
      <w:r>
        <w:fldChar w:fldCharType="end"/>
      </w:r>
      <w:r>
        <w:fldChar w:fldCharType="end"/>
      </w:r>
    </w:p>
    <w:p>
      <w:pPr>
        <w:pStyle w:val="49"/>
        <w:tabs>
          <w:tab w:val="right" w:leader="dot" w:pos="8792"/>
        </w:tabs>
        <w:ind w:left="480" w:firstLine="480"/>
      </w:pPr>
      <w:r>
        <w:fldChar w:fldCharType="begin"/>
      </w:r>
      <w:r>
        <w:instrText xml:space="preserve"> HYPERLINK \l "_Toc14794" </w:instrText>
      </w:r>
      <w:r>
        <w:fldChar w:fldCharType="separate"/>
      </w:r>
      <w:r>
        <w:rPr>
          <w:rFonts w:ascii="Times New Roman" w:cs="Times New Roman"/>
          <w:bCs/>
          <w:szCs w:val="32"/>
        </w:rPr>
        <w:t>1.3 环境影响要素识别和评价因子筛选</w:t>
      </w:r>
      <w:r>
        <w:tab/>
      </w:r>
      <w:r>
        <w:fldChar w:fldCharType="begin"/>
      </w:r>
      <w:r>
        <w:instrText xml:space="preserve"> PAGEREF _Toc14794 \h </w:instrText>
      </w:r>
      <w:r>
        <w:fldChar w:fldCharType="separate"/>
      </w:r>
      <w:r>
        <w:t>13</w:t>
      </w:r>
      <w:r>
        <w:fldChar w:fldCharType="end"/>
      </w:r>
      <w:r>
        <w:fldChar w:fldCharType="end"/>
      </w:r>
    </w:p>
    <w:p>
      <w:pPr>
        <w:pStyle w:val="49"/>
        <w:tabs>
          <w:tab w:val="right" w:leader="dot" w:pos="8792"/>
        </w:tabs>
        <w:ind w:left="480" w:firstLine="480"/>
      </w:pPr>
      <w:r>
        <w:fldChar w:fldCharType="begin"/>
      </w:r>
      <w:r>
        <w:instrText xml:space="preserve"> HYPERLINK \l "_Toc21409" </w:instrText>
      </w:r>
      <w:r>
        <w:fldChar w:fldCharType="separate"/>
      </w:r>
      <w:r>
        <w:rPr>
          <w:rFonts w:ascii="Times New Roman" w:cs="Times New Roman"/>
          <w:bCs/>
          <w:szCs w:val="32"/>
        </w:rPr>
        <w:t>1.4 环境功能区划</w:t>
      </w:r>
      <w:r>
        <w:tab/>
      </w:r>
      <w:r>
        <w:fldChar w:fldCharType="begin"/>
      </w:r>
      <w:r>
        <w:instrText xml:space="preserve"> PAGEREF _Toc21409 \h </w:instrText>
      </w:r>
      <w:r>
        <w:fldChar w:fldCharType="separate"/>
      </w:r>
      <w:r>
        <w:t>16</w:t>
      </w:r>
      <w:r>
        <w:fldChar w:fldCharType="end"/>
      </w:r>
      <w:r>
        <w:fldChar w:fldCharType="end"/>
      </w:r>
    </w:p>
    <w:p>
      <w:pPr>
        <w:pStyle w:val="49"/>
        <w:tabs>
          <w:tab w:val="right" w:leader="dot" w:pos="8792"/>
        </w:tabs>
        <w:ind w:left="480" w:firstLine="480"/>
      </w:pPr>
      <w:r>
        <w:fldChar w:fldCharType="begin"/>
      </w:r>
      <w:r>
        <w:instrText xml:space="preserve"> HYPERLINK \l "_Toc9705" </w:instrText>
      </w:r>
      <w:r>
        <w:fldChar w:fldCharType="separate"/>
      </w:r>
      <w:r>
        <w:rPr>
          <w:rFonts w:ascii="Times New Roman" w:cs="Times New Roman"/>
          <w:bCs/>
          <w:szCs w:val="32"/>
        </w:rPr>
        <w:t>1.5 评价标准</w:t>
      </w:r>
      <w:r>
        <w:tab/>
      </w:r>
      <w:r>
        <w:fldChar w:fldCharType="begin"/>
      </w:r>
      <w:r>
        <w:instrText xml:space="preserve"> PAGEREF _Toc9705 \h </w:instrText>
      </w:r>
      <w:r>
        <w:fldChar w:fldCharType="separate"/>
      </w:r>
      <w:r>
        <w:t>17</w:t>
      </w:r>
      <w:r>
        <w:fldChar w:fldCharType="end"/>
      </w:r>
      <w:r>
        <w:fldChar w:fldCharType="end"/>
      </w:r>
    </w:p>
    <w:p>
      <w:pPr>
        <w:pStyle w:val="49"/>
        <w:tabs>
          <w:tab w:val="right" w:leader="dot" w:pos="8792"/>
        </w:tabs>
        <w:ind w:left="480" w:firstLine="480"/>
      </w:pPr>
      <w:r>
        <w:fldChar w:fldCharType="begin"/>
      </w:r>
      <w:r>
        <w:instrText xml:space="preserve"> HYPERLINK \l "_Toc9948" </w:instrText>
      </w:r>
      <w:r>
        <w:fldChar w:fldCharType="separate"/>
      </w:r>
      <w:r>
        <w:rPr>
          <w:rFonts w:ascii="Times New Roman" w:cs="Times New Roman"/>
          <w:bCs/>
          <w:szCs w:val="32"/>
        </w:rPr>
        <w:t>1.6 评价等级及评价范围</w:t>
      </w:r>
      <w:r>
        <w:tab/>
      </w:r>
      <w:r>
        <w:fldChar w:fldCharType="begin"/>
      </w:r>
      <w:r>
        <w:instrText xml:space="preserve"> PAGEREF _Toc9948 \h </w:instrText>
      </w:r>
      <w:r>
        <w:fldChar w:fldCharType="separate"/>
      </w:r>
      <w:r>
        <w:t>22</w:t>
      </w:r>
      <w:r>
        <w:fldChar w:fldCharType="end"/>
      </w:r>
      <w:r>
        <w:fldChar w:fldCharType="end"/>
      </w:r>
    </w:p>
    <w:p>
      <w:pPr>
        <w:pStyle w:val="49"/>
        <w:tabs>
          <w:tab w:val="right" w:leader="dot" w:pos="8792"/>
        </w:tabs>
        <w:ind w:left="480" w:firstLine="480"/>
      </w:pPr>
      <w:r>
        <w:fldChar w:fldCharType="begin"/>
      </w:r>
      <w:r>
        <w:instrText xml:space="preserve"> HYPERLINK \l "_Toc30480" </w:instrText>
      </w:r>
      <w:r>
        <w:fldChar w:fldCharType="separate"/>
      </w:r>
      <w:r>
        <w:rPr>
          <w:rFonts w:ascii="Times New Roman" w:cs="Times New Roman"/>
          <w:bCs/>
          <w:szCs w:val="32"/>
        </w:rPr>
        <w:t>1.7 选址符合性分析</w:t>
      </w:r>
      <w:r>
        <w:tab/>
      </w:r>
      <w:r>
        <w:fldChar w:fldCharType="begin"/>
      </w:r>
      <w:r>
        <w:instrText xml:space="preserve"> PAGEREF _Toc30480 \h </w:instrText>
      </w:r>
      <w:r>
        <w:fldChar w:fldCharType="separate"/>
      </w:r>
      <w:r>
        <w:t>28</w:t>
      </w:r>
      <w:r>
        <w:fldChar w:fldCharType="end"/>
      </w:r>
      <w:r>
        <w:fldChar w:fldCharType="end"/>
      </w:r>
    </w:p>
    <w:p>
      <w:pPr>
        <w:pStyle w:val="49"/>
        <w:tabs>
          <w:tab w:val="right" w:leader="dot" w:pos="8792"/>
        </w:tabs>
        <w:ind w:left="480" w:firstLine="480"/>
      </w:pPr>
      <w:r>
        <w:fldChar w:fldCharType="begin"/>
      </w:r>
      <w:r>
        <w:instrText xml:space="preserve"> HYPERLINK \l "_Toc7677" </w:instrText>
      </w:r>
      <w:r>
        <w:fldChar w:fldCharType="separate"/>
      </w:r>
      <w:r>
        <w:rPr>
          <w:rFonts w:ascii="Times New Roman" w:cs="Times New Roman"/>
          <w:bCs/>
          <w:szCs w:val="32"/>
        </w:rPr>
        <w:t>1.8 项目与相关符合性分析</w:t>
      </w:r>
      <w:r>
        <w:tab/>
      </w:r>
      <w:r>
        <w:fldChar w:fldCharType="begin"/>
      </w:r>
      <w:r>
        <w:instrText xml:space="preserve"> PAGEREF _Toc7677 \h </w:instrText>
      </w:r>
      <w:r>
        <w:fldChar w:fldCharType="separate"/>
      </w:r>
      <w:r>
        <w:t>31</w:t>
      </w:r>
      <w:r>
        <w:fldChar w:fldCharType="end"/>
      </w:r>
      <w:r>
        <w:fldChar w:fldCharType="end"/>
      </w:r>
    </w:p>
    <w:p>
      <w:pPr>
        <w:pStyle w:val="49"/>
        <w:tabs>
          <w:tab w:val="right" w:leader="dot" w:pos="8792"/>
        </w:tabs>
        <w:ind w:left="480" w:firstLine="480"/>
      </w:pPr>
      <w:r>
        <w:fldChar w:fldCharType="begin"/>
      </w:r>
      <w:r>
        <w:instrText xml:space="preserve"> HYPERLINK \l "_Toc28806" </w:instrText>
      </w:r>
      <w:r>
        <w:fldChar w:fldCharType="separate"/>
      </w:r>
      <w:r>
        <w:rPr>
          <w:rFonts w:ascii="Times New Roman" w:cs="Times New Roman"/>
          <w:bCs/>
          <w:szCs w:val="32"/>
        </w:rPr>
        <w:t>1.9 污染控制与环境保护目标</w:t>
      </w:r>
      <w:r>
        <w:tab/>
      </w:r>
      <w:r>
        <w:fldChar w:fldCharType="begin"/>
      </w:r>
      <w:r>
        <w:instrText xml:space="preserve"> PAGEREF _Toc28806 \h </w:instrText>
      </w:r>
      <w:r>
        <w:fldChar w:fldCharType="separate"/>
      </w:r>
      <w:r>
        <w:t>56</w:t>
      </w:r>
      <w:r>
        <w:fldChar w:fldCharType="end"/>
      </w:r>
      <w:r>
        <w:fldChar w:fldCharType="end"/>
      </w:r>
    </w:p>
    <w:p>
      <w:pPr>
        <w:pStyle w:val="49"/>
        <w:tabs>
          <w:tab w:val="right" w:leader="dot" w:pos="8792"/>
        </w:tabs>
        <w:ind w:left="480" w:firstLine="480"/>
      </w:pPr>
      <w:r>
        <w:fldChar w:fldCharType="begin"/>
      </w:r>
      <w:r>
        <w:instrText xml:space="preserve"> HYPERLINK \l "_Toc14637" </w:instrText>
      </w:r>
      <w:r>
        <w:fldChar w:fldCharType="separate"/>
      </w:r>
      <w:r>
        <w:rPr>
          <w:rFonts w:ascii="Times New Roman" w:cs="Times New Roman"/>
          <w:bCs/>
          <w:szCs w:val="32"/>
        </w:rPr>
        <w:t>1.10 评价方法和工作程序</w:t>
      </w:r>
      <w:r>
        <w:tab/>
      </w:r>
      <w:r>
        <w:fldChar w:fldCharType="begin"/>
      </w:r>
      <w:r>
        <w:instrText xml:space="preserve"> PAGEREF _Toc14637 \h </w:instrText>
      </w:r>
      <w:r>
        <w:fldChar w:fldCharType="separate"/>
      </w:r>
      <w:r>
        <w:t>61</w:t>
      </w:r>
      <w:r>
        <w:fldChar w:fldCharType="end"/>
      </w:r>
      <w:r>
        <w:fldChar w:fldCharType="end"/>
      </w:r>
    </w:p>
    <w:p>
      <w:pPr>
        <w:pStyle w:val="39"/>
        <w:tabs>
          <w:tab w:val="right" w:leader="dot" w:pos="8792"/>
        </w:tabs>
      </w:pPr>
      <w:r>
        <w:fldChar w:fldCharType="begin"/>
      </w:r>
      <w:r>
        <w:instrText xml:space="preserve"> HYPERLINK \l "_Toc7142" </w:instrText>
      </w:r>
      <w:r>
        <w:fldChar w:fldCharType="separate"/>
      </w:r>
      <w:r>
        <w:rPr>
          <w:rFonts w:cs="Times New Roman"/>
          <w:kern w:val="44"/>
          <w:szCs w:val="44"/>
        </w:rPr>
        <w:t>2 现有工程依托可行性分析</w:t>
      </w:r>
      <w:r>
        <w:tab/>
      </w:r>
      <w:r>
        <w:fldChar w:fldCharType="begin"/>
      </w:r>
      <w:r>
        <w:instrText xml:space="preserve"> PAGEREF _Toc7142 \h </w:instrText>
      </w:r>
      <w:r>
        <w:fldChar w:fldCharType="separate"/>
      </w:r>
      <w:r>
        <w:t>63</w:t>
      </w:r>
      <w:r>
        <w:fldChar w:fldCharType="end"/>
      </w:r>
      <w:r>
        <w:fldChar w:fldCharType="end"/>
      </w:r>
    </w:p>
    <w:p>
      <w:pPr>
        <w:pStyle w:val="49"/>
        <w:tabs>
          <w:tab w:val="right" w:leader="dot" w:pos="8792"/>
        </w:tabs>
        <w:ind w:left="480" w:firstLine="480"/>
      </w:pPr>
      <w:r>
        <w:fldChar w:fldCharType="begin"/>
      </w:r>
      <w:r>
        <w:instrText xml:space="preserve"> HYPERLINK \l "_Toc1377" </w:instrText>
      </w:r>
      <w:r>
        <w:fldChar w:fldCharType="separate"/>
      </w:r>
      <w:r>
        <w:rPr>
          <w:rFonts w:ascii="Times New Roman" w:cs="Times New Roman"/>
        </w:rPr>
        <w:t>2.1 P108集气站现状及依托可行性</w:t>
      </w:r>
      <w:r>
        <w:tab/>
      </w:r>
      <w:r>
        <w:fldChar w:fldCharType="begin"/>
      </w:r>
      <w:r>
        <w:instrText xml:space="preserve"> PAGEREF _Toc1377 \h </w:instrText>
      </w:r>
      <w:r>
        <w:fldChar w:fldCharType="separate"/>
      </w:r>
      <w:r>
        <w:t>63</w:t>
      </w:r>
      <w:r>
        <w:fldChar w:fldCharType="end"/>
      </w:r>
      <w:r>
        <w:fldChar w:fldCharType="end"/>
      </w:r>
    </w:p>
    <w:p>
      <w:pPr>
        <w:pStyle w:val="49"/>
        <w:tabs>
          <w:tab w:val="right" w:leader="dot" w:pos="8792"/>
        </w:tabs>
        <w:ind w:left="480" w:firstLine="480"/>
      </w:pPr>
      <w:r>
        <w:fldChar w:fldCharType="begin"/>
      </w:r>
      <w:r>
        <w:instrText xml:space="preserve"> HYPERLINK \l "_Toc31983" </w:instrText>
      </w:r>
      <w:r>
        <w:fldChar w:fldCharType="separate"/>
      </w:r>
      <w:r>
        <w:rPr>
          <w:rFonts w:ascii="Times New Roman" w:cs="Times New Roman"/>
        </w:rPr>
        <w:t>2.2 P108集气站环保手续履行情况</w:t>
      </w:r>
      <w:r>
        <w:tab/>
      </w:r>
      <w:r>
        <w:fldChar w:fldCharType="begin"/>
      </w:r>
      <w:r>
        <w:instrText xml:space="preserve"> PAGEREF _Toc31983 \h </w:instrText>
      </w:r>
      <w:r>
        <w:fldChar w:fldCharType="separate"/>
      </w:r>
      <w:r>
        <w:t>64</w:t>
      </w:r>
      <w:r>
        <w:fldChar w:fldCharType="end"/>
      </w:r>
      <w:r>
        <w:fldChar w:fldCharType="end"/>
      </w:r>
    </w:p>
    <w:p>
      <w:pPr>
        <w:pStyle w:val="49"/>
        <w:tabs>
          <w:tab w:val="right" w:leader="dot" w:pos="8792"/>
        </w:tabs>
        <w:ind w:left="480" w:firstLine="480"/>
      </w:pPr>
      <w:r>
        <w:fldChar w:fldCharType="begin"/>
      </w:r>
      <w:r>
        <w:instrText xml:space="preserve"> HYPERLINK \l "_Toc32629" </w:instrText>
      </w:r>
      <w:r>
        <w:fldChar w:fldCharType="separate"/>
      </w:r>
      <w:r>
        <w:rPr>
          <w:rFonts w:ascii="Times New Roman" w:cs="Times New Roman"/>
        </w:rPr>
        <w:t>2.3 P108集气站概况</w:t>
      </w:r>
      <w:r>
        <w:tab/>
      </w:r>
      <w:r>
        <w:fldChar w:fldCharType="begin"/>
      </w:r>
      <w:r>
        <w:instrText xml:space="preserve"> PAGEREF _Toc32629 \h </w:instrText>
      </w:r>
      <w:r>
        <w:fldChar w:fldCharType="separate"/>
      </w:r>
      <w:r>
        <w:t>64</w:t>
      </w:r>
      <w:r>
        <w:fldChar w:fldCharType="end"/>
      </w:r>
      <w:r>
        <w:fldChar w:fldCharType="end"/>
      </w:r>
    </w:p>
    <w:p>
      <w:pPr>
        <w:pStyle w:val="49"/>
        <w:tabs>
          <w:tab w:val="right" w:leader="dot" w:pos="8792"/>
        </w:tabs>
        <w:ind w:left="480" w:firstLine="480"/>
      </w:pPr>
      <w:r>
        <w:fldChar w:fldCharType="begin"/>
      </w:r>
      <w:r>
        <w:instrText xml:space="preserve"> HYPERLINK \l "_Toc27840" </w:instrText>
      </w:r>
      <w:r>
        <w:fldChar w:fldCharType="separate"/>
      </w:r>
      <w:r>
        <w:rPr>
          <w:rFonts w:ascii="Times New Roman" w:cs="Times New Roman"/>
        </w:rPr>
        <w:t>2.4 现有环保工程依托可行性</w:t>
      </w:r>
      <w:r>
        <w:tab/>
      </w:r>
      <w:r>
        <w:fldChar w:fldCharType="begin"/>
      </w:r>
      <w:r>
        <w:instrText xml:space="preserve"> PAGEREF _Toc27840 \h </w:instrText>
      </w:r>
      <w:r>
        <w:fldChar w:fldCharType="separate"/>
      </w:r>
      <w:r>
        <w:t>65</w:t>
      </w:r>
      <w:r>
        <w:fldChar w:fldCharType="end"/>
      </w:r>
      <w:r>
        <w:fldChar w:fldCharType="end"/>
      </w:r>
    </w:p>
    <w:p>
      <w:pPr>
        <w:pStyle w:val="39"/>
        <w:tabs>
          <w:tab w:val="right" w:leader="dot" w:pos="8792"/>
        </w:tabs>
      </w:pPr>
      <w:r>
        <w:fldChar w:fldCharType="begin"/>
      </w:r>
      <w:r>
        <w:instrText xml:space="preserve"> HYPERLINK \l "_Toc29948" </w:instrText>
      </w:r>
      <w:r>
        <w:fldChar w:fldCharType="separate"/>
      </w:r>
      <w:r>
        <w:rPr>
          <w:rFonts w:cs="Times New Roman"/>
        </w:rPr>
        <w:t>3 项目概况</w:t>
      </w:r>
      <w:r>
        <w:tab/>
      </w:r>
      <w:r>
        <w:fldChar w:fldCharType="begin"/>
      </w:r>
      <w:r>
        <w:instrText xml:space="preserve"> PAGEREF _Toc29948 \h </w:instrText>
      </w:r>
      <w:r>
        <w:fldChar w:fldCharType="separate"/>
      </w:r>
      <w:r>
        <w:t>68</w:t>
      </w:r>
      <w:r>
        <w:fldChar w:fldCharType="end"/>
      </w:r>
      <w:r>
        <w:fldChar w:fldCharType="end"/>
      </w:r>
    </w:p>
    <w:p>
      <w:pPr>
        <w:pStyle w:val="49"/>
        <w:tabs>
          <w:tab w:val="right" w:leader="dot" w:pos="8792"/>
        </w:tabs>
        <w:ind w:left="480" w:firstLine="480"/>
      </w:pPr>
      <w:r>
        <w:fldChar w:fldCharType="begin"/>
      </w:r>
      <w:r>
        <w:instrText xml:space="preserve"> HYPERLINK \l "_Toc8161" </w:instrText>
      </w:r>
      <w:r>
        <w:fldChar w:fldCharType="separate"/>
      </w:r>
      <w:r>
        <w:rPr>
          <w:rFonts w:ascii="Times New Roman" w:cs="Times New Roman"/>
        </w:rPr>
        <w:t>3.1 基本情况</w:t>
      </w:r>
      <w:r>
        <w:tab/>
      </w:r>
      <w:r>
        <w:fldChar w:fldCharType="begin"/>
      </w:r>
      <w:r>
        <w:instrText xml:space="preserve"> PAGEREF _Toc8161 \h </w:instrText>
      </w:r>
      <w:r>
        <w:fldChar w:fldCharType="separate"/>
      </w:r>
      <w:r>
        <w:t>68</w:t>
      </w:r>
      <w:r>
        <w:fldChar w:fldCharType="end"/>
      </w:r>
      <w:r>
        <w:fldChar w:fldCharType="end"/>
      </w:r>
    </w:p>
    <w:p>
      <w:pPr>
        <w:pStyle w:val="49"/>
        <w:tabs>
          <w:tab w:val="right" w:leader="dot" w:pos="8792"/>
        </w:tabs>
        <w:ind w:left="480" w:firstLine="480"/>
      </w:pPr>
      <w:r>
        <w:fldChar w:fldCharType="begin"/>
      </w:r>
      <w:r>
        <w:instrText xml:space="preserve"> HYPERLINK \l "_Toc30864" </w:instrText>
      </w:r>
      <w:r>
        <w:fldChar w:fldCharType="separate"/>
      </w:r>
      <w:r>
        <w:rPr>
          <w:rFonts w:ascii="Times New Roman" w:cs="Times New Roman"/>
        </w:rPr>
        <w:t>3.2 工程规模及项目组成</w:t>
      </w:r>
      <w:r>
        <w:tab/>
      </w:r>
      <w:r>
        <w:fldChar w:fldCharType="begin"/>
      </w:r>
      <w:r>
        <w:instrText xml:space="preserve"> PAGEREF _Toc30864 \h </w:instrText>
      </w:r>
      <w:r>
        <w:fldChar w:fldCharType="separate"/>
      </w:r>
      <w:r>
        <w:t>68</w:t>
      </w:r>
      <w:r>
        <w:fldChar w:fldCharType="end"/>
      </w:r>
      <w:r>
        <w:fldChar w:fldCharType="end"/>
      </w:r>
    </w:p>
    <w:p>
      <w:pPr>
        <w:pStyle w:val="49"/>
        <w:tabs>
          <w:tab w:val="right" w:leader="dot" w:pos="8792"/>
        </w:tabs>
        <w:ind w:left="480" w:firstLine="480"/>
      </w:pPr>
      <w:r>
        <w:fldChar w:fldCharType="begin"/>
      </w:r>
      <w:r>
        <w:instrText xml:space="preserve"> HYPERLINK \l "_Toc13786" </w:instrText>
      </w:r>
      <w:r>
        <w:fldChar w:fldCharType="separate"/>
      </w:r>
      <w:r>
        <w:rPr>
          <w:rFonts w:ascii="Times New Roman" w:cs="Times New Roman"/>
        </w:rPr>
        <w:t>3.3 输送介质情况</w:t>
      </w:r>
      <w:r>
        <w:tab/>
      </w:r>
      <w:r>
        <w:fldChar w:fldCharType="begin"/>
      </w:r>
      <w:r>
        <w:instrText xml:space="preserve"> PAGEREF _Toc13786 \h </w:instrText>
      </w:r>
      <w:r>
        <w:fldChar w:fldCharType="separate"/>
      </w:r>
      <w:r>
        <w:t>75</w:t>
      </w:r>
      <w:r>
        <w:fldChar w:fldCharType="end"/>
      </w:r>
      <w:r>
        <w:fldChar w:fldCharType="end"/>
      </w:r>
    </w:p>
    <w:p>
      <w:pPr>
        <w:pStyle w:val="49"/>
        <w:tabs>
          <w:tab w:val="right" w:leader="dot" w:pos="8792"/>
        </w:tabs>
        <w:ind w:left="480" w:firstLine="480"/>
      </w:pPr>
      <w:r>
        <w:fldChar w:fldCharType="begin"/>
      </w:r>
      <w:r>
        <w:instrText xml:space="preserve"> HYPERLINK \l "_Toc28075" </w:instrText>
      </w:r>
      <w:r>
        <w:fldChar w:fldCharType="separate"/>
      </w:r>
      <w:r>
        <w:rPr>
          <w:rFonts w:ascii="Times New Roman" w:cs="Times New Roman"/>
        </w:rPr>
        <w:t>3.4 钻井工程</w:t>
      </w:r>
      <w:r>
        <w:tab/>
      </w:r>
      <w:r>
        <w:fldChar w:fldCharType="begin"/>
      </w:r>
      <w:r>
        <w:instrText xml:space="preserve"> PAGEREF _Toc28075 \h </w:instrText>
      </w:r>
      <w:r>
        <w:fldChar w:fldCharType="separate"/>
      </w:r>
      <w:r>
        <w:t>75</w:t>
      </w:r>
      <w:r>
        <w:fldChar w:fldCharType="end"/>
      </w:r>
      <w:r>
        <w:fldChar w:fldCharType="end"/>
      </w:r>
    </w:p>
    <w:p>
      <w:pPr>
        <w:pStyle w:val="49"/>
        <w:tabs>
          <w:tab w:val="right" w:leader="dot" w:pos="8792"/>
        </w:tabs>
        <w:ind w:left="480" w:firstLine="480"/>
      </w:pPr>
      <w:r>
        <w:fldChar w:fldCharType="begin"/>
      </w:r>
      <w:r>
        <w:instrText xml:space="preserve"> HYPERLINK \l "_Toc26138" </w:instrText>
      </w:r>
      <w:r>
        <w:fldChar w:fldCharType="separate"/>
      </w:r>
      <w:r>
        <w:rPr>
          <w:rFonts w:ascii="Times New Roman" w:cs="Times New Roman"/>
        </w:rPr>
        <w:t>3.5主要原辅材料及能源消耗情况</w:t>
      </w:r>
      <w:r>
        <w:tab/>
      </w:r>
      <w:r>
        <w:fldChar w:fldCharType="begin"/>
      </w:r>
      <w:r>
        <w:instrText xml:space="preserve"> PAGEREF _Toc26138 \h </w:instrText>
      </w:r>
      <w:r>
        <w:fldChar w:fldCharType="separate"/>
      </w:r>
      <w:r>
        <w:t>86</w:t>
      </w:r>
      <w:r>
        <w:fldChar w:fldCharType="end"/>
      </w:r>
      <w:r>
        <w:fldChar w:fldCharType="end"/>
      </w:r>
    </w:p>
    <w:p>
      <w:pPr>
        <w:pStyle w:val="49"/>
        <w:tabs>
          <w:tab w:val="right" w:leader="dot" w:pos="8792"/>
        </w:tabs>
        <w:ind w:left="480" w:firstLine="480"/>
      </w:pPr>
      <w:r>
        <w:fldChar w:fldCharType="begin"/>
      </w:r>
      <w:r>
        <w:instrText xml:space="preserve"> HYPERLINK \l "_Toc4182" </w:instrText>
      </w:r>
      <w:r>
        <w:fldChar w:fldCharType="separate"/>
      </w:r>
      <w:r>
        <w:rPr>
          <w:rFonts w:ascii="Times New Roman" w:cs="Times New Roman"/>
        </w:rPr>
        <w:t>3.6场站工程、管线</w:t>
      </w:r>
      <w:r>
        <w:tab/>
      </w:r>
      <w:r>
        <w:fldChar w:fldCharType="begin"/>
      </w:r>
      <w:r>
        <w:instrText xml:space="preserve"> PAGEREF _Toc4182 \h </w:instrText>
      </w:r>
      <w:r>
        <w:fldChar w:fldCharType="separate"/>
      </w:r>
      <w:r>
        <w:t>89</w:t>
      </w:r>
      <w:r>
        <w:fldChar w:fldCharType="end"/>
      </w:r>
      <w:r>
        <w:fldChar w:fldCharType="end"/>
      </w:r>
    </w:p>
    <w:p>
      <w:pPr>
        <w:pStyle w:val="49"/>
        <w:tabs>
          <w:tab w:val="right" w:leader="dot" w:pos="8792"/>
        </w:tabs>
        <w:ind w:left="480" w:firstLine="480"/>
      </w:pPr>
      <w:r>
        <w:fldChar w:fldCharType="begin"/>
      </w:r>
      <w:r>
        <w:instrText xml:space="preserve"> HYPERLINK \l "_Toc15740" </w:instrText>
      </w:r>
      <w:r>
        <w:fldChar w:fldCharType="separate"/>
      </w:r>
      <w:r>
        <w:rPr>
          <w:rFonts w:ascii="Times New Roman" w:cs="Times New Roman"/>
        </w:rPr>
        <w:t>3.7 线路工程</w:t>
      </w:r>
      <w:r>
        <w:tab/>
      </w:r>
      <w:r>
        <w:fldChar w:fldCharType="begin"/>
      </w:r>
      <w:r>
        <w:instrText xml:space="preserve"> PAGEREF _Toc15740 \h </w:instrText>
      </w:r>
      <w:r>
        <w:fldChar w:fldCharType="separate"/>
      </w:r>
      <w:r>
        <w:t>90</w:t>
      </w:r>
      <w:r>
        <w:fldChar w:fldCharType="end"/>
      </w:r>
      <w:r>
        <w:fldChar w:fldCharType="end"/>
      </w:r>
    </w:p>
    <w:p>
      <w:pPr>
        <w:pStyle w:val="49"/>
        <w:tabs>
          <w:tab w:val="right" w:leader="dot" w:pos="8792"/>
        </w:tabs>
        <w:ind w:left="480" w:firstLine="480"/>
      </w:pPr>
      <w:r>
        <w:fldChar w:fldCharType="begin"/>
      </w:r>
      <w:r>
        <w:instrText xml:space="preserve"> HYPERLINK \l "_Toc16168" </w:instrText>
      </w:r>
      <w:r>
        <w:fldChar w:fldCharType="separate"/>
      </w:r>
      <w:r>
        <w:rPr>
          <w:rFonts w:ascii="Times New Roman" w:cs="Times New Roman"/>
        </w:rPr>
        <w:t>3.8 辅助工程</w:t>
      </w:r>
      <w:r>
        <w:tab/>
      </w:r>
      <w:r>
        <w:fldChar w:fldCharType="begin"/>
      </w:r>
      <w:r>
        <w:instrText xml:space="preserve"> PAGEREF _Toc16168 \h </w:instrText>
      </w:r>
      <w:r>
        <w:fldChar w:fldCharType="separate"/>
      </w:r>
      <w:r>
        <w:t>90</w:t>
      </w:r>
      <w:r>
        <w:fldChar w:fldCharType="end"/>
      </w:r>
      <w:r>
        <w:fldChar w:fldCharType="end"/>
      </w:r>
    </w:p>
    <w:p>
      <w:pPr>
        <w:pStyle w:val="49"/>
        <w:tabs>
          <w:tab w:val="right" w:leader="dot" w:pos="8792"/>
        </w:tabs>
        <w:ind w:left="480" w:firstLine="480"/>
      </w:pPr>
      <w:r>
        <w:fldChar w:fldCharType="begin"/>
      </w:r>
      <w:r>
        <w:instrText xml:space="preserve"> HYPERLINK \l "_Toc14522" </w:instrText>
      </w:r>
      <w:r>
        <w:fldChar w:fldCharType="separate"/>
      </w:r>
      <w:r>
        <w:rPr>
          <w:rFonts w:ascii="Times New Roman" w:cs="Times New Roman"/>
        </w:rPr>
        <w:t>3.9 公用工程</w:t>
      </w:r>
      <w:r>
        <w:tab/>
      </w:r>
      <w:r>
        <w:fldChar w:fldCharType="begin"/>
      </w:r>
      <w:r>
        <w:instrText xml:space="preserve"> PAGEREF _Toc14522 \h </w:instrText>
      </w:r>
      <w:r>
        <w:fldChar w:fldCharType="separate"/>
      </w:r>
      <w:r>
        <w:t>91</w:t>
      </w:r>
      <w:r>
        <w:fldChar w:fldCharType="end"/>
      </w:r>
      <w:r>
        <w:fldChar w:fldCharType="end"/>
      </w:r>
    </w:p>
    <w:p>
      <w:pPr>
        <w:pStyle w:val="49"/>
        <w:tabs>
          <w:tab w:val="right" w:leader="dot" w:pos="8792"/>
        </w:tabs>
        <w:ind w:left="480" w:firstLine="480"/>
      </w:pPr>
      <w:r>
        <w:fldChar w:fldCharType="begin"/>
      </w:r>
      <w:r>
        <w:instrText xml:space="preserve"> HYPERLINK \l "_Toc17008" </w:instrText>
      </w:r>
      <w:r>
        <w:fldChar w:fldCharType="separate"/>
      </w:r>
      <w:r>
        <w:rPr>
          <w:rFonts w:ascii="Times New Roman" w:cs="Times New Roman"/>
        </w:rPr>
        <w:t>3.10 其他工程</w:t>
      </w:r>
      <w:r>
        <w:tab/>
      </w:r>
      <w:r>
        <w:fldChar w:fldCharType="begin"/>
      </w:r>
      <w:r>
        <w:instrText xml:space="preserve"> PAGEREF _Toc17008 \h </w:instrText>
      </w:r>
      <w:r>
        <w:fldChar w:fldCharType="separate"/>
      </w:r>
      <w:r>
        <w:t>92</w:t>
      </w:r>
      <w:r>
        <w:fldChar w:fldCharType="end"/>
      </w:r>
      <w:r>
        <w:fldChar w:fldCharType="end"/>
      </w:r>
    </w:p>
    <w:p>
      <w:pPr>
        <w:pStyle w:val="49"/>
        <w:tabs>
          <w:tab w:val="right" w:leader="dot" w:pos="8792"/>
        </w:tabs>
        <w:ind w:left="480" w:firstLine="480"/>
      </w:pPr>
      <w:r>
        <w:fldChar w:fldCharType="begin"/>
      </w:r>
      <w:r>
        <w:instrText xml:space="preserve"> HYPERLINK \l "_Toc11133" </w:instrText>
      </w:r>
      <w:r>
        <w:fldChar w:fldCharType="separate"/>
      </w:r>
      <w:r>
        <w:rPr>
          <w:rFonts w:ascii="Times New Roman" w:cs="Times New Roman"/>
        </w:rPr>
        <w:t>3.11 劳动定员、建设进度</w:t>
      </w:r>
      <w:r>
        <w:tab/>
      </w:r>
      <w:r>
        <w:fldChar w:fldCharType="begin"/>
      </w:r>
      <w:r>
        <w:instrText xml:space="preserve"> PAGEREF _Toc11133 \h </w:instrText>
      </w:r>
      <w:r>
        <w:fldChar w:fldCharType="separate"/>
      </w:r>
      <w:r>
        <w:t>92</w:t>
      </w:r>
      <w:r>
        <w:fldChar w:fldCharType="end"/>
      </w:r>
      <w:r>
        <w:fldChar w:fldCharType="end"/>
      </w:r>
    </w:p>
    <w:p>
      <w:pPr>
        <w:pStyle w:val="39"/>
        <w:tabs>
          <w:tab w:val="right" w:leader="dot" w:pos="8792"/>
        </w:tabs>
      </w:pPr>
      <w:r>
        <w:fldChar w:fldCharType="begin"/>
      </w:r>
      <w:r>
        <w:instrText xml:space="preserve"> HYPERLINK \l "_Toc24959" </w:instrText>
      </w:r>
      <w:r>
        <w:fldChar w:fldCharType="separate"/>
      </w:r>
      <w:r>
        <w:rPr>
          <w:rFonts w:cs="Times New Roman"/>
        </w:rPr>
        <w:t>4 工程分析</w:t>
      </w:r>
      <w:r>
        <w:tab/>
      </w:r>
      <w:r>
        <w:fldChar w:fldCharType="begin"/>
      </w:r>
      <w:r>
        <w:instrText xml:space="preserve"> PAGEREF _Toc24959 \h </w:instrText>
      </w:r>
      <w:r>
        <w:fldChar w:fldCharType="separate"/>
      </w:r>
      <w:r>
        <w:t>94</w:t>
      </w:r>
      <w:r>
        <w:fldChar w:fldCharType="end"/>
      </w:r>
      <w:r>
        <w:fldChar w:fldCharType="end"/>
      </w:r>
    </w:p>
    <w:p>
      <w:pPr>
        <w:pStyle w:val="49"/>
        <w:tabs>
          <w:tab w:val="right" w:leader="dot" w:pos="8792"/>
        </w:tabs>
        <w:ind w:left="480" w:firstLine="480"/>
      </w:pPr>
      <w:r>
        <w:fldChar w:fldCharType="begin"/>
      </w:r>
      <w:r>
        <w:instrText xml:space="preserve"> HYPERLINK \l "_Toc8431" </w:instrText>
      </w:r>
      <w:r>
        <w:fldChar w:fldCharType="separate"/>
      </w:r>
      <w:r>
        <w:rPr>
          <w:rFonts w:ascii="Times New Roman" w:cs="Times New Roman"/>
        </w:rPr>
        <w:t>4.1 施工期工程分析</w:t>
      </w:r>
      <w:r>
        <w:tab/>
      </w:r>
      <w:r>
        <w:fldChar w:fldCharType="begin"/>
      </w:r>
      <w:r>
        <w:instrText xml:space="preserve"> PAGEREF _Toc8431 \h </w:instrText>
      </w:r>
      <w:r>
        <w:fldChar w:fldCharType="separate"/>
      </w:r>
      <w:r>
        <w:t>94</w:t>
      </w:r>
      <w:r>
        <w:fldChar w:fldCharType="end"/>
      </w:r>
      <w:r>
        <w:fldChar w:fldCharType="end"/>
      </w:r>
    </w:p>
    <w:p>
      <w:pPr>
        <w:pStyle w:val="49"/>
        <w:tabs>
          <w:tab w:val="right" w:leader="dot" w:pos="8792"/>
        </w:tabs>
        <w:ind w:left="480" w:firstLine="480"/>
      </w:pPr>
      <w:r>
        <w:fldChar w:fldCharType="begin"/>
      </w:r>
      <w:r>
        <w:instrText xml:space="preserve"> HYPERLINK \l "_Toc24426" </w:instrText>
      </w:r>
      <w:r>
        <w:fldChar w:fldCharType="separate"/>
      </w:r>
      <w:r>
        <w:rPr>
          <w:rFonts w:ascii="Times New Roman" w:cs="Times New Roman"/>
        </w:rPr>
        <w:t>4.2 试采期工程分析</w:t>
      </w:r>
      <w:r>
        <w:tab/>
      </w:r>
      <w:r>
        <w:fldChar w:fldCharType="begin"/>
      </w:r>
      <w:r>
        <w:instrText xml:space="preserve"> PAGEREF _Toc24426 \h </w:instrText>
      </w:r>
      <w:r>
        <w:fldChar w:fldCharType="separate"/>
      </w:r>
      <w:r>
        <w:t>115</w:t>
      </w:r>
      <w:r>
        <w:fldChar w:fldCharType="end"/>
      </w:r>
      <w:r>
        <w:fldChar w:fldCharType="end"/>
      </w:r>
    </w:p>
    <w:p>
      <w:pPr>
        <w:pStyle w:val="49"/>
        <w:tabs>
          <w:tab w:val="right" w:leader="dot" w:pos="8792"/>
        </w:tabs>
        <w:ind w:left="480" w:firstLine="480"/>
      </w:pPr>
      <w:r>
        <w:fldChar w:fldCharType="begin"/>
      </w:r>
      <w:r>
        <w:instrText xml:space="preserve"> HYPERLINK \l "_Toc2566" </w:instrText>
      </w:r>
      <w:r>
        <w:fldChar w:fldCharType="separate"/>
      </w:r>
      <w:r>
        <w:rPr>
          <w:rFonts w:ascii="Times New Roman" w:cs="Times New Roman"/>
        </w:rPr>
        <w:t>4.3 项目清洁生产分析</w:t>
      </w:r>
      <w:r>
        <w:tab/>
      </w:r>
      <w:r>
        <w:fldChar w:fldCharType="begin"/>
      </w:r>
      <w:r>
        <w:instrText xml:space="preserve"> PAGEREF _Toc2566 \h </w:instrText>
      </w:r>
      <w:r>
        <w:fldChar w:fldCharType="separate"/>
      </w:r>
      <w:r>
        <w:t>119</w:t>
      </w:r>
      <w:r>
        <w:fldChar w:fldCharType="end"/>
      </w:r>
      <w:r>
        <w:fldChar w:fldCharType="end"/>
      </w:r>
    </w:p>
    <w:p>
      <w:pPr>
        <w:pStyle w:val="49"/>
        <w:tabs>
          <w:tab w:val="right" w:leader="dot" w:pos="8792"/>
        </w:tabs>
        <w:ind w:left="480" w:firstLine="480"/>
      </w:pPr>
      <w:r>
        <w:fldChar w:fldCharType="begin"/>
      </w:r>
      <w:r>
        <w:instrText xml:space="preserve"> HYPERLINK \l "_Toc705" </w:instrText>
      </w:r>
      <w:r>
        <w:fldChar w:fldCharType="separate"/>
      </w:r>
      <w:r>
        <w:rPr>
          <w:rFonts w:ascii="Times New Roman" w:cs="Times New Roman"/>
        </w:rPr>
        <w:t>4.4 总量控制</w:t>
      </w:r>
      <w:r>
        <w:tab/>
      </w:r>
      <w:r>
        <w:fldChar w:fldCharType="begin"/>
      </w:r>
      <w:r>
        <w:instrText xml:space="preserve"> PAGEREF _Toc705 \h </w:instrText>
      </w:r>
      <w:r>
        <w:fldChar w:fldCharType="separate"/>
      </w:r>
      <w:r>
        <w:t>120</w:t>
      </w:r>
      <w:r>
        <w:fldChar w:fldCharType="end"/>
      </w:r>
      <w:r>
        <w:fldChar w:fldCharType="end"/>
      </w:r>
    </w:p>
    <w:p>
      <w:pPr>
        <w:pStyle w:val="39"/>
        <w:tabs>
          <w:tab w:val="right" w:leader="dot" w:pos="8792"/>
        </w:tabs>
      </w:pPr>
      <w:r>
        <w:fldChar w:fldCharType="begin"/>
      </w:r>
      <w:r>
        <w:instrText xml:space="preserve"> HYPERLINK \l "_Toc28369" </w:instrText>
      </w:r>
      <w:r>
        <w:fldChar w:fldCharType="separate"/>
      </w:r>
      <w:r>
        <w:rPr>
          <w:rFonts w:cs="Times New Roman"/>
        </w:rPr>
        <w:t>5 环境质量现状调查与评价</w:t>
      </w:r>
      <w:r>
        <w:tab/>
      </w:r>
      <w:r>
        <w:fldChar w:fldCharType="begin"/>
      </w:r>
      <w:r>
        <w:instrText xml:space="preserve"> PAGEREF _Toc28369 \h </w:instrText>
      </w:r>
      <w:r>
        <w:fldChar w:fldCharType="separate"/>
      </w:r>
      <w:r>
        <w:t>121</w:t>
      </w:r>
      <w:r>
        <w:fldChar w:fldCharType="end"/>
      </w:r>
      <w:r>
        <w:fldChar w:fldCharType="end"/>
      </w:r>
    </w:p>
    <w:p>
      <w:pPr>
        <w:pStyle w:val="49"/>
        <w:tabs>
          <w:tab w:val="right" w:leader="dot" w:pos="8792"/>
        </w:tabs>
        <w:ind w:left="480" w:firstLine="480"/>
      </w:pPr>
      <w:r>
        <w:fldChar w:fldCharType="begin"/>
      </w:r>
      <w:r>
        <w:instrText xml:space="preserve"> HYPERLINK \l "_Toc10248" </w:instrText>
      </w:r>
      <w:r>
        <w:fldChar w:fldCharType="separate"/>
      </w:r>
      <w:r>
        <w:rPr>
          <w:rFonts w:ascii="Times New Roman" w:cs="Times New Roman"/>
        </w:rPr>
        <w:t>5.1 自然环境概况</w:t>
      </w:r>
      <w:r>
        <w:tab/>
      </w:r>
      <w:r>
        <w:fldChar w:fldCharType="begin"/>
      </w:r>
      <w:r>
        <w:instrText xml:space="preserve"> PAGEREF _Toc10248 \h </w:instrText>
      </w:r>
      <w:r>
        <w:fldChar w:fldCharType="separate"/>
      </w:r>
      <w:r>
        <w:t>121</w:t>
      </w:r>
      <w:r>
        <w:fldChar w:fldCharType="end"/>
      </w:r>
      <w:r>
        <w:fldChar w:fldCharType="end"/>
      </w:r>
    </w:p>
    <w:p>
      <w:pPr>
        <w:pStyle w:val="49"/>
        <w:tabs>
          <w:tab w:val="right" w:leader="dot" w:pos="8792"/>
        </w:tabs>
        <w:ind w:left="480" w:firstLine="480"/>
      </w:pPr>
      <w:r>
        <w:fldChar w:fldCharType="begin"/>
      </w:r>
      <w:r>
        <w:instrText xml:space="preserve"> HYPERLINK \l "_Toc17304" </w:instrText>
      </w:r>
      <w:r>
        <w:fldChar w:fldCharType="separate"/>
      </w:r>
      <w:r>
        <w:rPr>
          <w:rFonts w:ascii="Times New Roman" w:cs="Times New Roman"/>
        </w:rPr>
        <w:t>5.2 生态环境调查与评价</w:t>
      </w:r>
      <w:r>
        <w:tab/>
      </w:r>
      <w:r>
        <w:fldChar w:fldCharType="begin"/>
      </w:r>
      <w:r>
        <w:instrText xml:space="preserve"> PAGEREF _Toc17304 \h </w:instrText>
      </w:r>
      <w:r>
        <w:fldChar w:fldCharType="separate"/>
      </w:r>
      <w:r>
        <w:t>125</w:t>
      </w:r>
      <w:r>
        <w:fldChar w:fldCharType="end"/>
      </w:r>
      <w:r>
        <w:fldChar w:fldCharType="end"/>
      </w:r>
    </w:p>
    <w:p>
      <w:pPr>
        <w:pStyle w:val="49"/>
        <w:tabs>
          <w:tab w:val="right" w:leader="dot" w:pos="8792"/>
        </w:tabs>
        <w:ind w:left="480" w:firstLine="480"/>
      </w:pPr>
      <w:r>
        <w:fldChar w:fldCharType="begin"/>
      </w:r>
      <w:r>
        <w:instrText xml:space="preserve"> HYPERLINK \l "_Toc7419" </w:instrText>
      </w:r>
      <w:r>
        <w:fldChar w:fldCharType="separate"/>
      </w:r>
      <w:r>
        <w:rPr>
          <w:rFonts w:ascii="Times New Roman" w:cs="Times New Roman"/>
        </w:rPr>
        <w:t>5.3 环境空气质量现状与评价</w:t>
      </w:r>
      <w:r>
        <w:tab/>
      </w:r>
      <w:r>
        <w:fldChar w:fldCharType="begin"/>
      </w:r>
      <w:r>
        <w:instrText xml:space="preserve"> PAGEREF _Toc7419 \h </w:instrText>
      </w:r>
      <w:r>
        <w:fldChar w:fldCharType="separate"/>
      </w:r>
      <w:r>
        <w:t>160</w:t>
      </w:r>
      <w:r>
        <w:fldChar w:fldCharType="end"/>
      </w:r>
      <w:r>
        <w:fldChar w:fldCharType="end"/>
      </w:r>
    </w:p>
    <w:p>
      <w:pPr>
        <w:pStyle w:val="49"/>
        <w:tabs>
          <w:tab w:val="right" w:leader="dot" w:pos="8792"/>
        </w:tabs>
        <w:ind w:left="480" w:firstLine="480"/>
      </w:pPr>
      <w:r>
        <w:fldChar w:fldCharType="begin"/>
      </w:r>
      <w:r>
        <w:instrText xml:space="preserve"> HYPERLINK \l "_Toc18315" </w:instrText>
      </w:r>
      <w:r>
        <w:fldChar w:fldCharType="separate"/>
      </w:r>
      <w:r>
        <w:rPr>
          <w:rFonts w:ascii="Times New Roman" w:cs="Times New Roman"/>
        </w:rPr>
        <w:t>5.4 地表水环境质量现状与评价</w:t>
      </w:r>
      <w:r>
        <w:tab/>
      </w:r>
      <w:r>
        <w:fldChar w:fldCharType="begin"/>
      </w:r>
      <w:r>
        <w:instrText xml:space="preserve"> PAGEREF _Toc18315 \h </w:instrText>
      </w:r>
      <w:r>
        <w:fldChar w:fldCharType="separate"/>
      </w:r>
      <w:r>
        <w:t>162</w:t>
      </w:r>
      <w:r>
        <w:fldChar w:fldCharType="end"/>
      </w:r>
      <w:r>
        <w:fldChar w:fldCharType="end"/>
      </w:r>
    </w:p>
    <w:p>
      <w:pPr>
        <w:pStyle w:val="49"/>
        <w:tabs>
          <w:tab w:val="right" w:leader="dot" w:pos="8792"/>
        </w:tabs>
        <w:ind w:left="480" w:firstLine="480"/>
      </w:pPr>
      <w:r>
        <w:fldChar w:fldCharType="begin"/>
      </w:r>
      <w:r>
        <w:instrText xml:space="preserve"> HYPERLINK \l "_Toc13022" </w:instrText>
      </w:r>
      <w:r>
        <w:fldChar w:fldCharType="separate"/>
      </w:r>
      <w:r>
        <w:rPr>
          <w:rFonts w:ascii="Times New Roman" w:cs="Times New Roman"/>
        </w:rPr>
        <w:t>5.5 地下水环境质量现状与评价</w:t>
      </w:r>
      <w:r>
        <w:tab/>
      </w:r>
      <w:r>
        <w:fldChar w:fldCharType="begin"/>
      </w:r>
      <w:r>
        <w:instrText xml:space="preserve"> PAGEREF _Toc13022 \h </w:instrText>
      </w:r>
      <w:r>
        <w:fldChar w:fldCharType="separate"/>
      </w:r>
      <w:r>
        <w:t>163</w:t>
      </w:r>
      <w:r>
        <w:fldChar w:fldCharType="end"/>
      </w:r>
      <w:r>
        <w:fldChar w:fldCharType="end"/>
      </w:r>
    </w:p>
    <w:p>
      <w:pPr>
        <w:pStyle w:val="49"/>
        <w:tabs>
          <w:tab w:val="right" w:leader="dot" w:pos="8792"/>
        </w:tabs>
        <w:ind w:left="480" w:firstLine="480"/>
      </w:pPr>
      <w:r>
        <w:fldChar w:fldCharType="begin"/>
      </w:r>
      <w:r>
        <w:instrText xml:space="preserve"> HYPERLINK \l "_Toc16976" </w:instrText>
      </w:r>
      <w:r>
        <w:fldChar w:fldCharType="separate"/>
      </w:r>
      <w:r>
        <w:rPr>
          <w:rFonts w:ascii="Times New Roman" w:cs="Times New Roman"/>
        </w:rPr>
        <w:t>5.6 声环境质量现状与评价</w:t>
      </w:r>
      <w:r>
        <w:tab/>
      </w:r>
      <w:r>
        <w:fldChar w:fldCharType="begin"/>
      </w:r>
      <w:r>
        <w:instrText xml:space="preserve"> PAGEREF _Toc16976 \h </w:instrText>
      </w:r>
      <w:r>
        <w:fldChar w:fldCharType="separate"/>
      </w:r>
      <w:r>
        <w:t>168</w:t>
      </w:r>
      <w:r>
        <w:fldChar w:fldCharType="end"/>
      </w:r>
      <w:r>
        <w:fldChar w:fldCharType="end"/>
      </w:r>
    </w:p>
    <w:p>
      <w:pPr>
        <w:pStyle w:val="49"/>
        <w:tabs>
          <w:tab w:val="right" w:leader="dot" w:pos="8792"/>
        </w:tabs>
        <w:ind w:left="480" w:firstLine="480"/>
      </w:pPr>
      <w:r>
        <w:fldChar w:fldCharType="begin"/>
      </w:r>
      <w:r>
        <w:instrText xml:space="preserve"> HYPERLINK \l "_Toc10345" </w:instrText>
      </w:r>
      <w:r>
        <w:fldChar w:fldCharType="separate"/>
      </w:r>
      <w:r>
        <w:rPr>
          <w:rFonts w:ascii="Times New Roman" w:cs="Times New Roman"/>
        </w:rPr>
        <w:t>5.7 土壤环境质量现状与评价</w:t>
      </w:r>
      <w:r>
        <w:tab/>
      </w:r>
      <w:r>
        <w:fldChar w:fldCharType="begin"/>
      </w:r>
      <w:r>
        <w:instrText xml:space="preserve"> PAGEREF _Toc10345 \h </w:instrText>
      </w:r>
      <w:r>
        <w:fldChar w:fldCharType="separate"/>
      </w:r>
      <w:r>
        <w:t>169</w:t>
      </w:r>
      <w:r>
        <w:fldChar w:fldCharType="end"/>
      </w:r>
      <w:r>
        <w:fldChar w:fldCharType="end"/>
      </w:r>
    </w:p>
    <w:p>
      <w:pPr>
        <w:pStyle w:val="39"/>
        <w:tabs>
          <w:tab w:val="right" w:leader="dot" w:pos="8792"/>
        </w:tabs>
      </w:pPr>
      <w:r>
        <w:fldChar w:fldCharType="begin"/>
      </w:r>
      <w:r>
        <w:instrText xml:space="preserve"> HYPERLINK \l "_Toc24252" </w:instrText>
      </w:r>
      <w:r>
        <w:fldChar w:fldCharType="separate"/>
      </w:r>
      <w:r>
        <w:rPr>
          <w:rFonts w:cs="Times New Roman"/>
        </w:rPr>
        <w:t>6 环境影响预测与评价</w:t>
      </w:r>
      <w:r>
        <w:tab/>
      </w:r>
      <w:r>
        <w:fldChar w:fldCharType="begin"/>
      </w:r>
      <w:r>
        <w:instrText xml:space="preserve"> PAGEREF _Toc24252 \h </w:instrText>
      </w:r>
      <w:r>
        <w:fldChar w:fldCharType="separate"/>
      </w:r>
      <w:r>
        <w:t>173</w:t>
      </w:r>
      <w:r>
        <w:fldChar w:fldCharType="end"/>
      </w:r>
      <w:r>
        <w:fldChar w:fldCharType="end"/>
      </w:r>
    </w:p>
    <w:p>
      <w:pPr>
        <w:pStyle w:val="49"/>
        <w:tabs>
          <w:tab w:val="right" w:leader="dot" w:pos="8792"/>
        </w:tabs>
        <w:ind w:left="480" w:firstLine="480"/>
      </w:pPr>
      <w:r>
        <w:fldChar w:fldCharType="begin"/>
      </w:r>
      <w:r>
        <w:instrText xml:space="preserve"> HYPERLINK \l "_Toc20507" </w:instrText>
      </w:r>
      <w:r>
        <w:fldChar w:fldCharType="separate"/>
      </w:r>
      <w:r>
        <w:rPr>
          <w:rFonts w:ascii="Times New Roman" w:cs="Times New Roman"/>
        </w:rPr>
        <w:t>6.1 施工期环境影响预测及评价</w:t>
      </w:r>
      <w:r>
        <w:tab/>
      </w:r>
      <w:r>
        <w:fldChar w:fldCharType="begin"/>
      </w:r>
      <w:r>
        <w:instrText xml:space="preserve"> PAGEREF _Toc20507 \h </w:instrText>
      </w:r>
      <w:r>
        <w:fldChar w:fldCharType="separate"/>
      </w:r>
      <w:r>
        <w:t>173</w:t>
      </w:r>
      <w:r>
        <w:fldChar w:fldCharType="end"/>
      </w:r>
      <w:r>
        <w:fldChar w:fldCharType="end"/>
      </w:r>
    </w:p>
    <w:p>
      <w:pPr>
        <w:pStyle w:val="49"/>
        <w:tabs>
          <w:tab w:val="right" w:leader="dot" w:pos="8792"/>
        </w:tabs>
        <w:ind w:left="480" w:firstLine="480"/>
      </w:pPr>
      <w:r>
        <w:fldChar w:fldCharType="begin"/>
      </w:r>
      <w:r>
        <w:instrText xml:space="preserve"> HYPERLINK \l "_Toc5226" </w:instrText>
      </w:r>
      <w:r>
        <w:fldChar w:fldCharType="separate"/>
      </w:r>
      <w:r>
        <w:rPr>
          <w:rFonts w:ascii="Times New Roman" w:cs="Times New Roman"/>
        </w:rPr>
        <w:t>6.2 试采期环境影响预测及评价</w:t>
      </w:r>
      <w:r>
        <w:tab/>
      </w:r>
      <w:r>
        <w:fldChar w:fldCharType="begin"/>
      </w:r>
      <w:r>
        <w:instrText xml:space="preserve"> PAGEREF _Toc5226 \h </w:instrText>
      </w:r>
      <w:r>
        <w:fldChar w:fldCharType="separate"/>
      </w:r>
      <w:r>
        <w:t>207</w:t>
      </w:r>
      <w:r>
        <w:fldChar w:fldCharType="end"/>
      </w:r>
      <w:r>
        <w:fldChar w:fldCharType="end"/>
      </w:r>
    </w:p>
    <w:p>
      <w:pPr>
        <w:pStyle w:val="39"/>
        <w:tabs>
          <w:tab w:val="right" w:leader="dot" w:pos="8792"/>
        </w:tabs>
      </w:pPr>
      <w:r>
        <w:fldChar w:fldCharType="begin"/>
      </w:r>
      <w:r>
        <w:instrText xml:space="preserve"> HYPERLINK \l "_Toc15848" </w:instrText>
      </w:r>
      <w:r>
        <w:fldChar w:fldCharType="separate"/>
      </w:r>
      <w:r>
        <w:rPr>
          <w:rFonts w:cs="Times New Roman"/>
          <w:bCs/>
        </w:rPr>
        <w:t>7 环境风险分析</w:t>
      </w:r>
      <w:r>
        <w:tab/>
      </w:r>
      <w:r>
        <w:fldChar w:fldCharType="begin"/>
      </w:r>
      <w:r>
        <w:instrText xml:space="preserve"> PAGEREF _Toc15848 \h </w:instrText>
      </w:r>
      <w:r>
        <w:fldChar w:fldCharType="separate"/>
      </w:r>
      <w:r>
        <w:t>216</w:t>
      </w:r>
      <w:r>
        <w:fldChar w:fldCharType="end"/>
      </w:r>
      <w:r>
        <w:fldChar w:fldCharType="end"/>
      </w:r>
    </w:p>
    <w:p>
      <w:pPr>
        <w:pStyle w:val="49"/>
        <w:tabs>
          <w:tab w:val="right" w:leader="dot" w:pos="8792"/>
        </w:tabs>
        <w:ind w:left="480" w:firstLine="480"/>
      </w:pPr>
      <w:r>
        <w:fldChar w:fldCharType="begin"/>
      </w:r>
      <w:r>
        <w:instrText xml:space="preserve"> HYPERLINK \l "_Toc24349" </w:instrText>
      </w:r>
      <w:r>
        <w:fldChar w:fldCharType="separate"/>
      </w:r>
      <w:r>
        <w:rPr>
          <w:rFonts w:ascii="Times New Roman" w:cs="Times New Roman"/>
        </w:rPr>
        <w:t>7.1 评价依据</w:t>
      </w:r>
      <w:r>
        <w:tab/>
      </w:r>
      <w:r>
        <w:fldChar w:fldCharType="begin"/>
      </w:r>
      <w:r>
        <w:instrText xml:space="preserve"> PAGEREF _Toc24349 \h </w:instrText>
      </w:r>
      <w:r>
        <w:fldChar w:fldCharType="separate"/>
      </w:r>
      <w:r>
        <w:t>216</w:t>
      </w:r>
      <w:r>
        <w:fldChar w:fldCharType="end"/>
      </w:r>
      <w:r>
        <w:fldChar w:fldCharType="end"/>
      </w:r>
    </w:p>
    <w:p>
      <w:pPr>
        <w:pStyle w:val="49"/>
        <w:tabs>
          <w:tab w:val="right" w:leader="dot" w:pos="8792"/>
        </w:tabs>
        <w:ind w:left="480" w:firstLine="480"/>
      </w:pPr>
      <w:r>
        <w:fldChar w:fldCharType="begin"/>
      </w:r>
      <w:r>
        <w:instrText xml:space="preserve"> HYPERLINK \l "_Toc24486" </w:instrText>
      </w:r>
      <w:r>
        <w:fldChar w:fldCharType="separate"/>
      </w:r>
      <w:r>
        <w:rPr>
          <w:rFonts w:ascii="Times New Roman" w:cs="Times New Roman"/>
        </w:rPr>
        <w:t>7.2 一般性原则</w:t>
      </w:r>
      <w:r>
        <w:tab/>
      </w:r>
      <w:r>
        <w:fldChar w:fldCharType="begin"/>
      </w:r>
      <w:r>
        <w:instrText xml:space="preserve"> PAGEREF _Toc24486 \h </w:instrText>
      </w:r>
      <w:r>
        <w:fldChar w:fldCharType="separate"/>
      </w:r>
      <w:r>
        <w:t>216</w:t>
      </w:r>
      <w:r>
        <w:fldChar w:fldCharType="end"/>
      </w:r>
      <w:r>
        <w:fldChar w:fldCharType="end"/>
      </w:r>
    </w:p>
    <w:p>
      <w:pPr>
        <w:pStyle w:val="49"/>
        <w:tabs>
          <w:tab w:val="right" w:leader="dot" w:pos="8792"/>
        </w:tabs>
        <w:ind w:left="480" w:firstLine="480"/>
      </w:pPr>
      <w:r>
        <w:fldChar w:fldCharType="begin"/>
      </w:r>
      <w:r>
        <w:instrText xml:space="preserve"> HYPERLINK \l "_Toc14853" </w:instrText>
      </w:r>
      <w:r>
        <w:fldChar w:fldCharType="separate"/>
      </w:r>
      <w:r>
        <w:rPr>
          <w:rFonts w:ascii="Times New Roman" w:cs="Times New Roman"/>
        </w:rPr>
        <w:t>7.3 评价目的及重点</w:t>
      </w:r>
      <w:r>
        <w:tab/>
      </w:r>
      <w:r>
        <w:fldChar w:fldCharType="begin"/>
      </w:r>
      <w:r>
        <w:instrText xml:space="preserve"> PAGEREF _Toc14853 \h </w:instrText>
      </w:r>
      <w:r>
        <w:fldChar w:fldCharType="separate"/>
      </w:r>
      <w:r>
        <w:t>216</w:t>
      </w:r>
      <w:r>
        <w:fldChar w:fldCharType="end"/>
      </w:r>
      <w:r>
        <w:fldChar w:fldCharType="end"/>
      </w:r>
    </w:p>
    <w:p>
      <w:pPr>
        <w:pStyle w:val="49"/>
        <w:tabs>
          <w:tab w:val="right" w:leader="dot" w:pos="8792"/>
        </w:tabs>
        <w:ind w:left="480" w:firstLine="480"/>
      </w:pPr>
      <w:r>
        <w:fldChar w:fldCharType="begin"/>
      </w:r>
      <w:r>
        <w:instrText xml:space="preserve"> HYPERLINK \l "_Toc15786" </w:instrText>
      </w:r>
      <w:r>
        <w:fldChar w:fldCharType="separate"/>
      </w:r>
      <w:r>
        <w:rPr>
          <w:rFonts w:ascii="Times New Roman" w:cs="Times New Roman"/>
        </w:rPr>
        <w:t>7.4 风险调查</w:t>
      </w:r>
      <w:r>
        <w:tab/>
      </w:r>
      <w:r>
        <w:fldChar w:fldCharType="begin"/>
      </w:r>
      <w:r>
        <w:instrText xml:space="preserve"> PAGEREF _Toc15786 \h </w:instrText>
      </w:r>
      <w:r>
        <w:fldChar w:fldCharType="separate"/>
      </w:r>
      <w:r>
        <w:t>216</w:t>
      </w:r>
      <w:r>
        <w:fldChar w:fldCharType="end"/>
      </w:r>
      <w:r>
        <w:fldChar w:fldCharType="end"/>
      </w:r>
    </w:p>
    <w:p>
      <w:pPr>
        <w:pStyle w:val="49"/>
        <w:tabs>
          <w:tab w:val="right" w:leader="dot" w:pos="8792"/>
        </w:tabs>
        <w:ind w:left="480" w:firstLine="480"/>
      </w:pPr>
      <w:r>
        <w:fldChar w:fldCharType="begin"/>
      </w:r>
      <w:r>
        <w:instrText xml:space="preserve"> HYPERLINK \l "_Toc18019" </w:instrText>
      </w:r>
      <w:r>
        <w:fldChar w:fldCharType="separate"/>
      </w:r>
      <w:r>
        <w:rPr>
          <w:rFonts w:ascii="Times New Roman" w:cs="Times New Roman"/>
        </w:rPr>
        <w:t>7.</w:t>
      </w:r>
      <w:r>
        <w:rPr>
          <w:rFonts w:hint="eastAsia" w:cs="Times New Roman"/>
        </w:rPr>
        <w:t>5</w:t>
      </w:r>
      <w:r>
        <w:rPr>
          <w:rFonts w:ascii="Times New Roman" w:cs="Times New Roman"/>
        </w:rPr>
        <w:t>环境风险潜势判定</w:t>
      </w:r>
      <w:r>
        <w:tab/>
      </w:r>
      <w:r>
        <w:fldChar w:fldCharType="begin"/>
      </w:r>
      <w:r>
        <w:instrText xml:space="preserve"> PAGEREF _Toc18019 \h </w:instrText>
      </w:r>
      <w:r>
        <w:fldChar w:fldCharType="separate"/>
      </w:r>
      <w:r>
        <w:t>217</w:t>
      </w:r>
      <w:r>
        <w:fldChar w:fldCharType="end"/>
      </w:r>
      <w:r>
        <w:fldChar w:fldCharType="end"/>
      </w:r>
    </w:p>
    <w:p>
      <w:pPr>
        <w:pStyle w:val="49"/>
        <w:tabs>
          <w:tab w:val="right" w:leader="dot" w:pos="8792"/>
        </w:tabs>
        <w:ind w:left="480" w:firstLine="480"/>
      </w:pPr>
      <w:r>
        <w:fldChar w:fldCharType="begin"/>
      </w:r>
      <w:r>
        <w:instrText xml:space="preserve"> HYPERLINK \l "_Toc19820" </w:instrText>
      </w:r>
      <w:r>
        <w:fldChar w:fldCharType="separate"/>
      </w:r>
      <w:r>
        <w:rPr>
          <w:rFonts w:ascii="Times New Roman" w:cs="Times New Roman"/>
        </w:rPr>
        <w:t>7.</w:t>
      </w:r>
      <w:r>
        <w:rPr>
          <w:rFonts w:hint="eastAsia" w:cs="Times New Roman"/>
        </w:rPr>
        <w:t>6</w:t>
      </w:r>
      <w:r>
        <w:rPr>
          <w:rFonts w:ascii="Times New Roman" w:cs="Times New Roman"/>
        </w:rPr>
        <w:t xml:space="preserve"> 评价等级及评价范围</w:t>
      </w:r>
      <w:r>
        <w:tab/>
      </w:r>
      <w:r>
        <w:fldChar w:fldCharType="begin"/>
      </w:r>
      <w:r>
        <w:instrText xml:space="preserve"> PAGEREF _Toc19820 \h </w:instrText>
      </w:r>
      <w:r>
        <w:fldChar w:fldCharType="separate"/>
      </w:r>
      <w:r>
        <w:t>219</w:t>
      </w:r>
      <w:r>
        <w:fldChar w:fldCharType="end"/>
      </w:r>
      <w:r>
        <w:fldChar w:fldCharType="end"/>
      </w:r>
    </w:p>
    <w:p>
      <w:pPr>
        <w:pStyle w:val="49"/>
        <w:tabs>
          <w:tab w:val="right" w:leader="dot" w:pos="8792"/>
        </w:tabs>
        <w:ind w:left="480" w:firstLine="480"/>
      </w:pPr>
      <w:r>
        <w:fldChar w:fldCharType="begin"/>
      </w:r>
      <w:r>
        <w:instrText xml:space="preserve"> HYPERLINK \l "_Toc37" </w:instrText>
      </w:r>
      <w:r>
        <w:fldChar w:fldCharType="separate"/>
      </w:r>
      <w:r>
        <w:rPr>
          <w:rFonts w:ascii="Times New Roman" w:cs="Times New Roman"/>
        </w:rPr>
        <w:t>7.</w:t>
      </w:r>
      <w:r>
        <w:rPr>
          <w:rFonts w:hint="eastAsia" w:cs="Times New Roman"/>
        </w:rPr>
        <w:t>7</w:t>
      </w:r>
      <w:r>
        <w:rPr>
          <w:rFonts w:ascii="Times New Roman" w:cs="Times New Roman"/>
        </w:rPr>
        <w:t xml:space="preserve"> 风险识别</w:t>
      </w:r>
      <w:r>
        <w:tab/>
      </w:r>
      <w:r>
        <w:fldChar w:fldCharType="begin"/>
      </w:r>
      <w:r>
        <w:instrText xml:space="preserve"> PAGEREF _Toc37 \h </w:instrText>
      </w:r>
      <w:r>
        <w:fldChar w:fldCharType="separate"/>
      </w:r>
      <w:r>
        <w:t>219</w:t>
      </w:r>
      <w:r>
        <w:fldChar w:fldCharType="end"/>
      </w:r>
      <w:r>
        <w:fldChar w:fldCharType="end"/>
      </w:r>
    </w:p>
    <w:p>
      <w:pPr>
        <w:pStyle w:val="49"/>
        <w:tabs>
          <w:tab w:val="right" w:leader="dot" w:pos="8792"/>
        </w:tabs>
        <w:ind w:left="480" w:firstLine="480"/>
      </w:pPr>
      <w:r>
        <w:fldChar w:fldCharType="begin"/>
      </w:r>
      <w:r>
        <w:instrText xml:space="preserve"> HYPERLINK \l "_Toc20013" </w:instrText>
      </w:r>
      <w:r>
        <w:fldChar w:fldCharType="separate"/>
      </w:r>
      <w:r>
        <w:rPr>
          <w:rFonts w:ascii="Times New Roman" w:cs="Times New Roman"/>
        </w:rPr>
        <w:t>7.</w:t>
      </w:r>
      <w:r>
        <w:rPr>
          <w:rFonts w:hint="eastAsia" w:cs="Times New Roman"/>
        </w:rPr>
        <w:t>8</w:t>
      </w:r>
      <w:r>
        <w:rPr>
          <w:rFonts w:ascii="Times New Roman" w:cs="Times New Roman"/>
        </w:rPr>
        <w:t xml:space="preserve"> 风险事故情形分析</w:t>
      </w:r>
      <w:r>
        <w:tab/>
      </w:r>
      <w:r>
        <w:fldChar w:fldCharType="begin"/>
      </w:r>
      <w:r>
        <w:instrText xml:space="preserve"> PAGEREF _Toc20013 \h </w:instrText>
      </w:r>
      <w:r>
        <w:fldChar w:fldCharType="separate"/>
      </w:r>
      <w:r>
        <w:t>228</w:t>
      </w:r>
      <w:r>
        <w:fldChar w:fldCharType="end"/>
      </w:r>
      <w:r>
        <w:fldChar w:fldCharType="end"/>
      </w:r>
    </w:p>
    <w:p>
      <w:pPr>
        <w:pStyle w:val="49"/>
        <w:tabs>
          <w:tab w:val="right" w:leader="dot" w:pos="8792"/>
        </w:tabs>
        <w:ind w:left="480" w:firstLine="480"/>
      </w:pPr>
      <w:r>
        <w:fldChar w:fldCharType="begin"/>
      </w:r>
      <w:r>
        <w:instrText xml:space="preserve"> HYPERLINK \l "_Toc14439" </w:instrText>
      </w:r>
      <w:r>
        <w:fldChar w:fldCharType="separate"/>
      </w:r>
      <w:r>
        <w:rPr>
          <w:rFonts w:ascii="Times New Roman" w:cs="Times New Roman"/>
        </w:rPr>
        <w:t>7.</w:t>
      </w:r>
      <w:r>
        <w:rPr>
          <w:rFonts w:hint="eastAsia" w:cs="Times New Roman"/>
        </w:rPr>
        <w:t>9</w:t>
      </w:r>
      <w:r>
        <w:rPr>
          <w:rFonts w:ascii="Times New Roman" w:cs="Times New Roman"/>
        </w:rPr>
        <w:t xml:space="preserve"> 环境风险分析</w:t>
      </w:r>
      <w:r>
        <w:tab/>
      </w:r>
      <w:r>
        <w:fldChar w:fldCharType="begin"/>
      </w:r>
      <w:r>
        <w:instrText xml:space="preserve"> PAGEREF _Toc14439 \h </w:instrText>
      </w:r>
      <w:r>
        <w:fldChar w:fldCharType="separate"/>
      </w:r>
      <w:r>
        <w:t>232</w:t>
      </w:r>
      <w:r>
        <w:fldChar w:fldCharType="end"/>
      </w:r>
      <w:r>
        <w:fldChar w:fldCharType="end"/>
      </w:r>
    </w:p>
    <w:p>
      <w:pPr>
        <w:pStyle w:val="49"/>
        <w:tabs>
          <w:tab w:val="right" w:leader="dot" w:pos="8792"/>
        </w:tabs>
        <w:ind w:left="480" w:firstLine="480"/>
      </w:pPr>
      <w:r>
        <w:fldChar w:fldCharType="begin"/>
      </w:r>
      <w:r>
        <w:instrText xml:space="preserve"> HYPERLINK \l "_Toc10232" </w:instrText>
      </w:r>
      <w:r>
        <w:fldChar w:fldCharType="separate"/>
      </w:r>
      <w:r>
        <w:rPr>
          <w:rFonts w:ascii="Times New Roman" w:cs="Times New Roman"/>
        </w:rPr>
        <w:t>7.</w:t>
      </w:r>
      <w:r>
        <w:rPr>
          <w:rFonts w:hint="eastAsia" w:cs="Times New Roman"/>
        </w:rPr>
        <w:t>10</w:t>
      </w:r>
      <w:r>
        <w:rPr>
          <w:rFonts w:ascii="Times New Roman" w:cs="Times New Roman"/>
        </w:rPr>
        <w:t xml:space="preserve"> 环境风险管理</w:t>
      </w:r>
      <w:r>
        <w:tab/>
      </w:r>
      <w:r>
        <w:fldChar w:fldCharType="begin"/>
      </w:r>
      <w:r>
        <w:instrText xml:space="preserve"> PAGEREF _Toc10232 \h </w:instrText>
      </w:r>
      <w:r>
        <w:fldChar w:fldCharType="separate"/>
      </w:r>
      <w:r>
        <w:t>242</w:t>
      </w:r>
      <w:r>
        <w:fldChar w:fldCharType="end"/>
      </w:r>
      <w:r>
        <w:fldChar w:fldCharType="end"/>
      </w:r>
    </w:p>
    <w:p>
      <w:pPr>
        <w:pStyle w:val="49"/>
        <w:tabs>
          <w:tab w:val="right" w:leader="dot" w:pos="8792"/>
        </w:tabs>
        <w:ind w:left="480" w:firstLine="480"/>
      </w:pPr>
      <w:r>
        <w:fldChar w:fldCharType="begin"/>
      </w:r>
      <w:r>
        <w:instrText xml:space="preserve"> HYPERLINK \l "_Toc3326" </w:instrText>
      </w:r>
      <w:r>
        <w:fldChar w:fldCharType="separate"/>
      </w:r>
      <w:r>
        <w:rPr>
          <w:rFonts w:ascii="Times New Roman" w:cs="Times New Roman"/>
        </w:rPr>
        <w:t>7.1</w:t>
      </w:r>
      <w:r>
        <w:rPr>
          <w:rFonts w:hint="eastAsia" w:cs="Times New Roman"/>
        </w:rPr>
        <w:t>1</w:t>
      </w:r>
      <w:r>
        <w:rPr>
          <w:rFonts w:ascii="Times New Roman" w:cs="Times New Roman"/>
        </w:rPr>
        <w:t xml:space="preserve"> 事故应急预案</w:t>
      </w:r>
      <w:r>
        <w:tab/>
      </w:r>
      <w:r>
        <w:fldChar w:fldCharType="begin"/>
      </w:r>
      <w:r>
        <w:instrText xml:space="preserve"> PAGEREF _Toc3326 \h </w:instrText>
      </w:r>
      <w:r>
        <w:fldChar w:fldCharType="separate"/>
      </w:r>
      <w:r>
        <w:t>249</w:t>
      </w:r>
      <w:r>
        <w:fldChar w:fldCharType="end"/>
      </w:r>
      <w:r>
        <w:fldChar w:fldCharType="end"/>
      </w:r>
    </w:p>
    <w:p>
      <w:pPr>
        <w:pStyle w:val="49"/>
        <w:tabs>
          <w:tab w:val="right" w:leader="dot" w:pos="8792"/>
        </w:tabs>
        <w:ind w:left="480" w:firstLine="480"/>
      </w:pPr>
      <w:r>
        <w:fldChar w:fldCharType="begin"/>
      </w:r>
      <w:r>
        <w:instrText xml:space="preserve"> HYPERLINK \l "_Toc18286" </w:instrText>
      </w:r>
      <w:r>
        <w:fldChar w:fldCharType="separate"/>
      </w:r>
      <w:r>
        <w:rPr>
          <w:rFonts w:ascii="Times New Roman" w:cs="Times New Roman"/>
        </w:rPr>
        <w:t>7.1</w:t>
      </w:r>
      <w:r>
        <w:rPr>
          <w:rFonts w:hint="eastAsia" w:cs="Times New Roman"/>
        </w:rPr>
        <w:t>2</w:t>
      </w:r>
      <w:r>
        <w:rPr>
          <w:rFonts w:ascii="Times New Roman" w:cs="Times New Roman"/>
        </w:rPr>
        <w:t xml:space="preserve"> 环境风险评价结论与建议</w:t>
      </w:r>
      <w:r>
        <w:tab/>
      </w:r>
      <w:r>
        <w:fldChar w:fldCharType="begin"/>
      </w:r>
      <w:r>
        <w:instrText xml:space="preserve"> PAGEREF _Toc18286 \h </w:instrText>
      </w:r>
      <w:r>
        <w:fldChar w:fldCharType="separate"/>
      </w:r>
      <w:r>
        <w:t>270</w:t>
      </w:r>
      <w:r>
        <w:fldChar w:fldCharType="end"/>
      </w:r>
      <w:r>
        <w:fldChar w:fldCharType="end"/>
      </w:r>
    </w:p>
    <w:p>
      <w:pPr>
        <w:pStyle w:val="39"/>
        <w:tabs>
          <w:tab w:val="right" w:leader="dot" w:pos="8792"/>
        </w:tabs>
      </w:pPr>
      <w:r>
        <w:fldChar w:fldCharType="begin"/>
      </w:r>
      <w:r>
        <w:instrText xml:space="preserve"> HYPERLINK \l "_Toc3460" </w:instrText>
      </w:r>
      <w:r>
        <w:fldChar w:fldCharType="separate"/>
      </w:r>
      <w:r>
        <w:rPr>
          <w:rFonts w:cs="Times New Roman"/>
        </w:rPr>
        <w:t>8 环保措施及其经济技术论证</w:t>
      </w:r>
      <w:r>
        <w:tab/>
      </w:r>
      <w:r>
        <w:fldChar w:fldCharType="begin"/>
      </w:r>
      <w:r>
        <w:instrText xml:space="preserve"> PAGEREF _Toc3460 \h </w:instrText>
      </w:r>
      <w:r>
        <w:fldChar w:fldCharType="separate"/>
      </w:r>
      <w:r>
        <w:t>272</w:t>
      </w:r>
      <w:r>
        <w:fldChar w:fldCharType="end"/>
      </w:r>
      <w:r>
        <w:fldChar w:fldCharType="end"/>
      </w:r>
    </w:p>
    <w:p>
      <w:pPr>
        <w:pStyle w:val="49"/>
        <w:tabs>
          <w:tab w:val="right" w:leader="dot" w:pos="8792"/>
        </w:tabs>
        <w:ind w:left="480" w:firstLine="480"/>
      </w:pPr>
      <w:r>
        <w:fldChar w:fldCharType="begin"/>
      </w:r>
      <w:r>
        <w:instrText xml:space="preserve"> HYPERLINK \l "_Toc1348" </w:instrText>
      </w:r>
      <w:r>
        <w:fldChar w:fldCharType="separate"/>
      </w:r>
      <w:r>
        <w:rPr>
          <w:rFonts w:ascii="Times New Roman" w:cs="Times New Roman"/>
        </w:rPr>
        <w:t>8.1 施工期的环境保护措施</w:t>
      </w:r>
      <w:r>
        <w:tab/>
      </w:r>
      <w:r>
        <w:fldChar w:fldCharType="begin"/>
      </w:r>
      <w:r>
        <w:instrText xml:space="preserve"> PAGEREF _Toc1348 \h </w:instrText>
      </w:r>
      <w:r>
        <w:fldChar w:fldCharType="separate"/>
      </w:r>
      <w:r>
        <w:t>272</w:t>
      </w:r>
      <w:r>
        <w:fldChar w:fldCharType="end"/>
      </w:r>
      <w:r>
        <w:fldChar w:fldCharType="end"/>
      </w:r>
    </w:p>
    <w:p>
      <w:pPr>
        <w:pStyle w:val="49"/>
        <w:tabs>
          <w:tab w:val="right" w:leader="dot" w:pos="8792"/>
        </w:tabs>
        <w:ind w:left="480" w:firstLine="480"/>
      </w:pPr>
      <w:r>
        <w:fldChar w:fldCharType="begin"/>
      </w:r>
      <w:r>
        <w:instrText xml:space="preserve"> HYPERLINK \l "_Toc368" </w:instrText>
      </w:r>
      <w:r>
        <w:fldChar w:fldCharType="separate"/>
      </w:r>
      <w:r>
        <w:rPr>
          <w:rFonts w:ascii="Times New Roman" w:cs="Times New Roman"/>
        </w:rPr>
        <w:t>8.2 试采期的环境保护措施</w:t>
      </w:r>
      <w:r>
        <w:tab/>
      </w:r>
      <w:r>
        <w:fldChar w:fldCharType="begin"/>
      </w:r>
      <w:r>
        <w:instrText xml:space="preserve"> PAGEREF _Toc368 \h </w:instrText>
      </w:r>
      <w:r>
        <w:fldChar w:fldCharType="separate"/>
      </w:r>
      <w:r>
        <w:t>290</w:t>
      </w:r>
      <w:r>
        <w:fldChar w:fldCharType="end"/>
      </w:r>
      <w:r>
        <w:fldChar w:fldCharType="end"/>
      </w:r>
    </w:p>
    <w:p>
      <w:pPr>
        <w:pStyle w:val="49"/>
        <w:tabs>
          <w:tab w:val="right" w:leader="dot" w:pos="8792"/>
        </w:tabs>
        <w:ind w:left="480" w:firstLine="480"/>
      </w:pPr>
      <w:r>
        <w:fldChar w:fldCharType="begin"/>
      </w:r>
      <w:r>
        <w:instrText xml:space="preserve"> HYPERLINK \l "_Toc24154" </w:instrText>
      </w:r>
      <w:r>
        <w:fldChar w:fldCharType="separate"/>
      </w:r>
      <w:r>
        <w:rPr>
          <w:rFonts w:ascii="Times New Roman" w:cs="Times New Roman"/>
        </w:rPr>
        <w:t>8.3 本项目“三同时”验收</w:t>
      </w:r>
      <w:r>
        <w:tab/>
      </w:r>
      <w:r>
        <w:fldChar w:fldCharType="begin"/>
      </w:r>
      <w:r>
        <w:instrText xml:space="preserve"> PAGEREF _Toc24154 \h </w:instrText>
      </w:r>
      <w:r>
        <w:fldChar w:fldCharType="separate"/>
      </w:r>
      <w:r>
        <w:t>292</w:t>
      </w:r>
      <w:r>
        <w:fldChar w:fldCharType="end"/>
      </w:r>
      <w:r>
        <w:fldChar w:fldCharType="end"/>
      </w:r>
    </w:p>
    <w:p>
      <w:pPr>
        <w:pStyle w:val="49"/>
        <w:tabs>
          <w:tab w:val="right" w:leader="dot" w:pos="8792"/>
        </w:tabs>
        <w:ind w:left="480" w:firstLine="480"/>
      </w:pPr>
      <w:r>
        <w:fldChar w:fldCharType="begin"/>
      </w:r>
      <w:r>
        <w:instrText xml:space="preserve"> HYPERLINK \l "_Toc8256" </w:instrText>
      </w:r>
      <w:r>
        <w:fldChar w:fldCharType="separate"/>
      </w:r>
      <w:r>
        <w:rPr>
          <w:rFonts w:ascii="Times New Roman" w:cs="Times New Roman"/>
        </w:rPr>
        <w:t>8.4 环保投资估算</w:t>
      </w:r>
      <w:r>
        <w:tab/>
      </w:r>
      <w:r>
        <w:fldChar w:fldCharType="begin"/>
      </w:r>
      <w:r>
        <w:instrText xml:space="preserve"> PAGEREF _Toc8256 \h </w:instrText>
      </w:r>
      <w:r>
        <w:fldChar w:fldCharType="separate"/>
      </w:r>
      <w:r>
        <w:t>295</w:t>
      </w:r>
      <w:r>
        <w:fldChar w:fldCharType="end"/>
      </w:r>
      <w:r>
        <w:fldChar w:fldCharType="end"/>
      </w:r>
    </w:p>
    <w:p>
      <w:pPr>
        <w:pStyle w:val="39"/>
        <w:tabs>
          <w:tab w:val="right" w:leader="dot" w:pos="8792"/>
        </w:tabs>
      </w:pPr>
      <w:r>
        <w:fldChar w:fldCharType="begin"/>
      </w:r>
      <w:r>
        <w:instrText xml:space="preserve"> HYPERLINK \l "_Toc10702" </w:instrText>
      </w:r>
      <w:r>
        <w:fldChar w:fldCharType="separate"/>
      </w:r>
      <w:r>
        <w:rPr>
          <w:rFonts w:cs="Times New Roman"/>
        </w:rPr>
        <w:t>9 环境影响经济损益分析</w:t>
      </w:r>
      <w:r>
        <w:tab/>
      </w:r>
      <w:r>
        <w:fldChar w:fldCharType="begin"/>
      </w:r>
      <w:r>
        <w:instrText xml:space="preserve"> PAGEREF _Toc10702 \h </w:instrText>
      </w:r>
      <w:r>
        <w:fldChar w:fldCharType="separate"/>
      </w:r>
      <w:r>
        <w:t>298</w:t>
      </w:r>
      <w:r>
        <w:fldChar w:fldCharType="end"/>
      </w:r>
      <w:r>
        <w:fldChar w:fldCharType="end"/>
      </w:r>
    </w:p>
    <w:p>
      <w:pPr>
        <w:pStyle w:val="49"/>
        <w:tabs>
          <w:tab w:val="right" w:leader="dot" w:pos="8792"/>
        </w:tabs>
        <w:ind w:left="480" w:firstLine="480"/>
      </w:pPr>
      <w:r>
        <w:fldChar w:fldCharType="begin"/>
      </w:r>
      <w:r>
        <w:instrText xml:space="preserve"> HYPERLINK \l "_Toc21454" </w:instrText>
      </w:r>
      <w:r>
        <w:fldChar w:fldCharType="separate"/>
      </w:r>
      <w:r>
        <w:rPr>
          <w:rFonts w:ascii="Times New Roman" w:cs="Times New Roman"/>
        </w:rPr>
        <w:t>9.1 工程经济、社会效益分析</w:t>
      </w:r>
      <w:r>
        <w:tab/>
      </w:r>
      <w:r>
        <w:fldChar w:fldCharType="begin"/>
      </w:r>
      <w:r>
        <w:instrText xml:space="preserve"> PAGEREF _Toc21454 \h </w:instrText>
      </w:r>
      <w:r>
        <w:fldChar w:fldCharType="separate"/>
      </w:r>
      <w:r>
        <w:t>298</w:t>
      </w:r>
      <w:r>
        <w:fldChar w:fldCharType="end"/>
      </w:r>
      <w:r>
        <w:fldChar w:fldCharType="end"/>
      </w:r>
    </w:p>
    <w:p>
      <w:pPr>
        <w:pStyle w:val="49"/>
        <w:tabs>
          <w:tab w:val="right" w:leader="dot" w:pos="8792"/>
        </w:tabs>
        <w:ind w:left="480" w:firstLine="480"/>
      </w:pPr>
      <w:r>
        <w:fldChar w:fldCharType="begin"/>
      </w:r>
      <w:r>
        <w:instrText xml:space="preserve"> HYPERLINK \l "_Toc9349" </w:instrText>
      </w:r>
      <w:r>
        <w:fldChar w:fldCharType="separate"/>
      </w:r>
      <w:r>
        <w:rPr>
          <w:rFonts w:ascii="Times New Roman" w:cs="Times New Roman"/>
        </w:rPr>
        <w:t>9.2 环境损益分析</w:t>
      </w:r>
      <w:r>
        <w:tab/>
      </w:r>
      <w:r>
        <w:fldChar w:fldCharType="begin"/>
      </w:r>
      <w:r>
        <w:instrText xml:space="preserve"> PAGEREF _Toc9349 \h </w:instrText>
      </w:r>
      <w:r>
        <w:fldChar w:fldCharType="separate"/>
      </w:r>
      <w:r>
        <w:t>298</w:t>
      </w:r>
      <w:r>
        <w:fldChar w:fldCharType="end"/>
      </w:r>
      <w:r>
        <w:fldChar w:fldCharType="end"/>
      </w:r>
    </w:p>
    <w:p>
      <w:pPr>
        <w:pStyle w:val="49"/>
        <w:tabs>
          <w:tab w:val="right" w:leader="dot" w:pos="8792"/>
        </w:tabs>
        <w:ind w:left="480" w:firstLine="480"/>
      </w:pPr>
      <w:r>
        <w:fldChar w:fldCharType="begin"/>
      </w:r>
      <w:r>
        <w:instrText xml:space="preserve"> HYPERLINK \l "_Toc7727" </w:instrText>
      </w:r>
      <w:r>
        <w:fldChar w:fldCharType="separate"/>
      </w:r>
      <w:r>
        <w:rPr>
          <w:rFonts w:hint="eastAsia" w:cs="Times New Roman"/>
        </w:rPr>
        <w:t>9.3</w:t>
      </w:r>
      <w:r>
        <w:rPr>
          <w:rFonts w:hint="eastAsia" w:ascii="Times New Roman" w:cs="Times New Roman"/>
        </w:rPr>
        <w:t>温室气体排放核算</w:t>
      </w:r>
      <w:r>
        <w:tab/>
      </w:r>
      <w:r>
        <w:fldChar w:fldCharType="begin"/>
      </w:r>
      <w:r>
        <w:instrText xml:space="preserve"> PAGEREF _Toc7727 \h </w:instrText>
      </w:r>
      <w:r>
        <w:fldChar w:fldCharType="separate"/>
      </w:r>
      <w:r>
        <w:t>299</w:t>
      </w:r>
      <w:r>
        <w:fldChar w:fldCharType="end"/>
      </w:r>
      <w:r>
        <w:fldChar w:fldCharType="end"/>
      </w:r>
    </w:p>
    <w:p>
      <w:pPr>
        <w:pStyle w:val="49"/>
        <w:tabs>
          <w:tab w:val="right" w:leader="dot" w:pos="8792"/>
        </w:tabs>
        <w:ind w:left="480" w:firstLine="480"/>
      </w:pPr>
      <w:r>
        <w:fldChar w:fldCharType="begin"/>
      </w:r>
      <w:r>
        <w:instrText xml:space="preserve"> HYPERLINK \l "_Toc9711" </w:instrText>
      </w:r>
      <w:r>
        <w:fldChar w:fldCharType="separate"/>
      </w:r>
      <w:r>
        <w:rPr>
          <w:rFonts w:ascii="Times New Roman" w:cs="Times New Roman"/>
        </w:rPr>
        <w:t>9.</w:t>
      </w:r>
      <w:r>
        <w:rPr>
          <w:rFonts w:hint="eastAsia" w:cs="Times New Roman"/>
        </w:rPr>
        <w:t>4</w:t>
      </w:r>
      <w:r>
        <w:rPr>
          <w:rFonts w:ascii="Times New Roman" w:cs="Times New Roman"/>
        </w:rPr>
        <w:t xml:space="preserve"> 结论</w:t>
      </w:r>
      <w:r>
        <w:tab/>
      </w:r>
      <w:r>
        <w:fldChar w:fldCharType="begin"/>
      </w:r>
      <w:r>
        <w:instrText xml:space="preserve"> PAGEREF _Toc9711 \h </w:instrText>
      </w:r>
      <w:r>
        <w:fldChar w:fldCharType="separate"/>
      </w:r>
      <w:r>
        <w:t>300</w:t>
      </w:r>
      <w:r>
        <w:fldChar w:fldCharType="end"/>
      </w:r>
      <w:r>
        <w:fldChar w:fldCharType="end"/>
      </w:r>
    </w:p>
    <w:p>
      <w:pPr>
        <w:pStyle w:val="39"/>
        <w:tabs>
          <w:tab w:val="right" w:leader="dot" w:pos="8792"/>
        </w:tabs>
      </w:pPr>
      <w:r>
        <w:fldChar w:fldCharType="begin"/>
      </w:r>
      <w:r>
        <w:instrText xml:space="preserve"> HYPERLINK \l "_Toc18403" </w:instrText>
      </w:r>
      <w:r>
        <w:fldChar w:fldCharType="separate"/>
      </w:r>
      <w:r>
        <w:rPr>
          <w:rFonts w:cs="Times New Roman"/>
        </w:rPr>
        <w:t>10 环境管理与监测计划</w:t>
      </w:r>
      <w:r>
        <w:tab/>
      </w:r>
      <w:r>
        <w:fldChar w:fldCharType="begin"/>
      </w:r>
      <w:r>
        <w:instrText xml:space="preserve"> PAGEREF _Toc18403 \h </w:instrText>
      </w:r>
      <w:r>
        <w:fldChar w:fldCharType="separate"/>
      </w:r>
      <w:r>
        <w:t>301</w:t>
      </w:r>
      <w:r>
        <w:fldChar w:fldCharType="end"/>
      </w:r>
      <w:r>
        <w:fldChar w:fldCharType="end"/>
      </w:r>
    </w:p>
    <w:p>
      <w:pPr>
        <w:pStyle w:val="49"/>
        <w:tabs>
          <w:tab w:val="right" w:leader="dot" w:pos="8792"/>
        </w:tabs>
        <w:ind w:left="480" w:firstLine="480"/>
      </w:pPr>
      <w:r>
        <w:fldChar w:fldCharType="begin"/>
      </w:r>
      <w:r>
        <w:instrText xml:space="preserve"> HYPERLINK \l "_Toc12318" </w:instrText>
      </w:r>
      <w:r>
        <w:fldChar w:fldCharType="separate"/>
      </w:r>
      <w:r>
        <w:rPr>
          <w:rFonts w:ascii="Times New Roman" w:cs="Times New Roman"/>
        </w:rPr>
        <w:t>10.1 施工期环境管理</w:t>
      </w:r>
      <w:r>
        <w:tab/>
      </w:r>
      <w:r>
        <w:fldChar w:fldCharType="begin"/>
      </w:r>
      <w:r>
        <w:instrText xml:space="preserve"> PAGEREF _Toc12318 \h </w:instrText>
      </w:r>
      <w:r>
        <w:fldChar w:fldCharType="separate"/>
      </w:r>
      <w:r>
        <w:t>301</w:t>
      </w:r>
      <w:r>
        <w:fldChar w:fldCharType="end"/>
      </w:r>
      <w:r>
        <w:fldChar w:fldCharType="end"/>
      </w:r>
    </w:p>
    <w:p>
      <w:pPr>
        <w:pStyle w:val="49"/>
        <w:tabs>
          <w:tab w:val="right" w:leader="dot" w:pos="8792"/>
        </w:tabs>
        <w:ind w:left="480" w:firstLine="480"/>
      </w:pPr>
      <w:r>
        <w:fldChar w:fldCharType="begin"/>
      </w:r>
      <w:r>
        <w:instrText xml:space="preserve"> HYPERLINK \l "_Toc24597" </w:instrText>
      </w:r>
      <w:r>
        <w:fldChar w:fldCharType="separate"/>
      </w:r>
      <w:r>
        <w:rPr>
          <w:rFonts w:ascii="Times New Roman" w:cs="Times New Roman"/>
        </w:rPr>
        <w:t>10.2 试采期环境管理</w:t>
      </w:r>
      <w:r>
        <w:tab/>
      </w:r>
      <w:r>
        <w:fldChar w:fldCharType="begin"/>
      </w:r>
      <w:r>
        <w:instrText xml:space="preserve"> PAGEREF _Toc24597 \h </w:instrText>
      </w:r>
      <w:r>
        <w:fldChar w:fldCharType="separate"/>
      </w:r>
      <w:r>
        <w:t>303</w:t>
      </w:r>
      <w:r>
        <w:fldChar w:fldCharType="end"/>
      </w:r>
      <w:r>
        <w:fldChar w:fldCharType="end"/>
      </w:r>
    </w:p>
    <w:p>
      <w:pPr>
        <w:pStyle w:val="39"/>
        <w:tabs>
          <w:tab w:val="right" w:leader="dot" w:pos="8792"/>
        </w:tabs>
      </w:pPr>
      <w:r>
        <w:fldChar w:fldCharType="begin"/>
      </w:r>
      <w:r>
        <w:instrText xml:space="preserve"> HYPERLINK \l "_Toc23912" </w:instrText>
      </w:r>
      <w:r>
        <w:fldChar w:fldCharType="separate"/>
      </w:r>
      <w:r>
        <w:rPr>
          <w:rFonts w:cs="Times New Roman"/>
        </w:rPr>
        <w:t>11 结论与建议</w:t>
      </w:r>
      <w:r>
        <w:tab/>
      </w:r>
      <w:r>
        <w:fldChar w:fldCharType="begin"/>
      </w:r>
      <w:r>
        <w:instrText xml:space="preserve"> PAGEREF _Toc23912 \h </w:instrText>
      </w:r>
      <w:r>
        <w:fldChar w:fldCharType="separate"/>
      </w:r>
      <w:r>
        <w:t>305</w:t>
      </w:r>
      <w:r>
        <w:fldChar w:fldCharType="end"/>
      </w:r>
      <w:r>
        <w:fldChar w:fldCharType="end"/>
      </w:r>
    </w:p>
    <w:p>
      <w:pPr>
        <w:pStyle w:val="49"/>
        <w:tabs>
          <w:tab w:val="right" w:leader="dot" w:pos="8792"/>
        </w:tabs>
        <w:ind w:left="480" w:firstLine="480"/>
      </w:pPr>
      <w:r>
        <w:fldChar w:fldCharType="begin"/>
      </w:r>
      <w:r>
        <w:instrText xml:space="preserve"> HYPERLINK \l "_Toc10295" </w:instrText>
      </w:r>
      <w:r>
        <w:fldChar w:fldCharType="separate"/>
      </w:r>
      <w:r>
        <w:rPr>
          <w:rFonts w:ascii="Times New Roman" w:cs="Times New Roman"/>
        </w:rPr>
        <w:t>11.1 项目基本情况</w:t>
      </w:r>
      <w:r>
        <w:tab/>
      </w:r>
      <w:r>
        <w:fldChar w:fldCharType="begin"/>
      </w:r>
      <w:r>
        <w:instrText xml:space="preserve"> PAGEREF _Toc10295 \h </w:instrText>
      </w:r>
      <w:r>
        <w:fldChar w:fldCharType="separate"/>
      </w:r>
      <w:r>
        <w:t>305</w:t>
      </w:r>
      <w:r>
        <w:fldChar w:fldCharType="end"/>
      </w:r>
      <w:r>
        <w:fldChar w:fldCharType="end"/>
      </w:r>
    </w:p>
    <w:p>
      <w:pPr>
        <w:pStyle w:val="49"/>
        <w:tabs>
          <w:tab w:val="right" w:leader="dot" w:pos="8792"/>
        </w:tabs>
        <w:ind w:left="480" w:firstLine="480"/>
      </w:pPr>
      <w:r>
        <w:fldChar w:fldCharType="begin"/>
      </w:r>
      <w:r>
        <w:instrText xml:space="preserve"> HYPERLINK \l "_Toc35" </w:instrText>
      </w:r>
      <w:r>
        <w:fldChar w:fldCharType="separate"/>
      </w:r>
      <w:r>
        <w:rPr>
          <w:rFonts w:ascii="Times New Roman" w:cs="Times New Roman"/>
        </w:rPr>
        <w:t>11.2 产业政策符合性分析</w:t>
      </w:r>
      <w:r>
        <w:tab/>
      </w:r>
      <w:r>
        <w:fldChar w:fldCharType="begin"/>
      </w:r>
      <w:r>
        <w:instrText xml:space="preserve"> PAGEREF _Toc35 \h </w:instrText>
      </w:r>
      <w:r>
        <w:fldChar w:fldCharType="separate"/>
      </w:r>
      <w:r>
        <w:t>306</w:t>
      </w:r>
      <w:r>
        <w:fldChar w:fldCharType="end"/>
      </w:r>
      <w:r>
        <w:fldChar w:fldCharType="end"/>
      </w:r>
    </w:p>
    <w:p>
      <w:pPr>
        <w:pStyle w:val="49"/>
        <w:tabs>
          <w:tab w:val="right" w:leader="dot" w:pos="8792"/>
        </w:tabs>
        <w:ind w:left="480" w:firstLine="480"/>
      </w:pPr>
      <w:r>
        <w:fldChar w:fldCharType="begin"/>
      </w:r>
      <w:r>
        <w:instrText xml:space="preserve"> HYPERLINK \l "_Toc3403" </w:instrText>
      </w:r>
      <w:r>
        <w:fldChar w:fldCharType="separate"/>
      </w:r>
      <w:r>
        <w:rPr>
          <w:rFonts w:ascii="Times New Roman" w:cs="Times New Roman"/>
        </w:rPr>
        <w:t>11.3 清洁生产</w:t>
      </w:r>
      <w:r>
        <w:tab/>
      </w:r>
      <w:r>
        <w:fldChar w:fldCharType="begin"/>
      </w:r>
      <w:r>
        <w:instrText xml:space="preserve"> PAGEREF _Toc3403 \h </w:instrText>
      </w:r>
      <w:r>
        <w:fldChar w:fldCharType="separate"/>
      </w:r>
      <w:r>
        <w:t>306</w:t>
      </w:r>
      <w:r>
        <w:fldChar w:fldCharType="end"/>
      </w:r>
      <w:r>
        <w:fldChar w:fldCharType="end"/>
      </w:r>
    </w:p>
    <w:p>
      <w:pPr>
        <w:pStyle w:val="49"/>
        <w:tabs>
          <w:tab w:val="right" w:leader="dot" w:pos="8792"/>
        </w:tabs>
        <w:ind w:left="480" w:firstLine="480"/>
      </w:pPr>
      <w:r>
        <w:fldChar w:fldCharType="begin"/>
      </w:r>
      <w:r>
        <w:instrText xml:space="preserve"> HYPERLINK \l "_Toc11582" </w:instrText>
      </w:r>
      <w:r>
        <w:fldChar w:fldCharType="separate"/>
      </w:r>
      <w:r>
        <w:rPr>
          <w:rFonts w:ascii="Times New Roman" w:cs="Times New Roman"/>
        </w:rPr>
        <w:t>11.4 总量控制</w:t>
      </w:r>
      <w:r>
        <w:tab/>
      </w:r>
      <w:r>
        <w:fldChar w:fldCharType="begin"/>
      </w:r>
      <w:r>
        <w:instrText xml:space="preserve"> PAGEREF _Toc11582 \h </w:instrText>
      </w:r>
      <w:r>
        <w:fldChar w:fldCharType="separate"/>
      </w:r>
      <w:r>
        <w:t>306</w:t>
      </w:r>
      <w:r>
        <w:fldChar w:fldCharType="end"/>
      </w:r>
      <w:r>
        <w:fldChar w:fldCharType="end"/>
      </w:r>
    </w:p>
    <w:p>
      <w:pPr>
        <w:pStyle w:val="49"/>
        <w:tabs>
          <w:tab w:val="right" w:leader="dot" w:pos="8792"/>
        </w:tabs>
        <w:ind w:left="480" w:firstLine="480"/>
      </w:pPr>
      <w:r>
        <w:fldChar w:fldCharType="begin"/>
      </w:r>
      <w:r>
        <w:instrText xml:space="preserve"> HYPERLINK \l "_Toc9358" </w:instrText>
      </w:r>
      <w:r>
        <w:fldChar w:fldCharType="separate"/>
      </w:r>
      <w:r>
        <w:rPr>
          <w:rFonts w:ascii="Times New Roman" w:cs="Times New Roman"/>
        </w:rPr>
        <w:t>11.5 环境现状评价结论</w:t>
      </w:r>
      <w:r>
        <w:tab/>
      </w:r>
      <w:r>
        <w:fldChar w:fldCharType="begin"/>
      </w:r>
      <w:r>
        <w:instrText xml:space="preserve"> PAGEREF _Toc9358 \h </w:instrText>
      </w:r>
      <w:r>
        <w:fldChar w:fldCharType="separate"/>
      </w:r>
      <w:r>
        <w:t>307</w:t>
      </w:r>
      <w:r>
        <w:fldChar w:fldCharType="end"/>
      </w:r>
      <w:r>
        <w:fldChar w:fldCharType="end"/>
      </w:r>
    </w:p>
    <w:p>
      <w:pPr>
        <w:pStyle w:val="49"/>
        <w:tabs>
          <w:tab w:val="right" w:leader="dot" w:pos="8792"/>
        </w:tabs>
        <w:ind w:left="480" w:firstLine="480"/>
      </w:pPr>
      <w:r>
        <w:fldChar w:fldCharType="begin"/>
      </w:r>
      <w:r>
        <w:instrText xml:space="preserve"> HYPERLINK \l "_Toc28881" </w:instrText>
      </w:r>
      <w:r>
        <w:fldChar w:fldCharType="separate"/>
      </w:r>
      <w:r>
        <w:rPr>
          <w:rFonts w:ascii="Times New Roman" w:cs="Times New Roman"/>
        </w:rPr>
        <w:t>11.6 环境影响评价结论</w:t>
      </w:r>
      <w:r>
        <w:tab/>
      </w:r>
      <w:r>
        <w:fldChar w:fldCharType="begin"/>
      </w:r>
      <w:r>
        <w:instrText xml:space="preserve"> PAGEREF _Toc28881 \h </w:instrText>
      </w:r>
      <w:r>
        <w:fldChar w:fldCharType="separate"/>
      </w:r>
      <w:r>
        <w:t>307</w:t>
      </w:r>
      <w:r>
        <w:fldChar w:fldCharType="end"/>
      </w:r>
      <w:r>
        <w:fldChar w:fldCharType="end"/>
      </w:r>
    </w:p>
    <w:p>
      <w:pPr>
        <w:pStyle w:val="49"/>
        <w:tabs>
          <w:tab w:val="right" w:leader="dot" w:pos="8792"/>
        </w:tabs>
        <w:ind w:left="480" w:firstLine="480"/>
      </w:pPr>
      <w:r>
        <w:fldChar w:fldCharType="begin"/>
      </w:r>
      <w:r>
        <w:instrText xml:space="preserve"> HYPERLINK \l "_Toc3684" </w:instrText>
      </w:r>
      <w:r>
        <w:fldChar w:fldCharType="separate"/>
      </w:r>
      <w:r>
        <w:rPr>
          <w:rFonts w:ascii="Times New Roman" w:cs="Times New Roman"/>
        </w:rPr>
        <w:t>11.7 环保措施及经济技术论证</w:t>
      </w:r>
      <w:r>
        <w:tab/>
      </w:r>
      <w:r>
        <w:fldChar w:fldCharType="begin"/>
      </w:r>
      <w:r>
        <w:instrText xml:space="preserve"> PAGEREF _Toc3684 \h </w:instrText>
      </w:r>
      <w:r>
        <w:fldChar w:fldCharType="separate"/>
      </w:r>
      <w:r>
        <w:t>309</w:t>
      </w:r>
      <w:r>
        <w:fldChar w:fldCharType="end"/>
      </w:r>
      <w:r>
        <w:fldChar w:fldCharType="end"/>
      </w:r>
    </w:p>
    <w:p>
      <w:pPr>
        <w:pStyle w:val="49"/>
        <w:tabs>
          <w:tab w:val="right" w:leader="dot" w:pos="8792"/>
        </w:tabs>
        <w:ind w:left="480" w:firstLine="480"/>
      </w:pPr>
      <w:r>
        <w:fldChar w:fldCharType="begin"/>
      </w:r>
      <w:r>
        <w:instrText xml:space="preserve"> HYPERLINK \l "_Toc9161" </w:instrText>
      </w:r>
      <w:r>
        <w:fldChar w:fldCharType="separate"/>
      </w:r>
      <w:r>
        <w:rPr>
          <w:rFonts w:ascii="Times New Roman" w:cs="Times New Roman"/>
        </w:rPr>
        <w:t>11.8 环境风险评价结论</w:t>
      </w:r>
      <w:r>
        <w:tab/>
      </w:r>
      <w:r>
        <w:fldChar w:fldCharType="begin"/>
      </w:r>
      <w:r>
        <w:instrText xml:space="preserve"> PAGEREF _Toc9161 \h </w:instrText>
      </w:r>
      <w:r>
        <w:fldChar w:fldCharType="separate"/>
      </w:r>
      <w:r>
        <w:t>310</w:t>
      </w:r>
      <w:r>
        <w:fldChar w:fldCharType="end"/>
      </w:r>
      <w:r>
        <w:fldChar w:fldCharType="end"/>
      </w:r>
    </w:p>
    <w:p>
      <w:pPr>
        <w:pStyle w:val="49"/>
        <w:tabs>
          <w:tab w:val="right" w:leader="dot" w:pos="8792"/>
        </w:tabs>
        <w:ind w:left="480" w:firstLine="480"/>
      </w:pPr>
      <w:r>
        <w:fldChar w:fldCharType="begin"/>
      </w:r>
      <w:r>
        <w:instrText xml:space="preserve"> HYPERLINK \l "_Toc31154" </w:instrText>
      </w:r>
      <w:r>
        <w:fldChar w:fldCharType="separate"/>
      </w:r>
      <w:r>
        <w:rPr>
          <w:rFonts w:ascii="Times New Roman" w:cs="Times New Roman"/>
        </w:rPr>
        <w:t>11.9 选线、选址的环境可行性</w:t>
      </w:r>
      <w:r>
        <w:tab/>
      </w:r>
      <w:r>
        <w:fldChar w:fldCharType="begin"/>
      </w:r>
      <w:r>
        <w:instrText xml:space="preserve"> PAGEREF _Toc31154 \h </w:instrText>
      </w:r>
      <w:r>
        <w:fldChar w:fldCharType="separate"/>
      </w:r>
      <w:r>
        <w:t>310</w:t>
      </w:r>
      <w:r>
        <w:fldChar w:fldCharType="end"/>
      </w:r>
      <w:r>
        <w:fldChar w:fldCharType="end"/>
      </w:r>
    </w:p>
    <w:p>
      <w:pPr>
        <w:pStyle w:val="49"/>
        <w:tabs>
          <w:tab w:val="right" w:leader="dot" w:pos="8792"/>
        </w:tabs>
        <w:ind w:left="480" w:firstLine="480"/>
      </w:pPr>
      <w:r>
        <w:fldChar w:fldCharType="begin"/>
      </w:r>
      <w:r>
        <w:instrText xml:space="preserve"> HYPERLINK \l "_Toc21599" </w:instrText>
      </w:r>
      <w:r>
        <w:fldChar w:fldCharType="separate"/>
      </w:r>
      <w:r>
        <w:rPr>
          <w:rFonts w:ascii="Times New Roman" w:cs="Times New Roman"/>
        </w:rPr>
        <w:t>11.10 环境影响经济损益分析</w:t>
      </w:r>
      <w:r>
        <w:tab/>
      </w:r>
      <w:r>
        <w:fldChar w:fldCharType="begin"/>
      </w:r>
      <w:r>
        <w:instrText xml:space="preserve"> PAGEREF _Toc21599 \h </w:instrText>
      </w:r>
      <w:r>
        <w:fldChar w:fldCharType="separate"/>
      </w:r>
      <w:r>
        <w:t>310</w:t>
      </w:r>
      <w:r>
        <w:fldChar w:fldCharType="end"/>
      </w:r>
      <w:r>
        <w:fldChar w:fldCharType="end"/>
      </w:r>
    </w:p>
    <w:p>
      <w:pPr>
        <w:pStyle w:val="49"/>
        <w:tabs>
          <w:tab w:val="right" w:leader="dot" w:pos="8792"/>
        </w:tabs>
        <w:ind w:left="480" w:firstLine="480"/>
      </w:pPr>
      <w:r>
        <w:fldChar w:fldCharType="begin"/>
      </w:r>
      <w:r>
        <w:instrText xml:space="preserve"> HYPERLINK \l "_Toc4879" </w:instrText>
      </w:r>
      <w:r>
        <w:fldChar w:fldCharType="separate"/>
      </w:r>
      <w:r>
        <w:rPr>
          <w:rFonts w:ascii="Times New Roman" w:cs="Times New Roman"/>
        </w:rPr>
        <w:t>11.11 公众参与调查</w:t>
      </w:r>
      <w:r>
        <w:tab/>
      </w:r>
      <w:r>
        <w:fldChar w:fldCharType="begin"/>
      </w:r>
      <w:r>
        <w:instrText xml:space="preserve"> PAGEREF _Toc4879 \h </w:instrText>
      </w:r>
      <w:r>
        <w:fldChar w:fldCharType="separate"/>
      </w:r>
      <w:r>
        <w:t>310</w:t>
      </w:r>
      <w:r>
        <w:fldChar w:fldCharType="end"/>
      </w:r>
      <w:r>
        <w:fldChar w:fldCharType="end"/>
      </w:r>
    </w:p>
    <w:p>
      <w:pPr>
        <w:pStyle w:val="49"/>
        <w:tabs>
          <w:tab w:val="right" w:leader="dot" w:pos="8792"/>
        </w:tabs>
        <w:ind w:left="480" w:firstLine="480"/>
      </w:pPr>
      <w:r>
        <w:fldChar w:fldCharType="begin"/>
      </w:r>
      <w:r>
        <w:instrText xml:space="preserve"> HYPERLINK \l "_Toc32519" </w:instrText>
      </w:r>
      <w:r>
        <w:fldChar w:fldCharType="separate"/>
      </w:r>
      <w:r>
        <w:rPr>
          <w:rFonts w:ascii="Times New Roman" w:cs="Times New Roman"/>
        </w:rPr>
        <w:t>11.12 评价结论</w:t>
      </w:r>
      <w:r>
        <w:tab/>
      </w:r>
      <w:r>
        <w:fldChar w:fldCharType="begin"/>
      </w:r>
      <w:r>
        <w:instrText xml:space="preserve"> PAGEREF _Toc32519 \h </w:instrText>
      </w:r>
      <w:r>
        <w:fldChar w:fldCharType="separate"/>
      </w:r>
      <w:r>
        <w:t>311</w:t>
      </w:r>
      <w:r>
        <w:fldChar w:fldCharType="end"/>
      </w:r>
      <w:r>
        <w:fldChar w:fldCharType="end"/>
      </w:r>
    </w:p>
    <w:p>
      <w:pPr>
        <w:pStyle w:val="49"/>
        <w:tabs>
          <w:tab w:val="right" w:leader="dot" w:pos="9340"/>
        </w:tabs>
        <w:ind w:left="0" w:leftChars="0" w:firstLine="480"/>
        <w:rPr>
          <w:rFonts w:ascii="Times New Roman" w:cs="Times New Roman"/>
          <w:b/>
          <w:bCs/>
        </w:rPr>
      </w:pPr>
      <w:r>
        <w:rPr>
          <w:rFonts w:ascii="Times New Roman" w:cs="Times New Roman"/>
        </w:rPr>
        <w:fldChar w:fldCharType="end"/>
      </w:r>
      <w:r>
        <w:rPr>
          <w:rFonts w:ascii="Times New Roman" w:cs="Times New Roman"/>
          <w:b/>
          <w:bCs/>
        </w:rPr>
        <w:t>附  图：</w:t>
      </w:r>
    </w:p>
    <w:p>
      <w:pPr>
        <w:ind w:firstLine="1080" w:firstLineChars="450"/>
        <w:rPr>
          <w:rFonts w:ascii="Times New Roman" w:cs="Times New Roman"/>
        </w:rPr>
      </w:pPr>
      <w:r>
        <w:rPr>
          <w:rFonts w:ascii="Times New Roman" w:cs="Times New Roman"/>
        </w:rPr>
        <w:t>附图1 项目地理位置图</w:t>
      </w:r>
    </w:p>
    <w:p>
      <w:pPr>
        <w:ind w:firstLine="1080" w:firstLineChars="450"/>
        <w:rPr>
          <w:rFonts w:ascii="Times New Roman" w:cs="Times New Roman"/>
        </w:rPr>
      </w:pPr>
      <w:r>
        <w:rPr>
          <w:rFonts w:ascii="Times New Roman" w:cs="Times New Roman"/>
        </w:rPr>
        <w:t>附图2 项目所在区域水系图</w:t>
      </w:r>
    </w:p>
    <w:p>
      <w:pPr>
        <w:ind w:firstLine="1080" w:firstLineChars="450"/>
        <w:rPr>
          <w:rFonts w:ascii="Times New Roman" w:cs="Times New Roman"/>
        </w:rPr>
      </w:pPr>
      <w:r>
        <w:rPr>
          <w:rFonts w:ascii="Times New Roman" w:cs="Times New Roman"/>
        </w:rPr>
        <w:t xml:space="preserve">附图3-1 </w:t>
      </w:r>
      <w:bookmarkStart w:id="1" w:name="_Ref495759037"/>
      <w:bookmarkStart w:id="2" w:name="_Toc11834"/>
      <w:bookmarkStart w:id="3" w:name="_Toc500315313"/>
      <w:bookmarkStart w:id="4" w:name="_Toc524531004"/>
      <w:r>
        <w:rPr>
          <w:rFonts w:ascii="Times New Roman" w:cs="Times New Roman"/>
        </w:rPr>
        <w:t>监测布点图</w:t>
      </w:r>
      <w:bookmarkEnd w:id="1"/>
      <w:bookmarkEnd w:id="2"/>
      <w:bookmarkEnd w:id="3"/>
      <w:bookmarkEnd w:id="4"/>
      <w:r>
        <w:rPr>
          <w:rFonts w:ascii="Times New Roman" w:cs="Times New Roman"/>
        </w:rPr>
        <w:t>（大气、地表水、地下水）及地表水环境敏感目标</w:t>
      </w:r>
    </w:p>
    <w:p>
      <w:pPr>
        <w:ind w:firstLine="1080" w:firstLineChars="450"/>
        <w:rPr>
          <w:rFonts w:ascii="Times New Roman" w:cs="Times New Roman"/>
        </w:rPr>
      </w:pPr>
      <w:r>
        <w:rPr>
          <w:rFonts w:ascii="Times New Roman" w:cs="Times New Roman"/>
        </w:rPr>
        <w:t>附图3-2 监测布点图（声环境、土壤环境）</w:t>
      </w:r>
    </w:p>
    <w:p>
      <w:pPr>
        <w:ind w:firstLine="1080" w:firstLineChars="450"/>
        <w:rPr>
          <w:rFonts w:ascii="Times New Roman" w:cs="Times New Roman"/>
        </w:rPr>
      </w:pPr>
      <w:r>
        <w:rPr>
          <w:rFonts w:ascii="Times New Roman" w:cs="Times New Roman"/>
        </w:rPr>
        <w:t>附图4 P108平台5000m范围内人居及外环境关系图</w:t>
      </w:r>
    </w:p>
    <w:p>
      <w:pPr>
        <w:ind w:firstLine="1080" w:firstLineChars="450"/>
        <w:rPr>
          <w:rFonts w:ascii="Times New Roman" w:cs="Times New Roman"/>
        </w:rPr>
      </w:pPr>
      <w:r>
        <w:rPr>
          <w:rFonts w:ascii="Times New Roman" w:cs="Times New Roman"/>
        </w:rPr>
        <w:t>附图5</w:t>
      </w:r>
      <w:bookmarkStart w:id="5" w:name="_Toc500315314"/>
      <w:bookmarkStart w:id="6" w:name="_Ref502991641"/>
      <w:bookmarkStart w:id="7" w:name="_Toc524531005"/>
      <w:bookmarkStart w:id="8" w:name="_Toc9099"/>
      <w:r>
        <w:rPr>
          <w:rFonts w:ascii="Times New Roman" w:cs="Times New Roman"/>
        </w:rPr>
        <w:t>普光气田管网图</w:t>
      </w:r>
      <w:bookmarkEnd w:id="5"/>
      <w:bookmarkEnd w:id="6"/>
      <w:bookmarkEnd w:id="7"/>
      <w:bookmarkEnd w:id="8"/>
    </w:p>
    <w:p>
      <w:pPr>
        <w:ind w:firstLine="1080" w:firstLineChars="450"/>
        <w:rPr>
          <w:rFonts w:ascii="Times New Roman" w:cs="Times New Roman"/>
        </w:rPr>
      </w:pPr>
      <w:r>
        <w:rPr>
          <w:rFonts w:ascii="Times New Roman" w:cs="Times New Roman"/>
        </w:rPr>
        <w:t>附图6本项目站场平面布置图</w:t>
      </w:r>
    </w:p>
    <w:p>
      <w:pPr>
        <w:ind w:firstLine="1080" w:firstLineChars="450"/>
        <w:rPr>
          <w:rFonts w:ascii="Times New Roman" w:cs="Times New Roman"/>
        </w:rPr>
      </w:pPr>
      <w:r>
        <w:rPr>
          <w:rFonts w:ascii="Times New Roman" w:cs="Times New Roman"/>
        </w:rPr>
        <w:t>附图7本项目站场排污管网图</w:t>
      </w:r>
    </w:p>
    <w:p>
      <w:pPr>
        <w:ind w:firstLine="1080" w:firstLineChars="450"/>
        <w:rPr>
          <w:rFonts w:ascii="Times New Roman" w:cs="Times New Roman"/>
        </w:rPr>
      </w:pPr>
      <w:r>
        <w:rPr>
          <w:rFonts w:ascii="Times New Roman" w:cs="Times New Roman"/>
        </w:rPr>
        <w:t>附图8 P108平台喷事故环境风险影响范围及疏散线路图</w:t>
      </w:r>
    </w:p>
    <w:p>
      <w:pPr>
        <w:ind w:firstLine="1080" w:firstLineChars="450"/>
        <w:rPr>
          <w:rFonts w:ascii="Times New Roman" w:cs="Times New Roman"/>
        </w:rPr>
      </w:pPr>
      <w:r>
        <w:rPr>
          <w:rFonts w:ascii="Times New Roman" w:cs="Times New Roman"/>
        </w:rPr>
        <w:t>附图9 项目平面布局图</w:t>
      </w:r>
    </w:p>
    <w:p>
      <w:pPr>
        <w:ind w:firstLine="1080" w:firstLineChars="450"/>
        <w:rPr>
          <w:rFonts w:ascii="Times New Roman" w:cs="Times New Roman"/>
        </w:rPr>
      </w:pPr>
      <w:r>
        <w:rPr>
          <w:rFonts w:ascii="Times New Roman" w:cs="Times New Roman"/>
        </w:rPr>
        <w:t>附图10本项目天然气管线图</w:t>
      </w:r>
    </w:p>
    <w:p>
      <w:pPr>
        <w:ind w:firstLine="1080" w:firstLineChars="450"/>
        <w:rPr>
          <w:rFonts w:ascii="Times New Roman" w:cs="Times New Roman"/>
        </w:rPr>
      </w:pPr>
      <w:r>
        <w:rPr>
          <w:rFonts w:ascii="Times New Roman" w:cs="Times New Roman"/>
        </w:rPr>
        <w:t>附图11大湾403污水站工艺流程图</w:t>
      </w:r>
    </w:p>
    <w:p>
      <w:pPr>
        <w:ind w:firstLine="1080" w:firstLineChars="450"/>
        <w:rPr>
          <w:rFonts w:ascii="Times New Roman" w:cs="Times New Roman"/>
        </w:rPr>
      </w:pPr>
      <w:r>
        <w:rPr>
          <w:rFonts w:ascii="Times New Roman" w:cs="Times New Roman"/>
        </w:rPr>
        <w:t>附图12试采期废水转运路线图</w:t>
      </w:r>
    </w:p>
    <w:p>
      <w:pPr>
        <w:ind w:firstLine="1080" w:firstLineChars="450"/>
        <w:rPr>
          <w:rFonts w:ascii="Times New Roman" w:cs="Times New Roman"/>
        </w:rPr>
      </w:pPr>
      <w:r>
        <w:rPr>
          <w:rFonts w:ascii="Times New Roman" w:cs="Times New Roman"/>
        </w:rPr>
        <w:t>附图13水文地质图</w:t>
      </w:r>
    </w:p>
    <w:p>
      <w:pPr>
        <w:ind w:firstLine="1080" w:firstLineChars="450"/>
        <w:rPr>
          <w:rFonts w:ascii="Times New Roman" w:cs="Times New Roman"/>
        </w:rPr>
      </w:pPr>
      <w:r>
        <w:rPr>
          <w:rFonts w:ascii="Times New Roman" w:cs="Times New Roman"/>
        </w:rPr>
        <w:t>附图14与达州市生态红线位置关系图</w:t>
      </w:r>
    </w:p>
    <w:p>
      <w:pPr>
        <w:ind w:firstLine="1080" w:firstLineChars="450"/>
        <w:rPr>
          <w:rFonts w:ascii="Times New Roman" w:cs="Times New Roman"/>
        </w:rPr>
      </w:pPr>
      <w:r>
        <w:rPr>
          <w:rFonts w:ascii="Times New Roman" w:cs="Times New Roman"/>
        </w:rPr>
        <w:t>附图15项目所在地土地利用现状图</w:t>
      </w:r>
    </w:p>
    <w:p>
      <w:pPr>
        <w:ind w:firstLine="1080" w:firstLineChars="450"/>
        <w:rPr>
          <w:rFonts w:ascii="Times New Roman" w:cs="Times New Roman"/>
        </w:rPr>
      </w:pPr>
      <w:r>
        <w:rPr>
          <w:rFonts w:ascii="Times New Roman" w:cs="Times New Roman"/>
        </w:rPr>
        <w:t>附图16项目所在地土壤侵蚀分布图</w:t>
      </w:r>
    </w:p>
    <w:p>
      <w:pPr>
        <w:ind w:firstLine="1080" w:firstLineChars="450"/>
        <w:rPr>
          <w:rFonts w:ascii="Times New Roman" w:cs="Times New Roman"/>
        </w:rPr>
      </w:pPr>
      <w:bookmarkStart w:id="9" w:name="OLE_LINK233"/>
      <w:bookmarkStart w:id="10" w:name="OLE_LINK234"/>
      <w:r>
        <w:rPr>
          <w:rFonts w:ascii="Times New Roman" w:cs="Times New Roman"/>
        </w:rPr>
        <w:t>附图1</w:t>
      </w:r>
      <w:bookmarkEnd w:id="9"/>
      <w:bookmarkEnd w:id="10"/>
      <w:r>
        <w:rPr>
          <w:rFonts w:ascii="Times New Roman" w:cs="Times New Roman"/>
        </w:rPr>
        <w:t>7宣汉县水土重点防治区分区图</w:t>
      </w:r>
    </w:p>
    <w:p>
      <w:pPr>
        <w:ind w:firstLine="1080" w:firstLineChars="450"/>
        <w:rPr>
          <w:rFonts w:ascii="Times New Roman" w:cs="Times New Roman"/>
        </w:rPr>
      </w:pPr>
      <w:r>
        <w:rPr>
          <w:rFonts w:ascii="Times New Roman" w:cs="Times New Roman"/>
        </w:rPr>
        <w:t>附图18项目影响范围内公益林情况</w:t>
      </w:r>
    </w:p>
    <w:p>
      <w:pPr>
        <w:ind w:firstLine="1080" w:firstLineChars="450"/>
        <w:rPr>
          <w:rFonts w:ascii="Times New Roman" w:cs="Times New Roman"/>
        </w:rPr>
      </w:pPr>
      <w:r>
        <w:rPr>
          <w:rFonts w:ascii="Times New Roman" w:cs="Times New Roman"/>
        </w:rPr>
        <w:t>附图19 项目地下水评价范围及地下水环境敏感目标分布图</w:t>
      </w:r>
    </w:p>
    <w:p>
      <w:pPr>
        <w:ind w:firstLine="1080" w:firstLineChars="450"/>
        <w:rPr>
          <w:rFonts w:ascii="Times New Roman" w:cs="Times New Roman"/>
        </w:rPr>
      </w:pPr>
      <w:r>
        <w:rPr>
          <w:rFonts w:ascii="Times New Roman" w:cs="Times New Roman"/>
        </w:rPr>
        <w:t>附图20-1 现场影像资料图</w:t>
      </w:r>
    </w:p>
    <w:p>
      <w:pPr>
        <w:ind w:firstLine="1080" w:firstLineChars="450"/>
        <w:rPr>
          <w:rFonts w:ascii="Times New Roman" w:cs="Times New Roman"/>
        </w:rPr>
      </w:pPr>
      <w:r>
        <w:rPr>
          <w:rFonts w:ascii="Times New Roman" w:cs="Times New Roman"/>
        </w:rPr>
        <w:t>附图20-2 现场影像资料图</w:t>
      </w:r>
    </w:p>
    <w:p>
      <w:pPr>
        <w:ind w:firstLine="0" w:firstLineChars="0"/>
        <w:rPr>
          <w:rFonts w:ascii="Times New Roman" w:cs="Times New Roman"/>
          <w:b/>
          <w:bCs/>
        </w:rPr>
      </w:pPr>
      <w:r>
        <w:rPr>
          <w:rFonts w:ascii="Times New Roman" w:cs="Times New Roman"/>
          <w:b/>
          <w:bCs/>
        </w:rPr>
        <w:t>附  件：</w:t>
      </w:r>
    </w:p>
    <w:p>
      <w:pPr>
        <w:ind w:firstLine="1080" w:firstLineChars="450"/>
        <w:rPr>
          <w:rFonts w:ascii="Times New Roman" w:cs="Times New Roman"/>
        </w:rPr>
      </w:pPr>
      <w:r>
        <w:rPr>
          <w:rFonts w:ascii="Times New Roman" w:cs="Times New Roman"/>
        </w:rPr>
        <w:t>附件1环境影响评价委托书</w:t>
      </w:r>
    </w:p>
    <w:p>
      <w:pPr>
        <w:ind w:firstLine="1080" w:firstLineChars="450"/>
        <w:rPr>
          <w:rFonts w:ascii="Times New Roman" w:cs="Times New Roman"/>
        </w:rPr>
      </w:pPr>
      <w:r>
        <w:rPr>
          <w:rFonts w:ascii="Times New Roman" w:cs="Times New Roman"/>
        </w:rPr>
        <w:t>附件2可研批复</w:t>
      </w:r>
    </w:p>
    <w:p>
      <w:pPr>
        <w:ind w:firstLine="1080" w:firstLineChars="450"/>
        <w:rPr>
          <w:rFonts w:ascii="Times New Roman" w:cs="Times New Roman"/>
        </w:rPr>
      </w:pPr>
      <w:r>
        <w:rPr>
          <w:rFonts w:ascii="Times New Roman" w:cs="Times New Roman"/>
        </w:rPr>
        <w:t>附件3</w:t>
      </w:r>
      <w:r>
        <w:rPr>
          <w:rFonts w:hint="eastAsia" w:ascii="Times New Roman" w:cs="Times New Roman"/>
        </w:rPr>
        <w:t xml:space="preserve"> P108-1T井产能建设项目环评批复</w:t>
      </w:r>
    </w:p>
    <w:p>
      <w:pPr>
        <w:ind w:firstLine="1080" w:firstLineChars="450"/>
        <w:rPr>
          <w:rFonts w:ascii="Times New Roman" w:cs="Times New Roman"/>
        </w:rPr>
      </w:pPr>
      <w:r>
        <w:rPr>
          <w:rFonts w:ascii="Times New Roman" w:cs="Times New Roman"/>
        </w:rPr>
        <w:t>附件4大湾403污水站及回注站环评批复</w:t>
      </w:r>
    </w:p>
    <w:p>
      <w:pPr>
        <w:ind w:firstLine="1080" w:firstLineChars="450"/>
        <w:rPr>
          <w:rFonts w:ascii="Times New Roman" w:cs="Times New Roman"/>
        </w:rPr>
      </w:pPr>
      <w:r>
        <w:rPr>
          <w:rFonts w:ascii="Times New Roman" w:cs="Times New Roman"/>
        </w:rPr>
        <w:t>附件5大湾403污水站及回注站验收批复</w:t>
      </w:r>
    </w:p>
    <w:p>
      <w:pPr>
        <w:ind w:firstLine="1080" w:firstLineChars="450"/>
        <w:rPr>
          <w:rFonts w:ascii="Times New Roman" w:cs="Times New Roman"/>
        </w:rPr>
      </w:pPr>
      <w:r>
        <w:rPr>
          <w:rFonts w:ascii="Times New Roman" w:cs="Times New Roman"/>
        </w:rPr>
        <w:t>附件6引用监测报告</w:t>
      </w:r>
    </w:p>
    <w:p>
      <w:pPr>
        <w:ind w:firstLine="1080" w:firstLineChars="450"/>
        <w:rPr>
          <w:rFonts w:ascii="Times New Roman" w:cs="Times New Roman"/>
        </w:rPr>
      </w:pPr>
      <w:r>
        <w:rPr>
          <w:rFonts w:ascii="Times New Roman" w:cs="Times New Roman"/>
        </w:rPr>
        <w:t>附件7监测报告</w:t>
      </w:r>
    </w:p>
    <w:p>
      <w:pPr>
        <w:ind w:firstLine="1080" w:firstLineChars="450"/>
        <w:rPr>
          <w:rFonts w:ascii="Times New Roman" w:cs="Times New Roman"/>
        </w:rPr>
      </w:pPr>
      <w:r>
        <w:rPr>
          <w:rFonts w:ascii="Times New Roman" w:cs="Times New Roman"/>
        </w:rPr>
        <w:t>附件8普光分公司危险化学品与危险废物贮存改造工程环评批复</w:t>
      </w:r>
    </w:p>
    <w:p>
      <w:pPr>
        <w:ind w:firstLine="1080" w:firstLineChars="450"/>
        <w:rPr>
          <w:rFonts w:ascii="Times New Roman" w:cs="Times New Roman"/>
        </w:rPr>
      </w:pPr>
      <w:r>
        <w:rPr>
          <w:rFonts w:ascii="Times New Roman" w:cs="Times New Roman"/>
        </w:rPr>
        <w:t>附件9公司危险化学品与危险废物贮存改造工程竣工环境保护验收公示</w:t>
      </w:r>
    </w:p>
    <w:p>
      <w:pPr>
        <w:ind w:firstLine="1080" w:firstLineChars="450"/>
        <w:rPr>
          <w:rFonts w:ascii="Times New Roman" w:cs="Times New Roman"/>
        </w:rPr>
      </w:pPr>
      <w:r>
        <w:rPr>
          <w:rFonts w:ascii="Times New Roman" w:cs="Times New Roman"/>
        </w:rPr>
        <w:t>附件10应急预案备案文件</w:t>
      </w:r>
    </w:p>
    <w:p>
      <w:pPr>
        <w:ind w:firstLine="1080" w:firstLineChars="450"/>
        <w:rPr>
          <w:rFonts w:ascii="Times New Roman" w:cs="Times New Roman"/>
        </w:rPr>
      </w:pPr>
      <w:r>
        <w:rPr>
          <w:rFonts w:ascii="Times New Roman" w:cs="Times New Roman"/>
        </w:rPr>
        <w:t>附件11大湾污水处理站监测报告</w:t>
      </w:r>
    </w:p>
    <w:p>
      <w:pPr>
        <w:ind w:firstLine="1080" w:firstLineChars="450"/>
        <w:rPr>
          <w:rFonts w:ascii="Times New Roman" w:cs="Times New Roman"/>
        </w:rPr>
      </w:pPr>
      <w:r>
        <w:rPr>
          <w:rFonts w:ascii="Times New Roman" w:cs="Times New Roman"/>
        </w:rPr>
        <w:t>附件12毛开1井回注站监测报告</w:t>
      </w:r>
    </w:p>
    <w:p>
      <w:pPr>
        <w:ind w:firstLine="1080" w:firstLineChars="450"/>
        <w:rPr>
          <w:rFonts w:ascii="Times New Roman" w:cs="Times New Roman"/>
        </w:rPr>
      </w:pPr>
      <w:r>
        <w:rPr>
          <w:rFonts w:ascii="Times New Roman" w:cs="Times New Roman"/>
        </w:rPr>
        <w:t>附件13四川省三线一单平台分析结果</w:t>
      </w:r>
    </w:p>
    <w:p>
      <w:pPr>
        <w:ind w:firstLine="1080" w:firstLineChars="450"/>
        <w:rPr>
          <w:rFonts w:ascii="Times New Roman" w:cs="Times New Roman"/>
        </w:rPr>
      </w:pPr>
      <w:r>
        <w:rPr>
          <w:rFonts w:ascii="Times New Roman" w:cs="Times New Roman"/>
        </w:rPr>
        <w:t>附件14达市环办发〔2021〕24号 关于进一步加强固体废物污染防治工作的通知</w:t>
      </w:r>
    </w:p>
    <w:p>
      <w:pPr>
        <w:ind w:firstLine="1080" w:firstLineChars="450"/>
        <w:rPr>
          <w:rFonts w:ascii="Times New Roman" w:cs="Times New Roman"/>
        </w:rPr>
      </w:pPr>
      <w:r>
        <w:rPr>
          <w:rFonts w:ascii="Times New Roman" w:cs="Times New Roman"/>
        </w:rPr>
        <w:t>附件15达市府发〔2021〕17号</w:t>
      </w:r>
    </w:p>
    <w:p>
      <w:pPr>
        <w:ind w:firstLine="1080" w:firstLineChars="450"/>
        <w:rPr>
          <w:rFonts w:ascii="Times New Roman" w:cs="Times New Roman"/>
        </w:rPr>
      </w:pPr>
      <w:r>
        <w:rPr>
          <w:rFonts w:ascii="Times New Roman" w:cs="Times New Roman"/>
        </w:rPr>
        <w:t>附件16水土流失重点保护区川水函[2017]482号</w:t>
      </w:r>
    </w:p>
    <w:p>
      <w:pPr>
        <w:ind w:firstLine="1080" w:firstLineChars="450"/>
        <w:rPr>
          <w:rFonts w:ascii="Times New Roman" w:cs="Times New Roman"/>
        </w:rPr>
      </w:pPr>
      <w:r>
        <w:rPr>
          <w:rFonts w:ascii="Times New Roman" w:cs="Times New Roman"/>
        </w:rPr>
        <w:t>附件17 《普光分公司 P108-1T 井产能建设项目》环评批复</w:t>
      </w:r>
    </w:p>
    <w:p>
      <w:pPr>
        <w:ind w:firstLine="1080" w:firstLineChars="450"/>
        <w:rPr>
          <w:rFonts w:ascii="Times New Roman" w:cs="Times New Roman"/>
        </w:rPr>
      </w:pPr>
      <w:r>
        <w:rPr>
          <w:rFonts w:ascii="Times New Roman" w:cs="Times New Roman"/>
        </w:rPr>
        <w:t xml:space="preserve"> </w:t>
      </w:r>
    </w:p>
    <w:p>
      <w:pPr>
        <w:ind w:firstLine="0" w:firstLineChars="0"/>
        <w:rPr>
          <w:rFonts w:ascii="Times New Roman" w:cs="Times New Roman"/>
          <w:b/>
          <w:bCs/>
        </w:rPr>
      </w:pPr>
      <w:r>
        <w:rPr>
          <w:rFonts w:ascii="Times New Roman" w:cs="Times New Roman"/>
          <w:b/>
          <w:bCs/>
        </w:rPr>
        <w:t>附  表：</w:t>
      </w:r>
    </w:p>
    <w:p>
      <w:pPr>
        <w:ind w:firstLine="1080" w:firstLineChars="450"/>
        <w:rPr>
          <w:rFonts w:ascii="Times New Roman" w:cs="Times New Roman"/>
        </w:rPr>
      </w:pPr>
      <w:r>
        <w:rPr>
          <w:rFonts w:ascii="Times New Roman" w:cs="Times New Roman"/>
        </w:rPr>
        <w:t>附表 建设项目环评审批基础信息表</w:t>
      </w:r>
    </w:p>
    <w:p>
      <w:pPr>
        <w:ind w:firstLine="1080" w:firstLineChars="450"/>
        <w:rPr>
          <w:rFonts w:ascii="Times New Roman" w:cs="Times New Roman"/>
        </w:rPr>
        <w:sectPr>
          <w:headerReference r:id="rId13" w:type="first"/>
          <w:footerReference r:id="rId16" w:type="first"/>
          <w:headerReference r:id="rId11" w:type="default"/>
          <w:footerReference r:id="rId14" w:type="default"/>
          <w:headerReference r:id="rId12" w:type="even"/>
          <w:footerReference r:id="rId15" w:type="even"/>
          <w:pgSz w:w="11910" w:h="16840"/>
          <w:pgMar w:top="1417" w:right="1417" w:bottom="1417" w:left="1701" w:header="885" w:footer="1097" w:gutter="0"/>
          <w:pgBorders>
            <w:top w:val="none" w:sz="0" w:space="0"/>
            <w:left w:val="none" w:sz="0" w:space="0"/>
            <w:bottom w:val="none" w:sz="0" w:space="0"/>
            <w:right w:val="none" w:sz="0" w:space="0"/>
          </w:pgBorders>
          <w:pgNumType w:fmt="upperRoman" w:start="1"/>
          <w:cols w:space="720" w:num="1"/>
        </w:sectPr>
      </w:pPr>
    </w:p>
    <w:p>
      <w:pPr>
        <w:keepNext/>
        <w:keepLines/>
        <w:ind w:firstLine="0" w:firstLineChars="0"/>
        <w:jc w:val="left"/>
        <w:outlineLvl w:val="0"/>
        <w:rPr>
          <w:rFonts w:ascii="Times New Roman" w:cs="Times New Roman"/>
          <w:kern w:val="44"/>
          <w:sz w:val="32"/>
          <w:szCs w:val="44"/>
        </w:rPr>
      </w:pPr>
      <w:bookmarkStart w:id="11" w:name="_Toc26726"/>
      <w:r>
        <w:rPr>
          <w:rFonts w:ascii="Times New Roman" w:cs="Times New Roman"/>
          <w:b/>
          <w:kern w:val="44"/>
          <w:sz w:val="32"/>
          <w:szCs w:val="44"/>
        </w:rPr>
        <w:t>概述</w:t>
      </w:r>
      <w:bookmarkEnd w:id="0"/>
      <w:bookmarkEnd w:id="11"/>
    </w:p>
    <w:p>
      <w:pPr>
        <w:keepNext/>
        <w:keepLines/>
        <w:spacing w:before="120"/>
        <w:ind w:firstLine="0" w:firstLineChars="0"/>
        <w:outlineLvl w:val="1"/>
        <w:rPr>
          <w:rFonts w:ascii="Times New Roman" w:cs="Times New Roman"/>
          <w:b/>
          <w:bCs/>
          <w:sz w:val="28"/>
          <w:szCs w:val="32"/>
        </w:rPr>
      </w:pPr>
      <w:bookmarkStart w:id="12" w:name="_Toc19815913"/>
      <w:bookmarkStart w:id="13" w:name="_Toc27005"/>
      <w:r>
        <w:rPr>
          <w:rFonts w:ascii="Times New Roman" w:cs="Times New Roman"/>
          <w:b/>
          <w:bCs/>
          <w:sz w:val="28"/>
          <w:szCs w:val="32"/>
        </w:rPr>
        <w:t>一、项目由来</w:t>
      </w:r>
      <w:bookmarkEnd w:id="12"/>
      <w:bookmarkEnd w:id="13"/>
    </w:p>
    <w:p>
      <w:pPr>
        <w:pStyle w:val="114"/>
        <w:ind w:firstLine="480"/>
      </w:pPr>
      <w:bookmarkStart w:id="14" w:name="_Hlk81418990"/>
      <w:bookmarkStart w:id="15" w:name="_Hlk52829788"/>
      <w:r>
        <w:rPr>
          <w:rFonts w:hint="eastAsia"/>
        </w:rPr>
        <w:t>2017年中国石油化工股份有限公司中原油田普光分公司委托胜利油田森诺胜利工程有限公司编制完成《普光分公司P108-1T井产能建设项目环境影响报告书》，P108-1T井于2018年10月钻井工程完工，P108集气站于同井场内建设，于2019年1月建成并开始运行，设计产气规模45×10</w:t>
      </w:r>
      <w:r>
        <w:rPr>
          <w:rFonts w:hint="eastAsia"/>
          <w:vertAlign w:val="superscript"/>
        </w:rPr>
        <w:t>4</w:t>
      </w:r>
      <w:r>
        <w:rPr>
          <w:rFonts w:hint="eastAsia"/>
        </w:rPr>
        <w:t>m</w:t>
      </w:r>
      <w:r>
        <w:rPr>
          <w:rFonts w:hint="eastAsia"/>
          <w:vertAlign w:val="superscript"/>
        </w:rPr>
        <w:t>3</w:t>
      </w:r>
      <w:r>
        <w:rPr>
          <w:rFonts w:hint="eastAsia"/>
        </w:rPr>
        <w:t>/d。</w:t>
      </w:r>
    </w:p>
    <w:p>
      <w:pPr>
        <w:pStyle w:val="114"/>
        <w:ind w:firstLine="480"/>
      </w:pPr>
      <w:r>
        <w:t>中国石油化工股份有限公司中原油田普光分公司按照“整体部署、分步实施、试验先行、跟踪优化”的思路，优选Ⅲ类储层、井网控制程度相对低区域进行井位部署，提高剩余气挖潜水平。</w:t>
      </w:r>
    </w:p>
    <w:p>
      <w:pPr>
        <w:pStyle w:val="114"/>
        <w:ind w:firstLine="480"/>
      </w:pPr>
      <w:r>
        <w:t>普光主体构造整体为一东倾的鼻状半背斜构造，普光108井区位于半背斜构造的中高部位，北临普光3断层，西临普光7断层及普光-东岳寨断层。因此针对平面上非均质性强，连通性差，局部存在地层压力高值区及优选III类储层发育集中区域且井网控制程度相对低区域等井位部署原则。普光P108井台部署目的是落实普光108井区III类储层展布、动用状况及产能，探索采气工艺适用性，对区域底层潜力进一步探明。</w:t>
      </w:r>
      <w:r>
        <w:rPr>
          <w:b/>
          <w:bCs/>
        </w:rPr>
        <w:t>中国石油化工股份有限公司中原油田普光分公司拟实施普光气田P108井台钻井及试采工程，因普光气田属于高含硫气田，其地质结构较为复杂，且目前对区域产能储量仍未探明，因此，在该区域部署探井进行试采，暂不具备区块开发条件。本项目试采期2年，探明后为下一步普光主体区块开发做准备</w:t>
      </w:r>
      <w:r>
        <w:t>。本项目试采期结束后，若能够满足后期普光主体区块开发需要，则现有设施设备继续服务于普光主体区块开发，并需按照区块开发相关要求另行办理相关环保手续。</w:t>
      </w:r>
    </w:p>
    <w:p>
      <w:pPr>
        <w:pStyle w:val="114"/>
        <w:ind w:firstLine="480"/>
      </w:pPr>
      <w:bookmarkStart w:id="16" w:name="OLE_LINK40"/>
      <w:bookmarkStart w:id="17" w:name="_Hlk80477079"/>
      <w:r>
        <w:t>P108-2H</w:t>
      </w:r>
      <w:r>
        <w:rPr>
          <w:rFonts w:hint="eastAsia"/>
        </w:rPr>
        <w:t>、P108-</w:t>
      </w:r>
      <w:r>
        <w:t>3井口天然气混合后输送至分水分离器，气相进入水套炉加热节流；P108-1T井口流程改为接入水套炉出口与节流后的P108-2H、P108-3井天然气混输至11#阀室。预计普光P108-2H、P108-3井试采2年，试采期预测产量均为</w:t>
      </w:r>
      <w:r>
        <w:rPr>
          <w:rFonts w:hint="eastAsia"/>
        </w:rPr>
        <w:t>20</w:t>
      </w:r>
      <w:r>
        <w:t>×10</w:t>
      </w:r>
      <w:r>
        <w:rPr>
          <w:vertAlign w:val="superscript"/>
        </w:rPr>
        <w:t>4</w:t>
      </w:r>
      <w:r>
        <w:t>m</w:t>
      </w:r>
      <w:r>
        <w:rPr>
          <w:vertAlign w:val="superscript"/>
        </w:rPr>
        <w:t>3</w:t>
      </w:r>
      <w:r>
        <w:t>/d，具体建设内容为：</w:t>
      </w:r>
    </w:p>
    <w:p>
      <w:pPr>
        <w:pStyle w:val="114"/>
        <w:ind w:firstLine="480"/>
      </w:pPr>
      <w:bookmarkStart w:id="18" w:name="OLE_LINK281"/>
      <w:bookmarkStart w:id="19" w:name="OLE_LINK98"/>
      <w:bookmarkStart w:id="20" w:name="OLE_LINK145"/>
      <w:bookmarkStart w:id="21" w:name="_Hlk80437017"/>
      <w:r>
        <w:t>（1）气藏地质与气藏工程</w:t>
      </w:r>
    </w:p>
    <w:p>
      <w:pPr>
        <w:pStyle w:val="114"/>
        <w:ind w:firstLine="480"/>
      </w:pPr>
      <w:r>
        <w:t>P108-2H、P108-3井设计目的：落实普光108井区III类储层展布、动用状况及产能，探索采气工艺适用性，本井预计钻遇气层共1185m，可实现井区储量全部动用，日产气均为</w:t>
      </w:r>
      <w:r>
        <w:rPr>
          <w:rFonts w:hint="eastAsia"/>
        </w:rPr>
        <w:t>20</w:t>
      </w:r>
      <w:r>
        <w:t>×10</w:t>
      </w:r>
      <w:r>
        <w:rPr>
          <w:vertAlign w:val="superscript"/>
        </w:rPr>
        <w:t>4</w:t>
      </w:r>
      <w:r>
        <w:t>m</w:t>
      </w:r>
      <w:r>
        <w:rPr>
          <w:vertAlign w:val="superscript"/>
        </w:rPr>
        <w:t>3</w:t>
      </w:r>
      <w:r>
        <w:t>/d，预期期末累产气共6.95×10</w:t>
      </w:r>
      <w:r>
        <w:rPr>
          <w:vertAlign w:val="superscript"/>
        </w:rPr>
        <w:t>8</w:t>
      </w:r>
      <w:r>
        <w:t>m</w:t>
      </w:r>
      <w:r>
        <w:rPr>
          <w:vertAlign w:val="superscript"/>
        </w:rPr>
        <w:t>3</w:t>
      </w:r>
      <w:r>
        <w:t>。</w:t>
      </w:r>
    </w:p>
    <w:p>
      <w:pPr>
        <w:pStyle w:val="114"/>
        <w:ind w:firstLine="480"/>
      </w:pPr>
      <w:r>
        <w:t>（2）钻前工程</w:t>
      </w:r>
    </w:p>
    <w:p>
      <w:pPr>
        <w:pStyle w:val="114"/>
        <w:ind w:firstLine="480"/>
      </w:pPr>
      <w:r>
        <w:rPr>
          <w:bCs/>
        </w:rPr>
        <w:t>利用</w:t>
      </w:r>
      <w:r>
        <w:rPr>
          <w:rFonts w:hint="eastAsia"/>
          <w:bCs/>
          <w:lang w:val="en-US" w:eastAsia="zh-CN"/>
        </w:rPr>
        <w:t>原</w:t>
      </w:r>
      <w:r>
        <w:rPr>
          <w:bCs/>
        </w:rPr>
        <w:t>P108集气站</w:t>
      </w:r>
      <w:r>
        <w:rPr>
          <w:rFonts w:hint="eastAsia"/>
          <w:bCs/>
        </w:rPr>
        <w:t>用地，于原P108集气站东侧扩建</w:t>
      </w:r>
      <w:r>
        <w:rPr>
          <w:bCs/>
        </w:rPr>
        <w:t>井场，</w:t>
      </w:r>
      <w:r>
        <w:rPr>
          <w:rFonts w:hint="eastAsia"/>
          <w:bCs/>
        </w:rPr>
        <w:t>对现有废水池采用</w:t>
      </w:r>
      <w:r>
        <w:rPr>
          <w:bCs/>
        </w:rPr>
        <w:t>土方填埋，填埋后作为井场用地。井场前场填方区采用“1:1.5填方放坡+格构护坡+护脚墙”支护方式</w:t>
      </w:r>
      <w:r>
        <w:rPr>
          <w:rFonts w:hint="eastAsia"/>
          <w:bCs/>
        </w:rPr>
        <w:t>，井场后场清理碎石20cm厚，井场后场设备基础间采用20cm厚C30混凝土进行硬化，井场除设备基础外均采用20cm厚6%水泥稳定碎石铺筑，</w:t>
      </w:r>
      <w:r>
        <w:rPr>
          <w:bCs/>
        </w:rPr>
        <w:t>场内南侧区域新建方井2座</w:t>
      </w:r>
      <w:r>
        <w:rPr>
          <w:rFonts w:hint="eastAsia"/>
          <w:bCs/>
        </w:rPr>
        <w:t>（P108-2H、P108-3井）</w:t>
      </w:r>
      <w:r>
        <w:t>。</w:t>
      </w:r>
      <w:r>
        <w:rPr>
          <w:rFonts w:hint="eastAsia"/>
        </w:rPr>
        <w:t>于井场南侧新建废水池，依托现有进场道路。</w:t>
      </w:r>
    </w:p>
    <w:p>
      <w:pPr>
        <w:pStyle w:val="114"/>
        <w:ind w:firstLine="480"/>
        <w:rPr>
          <w:bCs/>
        </w:rPr>
      </w:pPr>
      <w:r>
        <w:t>（3）</w:t>
      </w:r>
      <w:r>
        <w:rPr>
          <w:bCs/>
        </w:rPr>
        <w:t>钻井工程</w:t>
      </w:r>
    </w:p>
    <w:p>
      <w:pPr>
        <w:pStyle w:val="114"/>
        <w:ind w:firstLine="480"/>
      </w:pPr>
      <w:r>
        <w:rPr>
          <w:bCs/>
        </w:rPr>
        <w:t>设计井别为勘探井（试采期结束后若满足开发需求，则再转为开发井，并另行办理相关环保手续），P108-2H井目的层为飞仙关组，井型为水平井，设计水平段长</w:t>
      </w:r>
      <w:r>
        <w:rPr>
          <w:rFonts w:hint="eastAsia"/>
          <w:bCs/>
        </w:rPr>
        <w:t>1670m，预计钻遇气层</w:t>
      </w:r>
      <w:r>
        <w:rPr>
          <w:bCs/>
        </w:rPr>
        <w:t>490m，采用三开井身结构，套管完井，设计井深5988米。P108-3井目的层为飞仙关组，井型为水平井，设计水平段</w:t>
      </w:r>
      <w:r>
        <w:rPr>
          <w:rFonts w:hint="eastAsia"/>
          <w:bCs/>
        </w:rPr>
        <w:t>2352m，预计钻遇气层约</w:t>
      </w:r>
      <w:r>
        <w:rPr>
          <w:bCs/>
        </w:rPr>
        <w:t>695m，采用三开井身结构，套管完井，设计井深6670米</w:t>
      </w:r>
      <w:r>
        <w:t>。</w:t>
      </w:r>
    </w:p>
    <w:p>
      <w:pPr>
        <w:pStyle w:val="114"/>
        <w:ind w:firstLine="480"/>
      </w:pPr>
      <w:r>
        <w:t>（4）</w:t>
      </w:r>
      <w:r>
        <w:rPr>
          <w:rFonts w:hint="eastAsia"/>
          <w:lang w:val="en-US" w:eastAsia="zh-CN"/>
        </w:rPr>
        <w:t>采气</w:t>
      </w:r>
      <w:r>
        <w:rPr>
          <w:rFonts w:hint="eastAsia"/>
        </w:rPr>
        <w:t>工程</w:t>
      </w:r>
    </w:p>
    <w:p>
      <w:pPr>
        <w:pStyle w:val="114"/>
        <w:ind w:firstLine="480"/>
      </w:pPr>
      <w:r>
        <w:rPr>
          <w:bCs/>
        </w:rPr>
        <w:t>采用“钻采一体化”投产模式，Φ102mm防硫射孔枪、1米射孔弹一次性射开储层，下入分段多级酸（压）化-生产一体化完井管柱。Ⅰ靶井段采用酸化-控水一体化滑套，分段封隔器4及以上完井油管采用Φ88.9×6.45mm 4c类镍基合金油管；分段封隔器4以下采用Φ88.9×6.45mm 110SS油管。分5段10级进行酸（压）化，其中两端采用酸化改造，中部差层采用多级注入酸压改造。采用HH级105兆帕采气井口，配套70兆帕地面控制系统。施工排量5-7立方米/分钟，井口最高压力95兆帕，总液量2000立方米</w:t>
      </w:r>
      <w:r>
        <w:t>。</w:t>
      </w:r>
    </w:p>
    <w:p>
      <w:pPr>
        <w:pStyle w:val="114"/>
        <w:ind w:firstLine="480"/>
      </w:pPr>
      <w:r>
        <w:t>（5）试采工程</w:t>
      </w:r>
    </w:p>
    <w:p>
      <w:pPr>
        <w:pStyle w:val="114"/>
        <w:ind w:firstLine="480"/>
      </w:pPr>
      <w:r>
        <w:rPr>
          <w:bCs/>
        </w:rPr>
        <w:t>普光P108-2H、P108-3井口来气经采气树节流</w:t>
      </w:r>
      <w:r>
        <w:rPr>
          <w:rFonts w:hint="eastAsia"/>
          <w:bCs/>
        </w:rPr>
        <w:t>、分酸、加热</w:t>
      </w:r>
      <w:r>
        <w:rPr>
          <w:bCs/>
        </w:rPr>
        <w:t>、计量后接入P108-1T至11#阀室酸气管线，依托P108集气站已有临时分酸、加热、节流流程，外输至天然气净化厂。新建井口流程，并配套通信、自控、防腐等</w:t>
      </w:r>
      <w:r>
        <w:t>。</w:t>
      </w:r>
      <w:bookmarkEnd w:id="16"/>
      <w:bookmarkEnd w:id="18"/>
      <w:bookmarkEnd w:id="19"/>
      <w:bookmarkEnd w:id="20"/>
    </w:p>
    <w:p>
      <w:pPr>
        <w:pStyle w:val="114"/>
        <w:ind w:firstLine="480"/>
      </w:pPr>
      <w:r>
        <w:t>本项目总投资18987万元，其中环保投资500万元，占项目总投资的2.63%。</w:t>
      </w:r>
    </w:p>
    <w:bookmarkEnd w:id="17"/>
    <w:bookmarkEnd w:id="21"/>
    <w:p>
      <w:pPr>
        <w:pStyle w:val="114"/>
        <w:ind w:firstLine="480"/>
      </w:pPr>
      <w:r>
        <w:t>根据《中华人民共和国环境保护法》（2015年1月1日实施）、《中华人民共和国环境影响评价法》（2018年12月29日实施）、《建设项目环境影响评价分类管理名录》（2021年版）等的有关规定，建设过程中或者建成投产后可能对环境产生影响的新建、扩建、改建、迁建项目及区域开发建设项目，必须执行环境影响评价制度。根据生态环境部制定的《建设项目环境影响评价分类管理名录》（2021年版）中的相关要求，本项目属于“五、石油和天然气开采业07-8、陆地天然气开采0721-涉及环境敏感区的（含内部集输管线建设）”。本项目涉及嘉陵江及沱江中下游国家级水土流失重点治理区（宣汉县水土保持重点防治分区图见附图17），本项目位于宣汉县普光镇</w:t>
      </w:r>
      <w:r>
        <w:rPr>
          <w:rFonts w:hint="eastAsia"/>
        </w:rPr>
        <w:t>塔娅村</w:t>
      </w:r>
      <w:r>
        <w:t>，根据水利部办公厅关于印发《全国水土保持规划国家级水土流失重点预防区和重点治理区复核划分成果》（办水保〔2013〕188 号）的通知，本项目属于四川省国家级水土流失重点治预防区和重点治理区名单中所列区县，详见下表。</w:t>
      </w:r>
    </w:p>
    <w:p>
      <w:pPr>
        <w:pStyle w:val="114"/>
        <w:ind w:firstLine="0" w:firstLineChars="0"/>
        <w:jc w:val="center"/>
        <w:rPr>
          <w:b/>
          <w:bCs/>
        </w:rPr>
      </w:pPr>
      <w:r>
        <w:rPr>
          <w:b/>
          <w:bCs/>
        </w:rPr>
        <w:t>表 1 四川省国家级水土流失重点治理区名单</w:t>
      </w:r>
    </w:p>
    <w:tbl>
      <w:tblPr>
        <w:tblStyle w:val="60"/>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33"/>
        <w:gridCol w:w="72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0" w:type="auto"/>
            <w:gridSpan w:val="2"/>
            <w:tcBorders>
              <w:tl2br w:val="nil"/>
              <w:tr2bl w:val="nil"/>
            </w:tcBorders>
            <w:vAlign w:val="center"/>
          </w:tcPr>
          <w:p>
            <w:pPr>
              <w:pStyle w:val="114"/>
              <w:spacing w:line="240" w:lineRule="auto"/>
              <w:ind w:firstLine="0" w:firstLineChars="0"/>
              <w:jc w:val="center"/>
              <w:rPr>
                <w:rFonts w:eastAsia="Times New Roman"/>
                <w:sz w:val="21"/>
                <w:szCs w:val="16"/>
              </w:rPr>
            </w:pPr>
            <w:r>
              <w:rPr>
                <w:rFonts w:eastAsia="Times New Roman"/>
                <w:sz w:val="21"/>
                <w:szCs w:val="16"/>
              </w:rPr>
              <w:t>重点治理区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tcBorders>
              <w:tl2br w:val="nil"/>
              <w:tr2bl w:val="nil"/>
            </w:tcBorders>
            <w:vAlign w:val="center"/>
          </w:tcPr>
          <w:p>
            <w:pPr>
              <w:pStyle w:val="114"/>
              <w:spacing w:line="240" w:lineRule="auto"/>
              <w:ind w:firstLine="0" w:firstLineChars="0"/>
              <w:rPr>
                <w:rFonts w:eastAsia="Times New Roman"/>
                <w:sz w:val="21"/>
                <w:szCs w:val="16"/>
              </w:rPr>
            </w:pPr>
            <w:r>
              <w:rPr>
                <w:rFonts w:eastAsia="Times New Roman"/>
                <w:sz w:val="21"/>
                <w:szCs w:val="16"/>
              </w:rPr>
              <w:t>嘉陵江及沱江中下游国家级水土流失重点治理区GII2</w:t>
            </w:r>
          </w:p>
        </w:tc>
        <w:tc>
          <w:tcPr>
            <w:tcW w:w="0" w:type="auto"/>
            <w:tcBorders>
              <w:tl2br w:val="nil"/>
              <w:tr2bl w:val="nil"/>
            </w:tcBorders>
            <w:vAlign w:val="center"/>
          </w:tcPr>
          <w:p>
            <w:pPr>
              <w:pStyle w:val="114"/>
              <w:spacing w:line="240" w:lineRule="auto"/>
              <w:ind w:firstLine="0" w:firstLineChars="0"/>
              <w:rPr>
                <w:rFonts w:eastAsia="Times New Roman"/>
                <w:sz w:val="21"/>
                <w:szCs w:val="16"/>
              </w:rPr>
            </w:pPr>
            <w:r>
              <w:rPr>
                <w:rFonts w:eastAsia="Times New Roman"/>
                <w:sz w:val="21"/>
                <w:szCs w:val="16"/>
              </w:rPr>
              <w:t>巴中市：巴州区、恩阳区、平昌县；成都市：金堂县、简阳市；达州市：达川区、大竹县、开江县、渠县、通川区、</w:t>
            </w:r>
            <w:r>
              <w:rPr>
                <w:rFonts w:eastAsia="Times New Roman"/>
                <w:b/>
                <w:bCs/>
                <w:sz w:val="21"/>
                <w:szCs w:val="16"/>
              </w:rPr>
              <w:t>宣汉县</w:t>
            </w:r>
            <w:r>
              <w:rPr>
                <w:rFonts w:eastAsia="Times New Roman"/>
                <w:sz w:val="21"/>
                <w:szCs w:val="16"/>
              </w:rPr>
              <w:t>；德阳市：中江县；广元市：苍溪县、剑阁县；乐山市：犍为县、井研县；眉山市：仁寿县；绵阳市：三台县、盐亭县、梓潼县；内江市：威远县、资中县；南充市：阆中市、仪陇县、营山县；遂宁市：大英县；宜宾市：宜</w:t>
            </w:r>
            <w:r>
              <w:rPr>
                <w:rFonts w:hint="eastAsia"/>
                <w:sz w:val="21"/>
                <w:szCs w:val="16"/>
                <w:lang w:val="en-US" w:eastAsia="zh-CN"/>
              </w:rPr>
              <w:t xml:space="preserve"> </w:t>
            </w:r>
            <w:r>
              <w:rPr>
                <w:rFonts w:eastAsia="Times New Roman"/>
                <w:sz w:val="21"/>
                <w:szCs w:val="16"/>
              </w:rPr>
              <w:t>宾县；资阳市：安岳县、乐至县、雁江区；自贡市；柴县（31）</w:t>
            </w:r>
          </w:p>
        </w:tc>
      </w:tr>
    </w:tbl>
    <w:p>
      <w:pPr>
        <w:pStyle w:val="114"/>
        <w:ind w:firstLine="480"/>
      </w:pPr>
      <w:r>
        <w:t>本项目涉及水土流失重点治理区，故应当编制环境影响报告书</w:t>
      </w:r>
    </w:p>
    <w:bookmarkEnd w:id="14"/>
    <w:p>
      <w:pPr>
        <w:pStyle w:val="114"/>
        <w:ind w:firstLine="480"/>
      </w:pPr>
      <w:r>
        <w:t>中国石油化工股份有限公司中原油田普光分公司委托重庆后科环保有限责任公司承担本项目环境影响评价工作。接受委托后，我公司立即成立项目组，并随即对该项目及其周边的自然环境进行踏勘调查，并收集了与项目有关的建设及技术资料，根据建设项目环境影响评价导则、规范及要求，编制《普光气田P108井台钻井及试采工程环境影响报告书》。</w:t>
      </w:r>
    </w:p>
    <w:p>
      <w:pPr>
        <w:keepNext/>
        <w:keepLines/>
        <w:spacing w:before="120"/>
        <w:ind w:firstLine="0" w:firstLineChars="0"/>
        <w:outlineLvl w:val="1"/>
        <w:rPr>
          <w:rFonts w:ascii="Times New Roman" w:cs="Times New Roman"/>
          <w:b/>
          <w:bCs/>
          <w:sz w:val="28"/>
          <w:szCs w:val="32"/>
        </w:rPr>
      </w:pPr>
      <w:bookmarkStart w:id="22" w:name="_Toc19815914"/>
      <w:bookmarkStart w:id="23" w:name="_Toc12837"/>
      <w:r>
        <w:rPr>
          <w:rFonts w:ascii="Times New Roman" w:cs="Times New Roman"/>
          <w:b/>
          <w:bCs/>
          <w:sz w:val="28"/>
          <w:szCs w:val="32"/>
        </w:rPr>
        <w:t>二、项目特点</w:t>
      </w:r>
      <w:bookmarkEnd w:id="22"/>
      <w:bookmarkEnd w:id="23"/>
    </w:p>
    <w:p>
      <w:pPr>
        <w:pStyle w:val="114"/>
        <w:ind w:firstLine="480"/>
      </w:pPr>
      <w:r>
        <w:t>本项目为天然气钻井及试采工程，具有如下特点：</w:t>
      </w:r>
    </w:p>
    <w:p>
      <w:pPr>
        <w:pStyle w:val="114"/>
        <w:ind w:firstLine="480"/>
      </w:pPr>
      <w:r>
        <w:t>（1）本项目涉及新建P108-2H、P108-3井</w:t>
      </w:r>
      <w:r>
        <w:rPr>
          <w:bCs/>
        </w:rPr>
        <w:t>钻井工程，施工期主要为污染影响，</w:t>
      </w:r>
      <w:bookmarkStart w:id="24" w:name="OLE_LINK140"/>
      <w:bookmarkStart w:id="25" w:name="OLE_LINK139"/>
      <w:r>
        <w:rPr>
          <w:bCs/>
        </w:rPr>
        <w:t>主要体现在</w:t>
      </w:r>
      <w:bookmarkStart w:id="26" w:name="OLE_LINK138"/>
      <w:r>
        <w:rPr>
          <w:bCs/>
        </w:rPr>
        <w:t>钻井、完井过程中会产生废气、废水、废泥浆、岩屑、噪声、环境风险等以及钻井过程中可能造成地下水的污染</w:t>
      </w:r>
      <w:bookmarkEnd w:id="24"/>
      <w:bookmarkEnd w:id="25"/>
      <w:bookmarkEnd w:id="26"/>
      <w:r>
        <w:rPr>
          <w:bCs/>
        </w:rPr>
        <w:t>。</w:t>
      </w:r>
    </w:p>
    <w:p>
      <w:pPr>
        <w:pStyle w:val="114"/>
        <w:ind w:firstLine="480"/>
      </w:pPr>
      <w:r>
        <w:t>（2）本项目钻井目的层</w:t>
      </w:r>
      <w:r>
        <w:rPr>
          <w:rFonts w:hint="eastAsia"/>
        </w:rPr>
        <w:t>飞仙关组</w:t>
      </w:r>
      <w:r>
        <w:t>，根据气质组分分析，该井为高含硫天然气井，存在一定的环境风险。</w:t>
      </w:r>
    </w:p>
    <w:p>
      <w:pPr>
        <w:keepNext/>
        <w:keepLines/>
        <w:spacing w:before="120"/>
        <w:ind w:firstLine="0" w:firstLineChars="0"/>
        <w:outlineLvl w:val="1"/>
        <w:rPr>
          <w:rFonts w:ascii="Times New Roman" w:cs="Times New Roman"/>
          <w:b/>
          <w:bCs/>
          <w:sz w:val="28"/>
          <w:szCs w:val="32"/>
        </w:rPr>
      </w:pPr>
      <w:bookmarkStart w:id="27" w:name="_Toc17"/>
      <w:r>
        <w:rPr>
          <w:rFonts w:ascii="Times New Roman" w:cs="Times New Roman"/>
          <w:b/>
          <w:bCs/>
          <w:sz w:val="28"/>
          <w:szCs w:val="32"/>
        </w:rPr>
        <w:t>三、环境影响评价工作过程</w:t>
      </w:r>
      <w:bookmarkEnd w:id="27"/>
    </w:p>
    <w:p>
      <w:pPr>
        <w:pStyle w:val="114"/>
        <w:ind w:firstLine="482"/>
        <w:rPr>
          <w:b/>
          <w:bCs/>
        </w:rPr>
      </w:pPr>
      <w:r>
        <w:rPr>
          <w:b/>
          <w:bCs/>
        </w:rPr>
        <w:t>1、准备阶段</w:t>
      </w:r>
    </w:p>
    <w:p>
      <w:pPr>
        <w:pStyle w:val="114"/>
        <w:ind w:firstLine="480"/>
      </w:pPr>
      <w:r>
        <w:t>我公司承担本项目环评工作后，根据建设单位提供的项目资料，确立了如下环评工作思路：</w:t>
      </w:r>
    </w:p>
    <w:p>
      <w:pPr>
        <w:pStyle w:val="114"/>
        <w:ind w:firstLine="436" w:firstLineChars="182"/>
      </w:pPr>
      <w:r>
        <w:t>① 编制环境影响评价工作方案；</w:t>
      </w:r>
    </w:p>
    <w:p>
      <w:pPr>
        <w:pStyle w:val="114"/>
        <w:ind w:firstLine="480"/>
      </w:pPr>
      <w:r>
        <w:t>② 根据项目设计资料，针对</w:t>
      </w:r>
      <w:bookmarkStart w:id="28" w:name="_Hlk80469903"/>
      <w:r>
        <w:t>天然气钻井及试采工程</w:t>
      </w:r>
      <w:bookmarkEnd w:id="28"/>
      <w:r>
        <w:t>建设特点，进行了环境影响识别；</w:t>
      </w:r>
    </w:p>
    <w:p>
      <w:pPr>
        <w:pStyle w:val="114"/>
        <w:ind w:firstLine="480"/>
      </w:pPr>
      <w:r>
        <w:t>③ 在影响识别的基础上，对项目可能产生的生态环境、大气环境、地表水环境、地下水环境、声环境、土壤环境、固体废物等影响和环境风险进行深入分析及预测，并论证工程的环境可行性；</w:t>
      </w:r>
    </w:p>
    <w:p>
      <w:pPr>
        <w:pStyle w:val="114"/>
        <w:ind w:firstLine="480"/>
      </w:pPr>
      <w:r>
        <w:t>④ 对工程可能带来的环境影响，提出</w:t>
      </w:r>
      <w:r>
        <w:rPr>
          <w:rFonts w:hint="eastAsia"/>
          <w:lang w:eastAsia="zh-CN"/>
        </w:rPr>
        <w:t>有针对性地</w:t>
      </w:r>
      <w:r>
        <w:t>环境保护措施和环境风险防控措施。</w:t>
      </w:r>
    </w:p>
    <w:p>
      <w:pPr>
        <w:pStyle w:val="114"/>
        <w:ind w:firstLine="482"/>
        <w:rPr>
          <w:b/>
          <w:bCs/>
        </w:rPr>
      </w:pPr>
      <w:r>
        <w:rPr>
          <w:b/>
          <w:bCs/>
        </w:rPr>
        <w:t>2、环境影响评价工作阶段</w:t>
      </w:r>
    </w:p>
    <w:p>
      <w:pPr>
        <w:pStyle w:val="114"/>
        <w:ind w:firstLine="480"/>
      </w:pPr>
      <w:r>
        <w:t>① 环境敏感区筛查</w:t>
      </w:r>
    </w:p>
    <w:p>
      <w:pPr>
        <w:pStyle w:val="114"/>
        <w:ind w:firstLine="480"/>
      </w:pPr>
      <w:r>
        <w:t>受到委托后，我单位多次对</w:t>
      </w:r>
      <w:r>
        <w:rPr>
          <w:rFonts w:hint="eastAsia"/>
        </w:rPr>
        <w:t>项目所在</w:t>
      </w:r>
      <w:r>
        <w:t>区域进行了详查，查明评价范围内饮用水源保护区、永久基本农田、风景名胜区、森林公园、自然保护区、水土流失重点预防区和重点治理区等各类环境敏感区的情况。</w:t>
      </w:r>
    </w:p>
    <w:p>
      <w:pPr>
        <w:pStyle w:val="114"/>
        <w:ind w:firstLine="480"/>
      </w:pPr>
      <w:r>
        <w:t>② 环境现状调查</w:t>
      </w:r>
    </w:p>
    <w:p>
      <w:pPr>
        <w:pStyle w:val="114"/>
        <w:ind w:firstLine="480"/>
      </w:pPr>
      <w:r>
        <w:t>结合项目区已有现状监测资料，本评价补充完善了项目区域环境空气、地下水环境、声环境、土壤环境等现状监测工作。</w:t>
      </w:r>
    </w:p>
    <w:p>
      <w:pPr>
        <w:pStyle w:val="114"/>
        <w:ind w:firstLine="480"/>
      </w:pPr>
      <w:r>
        <w:t>③ 环境影响评价工作</w:t>
      </w:r>
    </w:p>
    <w:p>
      <w:pPr>
        <w:pStyle w:val="114"/>
        <w:ind w:firstLine="480"/>
      </w:pPr>
      <w:r>
        <w:t>根据调查、收集到的有关文件、资料，在环境现状调查结果的基础上，对建设项目对各环境要素的环境影响和环境风险进行了分析、预测及评价，提出环境保护措施。</w:t>
      </w:r>
    </w:p>
    <w:p>
      <w:pPr>
        <w:pStyle w:val="114"/>
        <w:ind w:firstLine="482"/>
        <w:rPr>
          <w:b/>
          <w:bCs/>
        </w:rPr>
      </w:pPr>
      <w:r>
        <w:rPr>
          <w:b/>
          <w:bCs/>
        </w:rPr>
        <w:t>3、编制环境影响报告书</w:t>
      </w:r>
    </w:p>
    <w:p>
      <w:pPr>
        <w:pStyle w:val="114"/>
        <w:ind w:firstLine="480"/>
      </w:pPr>
      <w:r>
        <w:t>整理各环境要素的分析、预测成果，评价工程建设对各环境要素的影响，编制环境影响报告书，论证工程建设的环境可行性。</w:t>
      </w:r>
    </w:p>
    <w:p>
      <w:pPr>
        <w:pStyle w:val="114"/>
        <w:ind w:firstLine="482"/>
        <w:rPr>
          <w:b/>
          <w:bCs/>
        </w:rPr>
      </w:pPr>
      <w:r>
        <w:rPr>
          <w:b/>
          <w:bCs/>
        </w:rPr>
        <w:t>4、公众参与</w:t>
      </w:r>
    </w:p>
    <w:p>
      <w:pPr>
        <w:pStyle w:val="114"/>
        <w:ind w:firstLine="480"/>
      </w:pPr>
      <w:r>
        <w:t>评价过程中建设单位按照《环境影响评价公众参与办法》（生态环境部令 第4号）开展了公众参与调查并编制了说明，本项目将公众参与结论纳入环评结论形成环评报告。</w:t>
      </w:r>
    </w:p>
    <w:bookmarkEnd w:id="15"/>
    <w:p>
      <w:pPr>
        <w:keepNext/>
        <w:keepLines/>
        <w:spacing w:before="120"/>
        <w:ind w:firstLine="0" w:firstLineChars="0"/>
        <w:outlineLvl w:val="1"/>
        <w:rPr>
          <w:rFonts w:ascii="Times New Roman" w:cs="Times New Roman"/>
          <w:b/>
          <w:bCs/>
          <w:sz w:val="28"/>
          <w:szCs w:val="32"/>
        </w:rPr>
      </w:pPr>
      <w:bookmarkStart w:id="29" w:name="_Toc19815915"/>
      <w:bookmarkStart w:id="30" w:name="_Toc15252"/>
      <w:r>
        <w:rPr>
          <w:rFonts w:ascii="Times New Roman" w:cs="Times New Roman"/>
          <w:b/>
          <w:bCs/>
          <w:sz w:val="28"/>
          <w:szCs w:val="32"/>
        </w:rPr>
        <w:t>四、</w:t>
      </w:r>
      <w:bookmarkEnd w:id="29"/>
      <w:r>
        <w:rPr>
          <w:rFonts w:ascii="Times New Roman" w:cs="Times New Roman"/>
          <w:b/>
          <w:bCs/>
          <w:sz w:val="28"/>
          <w:szCs w:val="32"/>
        </w:rPr>
        <w:t>分析判定相关情况</w:t>
      </w:r>
      <w:bookmarkEnd w:id="30"/>
    </w:p>
    <w:p>
      <w:pPr>
        <w:pStyle w:val="114"/>
        <w:ind w:firstLine="480"/>
      </w:pPr>
      <w:r>
        <w:t>本项目符合《产业结构调整指导目录（2019年本）》（2021年修订）及相关环保政策要求，符合</w:t>
      </w:r>
      <w:r>
        <w:rPr>
          <w:bCs/>
        </w:rPr>
        <w:t>《“十四五”现代能源体系规划》</w:t>
      </w:r>
      <w:r>
        <w:t>（发改能源〔2022〕210号）、《长江经济带生态环境保护规划</w:t>
      </w:r>
      <w:r>
        <w:rPr>
          <w:rFonts w:hint="eastAsia"/>
          <w:lang w:eastAsia="zh-CN"/>
        </w:rPr>
        <w:t>》《</w:t>
      </w:r>
      <w:r>
        <w:t>四川省主体功能区规划》（川府发〔2013〕16号文）、《四川省“十四五”能源发展规划》（川府发〔2022〕8号）、</w:t>
      </w:r>
      <w:r>
        <w:rPr>
          <w:kern w:val="2"/>
          <w:szCs w:val="22"/>
        </w:rPr>
        <w:t>《四川省、重庆市长江经济带发展负面清单实施细则（试行，2022年版）》</w:t>
      </w:r>
      <w:r>
        <w:t>的相关要求。</w:t>
      </w:r>
    </w:p>
    <w:p>
      <w:pPr>
        <w:pStyle w:val="114"/>
        <w:ind w:firstLine="480"/>
      </w:pPr>
      <w:r>
        <w:t>本项目不位于四川省达州市划定的生态保护红线区域内，符合四川省“三线一单”和达州市“三线一单”相关要求；本项目</w:t>
      </w:r>
      <w:r>
        <w:rPr>
          <w:rFonts w:hint="eastAsia"/>
        </w:rPr>
        <w:t>扩建区域及表土堆场去将临时</w:t>
      </w:r>
      <w:r>
        <w:t>占用永久基本农田，</w:t>
      </w:r>
      <w:r>
        <w:rPr>
          <w:rFonts w:hint="eastAsia"/>
        </w:rPr>
        <w:t>项目不涉及</w:t>
      </w:r>
      <w:r>
        <w:t>自然保护区、森林公园、风景名胜区等生态敏感区范围内，拟建项目不涉及集中式饮用水源保护区。</w:t>
      </w:r>
    </w:p>
    <w:p>
      <w:pPr>
        <w:keepNext/>
        <w:keepLines/>
        <w:spacing w:before="120"/>
        <w:ind w:firstLine="0" w:firstLineChars="0"/>
        <w:outlineLvl w:val="1"/>
        <w:rPr>
          <w:rFonts w:ascii="Times New Roman" w:cs="Times New Roman"/>
          <w:b/>
          <w:bCs/>
          <w:sz w:val="28"/>
          <w:szCs w:val="32"/>
        </w:rPr>
      </w:pPr>
      <w:bookmarkStart w:id="31" w:name="_Toc19815916"/>
      <w:bookmarkStart w:id="32" w:name="_Toc611"/>
      <w:r>
        <w:rPr>
          <w:rFonts w:ascii="Times New Roman" w:cs="Times New Roman"/>
          <w:b/>
          <w:bCs/>
          <w:sz w:val="28"/>
          <w:szCs w:val="32"/>
        </w:rPr>
        <w:t>五、项目关注的主要环境问题及环境影响</w:t>
      </w:r>
      <w:bookmarkEnd w:id="31"/>
      <w:bookmarkEnd w:id="32"/>
    </w:p>
    <w:p>
      <w:pPr>
        <w:pStyle w:val="114"/>
        <w:ind w:firstLine="480"/>
      </w:pPr>
      <w:r>
        <w:t>（1）废气：施工期主要是机械设备运行产生的废气（主要污染物NOx、CO）、气体钻会产生少量粉尘、测试放喷废气（SO</w:t>
      </w:r>
      <w:r>
        <w:rPr>
          <w:vertAlign w:val="subscript"/>
        </w:rPr>
        <w:t>2</w:t>
      </w:r>
      <w:r>
        <w:t>、NOx）等；试采期主要为非正常工况下的检修废气和事故放空废气。环评中注重施工期废气的环境影响分析和试采期废气的达标排放及影响分析。</w:t>
      </w:r>
    </w:p>
    <w:p>
      <w:pPr>
        <w:pStyle w:val="114"/>
        <w:ind w:firstLine="480"/>
      </w:pPr>
      <w:r>
        <w:t>（2）废水：施工期主要是钻井废水、压裂废水和洗井废水以及施工人员生活污水；试采期主要为气田水。环评中注重施工期废水处理的可行性和可靠性论证，试采期气田水依托处置可行性分析。</w:t>
      </w:r>
    </w:p>
    <w:p>
      <w:pPr>
        <w:pStyle w:val="114"/>
        <w:ind w:firstLine="480"/>
      </w:pPr>
      <w:r>
        <w:t>（3）噪声：施工期为各类机械设备产生的噪声；试采期主要为站场设备运行噪声。环评中注重施工期和试采期噪声控制措施的可行性论证。</w:t>
      </w:r>
    </w:p>
    <w:p>
      <w:pPr>
        <w:pStyle w:val="114"/>
        <w:ind w:firstLine="480"/>
      </w:pPr>
      <w:r>
        <w:t>（4）固体废物：施工期主要是泥浆、岩屑、废油、废弃土石方、生活垃圾等；试采期无固废产生。环评中注重施工期固体废物处理的可行性进行论证。</w:t>
      </w:r>
    </w:p>
    <w:p>
      <w:pPr>
        <w:pStyle w:val="114"/>
        <w:ind w:firstLine="480"/>
      </w:pPr>
      <w:r>
        <w:t>（5）生态环境：施工期生态环境影响主要来自场地平整、施工机械和人员的践踏等活动，以及工程临时占地、施工产生的固体废物等对土壤、生态环境的影响；试采期主要为生态恢复。环评中注意对生态环境保护措施进行论证。</w:t>
      </w:r>
    </w:p>
    <w:p>
      <w:pPr>
        <w:pStyle w:val="114"/>
        <w:ind w:firstLine="480"/>
      </w:pPr>
      <w:r>
        <w:t>（6）环境风险：主要为井喷、排污池、放喷池、泥浆循环罐及储罐区、油罐、设备等受影响而产生泄漏、火灾、爆炸，进而影响当地环境。环评中将对风险进行论述，并对现有风险防范措施不足提出补充。</w:t>
      </w:r>
    </w:p>
    <w:p>
      <w:pPr>
        <w:keepNext/>
        <w:keepLines/>
        <w:spacing w:before="120"/>
        <w:ind w:firstLine="0" w:firstLineChars="0"/>
        <w:outlineLvl w:val="1"/>
        <w:rPr>
          <w:rFonts w:ascii="Times New Roman" w:cs="Times New Roman"/>
          <w:b/>
          <w:bCs/>
          <w:sz w:val="28"/>
          <w:szCs w:val="32"/>
        </w:rPr>
      </w:pPr>
      <w:bookmarkStart w:id="33" w:name="_Toc18018"/>
      <w:bookmarkStart w:id="34" w:name="_Toc19815917"/>
      <w:r>
        <w:rPr>
          <w:rFonts w:ascii="Times New Roman" w:cs="Times New Roman"/>
          <w:b/>
          <w:bCs/>
          <w:sz w:val="28"/>
          <w:szCs w:val="32"/>
        </w:rPr>
        <w:t>六、主要环境影响结论</w:t>
      </w:r>
      <w:bookmarkEnd w:id="33"/>
      <w:bookmarkEnd w:id="34"/>
    </w:p>
    <w:p>
      <w:pPr>
        <w:pStyle w:val="114"/>
        <w:ind w:firstLine="480"/>
      </w:pPr>
      <w:r>
        <w:t>本项目符合国家产业政策，与当地规划相容，符合石油天然气发展规划；所在区域环境空气质量现状较好；建设期间对生态环境、地表水、地下水、大气、土壤、声环境影响小，不改变区域的环境功能；该项目达到清洁生产国内先进水平，采用的环保措施可行，社会、经济效益十分显著；建设项目环境可行，选址合理；该工程采取的环境风险措施可靠，制定的应急预案切实可行，在落实风险防范措施及应急预案后，环境风险达到可接受水平；所采取的废气、废水、固体废物和噪声防治措施以及水土保持措施可行有效，在建设过程认真落实报告提出的各项污染防治措施后，对周围环境不会造成污染影响。从环境角度而言，无明显制约项目建设的环境因素，本项目在拟选站址建设是可行的。</w:t>
      </w:r>
    </w:p>
    <w:p>
      <w:pPr>
        <w:pStyle w:val="114"/>
        <w:ind w:firstLine="480"/>
      </w:pPr>
      <w:r>
        <w:rPr>
          <w:kern w:val="2"/>
          <w:szCs w:val="22"/>
        </w:rPr>
        <w:t>综上，项目建设无明显制约的环境因素，建设过程中认真落实报告提出的各项污染防治、生态保护措施和应急预案后，从环境保护角度而言，本项目在拟选站址建设是可行的。</w:t>
      </w:r>
    </w:p>
    <w:p>
      <w:pPr>
        <w:widowControl/>
        <w:topLinePunct w:val="0"/>
        <w:adjustRightInd/>
        <w:ind w:firstLine="0" w:firstLineChars="0"/>
        <w:jc w:val="left"/>
        <w:rPr>
          <w:rFonts w:ascii="Times New Roman" w:cs="Times New Roman"/>
        </w:rPr>
        <w:sectPr>
          <w:pgSz w:w="11910" w:h="16840"/>
          <w:pgMar w:top="1417" w:right="1417" w:bottom="1417" w:left="1701" w:header="885" w:footer="1097" w:gutter="0"/>
          <w:pgBorders>
            <w:top w:val="none" w:sz="0" w:space="0"/>
            <w:left w:val="none" w:sz="0" w:space="0"/>
            <w:bottom w:val="none" w:sz="0" w:space="0"/>
            <w:right w:val="none" w:sz="0" w:space="0"/>
          </w:pgBorders>
          <w:pgNumType w:start="1"/>
          <w:cols w:space="720" w:num="1"/>
        </w:sectPr>
      </w:pPr>
    </w:p>
    <w:p>
      <w:pPr>
        <w:keepNext/>
        <w:keepLines/>
        <w:ind w:firstLine="0" w:firstLineChars="0"/>
        <w:jc w:val="left"/>
        <w:outlineLvl w:val="0"/>
        <w:rPr>
          <w:rFonts w:ascii="Times New Roman" w:cs="Times New Roman"/>
          <w:b/>
          <w:kern w:val="44"/>
          <w:sz w:val="32"/>
          <w:szCs w:val="44"/>
        </w:rPr>
      </w:pPr>
      <w:bookmarkStart w:id="35" w:name="bookmark1"/>
      <w:bookmarkEnd w:id="35"/>
      <w:bookmarkStart w:id="36" w:name="_Toc25552"/>
      <w:bookmarkStart w:id="37" w:name="_Toc12288384"/>
      <w:bookmarkStart w:id="38" w:name="_Toc19815918"/>
      <w:r>
        <w:rPr>
          <w:rFonts w:ascii="Times New Roman" w:cs="Times New Roman"/>
          <w:b/>
          <w:kern w:val="44"/>
          <w:sz w:val="32"/>
          <w:szCs w:val="44"/>
        </w:rPr>
        <w:t>1 总则</w:t>
      </w:r>
      <w:bookmarkEnd w:id="36"/>
      <w:bookmarkEnd w:id="37"/>
      <w:bookmarkEnd w:id="38"/>
    </w:p>
    <w:p>
      <w:pPr>
        <w:keepNext/>
        <w:keepLines/>
        <w:spacing w:before="120"/>
        <w:ind w:firstLine="0" w:firstLineChars="0"/>
        <w:outlineLvl w:val="1"/>
        <w:rPr>
          <w:rFonts w:ascii="Times New Roman" w:cs="Times New Roman"/>
          <w:b/>
          <w:bCs/>
          <w:sz w:val="28"/>
          <w:szCs w:val="32"/>
        </w:rPr>
      </w:pPr>
      <w:bookmarkStart w:id="39" w:name="bookmark2"/>
      <w:bookmarkEnd w:id="39"/>
      <w:bookmarkStart w:id="40" w:name="_Toc12288385"/>
      <w:bookmarkStart w:id="41" w:name="_Toc30522"/>
      <w:bookmarkStart w:id="42" w:name="_Toc19815919"/>
      <w:r>
        <w:rPr>
          <w:rFonts w:ascii="Times New Roman" w:cs="Times New Roman"/>
          <w:b/>
          <w:bCs/>
          <w:sz w:val="28"/>
          <w:szCs w:val="32"/>
        </w:rPr>
        <w:t>1.1 编制依据</w:t>
      </w:r>
      <w:bookmarkEnd w:id="40"/>
      <w:bookmarkEnd w:id="41"/>
      <w:bookmarkEnd w:id="42"/>
    </w:p>
    <w:p>
      <w:pPr>
        <w:keepNext/>
        <w:keepLines/>
        <w:ind w:firstLine="0" w:firstLineChars="0"/>
        <w:outlineLvl w:val="2"/>
        <w:rPr>
          <w:rFonts w:ascii="Times New Roman" w:cs="Times New Roman"/>
          <w:b/>
          <w:szCs w:val="32"/>
        </w:rPr>
      </w:pPr>
      <w:bookmarkStart w:id="43" w:name="_Toc19815920"/>
      <w:r>
        <w:rPr>
          <w:rFonts w:ascii="Times New Roman" w:cs="Times New Roman"/>
          <w:b/>
          <w:szCs w:val="32"/>
        </w:rPr>
        <w:t>1.1.1 相关法律</w:t>
      </w:r>
      <w:bookmarkEnd w:id="43"/>
    </w:p>
    <w:p>
      <w:pPr>
        <w:pStyle w:val="114"/>
        <w:ind w:firstLine="480"/>
      </w:pPr>
      <w:r>
        <w:t>（1）《中华人民共和国环境保护法》，2014年4月24日修订，2015年1月1日施行；</w:t>
      </w:r>
    </w:p>
    <w:p>
      <w:pPr>
        <w:pStyle w:val="114"/>
        <w:ind w:firstLine="480"/>
      </w:pPr>
      <w:r>
        <w:t>（2）《中华人民共和国环境影响评价法》，2018年12月29日修订并施行；</w:t>
      </w:r>
    </w:p>
    <w:p>
      <w:pPr>
        <w:pStyle w:val="114"/>
        <w:ind w:firstLine="480"/>
      </w:pPr>
      <w:r>
        <w:t>（3）《中华人民共和国水污染防治法》，2017年6月27日修订，2018年1月1日实施；</w:t>
      </w:r>
    </w:p>
    <w:p>
      <w:pPr>
        <w:pStyle w:val="114"/>
        <w:ind w:firstLine="480"/>
      </w:pPr>
      <w:r>
        <w:t>（4）《中华人民共和国环境噪声污染防治法》，2022年6月5日施行；</w:t>
      </w:r>
    </w:p>
    <w:p>
      <w:pPr>
        <w:pStyle w:val="114"/>
        <w:ind w:firstLine="480"/>
      </w:pPr>
      <w:r>
        <w:t>（5）《中华人民共和国土壤污染防治法》，2019年1月1日施行；</w:t>
      </w:r>
    </w:p>
    <w:p>
      <w:pPr>
        <w:pStyle w:val="114"/>
        <w:ind w:firstLine="480"/>
      </w:pPr>
      <w:r>
        <w:t>（6）《中华人民共和国固体废物污染环境防治法》，</w:t>
      </w:r>
      <w:r>
        <w:rPr>
          <w:kern w:val="2"/>
          <w:szCs w:val="22"/>
        </w:rPr>
        <w:t>中华人民共和国主席令第四十三号，2020年9月1日实施</w:t>
      </w:r>
      <w:r>
        <w:t>；</w:t>
      </w:r>
    </w:p>
    <w:p>
      <w:pPr>
        <w:pStyle w:val="114"/>
        <w:ind w:firstLine="480"/>
      </w:pPr>
      <w:r>
        <w:t>（7）《中华人民共和国清洁生产促进法》，中华人民共和国主席令第54号，2012年7月1日实施；</w:t>
      </w:r>
    </w:p>
    <w:p>
      <w:pPr>
        <w:pStyle w:val="114"/>
        <w:ind w:firstLine="480"/>
      </w:pPr>
      <w:r>
        <w:t>（8）《中华人民共和国土地管理法》，2020年1月1日实施；</w:t>
      </w:r>
    </w:p>
    <w:p>
      <w:pPr>
        <w:pStyle w:val="114"/>
        <w:ind w:firstLine="480"/>
      </w:pPr>
      <w:r>
        <w:t>（9）《中华人民共和国水土保持法》，中华人民共和国主席令第39号，2011年3月1日实施；</w:t>
      </w:r>
    </w:p>
    <w:p>
      <w:pPr>
        <w:pStyle w:val="114"/>
        <w:ind w:firstLine="480"/>
      </w:pPr>
      <w:r>
        <w:t>（10）《中华人民共和国水法》，2016年7月2日第十二届全国人民代表大会常务委员会第二十一次会议修订，2016年9月1日实施；</w:t>
      </w:r>
    </w:p>
    <w:p>
      <w:pPr>
        <w:pStyle w:val="114"/>
        <w:ind w:firstLine="480"/>
      </w:pPr>
      <w:r>
        <w:t>（11）《中华人民共和国矿产资源法》，第十一届全国人民代表大会常务委员会第十次会议一次修正，2009年8月27日实施；</w:t>
      </w:r>
    </w:p>
    <w:p>
      <w:pPr>
        <w:pStyle w:val="114"/>
        <w:ind w:firstLine="480"/>
      </w:pPr>
      <w:r>
        <w:t>（12）《中华人民共和国节约能源法》，2018年12月26日修订并施行；</w:t>
      </w:r>
    </w:p>
    <w:p>
      <w:pPr>
        <w:pStyle w:val="114"/>
        <w:ind w:firstLine="480"/>
      </w:pPr>
      <w:r>
        <w:t>（13）《中华人民共和国野生动物保护法》，2016年7月2日第十二届全国人民代表大会常务委员会第二十一次会议修订，2017年1月1日实施；</w:t>
      </w:r>
    </w:p>
    <w:p>
      <w:pPr>
        <w:pStyle w:val="114"/>
        <w:ind w:firstLine="480"/>
      </w:pPr>
      <w:r>
        <w:t>（14）《中华人民共和国农业法》，第十一届全国人民代表大会常务委员会第三十次会议于2012年12月28日通过，2013年1月1日起施行；</w:t>
      </w:r>
    </w:p>
    <w:p>
      <w:pPr>
        <w:pStyle w:val="114"/>
        <w:ind w:firstLine="480"/>
      </w:pPr>
      <w:r>
        <w:t>（15）《中华人民共和国石油天然气管道保护法》，2010年10月1日起施行；</w:t>
      </w:r>
    </w:p>
    <w:p>
      <w:pPr>
        <w:pStyle w:val="114"/>
        <w:ind w:firstLine="480"/>
      </w:pPr>
      <w:r>
        <w:t>（16）《中华人民共和国长江保护法》（主席令2020年第65号）（2021年3月1日起实施）。</w:t>
      </w:r>
    </w:p>
    <w:p>
      <w:pPr>
        <w:keepNext/>
        <w:keepLines/>
        <w:ind w:firstLine="0" w:firstLineChars="0"/>
        <w:outlineLvl w:val="2"/>
        <w:rPr>
          <w:rFonts w:ascii="Times New Roman" w:cs="Times New Roman"/>
          <w:b/>
          <w:szCs w:val="32"/>
        </w:rPr>
      </w:pPr>
      <w:bookmarkStart w:id="44" w:name="_Toc19815921"/>
      <w:r>
        <w:rPr>
          <w:rFonts w:ascii="Times New Roman" w:cs="Times New Roman"/>
          <w:b/>
          <w:szCs w:val="32"/>
        </w:rPr>
        <w:t>1.1.2 行政法规</w:t>
      </w:r>
      <w:bookmarkEnd w:id="44"/>
    </w:p>
    <w:p>
      <w:pPr>
        <w:topLinePunct w:val="0"/>
        <w:adjustRightInd/>
        <w:ind w:firstLine="480"/>
        <w:rPr>
          <w:rFonts w:ascii="Times New Roman" w:cs="Times New Roman"/>
          <w:kern w:val="2"/>
          <w:szCs w:val="22"/>
        </w:rPr>
      </w:pPr>
      <w:r>
        <w:rPr>
          <w:rFonts w:ascii="Times New Roman" w:cs="Times New Roman"/>
          <w:kern w:val="2"/>
          <w:szCs w:val="22"/>
        </w:rPr>
        <w:t>（1）《中华人民共和国河道管理条例》，（根据2017年10月7日国务院令第687号《国务院关于修改部分行政法规的决定》第三次修订），2017年10月7日实施；</w:t>
      </w:r>
    </w:p>
    <w:p>
      <w:pPr>
        <w:topLinePunct w:val="0"/>
        <w:adjustRightInd/>
        <w:ind w:firstLine="480"/>
        <w:rPr>
          <w:rFonts w:ascii="Times New Roman" w:cs="Times New Roman"/>
          <w:kern w:val="2"/>
          <w:szCs w:val="22"/>
        </w:rPr>
      </w:pPr>
      <w:r>
        <w:rPr>
          <w:rFonts w:ascii="Times New Roman" w:cs="Times New Roman"/>
          <w:kern w:val="2"/>
          <w:szCs w:val="22"/>
        </w:rPr>
        <w:t>（2）《中华人民共和国水土保持法实施条例》，（根据2011年1月8日《国务院关于废止和修改部分行政法规的决定》修订），2011年1月8日实施；</w:t>
      </w:r>
    </w:p>
    <w:p>
      <w:pPr>
        <w:topLinePunct w:val="0"/>
        <w:adjustRightInd/>
        <w:ind w:firstLine="480"/>
        <w:rPr>
          <w:rFonts w:ascii="Times New Roman" w:cs="Times New Roman"/>
          <w:kern w:val="2"/>
          <w:szCs w:val="22"/>
        </w:rPr>
      </w:pPr>
      <w:r>
        <w:rPr>
          <w:rFonts w:ascii="Times New Roman" w:cs="Times New Roman"/>
          <w:kern w:val="2"/>
          <w:szCs w:val="22"/>
        </w:rPr>
        <w:t>（3）《中华人民共和国野生植物保护条例》，2017年10月7日，国务院令第687号修订；</w:t>
      </w:r>
    </w:p>
    <w:p>
      <w:pPr>
        <w:topLinePunct w:val="0"/>
        <w:adjustRightInd/>
        <w:ind w:firstLine="480"/>
        <w:rPr>
          <w:rFonts w:ascii="Times New Roman" w:cs="Times New Roman"/>
          <w:kern w:val="2"/>
          <w:szCs w:val="22"/>
        </w:rPr>
      </w:pPr>
      <w:r>
        <w:rPr>
          <w:rFonts w:ascii="Times New Roman" w:cs="Times New Roman"/>
          <w:kern w:val="2"/>
          <w:szCs w:val="22"/>
        </w:rPr>
        <w:t>（4）《建设项目环境保护管理条例》（国务院令第682号），2017年10月1日施行；</w:t>
      </w:r>
    </w:p>
    <w:p>
      <w:pPr>
        <w:topLinePunct w:val="0"/>
        <w:adjustRightInd/>
        <w:ind w:firstLine="480"/>
        <w:rPr>
          <w:rFonts w:ascii="Times New Roman" w:cs="Times New Roman"/>
          <w:kern w:val="2"/>
          <w:szCs w:val="22"/>
        </w:rPr>
      </w:pPr>
      <w:r>
        <w:rPr>
          <w:rFonts w:ascii="Times New Roman" w:cs="Times New Roman"/>
          <w:kern w:val="2"/>
          <w:szCs w:val="22"/>
        </w:rPr>
        <w:t>（5）《中华人民共和国基本农田保护条例》，2011年1月8日实施；</w:t>
      </w:r>
    </w:p>
    <w:p>
      <w:pPr>
        <w:topLinePunct w:val="0"/>
        <w:adjustRightInd/>
        <w:ind w:firstLine="480"/>
        <w:rPr>
          <w:rFonts w:ascii="Times New Roman" w:cs="Times New Roman"/>
          <w:kern w:val="2"/>
          <w:szCs w:val="22"/>
        </w:rPr>
      </w:pPr>
      <w:r>
        <w:rPr>
          <w:rFonts w:ascii="Times New Roman" w:cs="Times New Roman"/>
          <w:kern w:val="2"/>
          <w:szCs w:val="22"/>
        </w:rPr>
        <w:t>（6）《中华人民共和国水生野生动物保护实施条例》（林业部令第1号），1993年10月5日实施；</w:t>
      </w:r>
    </w:p>
    <w:p>
      <w:pPr>
        <w:topLinePunct w:val="0"/>
        <w:adjustRightInd/>
        <w:ind w:firstLine="480"/>
        <w:rPr>
          <w:rFonts w:ascii="Times New Roman" w:cs="Times New Roman"/>
          <w:kern w:val="2"/>
          <w:szCs w:val="22"/>
        </w:rPr>
      </w:pPr>
      <w:r>
        <w:rPr>
          <w:rFonts w:ascii="Times New Roman" w:cs="Times New Roman"/>
          <w:kern w:val="2"/>
          <w:szCs w:val="22"/>
        </w:rPr>
        <w:t>（7）《地下水管理条例》（中华人民共和国国务院令第748号），2021年12月1日起施行；</w:t>
      </w:r>
    </w:p>
    <w:p>
      <w:pPr>
        <w:topLinePunct w:val="0"/>
        <w:adjustRightInd/>
        <w:ind w:firstLine="480"/>
        <w:rPr>
          <w:rFonts w:ascii="Times New Roman" w:cs="Times New Roman"/>
          <w:kern w:val="2"/>
          <w:szCs w:val="22"/>
        </w:rPr>
      </w:pPr>
      <w:r>
        <w:rPr>
          <w:rFonts w:ascii="Times New Roman" w:cs="Times New Roman"/>
          <w:kern w:val="2"/>
          <w:szCs w:val="22"/>
        </w:rPr>
        <w:t>（8）《危险化学品安全管理条例》（国务院令第591号），2013年12月7日修订；</w:t>
      </w:r>
    </w:p>
    <w:p>
      <w:pPr>
        <w:topLinePunct w:val="0"/>
        <w:adjustRightInd/>
        <w:ind w:firstLine="480"/>
        <w:rPr>
          <w:rFonts w:ascii="Times New Roman" w:cs="Times New Roman"/>
          <w:kern w:val="2"/>
          <w:szCs w:val="22"/>
        </w:rPr>
      </w:pPr>
      <w:r>
        <w:rPr>
          <w:rFonts w:ascii="Times New Roman" w:cs="Times New Roman"/>
          <w:kern w:val="2"/>
          <w:szCs w:val="22"/>
        </w:rPr>
        <w:t>（9）</w:t>
      </w:r>
      <w:r>
        <w:rPr>
          <w:rFonts w:ascii="Times New Roman" w:cs="Times New Roman"/>
        </w:rPr>
        <w:t>《中华人民共和国野生植物保护条例》（2017年10月7日修订）。</w:t>
      </w:r>
    </w:p>
    <w:p>
      <w:pPr>
        <w:keepNext/>
        <w:keepLines/>
        <w:ind w:firstLine="0" w:firstLineChars="0"/>
        <w:outlineLvl w:val="2"/>
        <w:rPr>
          <w:rFonts w:ascii="Times New Roman" w:cs="Times New Roman"/>
          <w:b/>
          <w:szCs w:val="32"/>
        </w:rPr>
      </w:pPr>
      <w:bookmarkStart w:id="45" w:name="_Toc19815922"/>
      <w:r>
        <w:rPr>
          <w:rFonts w:ascii="Times New Roman" w:cs="Times New Roman"/>
          <w:b/>
          <w:szCs w:val="32"/>
        </w:rPr>
        <w:t>1.1.3 部门规章</w:t>
      </w:r>
      <w:bookmarkEnd w:id="45"/>
    </w:p>
    <w:p>
      <w:pPr>
        <w:pStyle w:val="114"/>
        <w:ind w:firstLine="480"/>
      </w:pPr>
      <w:r>
        <w:t>（1）《建设项目环境影响评价分类管理名录》（2021版），2021年1月1日实施；</w:t>
      </w:r>
    </w:p>
    <w:p>
      <w:pPr>
        <w:pStyle w:val="114"/>
        <w:ind w:firstLine="480"/>
      </w:pPr>
      <w:r>
        <w:t>（2）《关于进一步加强环境影响评价管理防范环境风险的通知》（环发〔2012〕77号）；</w:t>
      </w:r>
    </w:p>
    <w:p>
      <w:pPr>
        <w:pStyle w:val="114"/>
        <w:ind w:firstLine="480"/>
      </w:pPr>
      <w:r>
        <w:t>（3）《环境影响评价公众参与办法》（生态环境部部令第4号），自2019年1月1日起施行；</w:t>
      </w:r>
    </w:p>
    <w:p>
      <w:pPr>
        <w:pStyle w:val="114"/>
        <w:ind w:firstLine="480"/>
      </w:pPr>
      <w:r>
        <w:t>（4）《国家重点保护野生动物名录》（国家林业和草原局 农业农村部公告（2021年第3号））；</w:t>
      </w:r>
    </w:p>
    <w:p>
      <w:pPr>
        <w:pStyle w:val="114"/>
        <w:ind w:firstLine="480"/>
      </w:pPr>
      <w:r>
        <w:t>（5）《国家重点保护野生植物名录》（2021年第15号）；</w:t>
      </w:r>
    </w:p>
    <w:p>
      <w:pPr>
        <w:pStyle w:val="114"/>
        <w:ind w:firstLine="480"/>
      </w:pPr>
      <w:r>
        <w:t>（6）</w:t>
      </w:r>
      <w:r>
        <w:rPr>
          <w:kern w:val="2"/>
          <w:szCs w:val="22"/>
        </w:rPr>
        <w:t>《关于做好占用永久基本农田重大建设项目用地预审的通知》（自然资归〔2018〕3号）；</w:t>
      </w:r>
    </w:p>
    <w:p>
      <w:pPr>
        <w:pStyle w:val="114"/>
        <w:ind w:firstLine="480"/>
      </w:pPr>
      <w:r>
        <w:t>（7）《关于进一步做好基本农田保护有关工作的意见》（国土资发〔2005〕196号）；</w:t>
      </w:r>
    </w:p>
    <w:p>
      <w:pPr>
        <w:pStyle w:val="114"/>
        <w:ind w:firstLine="480"/>
      </w:pPr>
      <w:r>
        <w:t>（8）《生态环境保护</w:t>
      </w:r>
      <w:r>
        <w:rPr>
          <w:rFonts w:hint="eastAsia"/>
          <w:lang w:eastAsia="zh-CN"/>
        </w:rPr>
        <w:t>“</w:t>
      </w:r>
      <w:r>
        <w:t>十四五</w:t>
      </w:r>
      <w:r>
        <w:rPr>
          <w:rFonts w:hint="eastAsia"/>
          <w:lang w:eastAsia="zh-CN"/>
        </w:rPr>
        <w:t>”</w:t>
      </w:r>
      <w:r>
        <w:t>规划》；</w:t>
      </w:r>
    </w:p>
    <w:p>
      <w:pPr>
        <w:pStyle w:val="114"/>
        <w:ind w:firstLine="480"/>
      </w:pPr>
      <w:r>
        <w:t>（9）《国务院关于印发全国生态环境保护纲要的通知》（国发〔2000〕38号），2000年11月26日实施；</w:t>
      </w:r>
    </w:p>
    <w:p>
      <w:pPr>
        <w:pStyle w:val="114"/>
        <w:ind w:firstLine="480"/>
      </w:pPr>
      <w:r>
        <w:t>（10）《产业结构调整指导目录》（2019年本）；</w:t>
      </w:r>
    </w:p>
    <w:p>
      <w:pPr>
        <w:pStyle w:val="114"/>
        <w:ind w:firstLine="480"/>
      </w:pPr>
      <w:r>
        <w:t>（11）</w:t>
      </w:r>
      <w:r>
        <w:rPr>
          <w:bCs/>
        </w:rPr>
        <w:t>《“十四五”现代能源体系规划》</w:t>
      </w:r>
      <w:r>
        <w:t>（发改能源〔2022〕210号）；</w:t>
      </w:r>
    </w:p>
    <w:p>
      <w:pPr>
        <w:pStyle w:val="114"/>
        <w:ind w:firstLine="480"/>
      </w:pPr>
      <w:r>
        <w:t>（12）《关于划定并严守生态保护红线的若干意见》，中共中央办公厅、国务院办公厅，2017年2月7日；</w:t>
      </w:r>
    </w:p>
    <w:p>
      <w:pPr>
        <w:pStyle w:val="114"/>
        <w:ind w:firstLine="480"/>
      </w:pPr>
      <w:r>
        <w:t>（13）《石油天然气开采业污染防治技术政策》（环境保护部公告2012年第18号）；</w:t>
      </w:r>
    </w:p>
    <w:p>
      <w:pPr>
        <w:pStyle w:val="114"/>
        <w:ind w:firstLine="480"/>
      </w:pPr>
      <w:r>
        <w:t>（14）《关于进一步加强石油天然气行业环境影响评价管理的通知》（环办环评函〔2019〕910号）；</w:t>
      </w:r>
    </w:p>
    <w:p>
      <w:pPr>
        <w:pStyle w:val="114"/>
        <w:ind w:firstLine="480"/>
      </w:pPr>
      <w:r>
        <w:t>（15）《自然资源部关于规范临时用地管理的通知》（自然资规</w:t>
      </w:r>
      <w:r>
        <w:rPr>
          <w:rFonts w:hint="eastAsia"/>
          <w:lang w:eastAsia="zh-CN"/>
        </w:rPr>
        <w:t>〔2021〕</w:t>
      </w:r>
      <w:r>
        <w:t>2号）。</w:t>
      </w:r>
    </w:p>
    <w:p>
      <w:pPr>
        <w:keepNext/>
        <w:keepLines/>
        <w:ind w:firstLine="0" w:firstLineChars="0"/>
        <w:outlineLvl w:val="2"/>
        <w:rPr>
          <w:rFonts w:ascii="Times New Roman" w:cs="Times New Roman"/>
          <w:b/>
          <w:szCs w:val="32"/>
        </w:rPr>
      </w:pPr>
      <w:bookmarkStart w:id="46" w:name="_Toc19815923"/>
      <w:r>
        <w:rPr>
          <w:rFonts w:ascii="Times New Roman" w:cs="Times New Roman"/>
          <w:b/>
          <w:szCs w:val="32"/>
        </w:rPr>
        <w:t>1.1.4 地方法律法规</w:t>
      </w:r>
      <w:bookmarkEnd w:id="46"/>
      <w:r>
        <w:rPr>
          <w:rFonts w:ascii="Times New Roman" w:cs="Times New Roman"/>
          <w:b/>
          <w:szCs w:val="32"/>
        </w:rPr>
        <w:t>及规范性文件</w:t>
      </w:r>
    </w:p>
    <w:p>
      <w:pPr>
        <w:pStyle w:val="114"/>
        <w:ind w:firstLine="480"/>
        <w:rPr>
          <w:szCs w:val="24"/>
        </w:rPr>
      </w:pPr>
      <w:r>
        <w:rPr>
          <w:szCs w:val="24"/>
        </w:rPr>
        <w:t>（1）《四川省环境保护条例》（四川省第十二届人民代表大会常务委员会公告第94号，2018年1月1日施行）；</w:t>
      </w:r>
    </w:p>
    <w:p>
      <w:pPr>
        <w:pStyle w:val="114"/>
        <w:ind w:firstLine="480"/>
        <w:rPr>
          <w:szCs w:val="24"/>
        </w:rPr>
      </w:pPr>
      <w:r>
        <w:rPr>
          <w:szCs w:val="24"/>
        </w:rPr>
        <w:t>（2）《四川省主体功能区规划》，川府发〔2013〕16号；</w:t>
      </w:r>
    </w:p>
    <w:p>
      <w:pPr>
        <w:pStyle w:val="114"/>
        <w:ind w:firstLine="480"/>
        <w:rPr>
          <w:szCs w:val="24"/>
        </w:rPr>
      </w:pPr>
      <w:r>
        <w:rPr>
          <w:szCs w:val="24"/>
        </w:rPr>
        <w:t>（3）</w:t>
      </w:r>
      <w:r>
        <w:rPr>
          <w:kern w:val="2"/>
          <w:szCs w:val="22"/>
        </w:rPr>
        <w:t>《四川省嘉陵江流域生态环境保护条例》（2021年11月25日四川省第十三届人民代表大会常务委员会第三十一次会议通过）</w:t>
      </w:r>
      <w:r>
        <w:rPr>
          <w:szCs w:val="24"/>
        </w:rPr>
        <w:t>；</w:t>
      </w:r>
    </w:p>
    <w:p>
      <w:pPr>
        <w:pStyle w:val="114"/>
        <w:ind w:firstLine="480"/>
        <w:rPr>
          <w:szCs w:val="24"/>
        </w:rPr>
      </w:pPr>
      <w:r>
        <w:rPr>
          <w:szCs w:val="24"/>
        </w:rPr>
        <w:t>（4）《四川省环境污染防治“三大战役”实施方案》（川委厅〔2016〕92号）；</w:t>
      </w:r>
    </w:p>
    <w:p>
      <w:pPr>
        <w:pStyle w:val="114"/>
        <w:ind w:firstLine="480"/>
        <w:rPr>
          <w:szCs w:val="24"/>
        </w:rPr>
      </w:pPr>
      <w:r>
        <w:rPr>
          <w:szCs w:val="24"/>
        </w:rPr>
        <w:t>（5）《关于印发四川省蓝天保卫行动方案（2017-2020年）的通知》（川污防“三大战役”办〔2017〕33号）；</w:t>
      </w:r>
    </w:p>
    <w:p>
      <w:pPr>
        <w:pStyle w:val="114"/>
        <w:ind w:firstLine="480"/>
        <w:rPr>
          <w:szCs w:val="24"/>
        </w:rPr>
      </w:pPr>
      <w:r>
        <w:rPr>
          <w:szCs w:val="24"/>
        </w:rPr>
        <w:t xml:space="preserve">（6）《四川省基本农田保护实施细则》（1996年2月29日施行）； </w:t>
      </w:r>
    </w:p>
    <w:p>
      <w:pPr>
        <w:pStyle w:val="114"/>
        <w:ind w:firstLine="480"/>
        <w:rPr>
          <w:szCs w:val="24"/>
        </w:rPr>
      </w:pPr>
      <w:r>
        <w:rPr>
          <w:szCs w:val="24"/>
        </w:rPr>
        <w:t>（7）关于印发《土壤污染防治行动计划四川省工作方案》的通知，（川府发〔2016〕63号，2016年12月29日）；</w:t>
      </w:r>
    </w:p>
    <w:p>
      <w:pPr>
        <w:pStyle w:val="114"/>
        <w:ind w:firstLine="480"/>
        <w:rPr>
          <w:szCs w:val="24"/>
        </w:rPr>
      </w:pPr>
      <w:r>
        <w:rPr>
          <w:szCs w:val="24"/>
        </w:rPr>
        <w:t xml:space="preserve">（8）四川省《中华人民共和国土地管理法》实施办法，2012年7月27日； </w:t>
      </w:r>
    </w:p>
    <w:p>
      <w:pPr>
        <w:pStyle w:val="114"/>
        <w:ind w:firstLine="480"/>
        <w:rPr>
          <w:szCs w:val="24"/>
        </w:rPr>
      </w:pPr>
      <w:r>
        <w:rPr>
          <w:szCs w:val="24"/>
        </w:rPr>
        <w:t>（9）《四川省人民政府办公厅关于城镇集中式饮用水水源地保护区划定方案的通知》（川办函〔2010〕26号）；</w:t>
      </w:r>
    </w:p>
    <w:p>
      <w:pPr>
        <w:pStyle w:val="114"/>
        <w:ind w:firstLine="480"/>
        <w:rPr>
          <w:szCs w:val="24"/>
        </w:rPr>
      </w:pPr>
      <w:r>
        <w:rPr>
          <w:szCs w:val="24"/>
        </w:rPr>
        <w:t>（10）《四川省饮用水水源保护管理条例》，（四川省第十三届人民代表大会常务委员会公告第41号，2019年9月26日）；</w:t>
      </w:r>
    </w:p>
    <w:p>
      <w:pPr>
        <w:pStyle w:val="114"/>
        <w:ind w:firstLine="480"/>
        <w:rPr>
          <w:szCs w:val="24"/>
        </w:rPr>
      </w:pPr>
      <w:r>
        <w:rPr>
          <w:szCs w:val="24"/>
        </w:rPr>
        <w:t>（11）《四川省人民政府关于印发水污染防治行动计划四川省工作方案的通知》，川府发〔2015〕59号；</w:t>
      </w:r>
    </w:p>
    <w:p>
      <w:pPr>
        <w:pStyle w:val="114"/>
        <w:ind w:firstLine="480"/>
        <w:rPr>
          <w:szCs w:val="24"/>
        </w:rPr>
      </w:pPr>
      <w:r>
        <w:rPr>
          <w:szCs w:val="24"/>
        </w:rPr>
        <w:t>（12）《四川省环境保护厅关于进一步落实好环境影响评价风险防范措施的通知》，川环办发〔2013〕179号，2013年12月24日；</w:t>
      </w:r>
    </w:p>
    <w:p>
      <w:pPr>
        <w:pStyle w:val="114"/>
        <w:ind w:firstLine="480"/>
        <w:rPr>
          <w:szCs w:val="24"/>
        </w:rPr>
      </w:pPr>
      <w:r>
        <w:rPr>
          <w:szCs w:val="24"/>
        </w:rPr>
        <w:t>（13）《四川省人民政府关于印发四川省生态保护红线方案的通知》，川府发〔2018〕24号；</w:t>
      </w:r>
    </w:p>
    <w:p>
      <w:pPr>
        <w:pStyle w:val="114"/>
        <w:ind w:firstLine="480"/>
        <w:rPr>
          <w:szCs w:val="24"/>
        </w:rPr>
      </w:pPr>
      <w:r>
        <w:rPr>
          <w:szCs w:val="24"/>
        </w:rPr>
        <w:t>（14）《四川省环境保护厅关于发布生态保护红线市县级行政区汇总表和登记表的函》，川环函〔2018〕1201号；</w:t>
      </w:r>
    </w:p>
    <w:p>
      <w:pPr>
        <w:pStyle w:val="114"/>
        <w:ind w:firstLine="480"/>
        <w:rPr>
          <w:szCs w:val="24"/>
        </w:rPr>
      </w:pPr>
      <w:r>
        <w:rPr>
          <w:szCs w:val="24"/>
        </w:rPr>
        <w:t>（15）《四川省〈中华人民共和国大气污染防治法〉实施办法》（四川省第十三届人民代表大会常务委员会公告第24号，2019年1月1日实施）；</w:t>
      </w:r>
    </w:p>
    <w:p>
      <w:pPr>
        <w:pStyle w:val="114"/>
        <w:ind w:firstLine="480"/>
        <w:rPr>
          <w:szCs w:val="24"/>
        </w:rPr>
      </w:pPr>
      <w:r>
        <w:rPr>
          <w:szCs w:val="24"/>
        </w:rPr>
        <w:t>（16）《四川省固体废物污染环境防治条例》（四川省第十三届人民代表大会常务委员会公告第15号，2018年7月26日）；</w:t>
      </w:r>
    </w:p>
    <w:p>
      <w:pPr>
        <w:pStyle w:val="114"/>
        <w:ind w:firstLine="480"/>
        <w:rPr>
          <w:kern w:val="2"/>
          <w:szCs w:val="22"/>
        </w:rPr>
      </w:pPr>
      <w:r>
        <w:rPr>
          <w:szCs w:val="24"/>
        </w:rPr>
        <w:t>（17）</w:t>
      </w:r>
      <w:r>
        <w:t>《四川省“十四五”能源发展规划》（川府发〔2022〕8号）；</w:t>
      </w:r>
      <w:r>
        <w:rPr>
          <w:kern w:val="2"/>
          <w:szCs w:val="22"/>
        </w:rPr>
        <w:t xml:space="preserve"> </w:t>
      </w:r>
    </w:p>
    <w:p>
      <w:pPr>
        <w:pStyle w:val="114"/>
        <w:ind w:firstLine="480"/>
      </w:pPr>
      <w:r>
        <w:rPr>
          <w:kern w:val="2"/>
          <w:szCs w:val="22"/>
        </w:rPr>
        <w:t>（18）《四川省、重庆市长江经济带发展负面清单实施细则（试行，2022年版）》；</w:t>
      </w:r>
    </w:p>
    <w:p>
      <w:pPr>
        <w:pStyle w:val="114"/>
        <w:ind w:firstLine="480"/>
      </w:pPr>
      <w:r>
        <w:t>（19）达州市人民政府《关于落实生态保护红线、环境质量底线、资源利用上线制定生态环境准入清单实施生态环境分区管控的通知》达市府发〔2021〕17 号；</w:t>
      </w:r>
    </w:p>
    <w:p>
      <w:pPr>
        <w:pStyle w:val="114"/>
        <w:ind w:firstLine="480"/>
        <w:rPr>
          <w:szCs w:val="24"/>
        </w:rPr>
      </w:pPr>
      <w:r>
        <w:t>（20）达州市人民政府《关于划定万源市、宣汉县和大竹县乡镇及以下集中式饮用水水源地保护区的批复》（达市府发</w:t>
      </w:r>
      <w:r>
        <w:rPr>
          <w:kern w:val="2"/>
        </w:rPr>
        <w:t>〔2020〕</w:t>
      </w:r>
      <w:r>
        <w:t>124号）</w:t>
      </w:r>
      <w:r>
        <w:rPr>
          <w:kern w:val="2"/>
          <w:szCs w:val="22"/>
        </w:rPr>
        <w:t>。</w:t>
      </w:r>
    </w:p>
    <w:p>
      <w:pPr>
        <w:keepNext/>
        <w:keepLines/>
        <w:ind w:firstLine="0" w:firstLineChars="0"/>
        <w:outlineLvl w:val="2"/>
        <w:rPr>
          <w:rFonts w:ascii="Times New Roman" w:cs="Times New Roman"/>
          <w:b/>
          <w:szCs w:val="32"/>
        </w:rPr>
      </w:pPr>
      <w:bookmarkStart w:id="47" w:name="_Toc19815924"/>
      <w:r>
        <w:rPr>
          <w:rFonts w:ascii="Times New Roman" w:cs="Times New Roman"/>
          <w:b/>
          <w:szCs w:val="32"/>
        </w:rPr>
        <w:t>1.1.5 相关环评技术规范</w:t>
      </w:r>
      <w:bookmarkEnd w:id="47"/>
    </w:p>
    <w:p>
      <w:pPr>
        <w:pStyle w:val="114"/>
        <w:ind w:firstLine="480"/>
      </w:pPr>
      <w:r>
        <w:t>（1）《建设项目环境影响评价技术导则 总纲》（HJ2.1-2016）；</w:t>
      </w:r>
    </w:p>
    <w:p>
      <w:pPr>
        <w:pStyle w:val="114"/>
        <w:ind w:firstLine="480"/>
      </w:pPr>
      <w:r>
        <w:t>（2）《环境影响评价技术导则 大气环境》（HJ2.2-2018）；</w:t>
      </w:r>
    </w:p>
    <w:p>
      <w:pPr>
        <w:pStyle w:val="114"/>
        <w:ind w:firstLine="480"/>
      </w:pPr>
      <w:r>
        <w:t>（3）《环境影响评价技术导则 地表水环境》（HJ2.3-2018）；</w:t>
      </w:r>
    </w:p>
    <w:p>
      <w:pPr>
        <w:pStyle w:val="114"/>
        <w:ind w:firstLine="480"/>
      </w:pPr>
      <w:r>
        <w:t>（4）《环境影响评价技术导则 声环境》（HJ2.4-2021）；</w:t>
      </w:r>
    </w:p>
    <w:p>
      <w:pPr>
        <w:pStyle w:val="114"/>
        <w:ind w:firstLine="480"/>
      </w:pPr>
      <w:r>
        <w:t>（5）《环境影响评价技术导则 地下水环境》（HJ610-2016）</w:t>
      </w:r>
    </w:p>
    <w:p>
      <w:pPr>
        <w:pStyle w:val="114"/>
        <w:ind w:firstLine="480"/>
      </w:pPr>
      <w:r>
        <w:t>（6）《环境影响评价技术导则 生态影响》（HJ19-2022）；</w:t>
      </w:r>
    </w:p>
    <w:p>
      <w:pPr>
        <w:pStyle w:val="114"/>
        <w:ind w:firstLine="480"/>
      </w:pPr>
      <w:r>
        <w:t>（7）《环境影响评价技术导则 土壤环境（试行）》（HJ964-2018）；</w:t>
      </w:r>
    </w:p>
    <w:p>
      <w:pPr>
        <w:pStyle w:val="114"/>
        <w:ind w:firstLine="480"/>
      </w:pPr>
      <w:r>
        <w:t>（8）《建设项目环境风险评价技术导则》（HJ169-2018）；</w:t>
      </w:r>
    </w:p>
    <w:p>
      <w:pPr>
        <w:pStyle w:val="114"/>
        <w:ind w:firstLine="480"/>
      </w:pPr>
      <w:r>
        <w:t>（9）《生态环境健康风险评价技术指南 总纲》（HJ1111-2020）；</w:t>
      </w:r>
    </w:p>
    <w:p>
      <w:pPr>
        <w:pStyle w:val="114"/>
        <w:ind w:firstLine="480"/>
      </w:pPr>
      <w:r>
        <w:t>（10）《环境影响评价技术导则 陆地石油天然气开发建设项目》（HJ/T349-2023）；</w:t>
      </w:r>
    </w:p>
    <w:p>
      <w:pPr>
        <w:pStyle w:val="114"/>
        <w:ind w:firstLine="480"/>
      </w:pPr>
      <w:r>
        <w:t>（11）《开发建设项目水土保持技术规范》（GB50433-2008）；</w:t>
      </w:r>
    </w:p>
    <w:p>
      <w:pPr>
        <w:pStyle w:val="114"/>
        <w:ind w:firstLine="480"/>
      </w:pPr>
      <w:r>
        <w:t>（12）《危险化学品重大危险源辨识》（GB18218-2018），2019年3月1日；</w:t>
      </w:r>
    </w:p>
    <w:p>
      <w:pPr>
        <w:pStyle w:val="114"/>
        <w:ind w:firstLine="480"/>
      </w:pPr>
      <w:r>
        <w:t>（1</w:t>
      </w:r>
      <w:r>
        <w:rPr>
          <w:rFonts w:hint="eastAsia"/>
        </w:rPr>
        <w:t>3</w:t>
      </w:r>
      <w:r>
        <w:t>）《埋地钢质管道阴极保护技术规范》（GB/T21448-2017）；</w:t>
      </w:r>
    </w:p>
    <w:p>
      <w:pPr>
        <w:pStyle w:val="114"/>
        <w:ind w:firstLine="480"/>
      </w:pPr>
      <w:r>
        <w:t>（1</w:t>
      </w:r>
      <w:r>
        <w:rPr>
          <w:rFonts w:hint="eastAsia"/>
        </w:rPr>
        <w:t>4</w:t>
      </w:r>
      <w:r>
        <w:t>）《天然气管道运行规范》（SY/T5922-2003）；</w:t>
      </w:r>
    </w:p>
    <w:p>
      <w:pPr>
        <w:pStyle w:val="114"/>
        <w:ind w:firstLine="480"/>
      </w:pPr>
      <w:r>
        <w:t>（1</w:t>
      </w:r>
      <w:r>
        <w:rPr>
          <w:rFonts w:hint="eastAsia"/>
        </w:rPr>
        <w:t>5</w:t>
      </w:r>
      <w:r>
        <w:t>）《国家危险废物名录》（2021年版）；</w:t>
      </w:r>
    </w:p>
    <w:p>
      <w:pPr>
        <w:pStyle w:val="114"/>
        <w:ind w:firstLine="480"/>
      </w:pPr>
      <w:r>
        <w:t>（1</w:t>
      </w:r>
      <w:r>
        <w:rPr>
          <w:rFonts w:hint="eastAsia"/>
        </w:rPr>
        <w:t>6</w:t>
      </w:r>
      <w:r>
        <w:t>）《建筑设计防火规范》（GB50016-2014）；</w:t>
      </w:r>
    </w:p>
    <w:p>
      <w:pPr>
        <w:pStyle w:val="114"/>
        <w:ind w:firstLine="480"/>
      </w:pPr>
      <w:r>
        <w:t>（1</w:t>
      </w:r>
      <w:r>
        <w:rPr>
          <w:rFonts w:hint="eastAsia"/>
        </w:rPr>
        <w:t>7</w:t>
      </w:r>
      <w:r>
        <w:t>）《石油天然气工程设计防火规范》（GB50183-2004）；</w:t>
      </w:r>
    </w:p>
    <w:p>
      <w:pPr>
        <w:pStyle w:val="114"/>
        <w:ind w:firstLine="480"/>
      </w:pPr>
      <w:r>
        <w:t>（</w:t>
      </w:r>
      <w:r>
        <w:rPr>
          <w:rFonts w:hint="eastAsia"/>
        </w:rPr>
        <w:t>18</w:t>
      </w:r>
      <w:r>
        <w:t>）《钻前工程及井场布置技术要求》（SY/T5466-2013）；</w:t>
      </w:r>
    </w:p>
    <w:p>
      <w:pPr>
        <w:pStyle w:val="114"/>
        <w:ind w:firstLine="480"/>
      </w:pPr>
      <w:r>
        <w:t>（</w:t>
      </w:r>
      <w:r>
        <w:rPr>
          <w:rFonts w:hint="eastAsia"/>
        </w:rPr>
        <w:t>19</w:t>
      </w:r>
      <w:r>
        <w:t>）《高含硫气田水处理及回注工程设计规范》（SY/T6881-2012）。</w:t>
      </w:r>
    </w:p>
    <w:p>
      <w:pPr>
        <w:keepNext/>
        <w:keepLines/>
        <w:ind w:firstLine="0" w:firstLineChars="0"/>
        <w:outlineLvl w:val="2"/>
        <w:rPr>
          <w:rFonts w:ascii="Times New Roman" w:cs="Times New Roman"/>
          <w:b/>
          <w:szCs w:val="32"/>
        </w:rPr>
      </w:pPr>
      <w:bookmarkStart w:id="48" w:name="_Toc19815926"/>
      <w:r>
        <w:rPr>
          <w:rFonts w:ascii="Times New Roman" w:cs="Times New Roman"/>
          <w:b/>
          <w:szCs w:val="32"/>
        </w:rPr>
        <w:t>1.1.6 环境影响评价工作其它依据</w:t>
      </w:r>
      <w:bookmarkEnd w:id="48"/>
    </w:p>
    <w:p>
      <w:pPr>
        <w:pStyle w:val="114"/>
        <w:ind w:firstLine="480"/>
      </w:pPr>
      <w:r>
        <w:t>（1）环境影响评价委托书；</w:t>
      </w:r>
    </w:p>
    <w:p>
      <w:pPr>
        <w:pStyle w:val="114"/>
        <w:ind w:firstLine="480"/>
      </w:pPr>
      <w:bookmarkStart w:id="49" w:name="_Hlk56956483"/>
      <w:r>
        <w:t>（2）《普光气田P108-2H、P108-3H钻井及试采工程可行性研究报告》；</w:t>
      </w:r>
    </w:p>
    <w:p>
      <w:pPr>
        <w:pStyle w:val="114"/>
        <w:ind w:firstLine="480"/>
      </w:pPr>
      <w:r>
        <w:t>（3）《普光气田P108井台钻井及试采工程环境质量监测报告》；</w:t>
      </w:r>
    </w:p>
    <w:p>
      <w:pPr>
        <w:pStyle w:val="114"/>
        <w:ind w:firstLine="480"/>
      </w:pPr>
      <w:r>
        <w:t>（4）项目直接影响区、县及相关乡镇规划、土地利用规划、植被分布现状、水系分布情况</w:t>
      </w:r>
      <w:r>
        <w:rPr>
          <w:rFonts w:hint="eastAsia"/>
        </w:rPr>
        <w:t>等</w:t>
      </w:r>
      <w:r>
        <w:t>规划等相关文件、资料；</w:t>
      </w:r>
    </w:p>
    <w:bookmarkEnd w:id="49"/>
    <w:p>
      <w:pPr>
        <w:pStyle w:val="114"/>
        <w:ind w:firstLine="480"/>
      </w:pPr>
      <w:r>
        <w:t>（5）建设单位提供的项目其他有关资料。</w:t>
      </w:r>
    </w:p>
    <w:p>
      <w:pPr>
        <w:keepNext/>
        <w:keepLines/>
        <w:spacing w:before="120"/>
        <w:ind w:firstLine="0" w:firstLineChars="0"/>
        <w:outlineLvl w:val="1"/>
        <w:rPr>
          <w:rFonts w:ascii="Times New Roman" w:cs="Times New Roman"/>
          <w:b/>
          <w:bCs/>
          <w:sz w:val="28"/>
          <w:szCs w:val="32"/>
        </w:rPr>
      </w:pPr>
      <w:bookmarkStart w:id="50" w:name="bookmark3"/>
      <w:bookmarkEnd w:id="50"/>
      <w:bookmarkStart w:id="51" w:name="_Toc12288386"/>
      <w:bookmarkStart w:id="52" w:name="_Toc19815927"/>
      <w:bookmarkStart w:id="53" w:name="_Toc16910"/>
      <w:r>
        <w:rPr>
          <w:rFonts w:ascii="Times New Roman" w:cs="Times New Roman"/>
          <w:b/>
          <w:bCs/>
          <w:sz w:val="28"/>
          <w:szCs w:val="32"/>
        </w:rPr>
        <w:t>1.2 评价目的、原则</w:t>
      </w:r>
      <w:bookmarkEnd w:id="51"/>
      <w:r>
        <w:rPr>
          <w:rFonts w:ascii="Times New Roman" w:cs="Times New Roman"/>
          <w:b/>
          <w:bCs/>
          <w:sz w:val="28"/>
          <w:szCs w:val="32"/>
        </w:rPr>
        <w:t>与评价重点</w:t>
      </w:r>
      <w:bookmarkEnd w:id="52"/>
      <w:bookmarkEnd w:id="53"/>
    </w:p>
    <w:p>
      <w:pPr>
        <w:keepNext/>
        <w:keepLines/>
        <w:ind w:firstLine="0" w:firstLineChars="0"/>
        <w:outlineLvl w:val="2"/>
        <w:rPr>
          <w:rFonts w:ascii="Times New Roman" w:cs="Times New Roman"/>
          <w:b/>
          <w:szCs w:val="32"/>
        </w:rPr>
      </w:pPr>
      <w:bookmarkStart w:id="54" w:name="_Toc19815928"/>
      <w:r>
        <w:rPr>
          <w:rFonts w:ascii="Times New Roman" w:cs="Times New Roman"/>
          <w:b/>
          <w:szCs w:val="32"/>
        </w:rPr>
        <w:t>1.2.1 评价目的</w:t>
      </w:r>
      <w:bookmarkEnd w:id="54"/>
    </w:p>
    <w:p>
      <w:pPr>
        <w:pStyle w:val="114"/>
        <w:ind w:firstLine="480"/>
      </w:pPr>
      <w:r>
        <w:t>环境影响评价的目的，是对项目实施后可能造成的环境影响进行分析、预测和评估，提出预防或者减轻不良环境影响的对策和措施。通过分析工程建设是否符合国家及地方产业、行业政策及相关专项规划要求；对工程选线进行环境可行性论证；通过工程分析，分析工程施工对生态环境影响情况，分析试采期环境风险是否可接受；提出污染防治和风险防控措施，为工程设计和环境管理提供科学依据。</w:t>
      </w:r>
    </w:p>
    <w:p>
      <w:pPr>
        <w:pStyle w:val="114"/>
        <w:ind w:firstLine="480"/>
      </w:pPr>
      <w:r>
        <w:t>本次评价将针对项目环境影响问题，并结合本项目的特点，达到以下目的：</w:t>
      </w:r>
    </w:p>
    <w:p>
      <w:pPr>
        <w:pStyle w:val="114"/>
        <w:ind w:firstLine="480"/>
      </w:pPr>
      <w:r>
        <w:t>（1）调查了解</w:t>
      </w:r>
      <w:r>
        <w:rPr>
          <w:rFonts w:hint="eastAsia"/>
        </w:rPr>
        <w:t>项目所在地</w:t>
      </w:r>
      <w:r>
        <w:t>周围生态环境、环境空气、地表水环境、地下水环境、声环境等现状及工程所在地限制性环境要素；</w:t>
      </w:r>
    </w:p>
    <w:p>
      <w:pPr>
        <w:pStyle w:val="114"/>
        <w:ind w:firstLine="480"/>
      </w:pPr>
      <w:r>
        <w:t>（2）结合国家相关产业政策、行业规划、当地规划以及工程的环境影响进行预测与评价，分析论述项目建设选址的可行性和环境可行性；</w:t>
      </w:r>
    </w:p>
    <w:p>
      <w:pPr>
        <w:pStyle w:val="114"/>
        <w:ind w:firstLine="480"/>
      </w:pPr>
      <w:r>
        <w:t>（3）根据项目与环境保护目标的关系，提出项目建设、试采过程中拟采取的保护措施、减缓措施，使工程建设对环境产生的不利影响降到最低程度；</w:t>
      </w:r>
    </w:p>
    <w:p>
      <w:pPr>
        <w:pStyle w:val="114"/>
        <w:ind w:firstLine="480"/>
      </w:pPr>
      <w:r>
        <w:t>（4）根据工程在施工期对环境产生影响的主要特点，提出施工期环境管理、环境监理和监测计划；</w:t>
      </w:r>
    </w:p>
    <w:p>
      <w:pPr>
        <w:pStyle w:val="114"/>
        <w:ind w:firstLine="480"/>
      </w:pPr>
      <w:r>
        <w:t>（5）坚持“达标排放、总量控制、清洁生产”的原则，保证本项目建设实施后，不加重该区域的环境污染程度；</w:t>
      </w:r>
    </w:p>
    <w:p>
      <w:pPr>
        <w:pStyle w:val="114"/>
        <w:ind w:firstLine="480"/>
      </w:pPr>
      <w:r>
        <w:t>（6）从经济、技术角度论证项目污染防治措施的可行性；</w:t>
      </w:r>
    </w:p>
    <w:p>
      <w:pPr>
        <w:pStyle w:val="114"/>
        <w:ind w:firstLine="480"/>
      </w:pPr>
      <w:r>
        <w:t>（7）预测本项目建设过程中，对周围环境的影响程度和范围，在此基础上提出相应的防范措施；</w:t>
      </w:r>
    </w:p>
    <w:p>
      <w:pPr>
        <w:pStyle w:val="114"/>
        <w:ind w:firstLine="480"/>
      </w:pPr>
      <w:r>
        <w:t>（8）针对项目特性进行环境风险分析，提出风险防范措施，明确项目环境风险影响的接受水平；</w:t>
      </w:r>
    </w:p>
    <w:p>
      <w:pPr>
        <w:pStyle w:val="114"/>
        <w:ind w:firstLine="480"/>
      </w:pPr>
      <w:r>
        <w:t>（9）为工程的建设及施工期的环境管理提供科学依据，做到经济建设与环境保护协调发展。</w:t>
      </w:r>
    </w:p>
    <w:p>
      <w:pPr>
        <w:keepNext/>
        <w:keepLines/>
        <w:ind w:firstLine="0" w:firstLineChars="0"/>
        <w:outlineLvl w:val="2"/>
        <w:rPr>
          <w:rFonts w:ascii="Times New Roman" w:cs="Times New Roman"/>
          <w:b/>
          <w:szCs w:val="32"/>
        </w:rPr>
      </w:pPr>
      <w:bookmarkStart w:id="55" w:name="_Toc19815929"/>
      <w:r>
        <w:rPr>
          <w:rFonts w:ascii="Times New Roman" w:cs="Times New Roman"/>
          <w:b/>
          <w:szCs w:val="32"/>
        </w:rPr>
        <w:t>1.2.2 评价原则</w:t>
      </w:r>
      <w:bookmarkEnd w:id="55"/>
    </w:p>
    <w:p>
      <w:pPr>
        <w:pStyle w:val="114"/>
        <w:ind w:firstLine="480"/>
      </w:pPr>
      <w:r>
        <w:t>本次评价坚持“依法评价、科学评价、突出重点的”原则，起到环境影响评价的源头预防作用，坚持保护和改善环境质量。</w:t>
      </w:r>
    </w:p>
    <w:p>
      <w:pPr>
        <w:pStyle w:val="114"/>
        <w:ind w:firstLine="480"/>
      </w:pPr>
      <w:r>
        <w:t>（1）贯彻执行我国环境保护相关法律法规、标准、政策和规划等。建设项目符合产业政策，符合本地区的总体规划、区域发展规划和环境保护规划的原则；</w:t>
      </w:r>
    </w:p>
    <w:p>
      <w:pPr>
        <w:pStyle w:val="114"/>
        <w:ind w:firstLine="480"/>
      </w:pPr>
      <w:r>
        <w:t>（2）提出污染防治措施和环境管理要求，优化项目建设，提高企业环境管理水平；</w:t>
      </w:r>
    </w:p>
    <w:p>
      <w:pPr>
        <w:pStyle w:val="114"/>
        <w:ind w:firstLine="480"/>
      </w:pPr>
      <w:r>
        <w:t>（3）科学分析项目建设对生态环境的影响，明确项目建设对生态环境影响的方式、范围及程度，预测评价生态环境影响可接受性，确定生态环境影响预防、恢复措施，并论证措施可行性及生态环境影响是否可以接受；</w:t>
      </w:r>
    </w:p>
    <w:p>
      <w:pPr>
        <w:pStyle w:val="114"/>
        <w:ind w:firstLine="480"/>
      </w:pPr>
      <w:r>
        <w:t>（4）坚持评价重点突出，结果客观明确，环保措施具有可操作性；体现本次评价的实用性和针对性；充分利用符合时效的数据资料及成果，对建设项目主要环境影响予以重点分析和评价；</w:t>
      </w:r>
    </w:p>
    <w:p>
      <w:pPr>
        <w:pStyle w:val="114"/>
        <w:ind w:firstLine="480"/>
      </w:pPr>
      <w:r>
        <w:t>① 首先对项目建设地环境空气、水环境（地下水、地表水）、声环境、土壤环境、生态环境等环境质量现状进行调查和评价。</w:t>
      </w:r>
    </w:p>
    <w:p>
      <w:pPr>
        <w:pStyle w:val="114"/>
        <w:ind w:firstLine="480"/>
      </w:pPr>
      <w:r>
        <w:t>② 对工程各阶段的环境影响因素进行充分识别，采取定量与定性相结合的方法，分析工程对周围环境各项环境要素的影响途径和程度。</w:t>
      </w:r>
    </w:p>
    <w:p>
      <w:pPr>
        <w:pStyle w:val="114"/>
        <w:ind w:firstLine="480"/>
      </w:pPr>
      <w:r>
        <w:t>③ 结合项目建设地环境特征，根据各环境要素评价成果，对设计提出的环保措施的可行性、可靠性进行分析，并提出完善措施，以达到环保要求。</w:t>
      </w:r>
    </w:p>
    <w:p>
      <w:pPr>
        <w:keepNext/>
        <w:keepLines/>
        <w:ind w:firstLine="0" w:firstLineChars="0"/>
        <w:outlineLvl w:val="2"/>
        <w:rPr>
          <w:rFonts w:ascii="Times New Roman" w:cs="Times New Roman"/>
          <w:b/>
          <w:szCs w:val="32"/>
        </w:rPr>
      </w:pPr>
      <w:bookmarkStart w:id="56" w:name="_Toc19815930"/>
      <w:r>
        <w:rPr>
          <w:rFonts w:ascii="Times New Roman" w:cs="Times New Roman"/>
          <w:b/>
          <w:szCs w:val="32"/>
        </w:rPr>
        <w:t>1.2.3 评价重点</w:t>
      </w:r>
      <w:bookmarkEnd w:id="56"/>
    </w:p>
    <w:p>
      <w:pPr>
        <w:pStyle w:val="114"/>
        <w:ind w:firstLine="480"/>
      </w:pPr>
      <w:r>
        <w:t>根据本项目特点和工程所在地的环境概况，在工程分析的基础上，重点评价工程施工过程中对周边大气、地表水、地下水、声环境、土壤环境及生态环境的影响，评价试采期环境风险。</w:t>
      </w:r>
    </w:p>
    <w:p>
      <w:pPr>
        <w:pStyle w:val="114"/>
        <w:ind w:firstLine="480"/>
      </w:pPr>
      <w:r>
        <w:t>重点评价工程对临近的自然保护区、风景名胜区、世界文化和自然遗产地、地质公园、基本农田保护区、水土流失重点预防区和重点治理区等《建设项目环境影响评价分类管理名录》（2021版）中所列的环境敏感区的影响。</w:t>
      </w:r>
    </w:p>
    <w:p>
      <w:pPr>
        <w:keepNext/>
        <w:keepLines/>
        <w:spacing w:before="120"/>
        <w:ind w:firstLine="0" w:firstLineChars="0"/>
        <w:outlineLvl w:val="1"/>
        <w:rPr>
          <w:rFonts w:ascii="Times New Roman" w:cs="Times New Roman"/>
          <w:b/>
          <w:bCs/>
          <w:sz w:val="28"/>
          <w:szCs w:val="32"/>
        </w:rPr>
      </w:pPr>
      <w:bookmarkStart w:id="57" w:name="bookmark4"/>
      <w:bookmarkEnd w:id="57"/>
      <w:bookmarkStart w:id="58" w:name="_Toc12288387"/>
      <w:bookmarkStart w:id="59" w:name="_Toc19815931"/>
      <w:bookmarkStart w:id="60" w:name="_Toc14794"/>
      <w:r>
        <w:rPr>
          <w:rFonts w:ascii="Times New Roman" w:cs="Times New Roman"/>
          <w:b/>
          <w:bCs/>
          <w:sz w:val="28"/>
          <w:szCs w:val="32"/>
        </w:rPr>
        <w:t>1.3 环境影响要素识别和评价因子筛选</w:t>
      </w:r>
      <w:bookmarkEnd w:id="58"/>
      <w:bookmarkEnd w:id="59"/>
      <w:bookmarkEnd w:id="60"/>
    </w:p>
    <w:p>
      <w:pPr>
        <w:keepNext/>
        <w:keepLines/>
        <w:ind w:firstLine="0" w:firstLineChars="0"/>
        <w:outlineLvl w:val="2"/>
        <w:rPr>
          <w:rFonts w:ascii="Times New Roman" w:cs="Times New Roman"/>
          <w:b/>
          <w:szCs w:val="32"/>
        </w:rPr>
      </w:pPr>
      <w:bookmarkStart w:id="61" w:name="_Toc19815932"/>
      <w:r>
        <w:rPr>
          <w:rFonts w:ascii="Times New Roman" w:cs="Times New Roman"/>
          <w:b/>
          <w:szCs w:val="32"/>
        </w:rPr>
        <w:t>1.3.1 环境影响要素识别</w:t>
      </w:r>
      <w:bookmarkEnd w:id="61"/>
    </w:p>
    <w:p>
      <w:pPr>
        <w:pStyle w:val="114"/>
        <w:ind w:firstLine="480"/>
      </w:pPr>
      <w:r>
        <w:t>本项目为污染影响型兼生态影响型建设工程，主要就工程建设及运行对区域大气、地表水、地下水、声环境、土壤环境及生态环境等环境要素所造成的影响进行识别。</w:t>
      </w:r>
    </w:p>
    <w:p>
      <w:pPr>
        <w:pStyle w:val="114"/>
        <w:ind w:firstLine="482"/>
        <w:rPr>
          <w:b/>
        </w:rPr>
      </w:pPr>
      <w:r>
        <w:rPr>
          <w:b/>
        </w:rPr>
        <w:t>1、生态环境影响</w:t>
      </w:r>
    </w:p>
    <w:p>
      <w:pPr>
        <w:pStyle w:val="114"/>
        <w:ind w:firstLine="480"/>
        <w:rPr>
          <w:kern w:val="2"/>
          <w:szCs w:val="22"/>
        </w:rPr>
      </w:pPr>
      <w:r>
        <w:rPr>
          <w:kern w:val="2"/>
          <w:szCs w:val="22"/>
        </w:rPr>
        <w:t>本项目生态环境影响主要体现在施工期。</w:t>
      </w:r>
      <w:r>
        <w:rPr>
          <w:rFonts w:hint="eastAsia"/>
          <w:kern w:val="2"/>
          <w:szCs w:val="22"/>
        </w:rPr>
        <w:t>本项目主要依托P108集气站已建场地进行建设，</w:t>
      </w:r>
      <w:r>
        <w:rPr>
          <w:kern w:val="2"/>
          <w:szCs w:val="22"/>
        </w:rPr>
        <w:t>工程施工期间对生态环境的影响主要是</w:t>
      </w:r>
      <w:r>
        <w:rPr>
          <w:rFonts w:hint="eastAsia"/>
          <w:kern w:val="2"/>
          <w:szCs w:val="22"/>
        </w:rPr>
        <w:t>储备罐基础施工、</w:t>
      </w:r>
      <w:r>
        <w:rPr>
          <w:kern w:val="2"/>
          <w:szCs w:val="22"/>
        </w:rPr>
        <w:t>场地平整、土石方工程开挖引起的自然地貌的改变和地表自然及人工植被的破坏，进而引起对土地利用的改变，生物量和生产力的变化，由此引发区域生态系统稳定性下降，致使生态环境的破坏；施工中施工场地等将会占用耕地、林地及其它土地，导致农、林、种植业生态系统发生较大变化。</w:t>
      </w:r>
    </w:p>
    <w:p>
      <w:pPr>
        <w:pStyle w:val="114"/>
        <w:ind w:firstLine="480"/>
        <w:rPr>
          <w:kern w:val="2"/>
          <w:szCs w:val="22"/>
        </w:rPr>
      </w:pPr>
      <w:r>
        <w:rPr>
          <w:kern w:val="2"/>
          <w:szCs w:val="22"/>
        </w:rPr>
        <w:t>试采期不会带来新的生态影响，受施工期影响的生态环境按相应的环境保护措施，逐步恢复重建。</w:t>
      </w:r>
    </w:p>
    <w:p>
      <w:pPr>
        <w:pStyle w:val="114"/>
        <w:ind w:firstLine="482"/>
        <w:rPr>
          <w:b/>
        </w:rPr>
      </w:pPr>
      <w:r>
        <w:rPr>
          <w:b/>
        </w:rPr>
        <w:t>2、地表水环境影响</w:t>
      </w:r>
    </w:p>
    <w:p>
      <w:pPr>
        <w:pStyle w:val="114"/>
        <w:ind w:firstLine="480"/>
        <w:rPr>
          <w:kern w:val="2"/>
          <w:szCs w:val="22"/>
        </w:rPr>
      </w:pPr>
      <w:r>
        <w:rPr>
          <w:kern w:val="2"/>
          <w:szCs w:val="22"/>
        </w:rPr>
        <w:t>（1）施工期钻井废水、压裂废水和洗井废水对地表水环境的影响；</w:t>
      </w:r>
    </w:p>
    <w:p>
      <w:pPr>
        <w:pStyle w:val="114"/>
        <w:ind w:firstLine="480"/>
        <w:rPr>
          <w:kern w:val="2"/>
          <w:szCs w:val="22"/>
        </w:rPr>
      </w:pPr>
      <w:r>
        <w:rPr>
          <w:kern w:val="2"/>
          <w:szCs w:val="22"/>
        </w:rPr>
        <w:t>（2）施工人员产生的生活污水排放对地表水环境的影响；</w:t>
      </w:r>
    </w:p>
    <w:p>
      <w:pPr>
        <w:pStyle w:val="114"/>
        <w:ind w:firstLine="480"/>
        <w:rPr>
          <w:kern w:val="2"/>
          <w:szCs w:val="22"/>
        </w:rPr>
      </w:pPr>
      <w:r>
        <w:rPr>
          <w:kern w:val="2"/>
          <w:szCs w:val="22"/>
        </w:rPr>
        <w:t>（3）试采期气田水对地表水环境的影响。</w:t>
      </w:r>
    </w:p>
    <w:p>
      <w:pPr>
        <w:ind w:firstLine="482"/>
        <w:rPr>
          <w:rFonts w:ascii="Times New Roman" w:cs="Times New Roman"/>
          <w:b/>
        </w:rPr>
      </w:pPr>
      <w:r>
        <w:rPr>
          <w:rFonts w:ascii="Times New Roman" w:cs="Times New Roman"/>
          <w:b/>
        </w:rPr>
        <w:t>3、地下水环境影响</w:t>
      </w:r>
    </w:p>
    <w:p>
      <w:pPr>
        <w:topLinePunct w:val="0"/>
        <w:adjustRightInd/>
        <w:ind w:firstLine="480"/>
        <w:rPr>
          <w:rFonts w:ascii="Times New Roman" w:cs="Times New Roman"/>
          <w:kern w:val="2"/>
          <w:szCs w:val="22"/>
        </w:rPr>
      </w:pPr>
      <w:r>
        <w:rPr>
          <w:rFonts w:ascii="Times New Roman" w:cs="Times New Roman"/>
          <w:kern w:val="2"/>
          <w:szCs w:val="22"/>
        </w:rPr>
        <w:t>（1）本项目施工期对地下水的影响是施工期钻井过程中可能造成地下水的污染，同时</w:t>
      </w:r>
      <w:r>
        <w:rPr>
          <w:rFonts w:hint="eastAsia" w:ascii="Times New Roman" w:cs="Times New Roman"/>
          <w:kern w:val="2"/>
          <w:szCs w:val="22"/>
        </w:rPr>
        <w:t>废水池因破损等原因造成</w:t>
      </w:r>
      <w:r>
        <w:rPr>
          <w:rFonts w:ascii="Times New Roman" w:cs="Times New Roman"/>
          <w:kern w:val="2"/>
          <w:szCs w:val="22"/>
        </w:rPr>
        <w:t>废水下渗对局部区域地下水水质造成影响；</w:t>
      </w:r>
    </w:p>
    <w:p>
      <w:pPr>
        <w:topLinePunct w:val="0"/>
        <w:adjustRightInd/>
        <w:ind w:firstLine="480"/>
        <w:rPr>
          <w:rFonts w:ascii="Times New Roman" w:cs="Times New Roman"/>
          <w:kern w:val="2"/>
          <w:szCs w:val="22"/>
        </w:rPr>
      </w:pPr>
      <w:r>
        <w:rPr>
          <w:rFonts w:ascii="Times New Roman" w:cs="Times New Roman"/>
          <w:kern w:val="2"/>
          <w:szCs w:val="22"/>
        </w:rPr>
        <w:t>（2）试采期对地下水的影响是污水缓冲罐因管理不当而损坏或污水池破损，导致污水下渗对局部区域地下水水质造成影响。</w:t>
      </w:r>
    </w:p>
    <w:p>
      <w:pPr>
        <w:pStyle w:val="114"/>
        <w:ind w:firstLine="482"/>
        <w:rPr>
          <w:b/>
          <w:bCs/>
        </w:rPr>
      </w:pPr>
      <w:r>
        <w:rPr>
          <w:b/>
          <w:bCs/>
        </w:rPr>
        <w:t>4、大气环境影响</w:t>
      </w:r>
    </w:p>
    <w:p>
      <w:pPr>
        <w:pStyle w:val="114"/>
        <w:ind w:firstLine="480"/>
      </w:pPr>
      <w:r>
        <w:t>（1）施工机械排放的废气；</w:t>
      </w:r>
    </w:p>
    <w:p>
      <w:pPr>
        <w:pStyle w:val="114"/>
        <w:ind w:firstLine="480"/>
      </w:pPr>
      <w:r>
        <w:t>（2）施工产生的扬尘；</w:t>
      </w:r>
    </w:p>
    <w:p>
      <w:pPr>
        <w:pStyle w:val="114"/>
        <w:ind w:firstLine="480"/>
      </w:pPr>
      <w:r>
        <w:t>（3）气体钻会产生少量粉尘；</w:t>
      </w:r>
    </w:p>
    <w:p>
      <w:pPr>
        <w:pStyle w:val="114"/>
        <w:ind w:firstLine="480"/>
      </w:pPr>
      <w:r>
        <w:t>（4）测试放喷废气；</w:t>
      </w:r>
    </w:p>
    <w:p>
      <w:pPr>
        <w:pStyle w:val="114"/>
        <w:ind w:firstLine="480"/>
      </w:pPr>
      <w:r>
        <w:t>（5）试采期非正常工况外排的废气，包括检修时冷排的天然气和事故放空时点燃放空的天然气。</w:t>
      </w:r>
    </w:p>
    <w:p>
      <w:pPr>
        <w:pStyle w:val="114"/>
        <w:ind w:firstLine="482"/>
        <w:rPr>
          <w:b/>
          <w:bCs/>
        </w:rPr>
      </w:pPr>
      <w:r>
        <w:rPr>
          <w:b/>
          <w:bCs/>
        </w:rPr>
        <w:t>5、声环境影响</w:t>
      </w:r>
    </w:p>
    <w:p>
      <w:pPr>
        <w:topLinePunct w:val="0"/>
        <w:adjustRightInd/>
        <w:ind w:firstLine="480"/>
        <w:rPr>
          <w:rFonts w:ascii="Times New Roman" w:cs="Times New Roman"/>
          <w:kern w:val="2"/>
          <w:szCs w:val="22"/>
        </w:rPr>
      </w:pPr>
      <w:r>
        <w:rPr>
          <w:rFonts w:ascii="Times New Roman" w:cs="Times New Roman"/>
          <w:kern w:val="2"/>
          <w:szCs w:val="22"/>
        </w:rPr>
        <w:t>（1）施工期施工机械产生的机械噪声；</w:t>
      </w:r>
    </w:p>
    <w:p>
      <w:pPr>
        <w:topLinePunct w:val="0"/>
        <w:adjustRightInd/>
        <w:ind w:firstLine="480"/>
        <w:rPr>
          <w:rFonts w:ascii="Times New Roman" w:cs="Times New Roman"/>
          <w:kern w:val="2"/>
          <w:szCs w:val="22"/>
        </w:rPr>
      </w:pPr>
      <w:bookmarkStart w:id="62" w:name="_Hlk80470452"/>
      <w:r>
        <w:rPr>
          <w:rFonts w:ascii="Times New Roman" w:cs="Times New Roman"/>
          <w:kern w:val="2"/>
          <w:szCs w:val="22"/>
        </w:rPr>
        <w:t>（2）试采期加压设备产生的机械噪声及场站输气产生的机械噪声。</w:t>
      </w:r>
    </w:p>
    <w:bookmarkEnd w:id="62"/>
    <w:p>
      <w:pPr>
        <w:pStyle w:val="114"/>
        <w:ind w:firstLine="482"/>
        <w:rPr>
          <w:b/>
          <w:bCs/>
        </w:rPr>
      </w:pPr>
      <w:r>
        <w:rPr>
          <w:b/>
          <w:bCs/>
        </w:rPr>
        <w:t>6、固体废物环境影响</w:t>
      </w:r>
    </w:p>
    <w:p>
      <w:pPr>
        <w:pStyle w:val="114"/>
        <w:ind w:firstLine="480"/>
      </w:pPr>
      <w:r>
        <w:t>（1）施工期产生的固体废物主要为钻井泥浆、岩屑、废油、生活垃圾、工程弃土和施工废料等；</w:t>
      </w:r>
    </w:p>
    <w:p>
      <w:pPr>
        <w:pStyle w:val="114"/>
        <w:ind w:firstLine="480"/>
      </w:pPr>
      <w:r>
        <w:t>（2）试采期固体废物</w:t>
      </w:r>
      <w:r>
        <w:rPr>
          <w:rFonts w:hint="eastAsia"/>
        </w:rPr>
        <w:t>主要为检修废渣等</w:t>
      </w:r>
      <w:r>
        <w:t>。</w:t>
      </w:r>
    </w:p>
    <w:p>
      <w:pPr>
        <w:pStyle w:val="114"/>
        <w:ind w:firstLine="482"/>
        <w:rPr>
          <w:b/>
          <w:bCs/>
        </w:rPr>
      </w:pPr>
      <w:r>
        <w:rPr>
          <w:b/>
          <w:bCs/>
        </w:rPr>
        <w:t>7、土壤环境影响</w:t>
      </w:r>
    </w:p>
    <w:p>
      <w:pPr>
        <w:pStyle w:val="114"/>
        <w:ind w:firstLine="480"/>
      </w:pPr>
      <w:r>
        <w:t>（1）施工期场地平整造成土壤扰动；</w:t>
      </w:r>
    </w:p>
    <w:p>
      <w:pPr>
        <w:pStyle w:val="114"/>
        <w:ind w:firstLine="480"/>
      </w:pPr>
      <w:r>
        <w:t>（2）施工期施工废水对土壤的影响；</w:t>
      </w:r>
    </w:p>
    <w:p>
      <w:pPr>
        <w:pStyle w:val="114"/>
        <w:ind w:firstLine="480"/>
      </w:pPr>
      <w:r>
        <w:t>（3）施工期施工机械废机油渗漏对土壤的影响；</w:t>
      </w:r>
    </w:p>
    <w:p>
      <w:pPr>
        <w:pStyle w:val="114"/>
        <w:ind w:firstLine="480"/>
      </w:pPr>
      <w:r>
        <w:t>（4）试采期不涉及新建污水储存设施、污水处理构筑物，无废气排放源，气液分离、污水暂存装置均依托P</w:t>
      </w:r>
      <w:r>
        <w:rPr>
          <w:rFonts w:hint="eastAsia"/>
        </w:rPr>
        <w:t>108</w:t>
      </w:r>
      <w:r>
        <w:t>集气站既有设施，不在本次评价范围内，故不存在地面漫流及垂直入渗污染土壤环境。管道破裂出现泄漏时，天然气将通过包气带土壤孔隙逸出进入大气，不会对地下水产生影响，天然气中所含少量的气田水为气态，如果发生上述泄漏，管道监测系统会立即切断并停止输气，所泄漏的气田水微乎其微，且同天然气一同扩散到大气中。因此，不会对土壤环境产生影响。</w:t>
      </w:r>
    </w:p>
    <w:p>
      <w:pPr>
        <w:pStyle w:val="114"/>
        <w:ind w:firstLine="480"/>
      </w:pPr>
      <w:r>
        <w:t>本项目环境影响具体内容见表1.3-1。</w:t>
      </w:r>
    </w:p>
    <w:p>
      <w:pPr>
        <w:pStyle w:val="39"/>
        <w:rPr>
          <w:rFonts w:cs="Times New Roman"/>
          <w:sz w:val="24"/>
          <w:szCs w:val="32"/>
        </w:rPr>
      </w:pPr>
      <w:r>
        <w:rPr>
          <w:rFonts w:cs="Times New Roman"/>
          <w:sz w:val="24"/>
          <w:szCs w:val="32"/>
        </w:rPr>
        <w:t>表1.3-1  本项目施工期和试采期环境影响分析表</w:t>
      </w:r>
    </w:p>
    <w:tbl>
      <w:tblPr>
        <w:tblStyle w:val="59"/>
        <w:tblW w:w="484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20"/>
        <w:gridCol w:w="494"/>
        <w:gridCol w:w="2089"/>
        <w:gridCol w:w="542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 w:hRule="atLeast"/>
          <w:jc w:val="center"/>
        </w:trPr>
        <w:tc>
          <w:tcPr>
            <w:tcW w:w="305" w:type="pct"/>
            <w:tcBorders>
              <w:tl2br w:val="nil"/>
              <w:tr2bl w:val="nil"/>
            </w:tcBorders>
            <w:vAlign w:val="center"/>
          </w:tcPr>
          <w:p>
            <w:pPr>
              <w:topLinePunct w:val="0"/>
              <w:adjustRightInd/>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时段</w:t>
            </w:r>
          </w:p>
        </w:tc>
        <w:tc>
          <w:tcPr>
            <w:tcW w:w="1515" w:type="pct"/>
            <w:gridSpan w:val="2"/>
            <w:tcBorders>
              <w:tl2br w:val="nil"/>
              <w:tr2bl w:val="nil"/>
            </w:tcBorders>
            <w:vAlign w:val="center"/>
          </w:tcPr>
          <w:p>
            <w:pPr>
              <w:topLinePunct w:val="0"/>
              <w:adjustRightInd/>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项目建设活动</w:t>
            </w:r>
          </w:p>
        </w:tc>
        <w:tc>
          <w:tcPr>
            <w:tcW w:w="3179" w:type="pct"/>
            <w:tcBorders>
              <w:tl2br w:val="nil"/>
              <w:tr2bl w:val="nil"/>
            </w:tcBorders>
            <w:vAlign w:val="center"/>
          </w:tcPr>
          <w:p>
            <w:pPr>
              <w:topLinePunct w:val="0"/>
              <w:adjustRightInd/>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环境影响内容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 w:hRule="atLeast"/>
          <w:jc w:val="center"/>
        </w:trPr>
        <w:tc>
          <w:tcPr>
            <w:tcW w:w="305" w:type="pct"/>
            <w:vMerge w:val="restart"/>
            <w:tcBorders>
              <w:tl2br w:val="nil"/>
              <w:tr2bl w:val="nil"/>
            </w:tcBorders>
            <w:vAlign w:val="center"/>
          </w:tcPr>
          <w:p>
            <w:pPr>
              <w:spacing w:line="240" w:lineRule="auto"/>
              <w:ind w:firstLine="199" w:firstLineChars="95"/>
              <w:rPr>
                <w:rFonts w:ascii="Times New Roman" w:cs="Times New Roman"/>
                <w:kern w:val="2"/>
                <w:sz w:val="21"/>
                <w:szCs w:val="21"/>
              </w:rPr>
            </w:pPr>
            <w:r>
              <w:rPr>
                <w:rFonts w:ascii="Times New Roman" w:cs="Times New Roman"/>
                <w:kern w:val="2"/>
                <w:sz w:val="21"/>
                <w:szCs w:val="21"/>
              </w:rPr>
              <w:t>施</w:t>
            </w:r>
          </w:p>
          <w:p>
            <w:pPr>
              <w:spacing w:line="240" w:lineRule="auto"/>
              <w:ind w:firstLine="199" w:firstLineChars="95"/>
              <w:rPr>
                <w:rFonts w:ascii="Times New Roman" w:cs="Times New Roman"/>
                <w:kern w:val="2"/>
                <w:sz w:val="21"/>
                <w:szCs w:val="21"/>
              </w:rPr>
            </w:pPr>
            <w:r>
              <w:rPr>
                <w:rFonts w:ascii="Times New Roman" w:cs="Times New Roman"/>
                <w:kern w:val="2"/>
                <w:sz w:val="21"/>
                <w:szCs w:val="21"/>
              </w:rPr>
              <w:t>工</w:t>
            </w:r>
          </w:p>
          <w:p>
            <w:pPr>
              <w:spacing w:line="240" w:lineRule="auto"/>
              <w:ind w:firstLine="199" w:firstLineChars="95"/>
              <w:rPr>
                <w:rFonts w:ascii="Times New Roman" w:cs="Times New Roman"/>
                <w:kern w:val="2"/>
                <w:sz w:val="21"/>
                <w:szCs w:val="21"/>
              </w:rPr>
            </w:pPr>
            <w:r>
              <w:rPr>
                <w:rFonts w:ascii="Times New Roman" w:cs="Times New Roman"/>
                <w:kern w:val="2"/>
                <w:sz w:val="21"/>
                <w:szCs w:val="21"/>
              </w:rPr>
              <w:t>期</w:t>
            </w:r>
          </w:p>
        </w:tc>
        <w:tc>
          <w:tcPr>
            <w:tcW w:w="290" w:type="pct"/>
            <w:vMerge w:val="restar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钻前工程</w:t>
            </w:r>
          </w:p>
        </w:tc>
        <w:tc>
          <w:tcPr>
            <w:tcW w:w="1225"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场站</w:t>
            </w:r>
          </w:p>
        </w:tc>
        <w:tc>
          <w:tcPr>
            <w:tcW w:w="3179" w:type="pct"/>
            <w:tcBorders>
              <w:tl2br w:val="nil"/>
              <w:tr2bl w:val="nil"/>
            </w:tcBorders>
            <w:vAlign w:val="center"/>
          </w:tcPr>
          <w:p>
            <w:pPr>
              <w:pStyle w:val="134"/>
            </w:pPr>
            <w:r>
              <w:rPr>
                <w:rFonts w:hint="eastAsia"/>
              </w:rPr>
              <w:t>本项目不涉及</w:t>
            </w:r>
            <w:r>
              <w:t>永久占用土地，</w:t>
            </w:r>
            <w:r>
              <w:rPr>
                <w:rFonts w:hint="eastAsia"/>
              </w:rPr>
              <w:t>主要为扩建井场基础施工</w:t>
            </w:r>
            <w:r>
              <w:t>改变土地利用的现有功能；破坏生态植被；水土流失。</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 w:hRule="atLeast"/>
          <w:jc w:val="center"/>
        </w:trPr>
        <w:tc>
          <w:tcPr>
            <w:tcW w:w="305" w:type="pct"/>
            <w:vMerge w:val="continue"/>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szCs w:val="21"/>
              </w:rPr>
            </w:pPr>
          </w:p>
        </w:tc>
        <w:tc>
          <w:tcPr>
            <w:tcW w:w="290" w:type="pct"/>
            <w:vMerge w:val="continue"/>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szCs w:val="21"/>
              </w:rPr>
            </w:pPr>
          </w:p>
        </w:tc>
        <w:tc>
          <w:tcPr>
            <w:tcW w:w="1225"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施工机械操作</w:t>
            </w:r>
          </w:p>
        </w:tc>
        <w:tc>
          <w:tcPr>
            <w:tcW w:w="3179" w:type="pct"/>
            <w:tcBorders>
              <w:tl2br w:val="nil"/>
              <w:tr2bl w:val="nil"/>
            </w:tcBorders>
            <w:vAlign w:val="center"/>
          </w:tcPr>
          <w:p>
            <w:pPr>
              <w:pStyle w:val="134"/>
            </w:pPr>
            <w:r>
              <w:t>施工产生机械尾气和噪声。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 w:hRule="atLeast"/>
          <w:jc w:val="center"/>
        </w:trPr>
        <w:tc>
          <w:tcPr>
            <w:tcW w:w="305" w:type="pct"/>
            <w:vMerge w:val="continue"/>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szCs w:val="21"/>
              </w:rPr>
            </w:pPr>
          </w:p>
        </w:tc>
        <w:tc>
          <w:tcPr>
            <w:tcW w:w="290" w:type="pct"/>
            <w:vMerge w:val="continue"/>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szCs w:val="21"/>
              </w:rPr>
            </w:pPr>
          </w:p>
        </w:tc>
        <w:tc>
          <w:tcPr>
            <w:tcW w:w="1225"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施工人员日常生活</w:t>
            </w:r>
          </w:p>
        </w:tc>
        <w:tc>
          <w:tcPr>
            <w:tcW w:w="3179" w:type="pct"/>
            <w:tcBorders>
              <w:tl2br w:val="nil"/>
              <w:tr2bl w:val="nil"/>
            </w:tcBorders>
            <w:vAlign w:val="center"/>
          </w:tcPr>
          <w:p>
            <w:pPr>
              <w:pStyle w:val="134"/>
            </w:pPr>
            <w:r>
              <w:t>施工人员生活污水、生活垃圾排放。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 w:hRule="atLeast"/>
          <w:jc w:val="center"/>
        </w:trPr>
        <w:tc>
          <w:tcPr>
            <w:tcW w:w="305" w:type="pct"/>
            <w:vMerge w:val="continue"/>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szCs w:val="21"/>
              </w:rPr>
            </w:pPr>
          </w:p>
        </w:tc>
        <w:tc>
          <w:tcPr>
            <w:tcW w:w="290" w:type="pct"/>
            <w:tcBorders>
              <w:tl2br w:val="nil"/>
              <w:tr2bl w:val="nil"/>
            </w:tcBorders>
            <w:vAlign w:val="center"/>
          </w:tcPr>
          <w:p>
            <w:pPr>
              <w:spacing w:line="240" w:lineRule="auto"/>
              <w:ind w:firstLine="0" w:firstLineChars="0"/>
              <w:rPr>
                <w:rFonts w:ascii="Times New Roman" w:cs="Times New Roman"/>
                <w:kern w:val="2"/>
                <w:sz w:val="21"/>
                <w:szCs w:val="21"/>
              </w:rPr>
            </w:pPr>
            <w:r>
              <w:rPr>
                <w:rFonts w:ascii="Times New Roman" w:cs="Times New Roman"/>
                <w:kern w:val="2"/>
                <w:sz w:val="21"/>
                <w:szCs w:val="21"/>
              </w:rPr>
              <w:t>钻井工程</w:t>
            </w:r>
          </w:p>
        </w:tc>
        <w:tc>
          <w:tcPr>
            <w:tcW w:w="1225"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安装相关钻井设备，如钻机、天车、泥浆泵等，拟采用气体钻井和常规钻井相结合的方式，固井作业包括下套管和注水泥</w:t>
            </w:r>
          </w:p>
        </w:tc>
        <w:tc>
          <w:tcPr>
            <w:tcW w:w="3179" w:type="pct"/>
            <w:tcBorders>
              <w:tl2br w:val="nil"/>
              <w:tr2bl w:val="nil"/>
            </w:tcBorders>
            <w:vAlign w:val="center"/>
          </w:tcPr>
          <w:p>
            <w:pPr>
              <w:pStyle w:val="134"/>
            </w:pPr>
            <w:r>
              <w:t>钻井过程中会产生废气、废水、废泥浆、岩屑、废油、噪声等，对周围环境造成影响；钻井过程中可能造成地下水的污染。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 w:hRule="atLeast"/>
          <w:jc w:val="center"/>
        </w:trPr>
        <w:tc>
          <w:tcPr>
            <w:tcW w:w="305" w:type="pct"/>
            <w:vMerge w:val="continue"/>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szCs w:val="21"/>
              </w:rPr>
            </w:pPr>
          </w:p>
        </w:tc>
        <w:tc>
          <w:tcPr>
            <w:tcW w:w="290" w:type="pct"/>
            <w:tcBorders>
              <w:tl2br w:val="nil"/>
              <w:tr2bl w:val="nil"/>
            </w:tcBorders>
            <w:vAlign w:val="center"/>
          </w:tcPr>
          <w:p>
            <w:pPr>
              <w:spacing w:line="240" w:lineRule="auto"/>
              <w:ind w:firstLine="0" w:firstLineChars="0"/>
              <w:rPr>
                <w:rFonts w:ascii="Times New Roman" w:cs="Times New Roman"/>
                <w:kern w:val="2"/>
                <w:sz w:val="21"/>
                <w:szCs w:val="21"/>
              </w:rPr>
            </w:pPr>
            <w:r>
              <w:rPr>
                <w:rFonts w:ascii="Times New Roman" w:cs="Times New Roman"/>
                <w:kern w:val="2"/>
                <w:sz w:val="21"/>
                <w:szCs w:val="21"/>
              </w:rPr>
              <w:t>完井工程</w:t>
            </w:r>
          </w:p>
        </w:tc>
        <w:tc>
          <w:tcPr>
            <w:tcW w:w="1225"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射孔、酸压、测试放喷</w:t>
            </w:r>
          </w:p>
        </w:tc>
        <w:tc>
          <w:tcPr>
            <w:tcW w:w="3179" w:type="pct"/>
            <w:tcBorders>
              <w:tl2br w:val="nil"/>
              <w:tr2bl w:val="nil"/>
            </w:tcBorders>
            <w:vAlign w:val="center"/>
          </w:tcPr>
          <w:p>
            <w:pPr>
              <w:pStyle w:val="134"/>
            </w:pPr>
            <w:r>
              <w:t>完井过程中会产生废气、废水、废泥浆、岩屑、废油、噪声等，对周围环境造成影响。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 w:hRule="atLeast"/>
          <w:jc w:val="center"/>
        </w:trPr>
        <w:tc>
          <w:tcPr>
            <w:tcW w:w="305"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运</w:t>
            </w:r>
          </w:p>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营</w:t>
            </w:r>
          </w:p>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期</w:t>
            </w:r>
          </w:p>
        </w:tc>
        <w:tc>
          <w:tcPr>
            <w:tcW w:w="1515" w:type="pct"/>
            <w:gridSpan w:val="2"/>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本项目站场</w:t>
            </w:r>
          </w:p>
        </w:tc>
        <w:tc>
          <w:tcPr>
            <w:tcW w:w="3179"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废水：气田水。</w:t>
            </w:r>
          </w:p>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废气：非正常工况下管道需进行清管作业和分离检修排放的少量天然气。</w:t>
            </w:r>
          </w:p>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噪声：过滤分离器、截流阀、汇气管、调压放空系统等设施运行产生的噪声。</w:t>
            </w:r>
          </w:p>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固废：无。</w:t>
            </w:r>
          </w:p>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rPr>
              <w:t>环境风险事故：管线发生泄漏、火灾、爆炸事故对周围环境和人员的影响；非正常生产时，站场检修时经放空装置直接排放的天然气或燃烧后排放的废气。</w:t>
            </w:r>
          </w:p>
        </w:tc>
      </w:tr>
    </w:tbl>
    <w:p>
      <w:pPr>
        <w:pStyle w:val="114"/>
        <w:ind w:firstLine="480"/>
      </w:pPr>
      <w:r>
        <w:t>根据环境影响矩阵表，分析环境影响因子的影响类型和影响程度，其结果见表1.3-2。</w:t>
      </w:r>
    </w:p>
    <w:p>
      <w:pPr>
        <w:pStyle w:val="39"/>
        <w:rPr>
          <w:rFonts w:cs="Times New Roman"/>
        </w:rPr>
      </w:pPr>
      <w:r>
        <w:rPr>
          <w:rFonts w:cs="Times New Roman"/>
        </w:rPr>
        <w:t>表1.3-2  环境影响要素矩阵</w:t>
      </w:r>
    </w:p>
    <w:tbl>
      <w:tblPr>
        <w:tblStyle w:val="59"/>
        <w:tblW w:w="484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00"/>
        <w:gridCol w:w="1375"/>
        <w:gridCol w:w="570"/>
        <w:gridCol w:w="570"/>
        <w:gridCol w:w="570"/>
        <w:gridCol w:w="498"/>
        <w:gridCol w:w="549"/>
        <w:gridCol w:w="442"/>
        <w:gridCol w:w="575"/>
        <w:gridCol w:w="580"/>
        <w:gridCol w:w="578"/>
        <w:gridCol w:w="575"/>
        <w:gridCol w:w="575"/>
        <w:gridCol w:w="56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 w:hRule="atLeast"/>
          <w:jc w:val="center"/>
        </w:trPr>
        <w:tc>
          <w:tcPr>
            <w:tcW w:w="294" w:type="pct"/>
            <w:vMerge w:val="restart"/>
            <w:tcBorders>
              <w:tl2br w:val="nil"/>
              <w:tr2bl w:val="nil"/>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类别</w:t>
            </w:r>
          </w:p>
        </w:tc>
        <w:tc>
          <w:tcPr>
            <w:tcW w:w="807" w:type="pct"/>
            <w:vMerge w:val="restart"/>
            <w:tcBorders>
              <w:tl2br w:val="nil"/>
              <w:tr2bl w:val="nil"/>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环境因子</w:t>
            </w:r>
          </w:p>
        </w:tc>
        <w:tc>
          <w:tcPr>
            <w:tcW w:w="1294" w:type="pct"/>
            <w:gridSpan w:val="4"/>
            <w:tcBorders>
              <w:tl2br w:val="nil"/>
              <w:tr2bl w:val="nil"/>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工程施工</w:t>
            </w:r>
          </w:p>
        </w:tc>
        <w:tc>
          <w:tcPr>
            <w:tcW w:w="1258" w:type="pct"/>
            <w:gridSpan w:val="4"/>
            <w:tcBorders>
              <w:tl2br w:val="nil"/>
              <w:tr2bl w:val="nil"/>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正常运行</w:t>
            </w:r>
          </w:p>
        </w:tc>
        <w:tc>
          <w:tcPr>
            <w:tcW w:w="1345" w:type="pct"/>
            <w:gridSpan w:val="4"/>
            <w:tcBorders>
              <w:tl2br w:val="nil"/>
              <w:tr2bl w:val="nil"/>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非正常工况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 w:hRule="atLeast"/>
          <w:jc w:val="center"/>
        </w:trPr>
        <w:tc>
          <w:tcPr>
            <w:tcW w:w="0" w:type="auto"/>
            <w:vMerge w:val="continue"/>
            <w:tcBorders>
              <w:tl2br w:val="nil"/>
              <w:tr2bl w:val="nil"/>
            </w:tcBorders>
            <w:vAlign w:val="center"/>
          </w:tcPr>
          <w:p>
            <w:pPr>
              <w:topLinePunct w:val="0"/>
              <w:adjustRightInd/>
              <w:spacing w:line="240" w:lineRule="auto"/>
              <w:ind w:firstLine="0" w:firstLineChars="0"/>
              <w:jc w:val="center"/>
              <w:rPr>
                <w:rFonts w:ascii="Times New Roman" w:cs="Times New Roman"/>
                <w:b/>
                <w:bCs/>
                <w:kern w:val="2"/>
                <w:sz w:val="21"/>
              </w:rPr>
            </w:pPr>
          </w:p>
        </w:tc>
        <w:tc>
          <w:tcPr>
            <w:tcW w:w="807" w:type="pct"/>
            <w:vMerge w:val="continue"/>
            <w:tcBorders>
              <w:tl2br w:val="nil"/>
              <w:tr2bl w:val="nil"/>
            </w:tcBorders>
            <w:vAlign w:val="center"/>
          </w:tcPr>
          <w:p>
            <w:pPr>
              <w:topLinePunct w:val="0"/>
              <w:adjustRightInd/>
              <w:spacing w:line="240" w:lineRule="auto"/>
              <w:ind w:firstLine="0" w:firstLineChars="0"/>
              <w:jc w:val="center"/>
              <w:rPr>
                <w:rFonts w:ascii="Times New Roman" w:cs="Times New Roman"/>
                <w:b/>
                <w:bCs/>
                <w:kern w:val="2"/>
                <w:sz w:val="21"/>
              </w:rPr>
            </w:pPr>
          </w:p>
        </w:tc>
        <w:tc>
          <w:tcPr>
            <w:tcW w:w="334" w:type="pct"/>
            <w:tcBorders>
              <w:tl2br w:val="nil"/>
              <w:tr2bl w:val="nil"/>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有利</w:t>
            </w:r>
          </w:p>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影响</w:t>
            </w:r>
          </w:p>
        </w:tc>
        <w:tc>
          <w:tcPr>
            <w:tcW w:w="334" w:type="pct"/>
            <w:tcBorders>
              <w:tl2br w:val="nil"/>
              <w:tr2bl w:val="nil"/>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不利</w:t>
            </w:r>
          </w:p>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影响</w:t>
            </w:r>
          </w:p>
        </w:tc>
        <w:tc>
          <w:tcPr>
            <w:tcW w:w="334" w:type="pct"/>
            <w:tcBorders>
              <w:tl2br w:val="nil"/>
              <w:tr2bl w:val="nil"/>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影响</w:t>
            </w:r>
          </w:p>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较大</w:t>
            </w:r>
          </w:p>
        </w:tc>
        <w:tc>
          <w:tcPr>
            <w:tcW w:w="289" w:type="pct"/>
            <w:tcBorders>
              <w:tl2br w:val="nil"/>
              <w:tr2bl w:val="nil"/>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影响</w:t>
            </w:r>
          </w:p>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较轻</w:t>
            </w:r>
          </w:p>
        </w:tc>
        <w:tc>
          <w:tcPr>
            <w:tcW w:w="322" w:type="pct"/>
            <w:tcBorders>
              <w:tl2br w:val="nil"/>
              <w:tr2bl w:val="nil"/>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有利</w:t>
            </w:r>
          </w:p>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影响</w:t>
            </w:r>
          </w:p>
        </w:tc>
        <w:tc>
          <w:tcPr>
            <w:tcW w:w="259" w:type="pct"/>
            <w:tcBorders>
              <w:tl2br w:val="nil"/>
              <w:tr2bl w:val="nil"/>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不利</w:t>
            </w:r>
          </w:p>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影响</w:t>
            </w:r>
          </w:p>
        </w:tc>
        <w:tc>
          <w:tcPr>
            <w:tcW w:w="337" w:type="pct"/>
            <w:tcBorders>
              <w:tl2br w:val="nil"/>
              <w:tr2bl w:val="nil"/>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影响</w:t>
            </w:r>
          </w:p>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较大</w:t>
            </w:r>
          </w:p>
        </w:tc>
        <w:tc>
          <w:tcPr>
            <w:tcW w:w="339" w:type="pct"/>
            <w:tcBorders>
              <w:tl2br w:val="nil"/>
              <w:tr2bl w:val="nil"/>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影响</w:t>
            </w:r>
          </w:p>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较轻</w:t>
            </w:r>
          </w:p>
        </w:tc>
        <w:tc>
          <w:tcPr>
            <w:tcW w:w="339" w:type="pct"/>
            <w:tcBorders>
              <w:tl2br w:val="nil"/>
              <w:tr2bl w:val="nil"/>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有利</w:t>
            </w:r>
          </w:p>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影响</w:t>
            </w:r>
          </w:p>
        </w:tc>
        <w:tc>
          <w:tcPr>
            <w:tcW w:w="337" w:type="pct"/>
            <w:tcBorders>
              <w:tl2br w:val="nil"/>
              <w:tr2bl w:val="nil"/>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不利</w:t>
            </w:r>
          </w:p>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影响</w:t>
            </w:r>
          </w:p>
        </w:tc>
        <w:tc>
          <w:tcPr>
            <w:tcW w:w="337" w:type="pct"/>
            <w:tcBorders>
              <w:tl2br w:val="nil"/>
              <w:tr2bl w:val="nil"/>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影响</w:t>
            </w:r>
          </w:p>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较大</w:t>
            </w:r>
          </w:p>
        </w:tc>
        <w:tc>
          <w:tcPr>
            <w:tcW w:w="332" w:type="pct"/>
            <w:tcBorders>
              <w:tl2br w:val="nil"/>
              <w:tr2bl w:val="nil"/>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影响</w:t>
            </w:r>
          </w:p>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较轻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 w:hRule="atLeast"/>
          <w:jc w:val="center"/>
        </w:trPr>
        <w:tc>
          <w:tcPr>
            <w:tcW w:w="294" w:type="pct"/>
            <w:vMerge w:val="restar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环境质量</w:t>
            </w:r>
          </w:p>
        </w:tc>
        <w:tc>
          <w:tcPr>
            <w:tcW w:w="807"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地表水</w:t>
            </w:r>
          </w:p>
        </w:tc>
        <w:tc>
          <w:tcPr>
            <w:tcW w:w="57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7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7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498"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49"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442"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75"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8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78"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75"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75"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66"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 w:hRule="atLeast"/>
          <w:jc w:val="center"/>
        </w:trPr>
        <w:tc>
          <w:tcPr>
            <w:tcW w:w="0" w:type="auto"/>
            <w:vMerge w:val="continue"/>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p>
        </w:tc>
        <w:tc>
          <w:tcPr>
            <w:tcW w:w="807"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环境空气</w:t>
            </w:r>
          </w:p>
        </w:tc>
        <w:tc>
          <w:tcPr>
            <w:tcW w:w="57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7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7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498"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49"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442"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75"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8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78"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75"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75"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66"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 w:hRule="atLeast"/>
          <w:jc w:val="center"/>
        </w:trPr>
        <w:tc>
          <w:tcPr>
            <w:tcW w:w="0" w:type="auto"/>
            <w:vMerge w:val="continue"/>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p>
        </w:tc>
        <w:tc>
          <w:tcPr>
            <w:tcW w:w="807"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声环境</w:t>
            </w:r>
          </w:p>
        </w:tc>
        <w:tc>
          <w:tcPr>
            <w:tcW w:w="57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7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7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498"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49"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442"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75"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8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78"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75"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75"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66"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 w:hRule="atLeast"/>
          <w:jc w:val="center"/>
        </w:trPr>
        <w:tc>
          <w:tcPr>
            <w:tcW w:w="294" w:type="pct"/>
            <w:vMerge w:val="restar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自然生态环境</w:t>
            </w:r>
          </w:p>
        </w:tc>
        <w:tc>
          <w:tcPr>
            <w:tcW w:w="807"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地形地貌</w:t>
            </w:r>
          </w:p>
        </w:tc>
        <w:tc>
          <w:tcPr>
            <w:tcW w:w="57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7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7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498"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49"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442"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75"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8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78"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75"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75"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66"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 w:hRule="atLeast"/>
          <w:jc w:val="center"/>
        </w:trPr>
        <w:tc>
          <w:tcPr>
            <w:tcW w:w="0" w:type="auto"/>
            <w:vMerge w:val="continue"/>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p>
        </w:tc>
        <w:tc>
          <w:tcPr>
            <w:tcW w:w="807"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生态环境</w:t>
            </w:r>
          </w:p>
        </w:tc>
        <w:tc>
          <w:tcPr>
            <w:tcW w:w="57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7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7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498"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49"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442"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75"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8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78"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75"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75"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66"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 w:hRule="atLeast"/>
          <w:jc w:val="center"/>
        </w:trPr>
        <w:tc>
          <w:tcPr>
            <w:tcW w:w="0" w:type="auto"/>
            <w:vMerge w:val="continue"/>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p>
        </w:tc>
        <w:tc>
          <w:tcPr>
            <w:tcW w:w="807"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土壤</w:t>
            </w:r>
          </w:p>
        </w:tc>
        <w:tc>
          <w:tcPr>
            <w:tcW w:w="57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7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7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498"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49"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442"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75"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8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78"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75"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75"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66"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 w:hRule="atLeast"/>
          <w:jc w:val="center"/>
        </w:trPr>
        <w:tc>
          <w:tcPr>
            <w:tcW w:w="0" w:type="auto"/>
            <w:vMerge w:val="continue"/>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p>
        </w:tc>
        <w:tc>
          <w:tcPr>
            <w:tcW w:w="807"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植被</w:t>
            </w:r>
          </w:p>
        </w:tc>
        <w:tc>
          <w:tcPr>
            <w:tcW w:w="57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7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7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498"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49"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442"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75"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8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78"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75"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75"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66"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 w:hRule="atLeast"/>
          <w:jc w:val="center"/>
        </w:trPr>
        <w:tc>
          <w:tcPr>
            <w:tcW w:w="0" w:type="auto"/>
            <w:vMerge w:val="continue"/>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p>
        </w:tc>
        <w:tc>
          <w:tcPr>
            <w:tcW w:w="807"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水土流失</w:t>
            </w:r>
          </w:p>
        </w:tc>
        <w:tc>
          <w:tcPr>
            <w:tcW w:w="57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7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7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498"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49"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442"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75"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8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78"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75"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75"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66"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 w:hRule="atLeast"/>
          <w:jc w:val="center"/>
        </w:trPr>
        <w:tc>
          <w:tcPr>
            <w:tcW w:w="0" w:type="auto"/>
            <w:vMerge w:val="continue"/>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p>
        </w:tc>
        <w:tc>
          <w:tcPr>
            <w:tcW w:w="807"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土地利用</w:t>
            </w:r>
          </w:p>
        </w:tc>
        <w:tc>
          <w:tcPr>
            <w:tcW w:w="57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7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7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498"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49"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442"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75"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80"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78"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75"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575"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w:t>
            </w:r>
          </w:p>
        </w:tc>
        <w:tc>
          <w:tcPr>
            <w:tcW w:w="566" w:type="dxa"/>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r>
    </w:tbl>
    <w:p>
      <w:pPr>
        <w:pStyle w:val="114"/>
        <w:ind w:firstLine="480"/>
      </w:pPr>
      <w:r>
        <w:t>根据表1.3-1和表1.3-2的分析结果可知，就环境影响因子影响而言，拟建工程主要影响站场周围环境空气、地表水、地下水、土壤、地下水和生态环境。</w:t>
      </w:r>
    </w:p>
    <w:p>
      <w:pPr>
        <w:keepNext/>
        <w:keepLines/>
        <w:ind w:firstLine="0" w:firstLineChars="0"/>
        <w:outlineLvl w:val="2"/>
        <w:rPr>
          <w:rFonts w:ascii="Times New Roman" w:cs="Times New Roman"/>
          <w:b/>
          <w:szCs w:val="32"/>
        </w:rPr>
      </w:pPr>
      <w:bookmarkStart w:id="63" w:name="_Toc19815933"/>
      <w:r>
        <w:rPr>
          <w:rFonts w:ascii="Times New Roman" w:cs="Times New Roman"/>
          <w:b/>
          <w:szCs w:val="32"/>
        </w:rPr>
        <w:t>1.3.2 评价因子筛选</w:t>
      </w:r>
      <w:bookmarkEnd w:id="63"/>
    </w:p>
    <w:p>
      <w:pPr>
        <w:pStyle w:val="114"/>
        <w:ind w:firstLine="480"/>
      </w:pPr>
      <w:r>
        <w:t>根据工程分析及现有污染源状况，本项目评价因子见表1.3-3。</w:t>
      </w:r>
    </w:p>
    <w:p>
      <w:pPr>
        <w:pStyle w:val="114"/>
        <w:ind w:firstLine="480"/>
      </w:pPr>
    </w:p>
    <w:p>
      <w:pPr>
        <w:pStyle w:val="114"/>
        <w:ind w:firstLine="480"/>
      </w:pPr>
    </w:p>
    <w:p>
      <w:pPr>
        <w:pStyle w:val="39"/>
        <w:rPr>
          <w:rFonts w:cs="Times New Roman"/>
        </w:rPr>
      </w:pPr>
      <w:r>
        <w:rPr>
          <w:rFonts w:cs="Times New Roman"/>
        </w:rPr>
        <w:t xml:space="preserve">表1.3-3  </w:t>
      </w:r>
      <w:r>
        <w:rPr>
          <w:rFonts w:cs="Times New Roman"/>
          <w:szCs w:val="21"/>
        </w:rPr>
        <w:t>本项目评价因子表</w:t>
      </w:r>
    </w:p>
    <w:tbl>
      <w:tblPr>
        <w:tblStyle w:val="59"/>
        <w:tblW w:w="484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84"/>
        <w:gridCol w:w="1949"/>
        <w:gridCol w:w="3813"/>
        <w:gridCol w:w="147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 w:hRule="atLeast"/>
          <w:jc w:val="center"/>
        </w:trPr>
        <w:tc>
          <w:tcPr>
            <w:tcW w:w="753" w:type="pct"/>
            <w:tcBorders>
              <w:tl2br w:val="nil"/>
              <w:tr2bl w:val="nil"/>
            </w:tcBorders>
            <w:vAlign w:val="center"/>
          </w:tcPr>
          <w:p>
            <w:pPr>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评价要素</w:t>
            </w:r>
          </w:p>
        </w:tc>
        <w:tc>
          <w:tcPr>
            <w:tcW w:w="1143" w:type="pct"/>
            <w:tcBorders>
              <w:tl2br w:val="nil"/>
              <w:tr2bl w:val="nil"/>
            </w:tcBorders>
            <w:vAlign w:val="center"/>
          </w:tcPr>
          <w:p>
            <w:pPr>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评价类型</w:t>
            </w:r>
          </w:p>
        </w:tc>
        <w:tc>
          <w:tcPr>
            <w:tcW w:w="2236" w:type="pct"/>
            <w:tcBorders>
              <w:tl2br w:val="nil"/>
              <w:tr2bl w:val="nil"/>
            </w:tcBorders>
            <w:vAlign w:val="center"/>
          </w:tcPr>
          <w:p>
            <w:pPr>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评价因子或评价对象</w:t>
            </w:r>
          </w:p>
        </w:tc>
        <w:tc>
          <w:tcPr>
            <w:tcW w:w="866" w:type="pct"/>
            <w:tcBorders>
              <w:tl2br w:val="nil"/>
              <w:tr2bl w:val="nil"/>
            </w:tcBorders>
            <w:vAlign w:val="center"/>
          </w:tcPr>
          <w:p>
            <w:pPr>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 w:hRule="atLeast"/>
          <w:jc w:val="center"/>
        </w:trPr>
        <w:tc>
          <w:tcPr>
            <w:tcW w:w="75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生态</w:t>
            </w:r>
          </w:p>
        </w:tc>
        <w:tc>
          <w:tcPr>
            <w:tcW w:w="114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生态环境现状调查</w:t>
            </w:r>
          </w:p>
        </w:tc>
        <w:tc>
          <w:tcPr>
            <w:tcW w:w="2236"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动植物分布、土地利用、土壤侵蚀、自然保护区、风景名胜区等</w:t>
            </w:r>
          </w:p>
        </w:tc>
        <w:tc>
          <w:tcPr>
            <w:tcW w:w="866"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场站</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 w:hRule="atLeast"/>
          <w:jc w:val="center"/>
        </w:trPr>
        <w:tc>
          <w:tcPr>
            <w:tcW w:w="75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地表水</w:t>
            </w:r>
          </w:p>
        </w:tc>
        <w:tc>
          <w:tcPr>
            <w:tcW w:w="114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地表水环境质量现状调查</w:t>
            </w:r>
          </w:p>
        </w:tc>
        <w:tc>
          <w:tcPr>
            <w:tcW w:w="2236"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pH、COD、BOD</w:t>
            </w:r>
            <w:r>
              <w:rPr>
                <w:rFonts w:ascii="Times New Roman" w:cs="Times New Roman"/>
                <w:kern w:val="2"/>
                <w:sz w:val="21"/>
                <w:szCs w:val="21"/>
                <w:vertAlign w:val="subscript"/>
              </w:rPr>
              <w:t>5</w:t>
            </w:r>
            <w:r>
              <w:rPr>
                <w:rFonts w:ascii="Times New Roman" w:cs="Times New Roman"/>
                <w:kern w:val="2"/>
                <w:sz w:val="21"/>
                <w:szCs w:val="21"/>
              </w:rPr>
              <w:t>、氨氮、SS、石油类、挥发酚、硫化物、氯化物</w:t>
            </w:r>
          </w:p>
        </w:tc>
        <w:tc>
          <w:tcPr>
            <w:tcW w:w="866"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场站</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 w:hRule="atLeast"/>
          <w:jc w:val="center"/>
        </w:trPr>
        <w:tc>
          <w:tcPr>
            <w:tcW w:w="75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大气</w:t>
            </w:r>
          </w:p>
        </w:tc>
        <w:tc>
          <w:tcPr>
            <w:tcW w:w="114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环境空气质量调查</w:t>
            </w:r>
          </w:p>
        </w:tc>
        <w:tc>
          <w:tcPr>
            <w:tcW w:w="2236"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SO</w:t>
            </w:r>
            <w:r>
              <w:rPr>
                <w:rFonts w:ascii="Times New Roman" w:cs="Times New Roman"/>
                <w:kern w:val="2"/>
                <w:sz w:val="21"/>
                <w:szCs w:val="21"/>
                <w:vertAlign w:val="subscript"/>
              </w:rPr>
              <w:t>2</w:t>
            </w:r>
            <w:r>
              <w:rPr>
                <w:rFonts w:ascii="Times New Roman" w:cs="Times New Roman"/>
                <w:kern w:val="2"/>
                <w:sz w:val="21"/>
                <w:szCs w:val="21"/>
              </w:rPr>
              <w:t>、NO</w:t>
            </w:r>
            <w:r>
              <w:rPr>
                <w:rFonts w:ascii="Times New Roman" w:cs="Times New Roman"/>
                <w:kern w:val="2"/>
                <w:sz w:val="21"/>
                <w:szCs w:val="21"/>
                <w:vertAlign w:val="subscript"/>
              </w:rPr>
              <w:t>2</w:t>
            </w:r>
            <w:r>
              <w:rPr>
                <w:rFonts w:ascii="Times New Roman" w:cs="Times New Roman"/>
                <w:kern w:val="2"/>
                <w:sz w:val="21"/>
                <w:szCs w:val="21"/>
              </w:rPr>
              <w:t>、PM</w:t>
            </w:r>
            <w:r>
              <w:rPr>
                <w:rFonts w:ascii="Times New Roman" w:cs="Times New Roman"/>
                <w:kern w:val="2"/>
                <w:sz w:val="21"/>
                <w:szCs w:val="21"/>
                <w:vertAlign w:val="subscript"/>
              </w:rPr>
              <w:t>2.5</w:t>
            </w:r>
            <w:r>
              <w:rPr>
                <w:rFonts w:ascii="Times New Roman" w:cs="Times New Roman"/>
                <w:kern w:val="2"/>
                <w:sz w:val="21"/>
                <w:szCs w:val="21"/>
              </w:rPr>
              <w:t>、PM</w:t>
            </w:r>
            <w:r>
              <w:rPr>
                <w:rFonts w:ascii="Times New Roman" w:cs="Times New Roman"/>
                <w:kern w:val="2"/>
                <w:sz w:val="21"/>
                <w:szCs w:val="21"/>
                <w:vertAlign w:val="subscript"/>
              </w:rPr>
              <w:t>10</w:t>
            </w:r>
            <w:r>
              <w:rPr>
                <w:rFonts w:ascii="Times New Roman" w:cs="Times New Roman"/>
                <w:kern w:val="2"/>
                <w:sz w:val="21"/>
                <w:szCs w:val="21"/>
              </w:rPr>
              <w:t>、O</w:t>
            </w:r>
            <w:r>
              <w:rPr>
                <w:rFonts w:ascii="Times New Roman" w:cs="Times New Roman"/>
                <w:kern w:val="2"/>
                <w:sz w:val="21"/>
                <w:szCs w:val="21"/>
                <w:vertAlign w:val="subscript"/>
              </w:rPr>
              <w:t>3</w:t>
            </w:r>
            <w:r>
              <w:rPr>
                <w:rFonts w:ascii="Times New Roman" w:cs="Times New Roman"/>
                <w:kern w:val="2"/>
                <w:sz w:val="21"/>
                <w:szCs w:val="21"/>
              </w:rPr>
              <w:t>、CO、TVOC、非甲烷总烃、H</w:t>
            </w:r>
            <w:r>
              <w:rPr>
                <w:rFonts w:ascii="Times New Roman" w:cs="Times New Roman"/>
                <w:kern w:val="2"/>
                <w:sz w:val="21"/>
                <w:szCs w:val="21"/>
                <w:vertAlign w:val="subscript"/>
              </w:rPr>
              <w:t>2</w:t>
            </w:r>
            <w:r>
              <w:rPr>
                <w:rFonts w:ascii="Times New Roman" w:cs="Times New Roman"/>
                <w:kern w:val="2"/>
                <w:sz w:val="21"/>
                <w:szCs w:val="21"/>
              </w:rPr>
              <w:t>S</w:t>
            </w:r>
          </w:p>
        </w:tc>
        <w:tc>
          <w:tcPr>
            <w:tcW w:w="866"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场站</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 w:hRule="atLeast"/>
          <w:jc w:val="center"/>
        </w:trPr>
        <w:tc>
          <w:tcPr>
            <w:tcW w:w="75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噪声</w:t>
            </w:r>
          </w:p>
        </w:tc>
        <w:tc>
          <w:tcPr>
            <w:tcW w:w="114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现状调查与预测</w:t>
            </w:r>
          </w:p>
        </w:tc>
        <w:tc>
          <w:tcPr>
            <w:tcW w:w="2236"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昼夜等效连续A声级</w:t>
            </w:r>
          </w:p>
        </w:tc>
        <w:tc>
          <w:tcPr>
            <w:tcW w:w="866" w:type="pct"/>
            <w:tcBorders>
              <w:tl2br w:val="nil"/>
              <w:tr2bl w:val="nil"/>
            </w:tcBorders>
            <w:vAlign w:val="center"/>
          </w:tcPr>
          <w:p>
            <w:pPr>
              <w:pStyle w:val="541"/>
              <w:rPr>
                <w:kern w:val="2"/>
              </w:rPr>
            </w:pPr>
            <w:r>
              <w:rPr>
                <w:kern w:val="2"/>
                <w:szCs w:val="21"/>
              </w:rPr>
              <w:t>场站</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 w:hRule="atLeast"/>
          <w:jc w:val="center"/>
        </w:trPr>
        <w:tc>
          <w:tcPr>
            <w:tcW w:w="75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浅层地下水</w:t>
            </w:r>
          </w:p>
        </w:tc>
        <w:tc>
          <w:tcPr>
            <w:tcW w:w="114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地下水环境质量现状调查</w:t>
            </w:r>
          </w:p>
        </w:tc>
        <w:tc>
          <w:tcPr>
            <w:tcW w:w="2236"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K</w:t>
            </w:r>
            <w:r>
              <w:rPr>
                <w:rFonts w:ascii="Times New Roman" w:cs="Times New Roman"/>
                <w:kern w:val="2"/>
                <w:sz w:val="21"/>
                <w:szCs w:val="21"/>
                <w:vertAlign w:val="superscript"/>
              </w:rPr>
              <w:t>+</w:t>
            </w:r>
            <w:r>
              <w:rPr>
                <w:rFonts w:ascii="Times New Roman" w:cs="Times New Roman"/>
                <w:kern w:val="2"/>
                <w:sz w:val="21"/>
                <w:szCs w:val="21"/>
              </w:rPr>
              <w:t>+Na</w:t>
            </w:r>
            <w:r>
              <w:rPr>
                <w:rFonts w:ascii="Times New Roman" w:cs="Times New Roman"/>
                <w:kern w:val="2"/>
                <w:sz w:val="21"/>
                <w:szCs w:val="21"/>
                <w:vertAlign w:val="superscript"/>
              </w:rPr>
              <w:t>+</w:t>
            </w:r>
            <w:r>
              <w:rPr>
                <w:rFonts w:ascii="Times New Roman" w:cs="Times New Roman"/>
                <w:kern w:val="2"/>
                <w:sz w:val="21"/>
                <w:szCs w:val="21"/>
              </w:rPr>
              <w:t>、Ca</w:t>
            </w:r>
            <w:r>
              <w:rPr>
                <w:rFonts w:ascii="Times New Roman" w:cs="Times New Roman"/>
                <w:kern w:val="2"/>
                <w:sz w:val="21"/>
                <w:szCs w:val="21"/>
                <w:vertAlign w:val="superscript"/>
              </w:rPr>
              <w:t>2+</w:t>
            </w:r>
            <w:r>
              <w:rPr>
                <w:rFonts w:ascii="Times New Roman" w:cs="Times New Roman"/>
                <w:kern w:val="2"/>
                <w:sz w:val="21"/>
                <w:szCs w:val="21"/>
              </w:rPr>
              <w:t>、Mg</w:t>
            </w:r>
            <w:r>
              <w:rPr>
                <w:rFonts w:ascii="Times New Roman" w:cs="Times New Roman"/>
                <w:kern w:val="2"/>
                <w:sz w:val="21"/>
                <w:szCs w:val="21"/>
                <w:vertAlign w:val="superscript"/>
              </w:rPr>
              <w:t>2+</w:t>
            </w:r>
            <w:r>
              <w:rPr>
                <w:rFonts w:ascii="Times New Roman" w:cs="Times New Roman"/>
                <w:kern w:val="2"/>
                <w:sz w:val="21"/>
                <w:szCs w:val="21"/>
              </w:rPr>
              <w:t>、CO</w:t>
            </w:r>
            <w:r>
              <w:rPr>
                <w:rFonts w:ascii="Times New Roman" w:cs="Times New Roman"/>
                <w:kern w:val="2"/>
                <w:sz w:val="21"/>
                <w:szCs w:val="21"/>
                <w:vertAlign w:val="subscript"/>
              </w:rPr>
              <w:t>3</w:t>
            </w:r>
            <w:r>
              <w:rPr>
                <w:rFonts w:ascii="Times New Roman" w:cs="Times New Roman"/>
                <w:kern w:val="2"/>
                <w:sz w:val="21"/>
                <w:szCs w:val="21"/>
                <w:vertAlign w:val="superscript"/>
              </w:rPr>
              <w:t>2-</w:t>
            </w:r>
            <w:r>
              <w:rPr>
                <w:rFonts w:ascii="Times New Roman" w:cs="Times New Roman"/>
                <w:kern w:val="2"/>
                <w:sz w:val="21"/>
                <w:szCs w:val="21"/>
              </w:rPr>
              <w:t>、HCO</w:t>
            </w:r>
            <w:r>
              <w:rPr>
                <w:rFonts w:ascii="Times New Roman" w:cs="Times New Roman"/>
                <w:kern w:val="2"/>
                <w:sz w:val="21"/>
                <w:szCs w:val="21"/>
                <w:vertAlign w:val="subscript"/>
              </w:rPr>
              <w:t>3</w:t>
            </w:r>
            <w:r>
              <w:rPr>
                <w:rFonts w:ascii="Times New Roman" w:cs="Times New Roman"/>
                <w:kern w:val="2"/>
                <w:sz w:val="21"/>
                <w:szCs w:val="21"/>
                <w:vertAlign w:val="superscript"/>
              </w:rPr>
              <w:t>-</w:t>
            </w:r>
            <w:r>
              <w:rPr>
                <w:rFonts w:ascii="Times New Roman" w:cs="Times New Roman"/>
                <w:kern w:val="2"/>
                <w:sz w:val="21"/>
                <w:szCs w:val="21"/>
              </w:rPr>
              <w:t>、Cl</w:t>
            </w:r>
            <w:r>
              <w:rPr>
                <w:rFonts w:ascii="Times New Roman" w:cs="Times New Roman"/>
                <w:kern w:val="2"/>
                <w:sz w:val="21"/>
                <w:szCs w:val="21"/>
                <w:vertAlign w:val="superscript"/>
              </w:rPr>
              <w:t>-</w:t>
            </w:r>
            <w:r>
              <w:rPr>
                <w:rFonts w:ascii="Times New Roman" w:cs="Times New Roman"/>
                <w:kern w:val="2"/>
                <w:sz w:val="21"/>
                <w:szCs w:val="21"/>
              </w:rPr>
              <w:t>、SO</w:t>
            </w:r>
            <w:r>
              <w:rPr>
                <w:rFonts w:ascii="Times New Roman" w:cs="Times New Roman"/>
                <w:kern w:val="2"/>
                <w:sz w:val="21"/>
                <w:szCs w:val="21"/>
                <w:vertAlign w:val="subscript"/>
              </w:rPr>
              <w:t>4</w:t>
            </w:r>
            <w:r>
              <w:rPr>
                <w:rFonts w:ascii="Times New Roman" w:cs="Times New Roman"/>
                <w:kern w:val="2"/>
                <w:sz w:val="21"/>
                <w:szCs w:val="21"/>
                <w:vertAlign w:val="superscript"/>
              </w:rPr>
              <w:t>2-</w:t>
            </w:r>
            <w:r>
              <w:rPr>
                <w:rFonts w:ascii="Times New Roman" w:cs="Times New Roman"/>
                <w:kern w:val="2"/>
                <w:sz w:val="21"/>
                <w:szCs w:val="21"/>
              </w:rPr>
              <w:t>；pH、氨氮、硝酸盐、亚硝酸盐、挥发性酚类、氰化物、砷、汞、铬（六价）、总硬度、铅、镉、铁、锰、溶解性总固体、耗氧量、硫酸盐、氯化物、菌落总数、氟化物、总大肠菌群、硫化物</w:t>
            </w:r>
          </w:p>
        </w:tc>
        <w:tc>
          <w:tcPr>
            <w:tcW w:w="866"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 w:hRule="atLeast"/>
          <w:jc w:val="center"/>
        </w:trPr>
        <w:tc>
          <w:tcPr>
            <w:tcW w:w="75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土壤</w:t>
            </w:r>
          </w:p>
        </w:tc>
        <w:tc>
          <w:tcPr>
            <w:tcW w:w="114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土壤环境质量现状调查</w:t>
            </w:r>
          </w:p>
        </w:tc>
        <w:tc>
          <w:tcPr>
            <w:tcW w:w="2236"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农用地：《土壤环境质量 农用地土壤污染风险管控标准（试行）》（GB 15618-2018）中基本项目；pH、镉、汞、砷、铅、铜、镍、铬、锌；特征因子：pH、石油烃、硫化物、氯化物</w:t>
            </w:r>
          </w:p>
        </w:tc>
        <w:tc>
          <w:tcPr>
            <w:tcW w:w="866"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场站周围</w:t>
            </w:r>
          </w:p>
        </w:tc>
      </w:tr>
    </w:tbl>
    <w:p>
      <w:pPr>
        <w:keepNext/>
        <w:keepLines/>
        <w:spacing w:before="120"/>
        <w:ind w:firstLine="0" w:firstLineChars="0"/>
        <w:outlineLvl w:val="1"/>
        <w:rPr>
          <w:rFonts w:ascii="Times New Roman" w:cs="Times New Roman"/>
          <w:b/>
          <w:bCs/>
          <w:sz w:val="28"/>
          <w:szCs w:val="32"/>
        </w:rPr>
      </w:pPr>
      <w:bookmarkStart w:id="64" w:name="bookmark5"/>
      <w:bookmarkEnd w:id="64"/>
      <w:bookmarkStart w:id="65" w:name="_Toc21409"/>
      <w:bookmarkStart w:id="66" w:name="_Toc19815942"/>
      <w:bookmarkStart w:id="67" w:name="_Toc19815935"/>
      <w:r>
        <w:rPr>
          <w:rFonts w:ascii="Times New Roman" w:cs="Times New Roman"/>
          <w:b/>
          <w:bCs/>
          <w:sz w:val="28"/>
          <w:szCs w:val="32"/>
        </w:rPr>
        <w:t>1.4 环境功能区划</w:t>
      </w:r>
      <w:bookmarkEnd w:id="65"/>
      <w:bookmarkEnd w:id="66"/>
    </w:p>
    <w:p>
      <w:pPr>
        <w:keepNext/>
        <w:keepLines/>
        <w:ind w:firstLine="0" w:firstLineChars="0"/>
        <w:outlineLvl w:val="2"/>
        <w:rPr>
          <w:rFonts w:ascii="Times New Roman" w:cs="Times New Roman"/>
          <w:b/>
          <w:szCs w:val="32"/>
        </w:rPr>
      </w:pPr>
      <w:r>
        <w:rPr>
          <w:rFonts w:ascii="Times New Roman" w:cs="Times New Roman"/>
          <w:b/>
          <w:szCs w:val="32"/>
        </w:rPr>
        <w:t>1.4.1 大气环境</w:t>
      </w:r>
    </w:p>
    <w:p>
      <w:pPr>
        <w:pStyle w:val="114"/>
        <w:ind w:firstLine="480"/>
      </w:pPr>
      <w:r>
        <w:t>工程场站位于四川省达州市宣汉县普光镇</w:t>
      </w:r>
      <w:r>
        <w:rPr>
          <w:rFonts w:hint="eastAsia"/>
        </w:rPr>
        <w:t>塔娅村</w:t>
      </w:r>
      <w:r>
        <w:t>，属农村地区，根据《环境空气质量标准》（GB3095-2012），评价区的大气环境功能区划属二类区，执行大气环境功能区二类区标准。</w:t>
      </w:r>
    </w:p>
    <w:p>
      <w:pPr>
        <w:keepNext/>
        <w:keepLines/>
        <w:ind w:firstLine="0" w:firstLineChars="0"/>
        <w:outlineLvl w:val="2"/>
        <w:rPr>
          <w:rFonts w:ascii="Times New Roman" w:cs="Times New Roman"/>
          <w:b/>
          <w:szCs w:val="32"/>
        </w:rPr>
      </w:pPr>
      <w:r>
        <w:rPr>
          <w:rFonts w:ascii="Times New Roman" w:cs="Times New Roman"/>
          <w:b/>
          <w:szCs w:val="32"/>
        </w:rPr>
        <w:t>1.4.2 地表水环境</w:t>
      </w:r>
    </w:p>
    <w:p>
      <w:pPr>
        <w:pStyle w:val="114"/>
        <w:ind w:firstLine="480"/>
      </w:pPr>
      <w:r>
        <w:t>本项目周边地表水为《地表水环境质量标准》（GB3838-2002）Ⅲ类水域。</w:t>
      </w:r>
    </w:p>
    <w:p>
      <w:pPr>
        <w:keepNext/>
        <w:keepLines/>
        <w:ind w:firstLine="0" w:firstLineChars="0"/>
        <w:outlineLvl w:val="2"/>
        <w:rPr>
          <w:rFonts w:ascii="Times New Roman" w:cs="Times New Roman"/>
          <w:b/>
          <w:szCs w:val="32"/>
        </w:rPr>
      </w:pPr>
      <w:r>
        <w:rPr>
          <w:rFonts w:ascii="Times New Roman" w:cs="Times New Roman"/>
          <w:b/>
          <w:szCs w:val="32"/>
        </w:rPr>
        <w:t>1.4.3 地下水环境</w:t>
      </w:r>
    </w:p>
    <w:p>
      <w:pPr>
        <w:topLinePunct w:val="0"/>
        <w:adjustRightInd/>
        <w:ind w:firstLine="480"/>
        <w:rPr>
          <w:rFonts w:ascii="Times New Roman" w:cs="Times New Roman"/>
          <w:kern w:val="2"/>
          <w:szCs w:val="22"/>
        </w:rPr>
      </w:pPr>
      <w:r>
        <w:rPr>
          <w:rFonts w:ascii="Times New Roman" w:cs="Times New Roman"/>
          <w:kern w:val="2"/>
          <w:szCs w:val="22"/>
        </w:rPr>
        <w:t>项目</w:t>
      </w:r>
      <w:r>
        <w:rPr>
          <w:rFonts w:ascii="Times New Roman" w:cs="Times New Roman"/>
        </w:rPr>
        <w:t>场站所在区域</w:t>
      </w:r>
      <w:r>
        <w:rPr>
          <w:rFonts w:ascii="Times New Roman" w:cs="Times New Roman"/>
          <w:kern w:val="2"/>
          <w:szCs w:val="22"/>
        </w:rPr>
        <w:t>地下水环境质量评价均执行《地下水质量标准》（GB/T14848-2017）III类标准，项目所在地区域地下水均属于III类地下水功能区。</w:t>
      </w:r>
    </w:p>
    <w:p>
      <w:pPr>
        <w:keepNext/>
        <w:keepLines/>
        <w:ind w:firstLine="0" w:firstLineChars="0"/>
        <w:outlineLvl w:val="2"/>
        <w:rPr>
          <w:rFonts w:ascii="Times New Roman" w:cs="Times New Roman"/>
          <w:b/>
          <w:szCs w:val="32"/>
        </w:rPr>
      </w:pPr>
      <w:r>
        <w:rPr>
          <w:rFonts w:ascii="Times New Roman" w:cs="Times New Roman"/>
          <w:b/>
          <w:szCs w:val="32"/>
        </w:rPr>
        <w:t>1.4.4 声环境</w:t>
      </w:r>
    </w:p>
    <w:p>
      <w:pPr>
        <w:pStyle w:val="114"/>
        <w:ind w:firstLine="480"/>
      </w:pPr>
      <w:r>
        <w:t>工程建设区域内主要为散居农户，属一般居住环境，根据《声环境质量标准》（GB3096-2008），功能区划属2类区域。</w:t>
      </w:r>
    </w:p>
    <w:p>
      <w:pPr>
        <w:keepNext/>
        <w:keepLines/>
        <w:ind w:firstLine="0" w:firstLineChars="0"/>
        <w:outlineLvl w:val="2"/>
        <w:rPr>
          <w:rFonts w:ascii="Times New Roman" w:cs="Times New Roman"/>
          <w:b/>
          <w:szCs w:val="32"/>
        </w:rPr>
      </w:pPr>
      <w:r>
        <w:rPr>
          <w:rFonts w:ascii="Times New Roman" w:cs="Times New Roman"/>
          <w:b/>
          <w:szCs w:val="32"/>
        </w:rPr>
        <w:t>1.4.5 土壤环境</w:t>
      </w:r>
    </w:p>
    <w:p>
      <w:pPr>
        <w:pStyle w:val="114"/>
        <w:ind w:firstLine="480"/>
      </w:pPr>
      <w:r>
        <w:t>项目站场内土壤执行《土壤环境质量 建设用地土壤污染风险管控标准（试行）》（GB 36600-2018）中风险筛选值；项目站场周边耕地执行《土壤环境质量 农用地土壤污染风险管控标准（试行）》（GB15618-2018）表1中其他标准限值。</w:t>
      </w:r>
    </w:p>
    <w:p>
      <w:pPr>
        <w:keepNext/>
        <w:keepLines/>
        <w:ind w:firstLine="0" w:firstLineChars="0"/>
        <w:outlineLvl w:val="2"/>
        <w:rPr>
          <w:rFonts w:ascii="Times New Roman" w:cs="Times New Roman"/>
          <w:b/>
          <w:szCs w:val="32"/>
        </w:rPr>
      </w:pPr>
      <w:r>
        <w:rPr>
          <w:rFonts w:ascii="Times New Roman" w:cs="Times New Roman"/>
          <w:b/>
          <w:szCs w:val="32"/>
        </w:rPr>
        <w:t>1.4.6 生态环境</w:t>
      </w:r>
    </w:p>
    <w:p>
      <w:pPr>
        <w:pStyle w:val="114"/>
        <w:ind w:firstLine="480"/>
        <w:rPr>
          <w:kern w:val="2"/>
          <w:szCs w:val="22"/>
        </w:rPr>
      </w:pPr>
      <w:r>
        <w:t>根据《四川省生态功能区划》，</w:t>
      </w:r>
      <w:r>
        <w:rPr>
          <w:kern w:val="2"/>
          <w:szCs w:val="22"/>
        </w:rPr>
        <w:t>本项目位于四川盆地亚热带湿润气候生态区，属于大巴山水源涵养与土壤保持生态功能区（I-3-2），该生态功能区的主导功能是水源涵养功能，土壤保持功能。面临的主要环境问题是多洪灾，滑坡崩塌强烈发育，水土流失严重。</w:t>
      </w:r>
      <w:r>
        <w:t>项目区不属于特殊生态敏感区和重要生态敏感区，为一般区域。</w:t>
      </w:r>
    </w:p>
    <w:p>
      <w:pPr>
        <w:keepNext/>
        <w:keepLines/>
        <w:spacing w:before="120"/>
        <w:ind w:firstLine="0" w:firstLineChars="0"/>
        <w:outlineLvl w:val="1"/>
        <w:rPr>
          <w:rFonts w:ascii="Times New Roman" w:cs="Times New Roman"/>
          <w:b/>
          <w:bCs/>
          <w:sz w:val="28"/>
          <w:szCs w:val="32"/>
        </w:rPr>
      </w:pPr>
      <w:bookmarkStart w:id="68" w:name="_Toc9705"/>
      <w:bookmarkStart w:id="69" w:name="_Toc19815943"/>
      <w:r>
        <w:rPr>
          <w:rFonts w:ascii="Times New Roman" w:cs="Times New Roman"/>
          <w:b/>
          <w:bCs/>
          <w:sz w:val="28"/>
          <w:szCs w:val="32"/>
        </w:rPr>
        <w:t>1.5 评价标准</w:t>
      </w:r>
      <w:bookmarkEnd w:id="68"/>
      <w:bookmarkEnd w:id="69"/>
    </w:p>
    <w:p>
      <w:pPr>
        <w:keepNext/>
        <w:keepLines/>
        <w:ind w:firstLine="0" w:firstLineChars="0"/>
        <w:outlineLvl w:val="2"/>
        <w:rPr>
          <w:rFonts w:ascii="Times New Roman" w:cs="Times New Roman"/>
          <w:b/>
          <w:szCs w:val="32"/>
        </w:rPr>
      </w:pPr>
      <w:r>
        <w:rPr>
          <w:rFonts w:ascii="Times New Roman" w:cs="Times New Roman"/>
          <w:b/>
          <w:szCs w:val="32"/>
        </w:rPr>
        <w:t>1.5.1 环境质量标准</w:t>
      </w:r>
    </w:p>
    <w:p>
      <w:pPr>
        <w:pStyle w:val="114"/>
        <w:ind w:firstLine="482"/>
        <w:rPr>
          <w:b/>
          <w:bCs/>
        </w:rPr>
      </w:pPr>
      <w:r>
        <w:rPr>
          <w:b/>
          <w:bCs/>
        </w:rPr>
        <w:t>1、环境空气质量标准</w:t>
      </w:r>
    </w:p>
    <w:p>
      <w:pPr>
        <w:pStyle w:val="114"/>
        <w:ind w:firstLine="480"/>
        <w:rPr>
          <w:kern w:val="2"/>
          <w:szCs w:val="22"/>
        </w:rPr>
      </w:pPr>
      <w:r>
        <w:rPr>
          <w:kern w:val="2"/>
          <w:szCs w:val="22"/>
        </w:rPr>
        <w:t>评价区域环境空气执行《环境空气质量标准》（GB3095-2012）二级标准；TVOC、硫化氢执行《环境影响评价技术导则 大气环境》（HJ2.2-2018）中附录D相关限值。具体标准限值见表1.5-1。</w:t>
      </w:r>
    </w:p>
    <w:p>
      <w:pPr>
        <w:pStyle w:val="134"/>
        <w:spacing w:line="360" w:lineRule="auto"/>
        <w:ind w:firstLine="480"/>
      </w:pPr>
      <w:bookmarkStart w:id="70" w:name="_Hlk52913361"/>
      <w:r>
        <w:rPr>
          <w:b/>
        </w:rPr>
        <w:t>表1.5-1</w:t>
      </w:r>
      <w:r>
        <w:t xml:space="preserve">  </w:t>
      </w:r>
      <w:r>
        <w:rPr>
          <w:b/>
        </w:rPr>
        <w:t>环境空气质量标准（GB3095-2012）</w:t>
      </w:r>
      <w:r>
        <w:t xml:space="preserve">  </w:t>
      </w:r>
      <w:r>
        <w:rPr>
          <w:b/>
        </w:rPr>
        <w:t>单位：µg/m</w:t>
      </w:r>
      <w:r>
        <w:rPr>
          <w:b/>
          <w:vertAlign w:val="superscript"/>
        </w:rPr>
        <w:t>3</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1790"/>
        <w:gridCol w:w="1790"/>
        <w:gridCol w:w="36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507" w:type="dxa"/>
            <w:vMerge w:val="restart"/>
            <w:vAlign w:val="center"/>
          </w:tcPr>
          <w:p>
            <w:pPr>
              <w:pStyle w:val="134"/>
              <w:rPr>
                <w:b/>
              </w:rPr>
            </w:pPr>
            <w:r>
              <w:rPr>
                <w:b/>
              </w:rPr>
              <w:t>污染物</w:t>
            </w:r>
          </w:p>
        </w:tc>
        <w:tc>
          <w:tcPr>
            <w:tcW w:w="3580" w:type="dxa"/>
            <w:gridSpan w:val="2"/>
            <w:vAlign w:val="center"/>
          </w:tcPr>
          <w:p>
            <w:pPr>
              <w:pStyle w:val="134"/>
              <w:rPr>
                <w:b/>
              </w:rPr>
            </w:pPr>
            <w:r>
              <w:rPr>
                <w:b/>
              </w:rPr>
              <w:t>浓度限值</w:t>
            </w:r>
          </w:p>
        </w:tc>
        <w:tc>
          <w:tcPr>
            <w:tcW w:w="3647" w:type="dxa"/>
            <w:vMerge w:val="restart"/>
            <w:vAlign w:val="center"/>
          </w:tcPr>
          <w:p>
            <w:pPr>
              <w:pStyle w:val="134"/>
              <w:rPr>
                <w:b/>
              </w:rPr>
            </w:pPr>
            <w:r>
              <w:rPr>
                <w:b/>
              </w:rPr>
              <w:t>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507" w:type="dxa"/>
            <w:vMerge w:val="continue"/>
            <w:vAlign w:val="center"/>
          </w:tcPr>
          <w:p>
            <w:pPr>
              <w:pStyle w:val="134"/>
              <w:rPr>
                <w:b/>
              </w:rPr>
            </w:pPr>
          </w:p>
        </w:tc>
        <w:tc>
          <w:tcPr>
            <w:tcW w:w="1790" w:type="dxa"/>
            <w:vAlign w:val="center"/>
          </w:tcPr>
          <w:p>
            <w:pPr>
              <w:pStyle w:val="134"/>
              <w:rPr>
                <w:b/>
              </w:rPr>
            </w:pPr>
            <w:r>
              <w:rPr>
                <w:b/>
              </w:rPr>
              <w:t>取值时间</w:t>
            </w:r>
          </w:p>
        </w:tc>
        <w:tc>
          <w:tcPr>
            <w:tcW w:w="1790" w:type="dxa"/>
            <w:vAlign w:val="center"/>
          </w:tcPr>
          <w:p>
            <w:pPr>
              <w:pStyle w:val="134"/>
              <w:rPr>
                <w:b/>
              </w:rPr>
            </w:pPr>
            <w:r>
              <w:rPr>
                <w:b/>
              </w:rPr>
              <w:t>标准限值</w:t>
            </w:r>
          </w:p>
        </w:tc>
        <w:tc>
          <w:tcPr>
            <w:tcW w:w="3647" w:type="dxa"/>
            <w:vMerge w:val="continue"/>
            <w:vAlign w:val="center"/>
          </w:tcPr>
          <w:p>
            <w:pPr>
              <w:pStyle w:val="1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07" w:type="dxa"/>
            <w:vMerge w:val="restart"/>
            <w:vAlign w:val="center"/>
          </w:tcPr>
          <w:p>
            <w:pPr>
              <w:pStyle w:val="134"/>
            </w:pPr>
            <w:r>
              <w:t>PM</w:t>
            </w:r>
            <w:r>
              <w:rPr>
                <w:vertAlign w:val="subscript"/>
              </w:rPr>
              <w:t>10</w:t>
            </w:r>
          </w:p>
        </w:tc>
        <w:tc>
          <w:tcPr>
            <w:tcW w:w="1790" w:type="dxa"/>
            <w:vAlign w:val="center"/>
          </w:tcPr>
          <w:p>
            <w:pPr>
              <w:pStyle w:val="134"/>
            </w:pPr>
            <w:r>
              <w:t>年平均</w:t>
            </w:r>
          </w:p>
        </w:tc>
        <w:tc>
          <w:tcPr>
            <w:tcW w:w="1790" w:type="dxa"/>
            <w:vAlign w:val="center"/>
          </w:tcPr>
          <w:p>
            <w:pPr>
              <w:pStyle w:val="134"/>
            </w:pPr>
            <w:r>
              <w:t>70μg/m</w:t>
            </w:r>
            <w:r>
              <w:rPr>
                <w:vertAlign w:val="superscript"/>
              </w:rPr>
              <w:t>3</w:t>
            </w:r>
          </w:p>
        </w:tc>
        <w:tc>
          <w:tcPr>
            <w:tcW w:w="3647" w:type="dxa"/>
            <w:vMerge w:val="restart"/>
            <w:vAlign w:val="center"/>
          </w:tcPr>
          <w:p>
            <w:pPr>
              <w:pStyle w:val="134"/>
            </w:pPr>
            <w:r>
              <w:t>《环境空气质量标准》（GB3095-2012）二级标准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07" w:type="dxa"/>
            <w:vMerge w:val="continue"/>
            <w:vAlign w:val="center"/>
          </w:tcPr>
          <w:p>
            <w:pPr>
              <w:pStyle w:val="134"/>
              <w:rPr>
                <w:vertAlign w:val="subscript"/>
              </w:rPr>
            </w:pPr>
          </w:p>
        </w:tc>
        <w:tc>
          <w:tcPr>
            <w:tcW w:w="1790" w:type="dxa"/>
            <w:vAlign w:val="center"/>
          </w:tcPr>
          <w:p>
            <w:pPr>
              <w:pStyle w:val="134"/>
            </w:pPr>
            <w:r>
              <w:t>24小时平均</w:t>
            </w:r>
          </w:p>
        </w:tc>
        <w:tc>
          <w:tcPr>
            <w:tcW w:w="1790" w:type="dxa"/>
            <w:vAlign w:val="center"/>
          </w:tcPr>
          <w:p>
            <w:pPr>
              <w:pStyle w:val="134"/>
            </w:pPr>
            <w:r>
              <w:t>150μg/m</w:t>
            </w:r>
            <w:r>
              <w:rPr>
                <w:vertAlign w:val="superscript"/>
              </w:rPr>
              <w:t>3</w:t>
            </w:r>
          </w:p>
        </w:tc>
        <w:tc>
          <w:tcPr>
            <w:tcW w:w="3647" w:type="dxa"/>
            <w:vMerge w:val="continue"/>
            <w:vAlign w:val="center"/>
          </w:tcPr>
          <w:p>
            <w:pPr>
              <w:pStyle w:val="1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07" w:type="dxa"/>
            <w:vMerge w:val="restart"/>
            <w:vAlign w:val="center"/>
          </w:tcPr>
          <w:p>
            <w:pPr>
              <w:pStyle w:val="134"/>
            </w:pPr>
            <w:r>
              <w:t>PM</w:t>
            </w:r>
            <w:r>
              <w:rPr>
                <w:vertAlign w:val="subscript"/>
              </w:rPr>
              <w:t>2.5</w:t>
            </w:r>
          </w:p>
        </w:tc>
        <w:tc>
          <w:tcPr>
            <w:tcW w:w="1790" w:type="dxa"/>
            <w:vAlign w:val="center"/>
          </w:tcPr>
          <w:p>
            <w:pPr>
              <w:pStyle w:val="134"/>
            </w:pPr>
            <w:r>
              <w:t>年平均</w:t>
            </w:r>
          </w:p>
        </w:tc>
        <w:tc>
          <w:tcPr>
            <w:tcW w:w="1790" w:type="dxa"/>
            <w:vAlign w:val="center"/>
          </w:tcPr>
          <w:p>
            <w:pPr>
              <w:pStyle w:val="134"/>
            </w:pPr>
            <w:r>
              <w:t>35μg/m</w:t>
            </w:r>
            <w:r>
              <w:rPr>
                <w:vertAlign w:val="superscript"/>
              </w:rPr>
              <w:t>3</w:t>
            </w:r>
          </w:p>
        </w:tc>
        <w:tc>
          <w:tcPr>
            <w:tcW w:w="3647" w:type="dxa"/>
            <w:vMerge w:val="continue"/>
            <w:vAlign w:val="center"/>
          </w:tcPr>
          <w:p>
            <w:pPr>
              <w:pStyle w:val="1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07" w:type="dxa"/>
            <w:vMerge w:val="continue"/>
            <w:vAlign w:val="center"/>
          </w:tcPr>
          <w:p>
            <w:pPr>
              <w:pStyle w:val="134"/>
              <w:rPr>
                <w:vertAlign w:val="subscript"/>
              </w:rPr>
            </w:pPr>
          </w:p>
        </w:tc>
        <w:tc>
          <w:tcPr>
            <w:tcW w:w="1790" w:type="dxa"/>
            <w:vAlign w:val="center"/>
          </w:tcPr>
          <w:p>
            <w:pPr>
              <w:pStyle w:val="134"/>
            </w:pPr>
            <w:r>
              <w:t>24小时平均</w:t>
            </w:r>
          </w:p>
        </w:tc>
        <w:tc>
          <w:tcPr>
            <w:tcW w:w="1790" w:type="dxa"/>
            <w:vAlign w:val="center"/>
          </w:tcPr>
          <w:p>
            <w:pPr>
              <w:pStyle w:val="134"/>
            </w:pPr>
            <w:r>
              <w:t>75μg/m</w:t>
            </w:r>
            <w:r>
              <w:rPr>
                <w:vertAlign w:val="superscript"/>
              </w:rPr>
              <w:t>3</w:t>
            </w:r>
          </w:p>
        </w:tc>
        <w:tc>
          <w:tcPr>
            <w:tcW w:w="3647" w:type="dxa"/>
            <w:vMerge w:val="continue"/>
            <w:vAlign w:val="center"/>
          </w:tcPr>
          <w:p>
            <w:pPr>
              <w:pStyle w:val="1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07" w:type="dxa"/>
            <w:vMerge w:val="restart"/>
            <w:vAlign w:val="center"/>
          </w:tcPr>
          <w:p>
            <w:pPr>
              <w:pStyle w:val="134"/>
              <w:rPr>
                <w:vertAlign w:val="subscript"/>
              </w:rPr>
            </w:pPr>
            <w:r>
              <w:t>SO</w:t>
            </w:r>
            <w:r>
              <w:rPr>
                <w:vertAlign w:val="subscript"/>
              </w:rPr>
              <w:t>2</w:t>
            </w:r>
          </w:p>
        </w:tc>
        <w:tc>
          <w:tcPr>
            <w:tcW w:w="1790" w:type="dxa"/>
            <w:vAlign w:val="center"/>
          </w:tcPr>
          <w:p>
            <w:pPr>
              <w:pStyle w:val="134"/>
            </w:pPr>
            <w:r>
              <w:t>年平均</w:t>
            </w:r>
          </w:p>
        </w:tc>
        <w:tc>
          <w:tcPr>
            <w:tcW w:w="1790" w:type="dxa"/>
            <w:vAlign w:val="center"/>
          </w:tcPr>
          <w:p>
            <w:pPr>
              <w:pStyle w:val="134"/>
            </w:pPr>
            <w:r>
              <w:t>60μg/m</w:t>
            </w:r>
            <w:r>
              <w:rPr>
                <w:vertAlign w:val="superscript"/>
              </w:rPr>
              <w:t>3</w:t>
            </w:r>
          </w:p>
        </w:tc>
        <w:tc>
          <w:tcPr>
            <w:tcW w:w="3647" w:type="dxa"/>
            <w:vMerge w:val="continue"/>
            <w:vAlign w:val="center"/>
          </w:tcPr>
          <w:p>
            <w:pPr>
              <w:pStyle w:val="1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07" w:type="dxa"/>
            <w:vMerge w:val="continue"/>
            <w:vAlign w:val="center"/>
          </w:tcPr>
          <w:p>
            <w:pPr>
              <w:pStyle w:val="134"/>
            </w:pPr>
          </w:p>
        </w:tc>
        <w:tc>
          <w:tcPr>
            <w:tcW w:w="1790" w:type="dxa"/>
            <w:vAlign w:val="center"/>
          </w:tcPr>
          <w:p>
            <w:pPr>
              <w:pStyle w:val="134"/>
            </w:pPr>
            <w:r>
              <w:t>24小时平均</w:t>
            </w:r>
          </w:p>
        </w:tc>
        <w:tc>
          <w:tcPr>
            <w:tcW w:w="1790" w:type="dxa"/>
            <w:vAlign w:val="center"/>
          </w:tcPr>
          <w:p>
            <w:pPr>
              <w:pStyle w:val="134"/>
            </w:pPr>
            <w:r>
              <w:t>150μg/m</w:t>
            </w:r>
            <w:r>
              <w:rPr>
                <w:vertAlign w:val="superscript"/>
              </w:rPr>
              <w:t>3</w:t>
            </w:r>
          </w:p>
        </w:tc>
        <w:tc>
          <w:tcPr>
            <w:tcW w:w="3647" w:type="dxa"/>
            <w:vMerge w:val="continue"/>
            <w:vAlign w:val="center"/>
          </w:tcPr>
          <w:p>
            <w:pPr>
              <w:pStyle w:val="1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07" w:type="dxa"/>
            <w:vMerge w:val="continue"/>
            <w:vAlign w:val="center"/>
          </w:tcPr>
          <w:p>
            <w:pPr>
              <w:pStyle w:val="134"/>
            </w:pPr>
          </w:p>
        </w:tc>
        <w:tc>
          <w:tcPr>
            <w:tcW w:w="1790" w:type="dxa"/>
            <w:vAlign w:val="center"/>
          </w:tcPr>
          <w:p>
            <w:pPr>
              <w:pStyle w:val="134"/>
            </w:pPr>
            <w:r>
              <w:t>1小时平均</w:t>
            </w:r>
          </w:p>
        </w:tc>
        <w:tc>
          <w:tcPr>
            <w:tcW w:w="1790" w:type="dxa"/>
            <w:vAlign w:val="center"/>
          </w:tcPr>
          <w:p>
            <w:pPr>
              <w:pStyle w:val="134"/>
            </w:pPr>
            <w:r>
              <w:t>500μg/m</w:t>
            </w:r>
            <w:r>
              <w:rPr>
                <w:vertAlign w:val="superscript"/>
              </w:rPr>
              <w:t>3</w:t>
            </w:r>
          </w:p>
        </w:tc>
        <w:tc>
          <w:tcPr>
            <w:tcW w:w="3647" w:type="dxa"/>
            <w:vMerge w:val="continue"/>
            <w:vAlign w:val="center"/>
          </w:tcPr>
          <w:p>
            <w:pPr>
              <w:pStyle w:val="1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07" w:type="dxa"/>
            <w:vMerge w:val="restart"/>
            <w:vAlign w:val="center"/>
          </w:tcPr>
          <w:p>
            <w:pPr>
              <w:pStyle w:val="134"/>
            </w:pPr>
            <w:r>
              <w:t>NO</w:t>
            </w:r>
            <w:r>
              <w:rPr>
                <w:vertAlign w:val="subscript"/>
              </w:rPr>
              <w:t>2</w:t>
            </w:r>
          </w:p>
        </w:tc>
        <w:tc>
          <w:tcPr>
            <w:tcW w:w="1790" w:type="dxa"/>
            <w:vAlign w:val="center"/>
          </w:tcPr>
          <w:p>
            <w:pPr>
              <w:pStyle w:val="134"/>
            </w:pPr>
            <w:r>
              <w:t>年平均</w:t>
            </w:r>
          </w:p>
        </w:tc>
        <w:tc>
          <w:tcPr>
            <w:tcW w:w="1790" w:type="dxa"/>
            <w:vAlign w:val="center"/>
          </w:tcPr>
          <w:p>
            <w:pPr>
              <w:pStyle w:val="134"/>
            </w:pPr>
            <w:r>
              <w:t>40μg/m</w:t>
            </w:r>
            <w:r>
              <w:rPr>
                <w:vertAlign w:val="superscript"/>
              </w:rPr>
              <w:t>3</w:t>
            </w:r>
          </w:p>
        </w:tc>
        <w:tc>
          <w:tcPr>
            <w:tcW w:w="3647" w:type="dxa"/>
            <w:vMerge w:val="continue"/>
            <w:vAlign w:val="center"/>
          </w:tcPr>
          <w:p>
            <w:pPr>
              <w:pStyle w:val="1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07" w:type="dxa"/>
            <w:vMerge w:val="continue"/>
            <w:vAlign w:val="center"/>
          </w:tcPr>
          <w:p>
            <w:pPr>
              <w:pStyle w:val="134"/>
            </w:pPr>
          </w:p>
        </w:tc>
        <w:tc>
          <w:tcPr>
            <w:tcW w:w="1790" w:type="dxa"/>
            <w:vAlign w:val="center"/>
          </w:tcPr>
          <w:p>
            <w:pPr>
              <w:pStyle w:val="134"/>
            </w:pPr>
            <w:r>
              <w:t>24小时平均</w:t>
            </w:r>
          </w:p>
        </w:tc>
        <w:tc>
          <w:tcPr>
            <w:tcW w:w="1790" w:type="dxa"/>
            <w:vAlign w:val="center"/>
          </w:tcPr>
          <w:p>
            <w:pPr>
              <w:pStyle w:val="134"/>
            </w:pPr>
            <w:r>
              <w:t>80μg/m</w:t>
            </w:r>
            <w:r>
              <w:rPr>
                <w:vertAlign w:val="superscript"/>
              </w:rPr>
              <w:t>3</w:t>
            </w:r>
          </w:p>
        </w:tc>
        <w:tc>
          <w:tcPr>
            <w:tcW w:w="3647" w:type="dxa"/>
            <w:vMerge w:val="continue"/>
            <w:vAlign w:val="center"/>
          </w:tcPr>
          <w:p>
            <w:pPr>
              <w:pStyle w:val="1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07" w:type="dxa"/>
            <w:vMerge w:val="continue"/>
            <w:vAlign w:val="center"/>
          </w:tcPr>
          <w:p>
            <w:pPr>
              <w:pStyle w:val="134"/>
            </w:pPr>
          </w:p>
        </w:tc>
        <w:tc>
          <w:tcPr>
            <w:tcW w:w="1790" w:type="dxa"/>
            <w:vAlign w:val="center"/>
          </w:tcPr>
          <w:p>
            <w:pPr>
              <w:pStyle w:val="134"/>
            </w:pPr>
            <w:r>
              <w:t>1小时平均</w:t>
            </w:r>
          </w:p>
        </w:tc>
        <w:tc>
          <w:tcPr>
            <w:tcW w:w="1790" w:type="dxa"/>
            <w:vAlign w:val="center"/>
          </w:tcPr>
          <w:p>
            <w:pPr>
              <w:pStyle w:val="134"/>
            </w:pPr>
            <w:r>
              <w:t>200μg/m</w:t>
            </w:r>
            <w:r>
              <w:rPr>
                <w:vertAlign w:val="superscript"/>
              </w:rPr>
              <w:t>3</w:t>
            </w:r>
          </w:p>
        </w:tc>
        <w:tc>
          <w:tcPr>
            <w:tcW w:w="3647" w:type="dxa"/>
            <w:vMerge w:val="continue"/>
            <w:vAlign w:val="center"/>
          </w:tcPr>
          <w:p>
            <w:pPr>
              <w:pStyle w:val="1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07" w:type="dxa"/>
            <w:vMerge w:val="restart"/>
            <w:vAlign w:val="center"/>
          </w:tcPr>
          <w:p>
            <w:pPr>
              <w:pStyle w:val="134"/>
            </w:pPr>
            <w:r>
              <w:t>CO</w:t>
            </w:r>
          </w:p>
        </w:tc>
        <w:tc>
          <w:tcPr>
            <w:tcW w:w="1790" w:type="dxa"/>
            <w:vAlign w:val="center"/>
          </w:tcPr>
          <w:p>
            <w:pPr>
              <w:pStyle w:val="134"/>
            </w:pPr>
            <w:r>
              <w:t>24小时平均</w:t>
            </w:r>
          </w:p>
        </w:tc>
        <w:tc>
          <w:tcPr>
            <w:tcW w:w="1790" w:type="dxa"/>
            <w:vAlign w:val="center"/>
          </w:tcPr>
          <w:p>
            <w:pPr>
              <w:pStyle w:val="134"/>
            </w:pPr>
            <w:r>
              <w:t>4mg/m</w:t>
            </w:r>
            <w:r>
              <w:rPr>
                <w:vertAlign w:val="superscript"/>
              </w:rPr>
              <w:t>3</w:t>
            </w:r>
          </w:p>
        </w:tc>
        <w:tc>
          <w:tcPr>
            <w:tcW w:w="3647" w:type="dxa"/>
            <w:vMerge w:val="continue"/>
            <w:vAlign w:val="center"/>
          </w:tcPr>
          <w:p>
            <w:pPr>
              <w:pStyle w:val="1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07" w:type="dxa"/>
            <w:vMerge w:val="continue"/>
            <w:vAlign w:val="center"/>
          </w:tcPr>
          <w:p>
            <w:pPr>
              <w:pStyle w:val="134"/>
            </w:pPr>
          </w:p>
        </w:tc>
        <w:tc>
          <w:tcPr>
            <w:tcW w:w="1790" w:type="dxa"/>
            <w:vAlign w:val="center"/>
          </w:tcPr>
          <w:p>
            <w:pPr>
              <w:pStyle w:val="134"/>
            </w:pPr>
            <w:r>
              <w:t>1小时平均</w:t>
            </w:r>
          </w:p>
        </w:tc>
        <w:tc>
          <w:tcPr>
            <w:tcW w:w="1790" w:type="dxa"/>
            <w:vAlign w:val="center"/>
          </w:tcPr>
          <w:p>
            <w:pPr>
              <w:pStyle w:val="134"/>
            </w:pPr>
            <w:r>
              <w:t>10mg/m</w:t>
            </w:r>
            <w:r>
              <w:rPr>
                <w:vertAlign w:val="superscript"/>
              </w:rPr>
              <w:t>3</w:t>
            </w:r>
          </w:p>
        </w:tc>
        <w:tc>
          <w:tcPr>
            <w:tcW w:w="3647" w:type="dxa"/>
            <w:vMerge w:val="continue"/>
            <w:vAlign w:val="center"/>
          </w:tcPr>
          <w:p>
            <w:pPr>
              <w:pStyle w:val="1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07" w:type="dxa"/>
            <w:vMerge w:val="restart"/>
            <w:vAlign w:val="center"/>
          </w:tcPr>
          <w:p>
            <w:pPr>
              <w:pStyle w:val="134"/>
            </w:pPr>
            <w:r>
              <w:rPr>
                <w:iCs/>
                <w:kern w:val="0"/>
                <w:szCs w:val="21"/>
              </w:rPr>
              <w:t>O</w:t>
            </w:r>
            <w:r>
              <w:rPr>
                <w:iCs/>
                <w:kern w:val="0"/>
                <w:szCs w:val="21"/>
                <w:vertAlign w:val="subscript"/>
              </w:rPr>
              <w:t>3</w:t>
            </w:r>
          </w:p>
        </w:tc>
        <w:tc>
          <w:tcPr>
            <w:tcW w:w="1790" w:type="dxa"/>
          </w:tcPr>
          <w:p>
            <w:pPr>
              <w:pStyle w:val="134"/>
            </w:pPr>
            <w:r>
              <w:rPr>
                <w:iCs/>
                <w:szCs w:val="21"/>
              </w:rPr>
              <w:t>8小时平均</w:t>
            </w:r>
          </w:p>
        </w:tc>
        <w:tc>
          <w:tcPr>
            <w:tcW w:w="1790" w:type="dxa"/>
          </w:tcPr>
          <w:p>
            <w:pPr>
              <w:pStyle w:val="134"/>
            </w:pPr>
            <w:r>
              <w:rPr>
                <w:iCs/>
                <w:szCs w:val="21"/>
              </w:rPr>
              <w:t>160</w:t>
            </w:r>
            <w:r>
              <w:rPr>
                <w:iCs/>
                <w:kern w:val="0"/>
                <w:szCs w:val="21"/>
              </w:rPr>
              <w:t>μg/m</w:t>
            </w:r>
            <w:r>
              <w:rPr>
                <w:iCs/>
                <w:kern w:val="0"/>
                <w:szCs w:val="21"/>
                <w:vertAlign w:val="superscript"/>
              </w:rPr>
              <w:t>3</w:t>
            </w:r>
          </w:p>
        </w:tc>
        <w:tc>
          <w:tcPr>
            <w:tcW w:w="3647" w:type="dxa"/>
            <w:vMerge w:val="continue"/>
            <w:vAlign w:val="center"/>
          </w:tcPr>
          <w:p>
            <w:pPr>
              <w:pStyle w:val="1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07" w:type="dxa"/>
            <w:vMerge w:val="continue"/>
            <w:vAlign w:val="center"/>
          </w:tcPr>
          <w:p>
            <w:pPr>
              <w:pStyle w:val="134"/>
            </w:pPr>
          </w:p>
        </w:tc>
        <w:tc>
          <w:tcPr>
            <w:tcW w:w="1790" w:type="dxa"/>
          </w:tcPr>
          <w:p>
            <w:pPr>
              <w:pStyle w:val="134"/>
            </w:pPr>
            <w:r>
              <w:rPr>
                <w:iCs/>
                <w:szCs w:val="21"/>
              </w:rPr>
              <w:t>1小时平均</w:t>
            </w:r>
          </w:p>
        </w:tc>
        <w:tc>
          <w:tcPr>
            <w:tcW w:w="1790" w:type="dxa"/>
          </w:tcPr>
          <w:p>
            <w:pPr>
              <w:pStyle w:val="134"/>
            </w:pPr>
            <w:r>
              <w:rPr>
                <w:iCs/>
                <w:szCs w:val="21"/>
              </w:rPr>
              <w:t>200</w:t>
            </w:r>
            <w:r>
              <w:rPr>
                <w:iCs/>
                <w:kern w:val="0"/>
                <w:szCs w:val="21"/>
              </w:rPr>
              <w:t>μg/m</w:t>
            </w:r>
            <w:r>
              <w:rPr>
                <w:iCs/>
                <w:kern w:val="0"/>
                <w:szCs w:val="21"/>
                <w:vertAlign w:val="superscript"/>
              </w:rPr>
              <w:t>3</w:t>
            </w:r>
          </w:p>
        </w:tc>
        <w:tc>
          <w:tcPr>
            <w:tcW w:w="3647" w:type="dxa"/>
            <w:vMerge w:val="continue"/>
            <w:vAlign w:val="center"/>
          </w:tcPr>
          <w:p>
            <w:pPr>
              <w:pStyle w:val="134"/>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07" w:type="dxa"/>
            <w:vAlign w:val="center"/>
          </w:tcPr>
          <w:p>
            <w:pPr>
              <w:pStyle w:val="134"/>
            </w:pPr>
            <w:r>
              <w:t>硫化氢</w:t>
            </w:r>
          </w:p>
        </w:tc>
        <w:tc>
          <w:tcPr>
            <w:tcW w:w="1790" w:type="dxa"/>
            <w:vAlign w:val="center"/>
          </w:tcPr>
          <w:p>
            <w:pPr>
              <w:pStyle w:val="134"/>
              <w:rPr>
                <w:iCs/>
                <w:szCs w:val="21"/>
              </w:rPr>
            </w:pPr>
            <w:r>
              <w:t>1小时平均</w:t>
            </w:r>
          </w:p>
        </w:tc>
        <w:tc>
          <w:tcPr>
            <w:tcW w:w="1790" w:type="dxa"/>
            <w:vAlign w:val="center"/>
          </w:tcPr>
          <w:p>
            <w:pPr>
              <w:pStyle w:val="134"/>
              <w:rPr>
                <w:iCs/>
                <w:szCs w:val="21"/>
              </w:rPr>
            </w:pPr>
            <w:r>
              <w:t>10</w:t>
            </w:r>
            <w:r>
              <w:rPr>
                <w:iCs/>
                <w:kern w:val="0"/>
                <w:szCs w:val="21"/>
              </w:rPr>
              <w:t>μ</w:t>
            </w:r>
            <w:r>
              <w:t>g/m</w:t>
            </w:r>
            <w:r>
              <w:rPr>
                <w:vertAlign w:val="superscript"/>
              </w:rPr>
              <w:t>3</w:t>
            </w:r>
          </w:p>
        </w:tc>
        <w:tc>
          <w:tcPr>
            <w:tcW w:w="3647" w:type="dxa"/>
            <w:vAlign w:val="center"/>
          </w:tcPr>
          <w:p>
            <w:pPr>
              <w:pStyle w:val="134"/>
            </w:pPr>
            <w:r>
              <w:rPr>
                <w:szCs w:val="21"/>
              </w:rPr>
              <w:t>《环境影响评价技术导则大气环境》（HJ2.2-2018）中附录D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07" w:type="dxa"/>
            <w:vAlign w:val="center"/>
          </w:tcPr>
          <w:p>
            <w:pPr>
              <w:pStyle w:val="134"/>
            </w:pPr>
            <w:r>
              <w:t>非甲烷总烃</w:t>
            </w:r>
          </w:p>
        </w:tc>
        <w:tc>
          <w:tcPr>
            <w:tcW w:w="1790" w:type="dxa"/>
            <w:vAlign w:val="center"/>
          </w:tcPr>
          <w:p>
            <w:pPr>
              <w:pStyle w:val="134"/>
            </w:pPr>
            <w:r>
              <w:t>一次值</w:t>
            </w:r>
          </w:p>
        </w:tc>
        <w:tc>
          <w:tcPr>
            <w:tcW w:w="1790" w:type="dxa"/>
            <w:vAlign w:val="center"/>
          </w:tcPr>
          <w:p>
            <w:pPr>
              <w:pStyle w:val="134"/>
            </w:pPr>
            <w:r>
              <w:t>2mg/m</w:t>
            </w:r>
            <w:r>
              <w:rPr>
                <w:vertAlign w:val="superscript"/>
              </w:rPr>
              <w:t>3</w:t>
            </w:r>
          </w:p>
        </w:tc>
        <w:tc>
          <w:tcPr>
            <w:tcW w:w="3647" w:type="dxa"/>
            <w:vAlign w:val="center"/>
          </w:tcPr>
          <w:p>
            <w:pPr>
              <w:pStyle w:val="134"/>
            </w:pPr>
            <w:r>
              <w:t>《大气污染物综合排放标准详解》</w:t>
            </w:r>
          </w:p>
        </w:tc>
      </w:tr>
      <w:bookmarkEnd w:id="70"/>
    </w:tbl>
    <w:p>
      <w:pPr>
        <w:ind w:firstLine="482"/>
        <w:rPr>
          <w:rFonts w:ascii="Times New Roman" w:cs="Times New Roman"/>
          <w:b/>
        </w:rPr>
      </w:pPr>
      <w:r>
        <w:rPr>
          <w:rFonts w:ascii="Times New Roman" w:cs="Times New Roman"/>
          <w:b/>
        </w:rPr>
        <w:t>2、地表水环境质量标准</w:t>
      </w:r>
    </w:p>
    <w:p>
      <w:pPr>
        <w:topLinePunct w:val="0"/>
        <w:adjustRightInd/>
        <w:ind w:firstLine="480"/>
        <w:rPr>
          <w:rFonts w:ascii="Times New Roman" w:cs="Times New Roman"/>
          <w:kern w:val="2"/>
          <w:szCs w:val="22"/>
        </w:rPr>
      </w:pPr>
      <w:r>
        <w:rPr>
          <w:rFonts w:ascii="Times New Roman" w:cs="Times New Roman"/>
          <w:kern w:val="2"/>
          <w:szCs w:val="22"/>
        </w:rPr>
        <w:t>本项目所在区域的地表水环境执行《地表水环境质量标准》（GB3838-2002）中的Ⅲ类标准，见表1.5-2。</w:t>
      </w:r>
    </w:p>
    <w:p>
      <w:pPr>
        <w:pStyle w:val="39"/>
        <w:rPr>
          <w:rFonts w:cs="Times New Roman"/>
          <w:szCs w:val="21"/>
        </w:rPr>
      </w:pPr>
      <w:r>
        <w:rPr>
          <w:rFonts w:cs="Times New Roman"/>
        </w:rPr>
        <w:t>表1.5-2  地表水环境质量标准（GB3838－2002）  单位：mg/L</w:t>
      </w:r>
    </w:p>
    <w:tbl>
      <w:tblPr>
        <w:tblStyle w:val="59"/>
        <w:tblW w:w="4850" w:type="pct"/>
        <w:jc w:val="center"/>
        <w:tblLayout w:type="fixed"/>
        <w:tblCellMar>
          <w:top w:w="0" w:type="dxa"/>
          <w:left w:w="0" w:type="dxa"/>
          <w:bottom w:w="0" w:type="dxa"/>
          <w:right w:w="0" w:type="dxa"/>
        </w:tblCellMar>
      </w:tblPr>
      <w:tblGrid>
        <w:gridCol w:w="1217"/>
        <w:gridCol w:w="811"/>
        <w:gridCol w:w="798"/>
        <w:gridCol w:w="944"/>
        <w:gridCol w:w="946"/>
        <w:gridCol w:w="944"/>
        <w:gridCol w:w="972"/>
        <w:gridCol w:w="1009"/>
        <w:gridCol w:w="883"/>
      </w:tblGrid>
      <w:tr>
        <w:tblPrEx>
          <w:tblCellMar>
            <w:top w:w="0" w:type="dxa"/>
            <w:left w:w="0" w:type="dxa"/>
            <w:bottom w:w="0" w:type="dxa"/>
            <w:right w:w="0" w:type="dxa"/>
          </w:tblCellMar>
        </w:tblPrEx>
        <w:trPr>
          <w:trHeight w:val="369" w:hRule="exact"/>
          <w:jc w:val="center"/>
        </w:trPr>
        <w:tc>
          <w:tcPr>
            <w:tcW w:w="713" w:type="pct"/>
            <w:tcBorders>
              <w:top w:val="single" w:color="000000" w:sz="12" w:space="0"/>
              <w:left w:val="nil"/>
              <w:bottom w:val="single" w:color="000000" w:sz="4" w:space="0"/>
              <w:right w:val="single" w:color="000000" w:sz="4" w:space="0"/>
            </w:tcBorders>
            <w:vAlign w:val="center"/>
          </w:tcPr>
          <w:p>
            <w:pPr>
              <w:pStyle w:val="134"/>
              <w:rPr>
                <w:b/>
                <w:bCs/>
              </w:rPr>
            </w:pPr>
            <w:r>
              <w:rPr>
                <w:b/>
                <w:bCs/>
              </w:rPr>
              <w:t>评价因子</w:t>
            </w:r>
          </w:p>
        </w:tc>
        <w:tc>
          <w:tcPr>
            <w:tcW w:w="476" w:type="pct"/>
            <w:tcBorders>
              <w:top w:val="single" w:color="000000" w:sz="12" w:space="0"/>
              <w:left w:val="single" w:color="000000" w:sz="4" w:space="0"/>
              <w:bottom w:val="single" w:color="000000" w:sz="4" w:space="0"/>
              <w:right w:val="single" w:color="000000" w:sz="4" w:space="0"/>
            </w:tcBorders>
            <w:vAlign w:val="center"/>
          </w:tcPr>
          <w:p>
            <w:pPr>
              <w:pStyle w:val="134"/>
              <w:rPr>
                <w:b/>
                <w:bCs/>
              </w:rPr>
            </w:pPr>
            <w:r>
              <w:rPr>
                <w:b/>
                <w:bCs/>
              </w:rPr>
              <w:t>pH</w:t>
            </w:r>
          </w:p>
        </w:tc>
        <w:tc>
          <w:tcPr>
            <w:tcW w:w="468" w:type="pct"/>
            <w:tcBorders>
              <w:top w:val="single" w:color="000000" w:sz="12" w:space="0"/>
              <w:left w:val="single" w:color="000000" w:sz="4" w:space="0"/>
              <w:bottom w:val="single" w:color="000000" w:sz="4" w:space="0"/>
              <w:right w:val="single" w:color="000000" w:sz="4" w:space="0"/>
            </w:tcBorders>
            <w:vAlign w:val="center"/>
          </w:tcPr>
          <w:p>
            <w:pPr>
              <w:pStyle w:val="134"/>
              <w:rPr>
                <w:b/>
                <w:bCs/>
              </w:rPr>
            </w:pPr>
            <w:r>
              <w:rPr>
                <w:b/>
                <w:bCs/>
              </w:rPr>
              <w:t>COD</w:t>
            </w:r>
          </w:p>
        </w:tc>
        <w:tc>
          <w:tcPr>
            <w:tcW w:w="554" w:type="pct"/>
            <w:tcBorders>
              <w:top w:val="single" w:color="000000" w:sz="12" w:space="0"/>
              <w:left w:val="single" w:color="000000" w:sz="4" w:space="0"/>
              <w:bottom w:val="single" w:color="000000" w:sz="4" w:space="0"/>
              <w:right w:val="single" w:color="000000" w:sz="4" w:space="0"/>
            </w:tcBorders>
            <w:vAlign w:val="center"/>
          </w:tcPr>
          <w:p>
            <w:pPr>
              <w:pStyle w:val="134"/>
              <w:rPr>
                <w:b/>
                <w:bCs/>
              </w:rPr>
            </w:pPr>
            <w:r>
              <w:rPr>
                <w:b/>
                <w:bCs/>
              </w:rPr>
              <w:t>BOD</w:t>
            </w:r>
            <w:r>
              <w:rPr>
                <w:b/>
                <w:bCs/>
                <w:vertAlign w:val="subscript"/>
              </w:rPr>
              <w:t>5</w:t>
            </w:r>
          </w:p>
        </w:tc>
        <w:tc>
          <w:tcPr>
            <w:tcW w:w="555" w:type="pct"/>
            <w:tcBorders>
              <w:top w:val="single" w:color="000000" w:sz="12" w:space="0"/>
              <w:left w:val="single" w:color="000000" w:sz="4" w:space="0"/>
              <w:bottom w:val="single" w:color="000000" w:sz="4" w:space="0"/>
              <w:right w:val="single" w:color="000000" w:sz="4" w:space="0"/>
            </w:tcBorders>
            <w:vAlign w:val="center"/>
          </w:tcPr>
          <w:p>
            <w:pPr>
              <w:pStyle w:val="134"/>
              <w:rPr>
                <w:b/>
                <w:bCs/>
              </w:rPr>
            </w:pPr>
            <w:r>
              <w:rPr>
                <w:b/>
                <w:bCs/>
              </w:rPr>
              <w:t>氨氮</w:t>
            </w:r>
          </w:p>
        </w:tc>
        <w:tc>
          <w:tcPr>
            <w:tcW w:w="554" w:type="pct"/>
            <w:tcBorders>
              <w:top w:val="single" w:color="000000" w:sz="12" w:space="0"/>
              <w:left w:val="single" w:color="000000" w:sz="4" w:space="0"/>
              <w:bottom w:val="single" w:color="000000" w:sz="4" w:space="0"/>
              <w:right w:val="single" w:color="auto" w:sz="4" w:space="0"/>
            </w:tcBorders>
            <w:vAlign w:val="center"/>
          </w:tcPr>
          <w:p>
            <w:pPr>
              <w:pStyle w:val="134"/>
              <w:rPr>
                <w:b/>
                <w:bCs/>
              </w:rPr>
            </w:pPr>
            <w:r>
              <w:rPr>
                <w:b/>
                <w:bCs/>
              </w:rPr>
              <w:t>挥发酚</w:t>
            </w:r>
          </w:p>
        </w:tc>
        <w:tc>
          <w:tcPr>
            <w:tcW w:w="570" w:type="pct"/>
            <w:tcBorders>
              <w:top w:val="single" w:color="000000" w:sz="12" w:space="0"/>
              <w:left w:val="single" w:color="auto" w:sz="4" w:space="0"/>
              <w:bottom w:val="single" w:color="000000" w:sz="4" w:space="0"/>
              <w:right w:val="single" w:color="auto" w:sz="4" w:space="0"/>
            </w:tcBorders>
            <w:vAlign w:val="center"/>
          </w:tcPr>
          <w:p>
            <w:pPr>
              <w:pStyle w:val="134"/>
              <w:rPr>
                <w:b/>
                <w:bCs/>
              </w:rPr>
            </w:pPr>
            <w:r>
              <w:rPr>
                <w:b/>
                <w:bCs/>
              </w:rPr>
              <w:t>硫化物</w:t>
            </w:r>
          </w:p>
        </w:tc>
        <w:tc>
          <w:tcPr>
            <w:tcW w:w="592" w:type="pct"/>
            <w:tcBorders>
              <w:top w:val="single" w:color="000000" w:sz="12" w:space="0"/>
              <w:left w:val="single" w:color="auto" w:sz="4" w:space="0"/>
              <w:bottom w:val="single" w:color="000000" w:sz="4" w:space="0"/>
              <w:right w:val="nil"/>
            </w:tcBorders>
            <w:vAlign w:val="center"/>
          </w:tcPr>
          <w:p>
            <w:pPr>
              <w:pStyle w:val="134"/>
              <w:rPr>
                <w:b/>
                <w:bCs/>
              </w:rPr>
            </w:pPr>
            <w:r>
              <w:rPr>
                <w:b/>
                <w:bCs/>
              </w:rPr>
              <w:t>石油类</w:t>
            </w:r>
          </w:p>
        </w:tc>
        <w:tc>
          <w:tcPr>
            <w:tcW w:w="518" w:type="pct"/>
            <w:tcBorders>
              <w:top w:val="single" w:color="000000" w:sz="12" w:space="0"/>
              <w:left w:val="single" w:color="auto" w:sz="4" w:space="0"/>
              <w:bottom w:val="single" w:color="000000" w:sz="4" w:space="0"/>
              <w:right w:val="nil"/>
            </w:tcBorders>
            <w:vAlign w:val="center"/>
          </w:tcPr>
          <w:p>
            <w:pPr>
              <w:pStyle w:val="134"/>
              <w:rPr>
                <w:b/>
                <w:bCs/>
              </w:rPr>
            </w:pPr>
            <w:r>
              <w:rPr>
                <w:b/>
                <w:bCs/>
              </w:rPr>
              <w:t>氯化物</w:t>
            </w:r>
          </w:p>
        </w:tc>
      </w:tr>
      <w:tr>
        <w:tblPrEx>
          <w:tblCellMar>
            <w:top w:w="0" w:type="dxa"/>
            <w:left w:w="0" w:type="dxa"/>
            <w:bottom w:w="0" w:type="dxa"/>
            <w:right w:w="0" w:type="dxa"/>
          </w:tblCellMar>
        </w:tblPrEx>
        <w:trPr>
          <w:trHeight w:val="369" w:hRule="exact"/>
          <w:jc w:val="center"/>
        </w:trPr>
        <w:tc>
          <w:tcPr>
            <w:tcW w:w="713" w:type="pct"/>
            <w:tcBorders>
              <w:top w:val="single" w:color="000000" w:sz="4" w:space="0"/>
              <w:left w:val="nil"/>
              <w:bottom w:val="single" w:color="000000" w:sz="12" w:space="0"/>
              <w:right w:val="single" w:color="000000" w:sz="4" w:space="0"/>
            </w:tcBorders>
            <w:vAlign w:val="center"/>
          </w:tcPr>
          <w:p>
            <w:pPr>
              <w:pStyle w:val="134"/>
            </w:pPr>
            <w:r>
              <w:t>浓度限制</w:t>
            </w:r>
          </w:p>
        </w:tc>
        <w:tc>
          <w:tcPr>
            <w:tcW w:w="476" w:type="pct"/>
            <w:tcBorders>
              <w:top w:val="single" w:color="000000" w:sz="4" w:space="0"/>
              <w:left w:val="single" w:color="000000" w:sz="4" w:space="0"/>
              <w:bottom w:val="single" w:color="000000" w:sz="12" w:space="0"/>
              <w:right w:val="single" w:color="000000" w:sz="4" w:space="0"/>
            </w:tcBorders>
            <w:vAlign w:val="center"/>
          </w:tcPr>
          <w:p>
            <w:pPr>
              <w:pStyle w:val="134"/>
            </w:pPr>
            <w:r>
              <w:t>6~9</w:t>
            </w:r>
          </w:p>
        </w:tc>
        <w:tc>
          <w:tcPr>
            <w:tcW w:w="468" w:type="pct"/>
            <w:tcBorders>
              <w:top w:val="single" w:color="000000" w:sz="4" w:space="0"/>
              <w:left w:val="single" w:color="000000" w:sz="4" w:space="0"/>
              <w:bottom w:val="single" w:color="000000" w:sz="12" w:space="0"/>
              <w:right w:val="single" w:color="000000" w:sz="4" w:space="0"/>
            </w:tcBorders>
            <w:vAlign w:val="center"/>
          </w:tcPr>
          <w:p>
            <w:pPr>
              <w:pStyle w:val="134"/>
            </w:pPr>
            <w:r>
              <w:t>≤20</w:t>
            </w:r>
          </w:p>
        </w:tc>
        <w:tc>
          <w:tcPr>
            <w:tcW w:w="554" w:type="pct"/>
            <w:tcBorders>
              <w:top w:val="single" w:color="000000" w:sz="4" w:space="0"/>
              <w:left w:val="single" w:color="000000" w:sz="4" w:space="0"/>
              <w:bottom w:val="single" w:color="000000" w:sz="12" w:space="0"/>
              <w:right w:val="single" w:color="000000" w:sz="4" w:space="0"/>
            </w:tcBorders>
            <w:vAlign w:val="center"/>
          </w:tcPr>
          <w:p>
            <w:pPr>
              <w:pStyle w:val="134"/>
            </w:pPr>
            <w:r>
              <w:t>≤4</w:t>
            </w:r>
          </w:p>
        </w:tc>
        <w:tc>
          <w:tcPr>
            <w:tcW w:w="555" w:type="pct"/>
            <w:tcBorders>
              <w:top w:val="single" w:color="000000" w:sz="4" w:space="0"/>
              <w:left w:val="single" w:color="000000" w:sz="4" w:space="0"/>
              <w:bottom w:val="single" w:color="000000" w:sz="12" w:space="0"/>
              <w:right w:val="single" w:color="000000" w:sz="4" w:space="0"/>
            </w:tcBorders>
            <w:vAlign w:val="center"/>
          </w:tcPr>
          <w:p>
            <w:pPr>
              <w:pStyle w:val="134"/>
            </w:pPr>
            <w:r>
              <w:t>≤1.0</w:t>
            </w:r>
          </w:p>
        </w:tc>
        <w:tc>
          <w:tcPr>
            <w:tcW w:w="554" w:type="pct"/>
            <w:tcBorders>
              <w:top w:val="single" w:color="000000" w:sz="4" w:space="0"/>
              <w:left w:val="single" w:color="000000" w:sz="4" w:space="0"/>
              <w:bottom w:val="single" w:color="000000" w:sz="12" w:space="0"/>
              <w:right w:val="single" w:color="auto" w:sz="4" w:space="0"/>
            </w:tcBorders>
            <w:vAlign w:val="center"/>
          </w:tcPr>
          <w:p>
            <w:pPr>
              <w:pStyle w:val="134"/>
            </w:pPr>
            <w:r>
              <w:t>≤0.005</w:t>
            </w:r>
          </w:p>
        </w:tc>
        <w:tc>
          <w:tcPr>
            <w:tcW w:w="570" w:type="pct"/>
            <w:tcBorders>
              <w:top w:val="single" w:color="000000" w:sz="4" w:space="0"/>
              <w:left w:val="single" w:color="auto" w:sz="4" w:space="0"/>
              <w:bottom w:val="single" w:color="000000" w:sz="12" w:space="0"/>
              <w:right w:val="single" w:color="auto" w:sz="4" w:space="0"/>
            </w:tcBorders>
            <w:vAlign w:val="center"/>
          </w:tcPr>
          <w:p>
            <w:pPr>
              <w:pStyle w:val="134"/>
            </w:pPr>
            <w:r>
              <w:t>≤0.1</w:t>
            </w:r>
          </w:p>
        </w:tc>
        <w:tc>
          <w:tcPr>
            <w:tcW w:w="592" w:type="pct"/>
            <w:tcBorders>
              <w:top w:val="single" w:color="000000" w:sz="4" w:space="0"/>
              <w:left w:val="single" w:color="auto" w:sz="4" w:space="0"/>
              <w:bottom w:val="single" w:color="000000" w:sz="12" w:space="0"/>
              <w:right w:val="nil"/>
            </w:tcBorders>
            <w:vAlign w:val="center"/>
          </w:tcPr>
          <w:p>
            <w:pPr>
              <w:pStyle w:val="134"/>
            </w:pPr>
            <w:r>
              <w:t>≤0.05</w:t>
            </w:r>
          </w:p>
        </w:tc>
        <w:tc>
          <w:tcPr>
            <w:tcW w:w="518" w:type="pct"/>
            <w:tcBorders>
              <w:top w:val="single" w:color="000000" w:sz="4" w:space="0"/>
              <w:left w:val="single" w:color="auto" w:sz="4" w:space="0"/>
              <w:bottom w:val="single" w:color="000000" w:sz="12" w:space="0"/>
              <w:right w:val="nil"/>
            </w:tcBorders>
            <w:vAlign w:val="center"/>
          </w:tcPr>
          <w:p>
            <w:pPr>
              <w:pStyle w:val="134"/>
            </w:pPr>
            <w:r>
              <w:t>≤250</w:t>
            </w:r>
          </w:p>
        </w:tc>
      </w:tr>
    </w:tbl>
    <w:p>
      <w:pPr>
        <w:ind w:firstLine="482"/>
        <w:rPr>
          <w:rFonts w:ascii="Times New Roman" w:cs="Times New Roman"/>
          <w:b/>
        </w:rPr>
      </w:pPr>
      <w:r>
        <w:rPr>
          <w:rFonts w:ascii="Times New Roman" w:cs="Times New Roman"/>
          <w:b/>
        </w:rPr>
        <w:t>3、地下水环境质量标准</w:t>
      </w:r>
    </w:p>
    <w:p>
      <w:pPr>
        <w:topLinePunct w:val="0"/>
        <w:adjustRightInd/>
        <w:ind w:firstLine="480"/>
        <w:rPr>
          <w:rFonts w:ascii="Times New Roman" w:cs="Times New Roman"/>
          <w:kern w:val="2"/>
          <w:szCs w:val="22"/>
        </w:rPr>
      </w:pPr>
      <w:r>
        <w:rPr>
          <w:rFonts w:ascii="Times New Roman" w:cs="Times New Roman"/>
          <w:kern w:val="2"/>
          <w:szCs w:val="22"/>
        </w:rPr>
        <w:t>本项目所在区域的地下水环境执行《地下水质量标准》（GB/T14848-2017）中的Ⅲ类标准，见表1.5-3。</w:t>
      </w:r>
    </w:p>
    <w:p>
      <w:pPr>
        <w:pStyle w:val="39"/>
        <w:rPr>
          <w:rFonts w:cs="Times New Roman"/>
        </w:rPr>
      </w:pPr>
      <w:r>
        <w:rPr>
          <w:rFonts w:cs="Times New Roman"/>
        </w:rPr>
        <w:t>表1.5-3  地下水质量标准（GB/T14848-2017）  单位：mg/L、pH无量纲</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28" w:type="dxa"/>
          <w:left w:w="0" w:type="dxa"/>
          <w:bottom w:w="28" w:type="dxa"/>
          <w:right w:w="0" w:type="dxa"/>
        </w:tblCellMar>
      </w:tblPr>
      <w:tblGrid>
        <w:gridCol w:w="690"/>
        <w:gridCol w:w="1997"/>
        <w:gridCol w:w="1814"/>
        <w:gridCol w:w="865"/>
        <w:gridCol w:w="1813"/>
        <w:gridCol w:w="145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69" w:hRule="atLeast"/>
          <w:tblHeader/>
          <w:jc w:val="center"/>
        </w:trPr>
        <w:tc>
          <w:tcPr>
            <w:tcW w:w="703" w:type="dxa"/>
            <w:tcMar>
              <w:top w:w="0" w:type="dxa"/>
              <w:left w:w="108" w:type="dxa"/>
              <w:bottom w:w="0" w:type="dxa"/>
              <w:right w:w="108" w:type="dxa"/>
            </w:tcMar>
            <w:vAlign w:val="center"/>
          </w:tcPr>
          <w:p>
            <w:pPr>
              <w:pStyle w:val="136"/>
              <w:adjustRightInd w:val="0"/>
              <w:snapToGrid w:val="0"/>
              <w:ind w:firstLine="0" w:firstLineChars="0"/>
              <w:jc w:val="center"/>
              <w:rPr>
                <w:b/>
                <w:bCs/>
                <w:szCs w:val="21"/>
              </w:rPr>
            </w:pPr>
            <w:r>
              <w:rPr>
                <w:b/>
                <w:bCs/>
                <w:szCs w:val="21"/>
              </w:rPr>
              <w:t>序号</w:t>
            </w:r>
          </w:p>
        </w:tc>
        <w:tc>
          <w:tcPr>
            <w:tcW w:w="2053" w:type="dxa"/>
            <w:tcMar>
              <w:top w:w="0" w:type="dxa"/>
              <w:left w:w="108" w:type="dxa"/>
              <w:bottom w:w="0" w:type="dxa"/>
              <w:right w:w="108" w:type="dxa"/>
            </w:tcMar>
            <w:vAlign w:val="center"/>
          </w:tcPr>
          <w:p>
            <w:pPr>
              <w:pStyle w:val="136"/>
              <w:adjustRightInd w:val="0"/>
              <w:snapToGrid w:val="0"/>
              <w:ind w:firstLine="0" w:firstLineChars="0"/>
              <w:jc w:val="center"/>
              <w:rPr>
                <w:b/>
                <w:bCs/>
                <w:szCs w:val="21"/>
              </w:rPr>
            </w:pPr>
            <w:r>
              <w:rPr>
                <w:b/>
                <w:bCs/>
                <w:szCs w:val="21"/>
              </w:rPr>
              <w:t>项目</w:t>
            </w:r>
          </w:p>
        </w:tc>
        <w:tc>
          <w:tcPr>
            <w:tcW w:w="1864" w:type="dxa"/>
            <w:tcMar>
              <w:top w:w="0" w:type="dxa"/>
              <w:left w:w="108" w:type="dxa"/>
              <w:bottom w:w="0" w:type="dxa"/>
              <w:right w:w="108" w:type="dxa"/>
            </w:tcMar>
            <w:vAlign w:val="center"/>
          </w:tcPr>
          <w:p>
            <w:pPr>
              <w:pStyle w:val="136"/>
              <w:adjustRightInd w:val="0"/>
              <w:snapToGrid w:val="0"/>
              <w:ind w:firstLine="0" w:firstLineChars="0"/>
              <w:jc w:val="center"/>
              <w:rPr>
                <w:b/>
                <w:bCs/>
                <w:szCs w:val="21"/>
              </w:rPr>
            </w:pPr>
            <w:r>
              <w:rPr>
                <w:b/>
                <w:bCs/>
                <w:szCs w:val="21"/>
              </w:rPr>
              <w:t>Ⅲ类（mg/L）</w:t>
            </w:r>
          </w:p>
        </w:tc>
        <w:tc>
          <w:tcPr>
            <w:tcW w:w="892" w:type="dxa"/>
            <w:vAlign w:val="center"/>
          </w:tcPr>
          <w:p>
            <w:pPr>
              <w:pStyle w:val="136"/>
              <w:adjustRightInd w:val="0"/>
              <w:snapToGrid w:val="0"/>
              <w:ind w:firstLine="0" w:firstLineChars="0"/>
              <w:jc w:val="center"/>
              <w:rPr>
                <w:b/>
                <w:bCs/>
                <w:szCs w:val="21"/>
              </w:rPr>
            </w:pPr>
            <w:r>
              <w:rPr>
                <w:b/>
                <w:bCs/>
                <w:szCs w:val="21"/>
              </w:rPr>
              <w:t>序号</w:t>
            </w:r>
          </w:p>
        </w:tc>
        <w:tc>
          <w:tcPr>
            <w:tcW w:w="1870" w:type="dxa"/>
            <w:vAlign w:val="center"/>
          </w:tcPr>
          <w:p>
            <w:pPr>
              <w:pStyle w:val="136"/>
              <w:adjustRightInd w:val="0"/>
              <w:snapToGrid w:val="0"/>
              <w:ind w:firstLine="0" w:firstLineChars="0"/>
              <w:jc w:val="center"/>
              <w:rPr>
                <w:b/>
                <w:bCs/>
                <w:szCs w:val="21"/>
              </w:rPr>
            </w:pPr>
            <w:r>
              <w:rPr>
                <w:b/>
                <w:bCs/>
                <w:szCs w:val="21"/>
              </w:rPr>
              <w:t>项目</w:t>
            </w:r>
          </w:p>
        </w:tc>
        <w:tc>
          <w:tcPr>
            <w:tcW w:w="1495" w:type="dxa"/>
            <w:vAlign w:val="center"/>
          </w:tcPr>
          <w:p>
            <w:pPr>
              <w:pStyle w:val="136"/>
              <w:adjustRightInd w:val="0"/>
              <w:snapToGrid w:val="0"/>
              <w:ind w:firstLine="0" w:firstLineChars="0"/>
              <w:jc w:val="center"/>
              <w:rPr>
                <w:b/>
                <w:bCs/>
                <w:szCs w:val="21"/>
              </w:rPr>
            </w:pPr>
            <w:r>
              <w:rPr>
                <w:b/>
                <w:bCs/>
                <w:szCs w:val="21"/>
              </w:rPr>
              <w:t>Ⅲ类（mg/L）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69" w:hRule="atLeast"/>
          <w:jc w:val="center"/>
        </w:trPr>
        <w:tc>
          <w:tcPr>
            <w:tcW w:w="703" w:type="dxa"/>
            <w:tcMar>
              <w:top w:w="0" w:type="dxa"/>
              <w:left w:w="108" w:type="dxa"/>
              <w:bottom w:w="0" w:type="dxa"/>
              <w:right w:w="108" w:type="dxa"/>
            </w:tcMar>
            <w:vAlign w:val="center"/>
          </w:tcPr>
          <w:p>
            <w:pPr>
              <w:pStyle w:val="136"/>
              <w:adjustRightInd w:val="0"/>
              <w:snapToGrid w:val="0"/>
              <w:ind w:firstLine="0" w:firstLineChars="0"/>
              <w:jc w:val="center"/>
              <w:rPr>
                <w:szCs w:val="21"/>
              </w:rPr>
            </w:pPr>
            <w:r>
              <w:rPr>
                <w:szCs w:val="21"/>
              </w:rPr>
              <w:t>1</w:t>
            </w:r>
          </w:p>
        </w:tc>
        <w:tc>
          <w:tcPr>
            <w:tcW w:w="2053" w:type="dxa"/>
            <w:tcMar>
              <w:top w:w="0" w:type="dxa"/>
              <w:left w:w="108" w:type="dxa"/>
              <w:bottom w:w="0" w:type="dxa"/>
              <w:right w:w="108" w:type="dxa"/>
            </w:tcMar>
            <w:vAlign w:val="center"/>
          </w:tcPr>
          <w:p>
            <w:pPr>
              <w:pStyle w:val="136"/>
              <w:adjustRightInd w:val="0"/>
              <w:snapToGrid w:val="0"/>
              <w:ind w:firstLine="0" w:firstLineChars="0"/>
              <w:jc w:val="center"/>
              <w:rPr>
                <w:szCs w:val="21"/>
              </w:rPr>
            </w:pPr>
            <w:r>
              <w:rPr>
                <w:szCs w:val="21"/>
              </w:rPr>
              <w:t>pH值（无量纲）</w:t>
            </w:r>
          </w:p>
        </w:tc>
        <w:tc>
          <w:tcPr>
            <w:tcW w:w="1864" w:type="dxa"/>
            <w:vAlign w:val="center"/>
          </w:tcPr>
          <w:p>
            <w:pPr>
              <w:pStyle w:val="136"/>
              <w:adjustRightInd w:val="0"/>
              <w:snapToGrid w:val="0"/>
              <w:ind w:firstLine="0" w:firstLineChars="0"/>
              <w:jc w:val="center"/>
              <w:rPr>
                <w:szCs w:val="21"/>
              </w:rPr>
            </w:pPr>
            <w:r>
              <w:rPr>
                <w:szCs w:val="21"/>
              </w:rPr>
              <w:t>6.5~8.5</w:t>
            </w:r>
          </w:p>
        </w:tc>
        <w:tc>
          <w:tcPr>
            <w:tcW w:w="892" w:type="dxa"/>
            <w:vAlign w:val="center"/>
          </w:tcPr>
          <w:p>
            <w:pPr>
              <w:pStyle w:val="136"/>
              <w:adjustRightInd w:val="0"/>
              <w:snapToGrid w:val="0"/>
              <w:ind w:firstLine="0" w:firstLineChars="0"/>
              <w:jc w:val="center"/>
              <w:rPr>
                <w:szCs w:val="21"/>
              </w:rPr>
            </w:pPr>
            <w:r>
              <w:rPr>
                <w:szCs w:val="21"/>
              </w:rPr>
              <w:t>12</w:t>
            </w:r>
          </w:p>
        </w:tc>
        <w:tc>
          <w:tcPr>
            <w:tcW w:w="1870" w:type="dxa"/>
            <w:vAlign w:val="center"/>
          </w:tcPr>
          <w:p>
            <w:pPr>
              <w:pStyle w:val="136"/>
              <w:adjustRightInd w:val="0"/>
              <w:snapToGrid w:val="0"/>
              <w:ind w:firstLine="0" w:firstLineChars="0"/>
              <w:jc w:val="center"/>
              <w:rPr>
                <w:szCs w:val="21"/>
              </w:rPr>
            </w:pPr>
            <w:r>
              <w:rPr>
                <w:szCs w:val="21"/>
                <w:lang w:val="zh-CN"/>
              </w:rPr>
              <w:t>汞</w:t>
            </w:r>
          </w:p>
        </w:tc>
        <w:tc>
          <w:tcPr>
            <w:tcW w:w="1495" w:type="dxa"/>
            <w:vAlign w:val="center"/>
          </w:tcPr>
          <w:p>
            <w:pPr>
              <w:pStyle w:val="136"/>
              <w:adjustRightInd w:val="0"/>
              <w:snapToGrid w:val="0"/>
              <w:ind w:firstLine="0" w:firstLineChars="0"/>
              <w:jc w:val="center"/>
              <w:rPr>
                <w:szCs w:val="21"/>
              </w:rPr>
            </w:pPr>
            <w:r>
              <w:rPr>
                <w:szCs w:val="21"/>
              </w:rPr>
              <w:t>0.001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69" w:hRule="atLeast"/>
          <w:jc w:val="center"/>
        </w:trPr>
        <w:tc>
          <w:tcPr>
            <w:tcW w:w="703" w:type="dxa"/>
            <w:tcMar>
              <w:top w:w="0" w:type="dxa"/>
              <w:left w:w="108" w:type="dxa"/>
              <w:bottom w:w="0" w:type="dxa"/>
              <w:right w:w="108" w:type="dxa"/>
            </w:tcMar>
            <w:vAlign w:val="center"/>
          </w:tcPr>
          <w:p>
            <w:pPr>
              <w:pStyle w:val="136"/>
              <w:adjustRightInd w:val="0"/>
              <w:snapToGrid w:val="0"/>
              <w:ind w:firstLine="0" w:firstLineChars="0"/>
              <w:jc w:val="center"/>
              <w:rPr>
                <w:szCs w:val="21"/>
              </w:rPr>
            </w:pPr>
            <w:r>
              <w:rPr>
                <w:szCs w:val="21"/>
              </w:rPr>
              <w:t>2</w:t>
            </w:r>
          </w:p>
        </w:tc>
        <w:tc>
          <w:tcPr>
            <w:tcW w:w="2053" w:type="dxa"/>
            <w:tcMar>
              <w:top w:w="0" w:type="dxa"/>
              <w:left w:w="108" w:type="dxa"/>
              <w:bottom w:w="0" w:type="dxa"/>
              <w:right w:w="108" w:type="dxa"/>
            </w:tcMar>
            <w:vAlign w:val="center"/>
          </w:tcPr>
          <w:p>
            <w:pPr>
              <w:pStyle w:val="136"/>
              <w:adjustRightInd w:val="0"/>
              <w:snapToGrid w:val="0"/>
              <w:ind w:firstLine="0" w:firstLineChars="0"/>
              <w:jc w:val="center"/>
              <w:rPr>
                <w:szCs w:val="21"/>
              </w:rPr>
            </w:pPr>
            <w:r>
              <w:rPr>
                <w:szCs w:val="21"/>
                <w:lang w:val="zh-CN"/>
              </w:rPr>
              <w:t>氨氮</w:t>
            </w:r>
          </w:p>
        </w:tc>
        <w:tc>
          <w:tcPr>
            <w:tcW w:w="1864" w:type="dxa"/>
            <w:vAlign w:val="center"/>
          </w:tcPr>
          <w:p>
            <w:pPr>
              <w:pStyle w:val="136"/>
              <w:adjustRightInd w:val="0"/>
              <w:snapToGrid w:val="0"/>
              <w:ind w:firstLine="0" w:firstLineChars="0"/>
              <w:jc w:val="center"/>
              <w:rPr>
                <w:szCs w:val="21"/>
              </w:rPr>
            </w:pPr>
            <w:r>
              <w:rPr>
                <w:szCs w:val="21"/>
              </w:rPr>
              <w:t>0.5</w:t>
            </w:r>
          </w:p>
        </w:tc>
        <w:tc>
          <w:tcPr>
            <w:tcW w:w="892" w:type="dxa"/>
            <w:vAlign w:val="center"/>
          </w:tcPr>
          <w:p>
            <w:pPr>
              <w:pStyle w:val="136"/>
              <w:adjustRightInd w:val="0"/>
              <w:snapToGrid w:val="0"/>
              <w:ind w:firstLine="0" w:firstLineChars="0"/>
              <w:jc w:val="center"/>
              <w:rPr>
                <w:szCs w:val="21"/>
              </w:rPr>
            </w:pPr>
            <w:r>
              <w:rPr>
                <w:szCs w:val="21"/>
              </w:rPr>
              <w:t>13</w:t>
            </w:r>
          </w:p>
        </w:tc>
        <w:tc>
          <w:tcPr>
            <w:tcW w:w="1870" w:type="dxa"/>
            <w:vAlign w:val="center"/>
          </w:tcPr>
          <w:p>
            <w:pPr>
              <w:pStyle w:val="136"/>
              <w:adjustRightInd w:val="0"/>
              <w:snapToGrid w:val="0"/>
              <w:ind w:firstLine="0" w:firstLineChars="0"/>
              <w:jc w:val="center"/>
              <w:rPr>
                <w:szCs w:val="21"/>
              </w:rPr>
            </w:pPr>
            <w:r>
              <w:rPr>
                <w:szCs w:val="21"/>
                <w:lang w:val="zh-CN"/>
              </w:rPr>
              <w:t>六价铬</w:t>
            </w:r>
          </w:p>
        </w:tc>
        <w:tc>
          <w:tcPr>
            <w:tcW w:w="1495" w:type="dxa"/>
            <w:vAlign w:val="center"/>
          </w:tcPr>
          <w:p>
            <w:pPr>
              <w:pStyle w:val="136"/>
              <w:adjustRightInd w:val="0"/>
              <w:snapToGrid w:val="0"/>
              <w:ind w:firstLine="0" w:firstLineChars="0"/>
              <w:jc w:val="center"/>
              <w:rPr>
                <w:szCs w:val="21"/>
              </w:rPr>
            </w:pPr>
            <w:r>
              <w:rPr>
                <w:szCs w:val="21"/>
              </w:rPr>
              <w:t>0.05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69" w:hRule="atLeast"/>
          <w:jc w:val="center"/>
        </w:trPr>
        <w:tc>
          <w:tcPr>
            <w:tcW w:w="703" w:type="dxa"/>
            <w:tcMar>
              <w:top w:w="0" w:type="dxa"/>
              <w:left w:w="108" w:type="dxa"/>
              <w:bottom w:w="0" w:type="dxa"/>
              <w:right w:w="108" w:type="dxa"/>
            </w:tcMar>
            <w:vAlign w:val="center"/>
          </w:tcPr>
          <w:p>
            <w:pPr>
              <w:pStyle w:val="136"/>
              <w:adjustRightInd w:val="0"/>
              <w:snapToGrid w:val="0"/>
              <w:ind w:firstLine="0" w:firstLineChars="0"/>
              <w:jc w:val="center"/>
              <w:rPr>
                <w:szCs w:val="21"/>
              </w:rPr>
            </w:pPr>
            <w:r>
              <w:rPr>
                <w:szCs w:val="21"/>
              </w:rPr>
              <w:t>3</w:t>
            </w:r>
          </w:p>
        </w:tc>
        <w:tc>
          <w:tcPr>
            <w:tcW w:w="2053" w:type="dxa"/>
            <w:tcMar>
              <w:top w:w="0" w:type="dxa"/>
              <w:left w:w="108" w:type="dxa"/>
              <w:bottom w:w="0" w:type="dxa"/>
              <w:right w:w="108" w:type="dxa"/>
            </w:tcMar>
            <w:vAlign w:val="center"/>
          </w:tcPr>
          <w:p>
            <w:pPr>
              <w:pStyle w:val="136"/>
              <w:adjustRightInd w:val="0"/>
              <w:snapToGrid w:val="0"/>
              <w:ind w:firstLine="0" w:firstLineChars="0"/>
              <w:jc w:val="center"/>
              <w:rPr>
                <w:szCs w:val="21"/>
              </w:rPr>
            </w:pPr>
            <w:r>
              <w:rPr>
                <w:szCs w:val="21"/>
                <w:lang w:val="zh-CN"/>
              </w:rPr>
              <w:t>硝酸盐</w:t>
            </w:r>
          </w:p>
        </w:tc>
        <w:tc>
          <w:tcPr>
            <w:tcW w:w="1864" w:type="dxa"/>
            <w:tcMar>
              <w:top w:w="0" w:type="dxa"/>
              <w:left w:w="108" w:type="dxa"/>
              <w:bottom w:w="0" w:type="dxa"/>
              <w:right w:w="108" w:type="dxa"/>
            </w:tcMar>
            <w:vAlign w:val="center"/>
          </w:tcPr>
          <w:p>
            <w:pPr>
              <w:pStyle w:val="136"/>
              <w:adjustRightInd w:val="0"/>
              <w:snapToGrid w:val="0"/>
              <w:ind w:firstLine="0" w:firstLineChars="0"/>
              <w:jc w:val="center"/>
              <w:rPr>
                <w:szCs w:val="21"/>
              </w:rPr>
            </w:pPr>
            <w:r>
              <w:rPr>
                <w:szCs w:val="21"/>
              </w:rPr>
              <w:t>20</w:t>
            </w:r>
          </w:p>
        </w:tc>
        <w:tc>
          <w:tcPr>
            <w:tcW w:w="892" w:type="dxa"/>
            <w:vAlign w:val="center"/>
          </w:tcPr>
          <w:p>
            <w:pPr>
              <w:pStyle w:val="136"/>
              <w:adjustRightInd w:val="0"/>
              <w:snapToGrid w:val="0"/>
              <w:ind w:firstLine="0" w:firstLineChars="0"/>
              <w:jc w:val="center"/>
              <w:rPr>
                <w:szCs w:val="21"/>
              </w:rPr>
            </w:pPr>
            <w:r>
              <w:rPr>
                <w:szCs w:val="21"/>
              </w:rPr>
              <w:t>14</w:t>
            </w:r>
          </w:p>
        </w:tc>
        <w:tc>
          <w:tcPr>
            <w:tcW w:w="1870" w:type="dxa"/>
            <w:vAlign w:val="center"/>
          </w:tcPr>
          <w:p>
            <w:pPr>
              <w:pStyle w:val="136"/>
              <w:adjustRightInd w:val="0"/>
              <w:snapToGrid w:val="0"/>
              <w:ind w:firstLine="0" w:firstLineChars="0"/>
              <w:jc w:val="center"/>
              <w:rPr>
                <w:szCs w:val="21"/>
              </w:rPr>
            </w:pPr>
            <w:r>
              <w:rPr>
                <w:szCs w:val="21"/>
                <w:lang w:val="zh-CN"/>
              </w:rPr>
              <w:t>铅</w:t>
            </w:r>
          </w:p>
        </w:tc>
        <w:tc>
          <w:tcPr>
            <w:tcW w:w="1495" w:type="dxa"/>
            <w:vAlign w:val="center"/>
          </w:tcPr>
          <w:p>
            <w:pPr>
              <w:pStyle w:val="136"/>
              <w:adjustRightInd w:val="0"/>
              <w:snapToGrid w:val="0"/>
              <w:ind w:firstLine="0" w:firstLineChars="0"/>
              <w:jc w:val="center"/>
              <w:rPr>
                <w:szCs w:val="21"/>
              </w:rPr>
            </w:pPr>
            <w:r>
              <w:rPr>
                <w:szCs w:val="21"/>
              </w:rPr>
              <w:t>0.01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69" w:hRule="atLeast"/>
          <w:jc w:val="center"/>
        </w:trPr>
        <w:tc>
          <w:tcPr>
            <w:tcW w:w="703" w:type="dxa"/>
            <w:tcMar>
              <w:top w:w="0" w:type="dxa"/>
              <w:left w:w="108" w:type="dxa"/>
              <w:bottom w:w="0" w:type="dxa"/>
              <w:right w:w="108" w:type="dxa"/>
            </w:tcMar>
            <w:vAlign w:val="center"/>
          </w:tcPr>
          <w:p>
            <w:pPr>
              <w:pStyle w:val="136"/>
              <w:adjustRightInd w:val="0"/>
              <w:snapToGrid w:val="0"/>
              <w:ind w:firstLine="0" w:firstLineChars="0"/>
              <w:jc w:val="center"/>
              <w:rPr>
                <w:szCs w:val="21"/>
              </w:rPr>
            </w:pPr>
            <w:r>
              <w:rPr>
                <w:szCs w:val="21"/>
              </w:rPr>
              <w:t>4</w:t>
            </w:r>
          </w:p>
        </w:tc>
        <w:tc>
          <w:tcPr>
            <w:tcW w:w="2053" w:type="dxa"/>
            <w:tcMar>
              <w:top w:w="0" w:type="dxa"/>
              <w:left w:w="108" w:type="dxa"/>
              <w:bottom w:w="0" w:type="dxa"/>
              <w:right w:w="108" w:type="dxa"/>
            </w:tcMar>
            <w:vAlign w:val="center"/>
          </w:tcPr>
          <w:p>
            <w:pPr>
              <w:pStyle w:val="136"/>
              <w:adjustRightInd w:val="0"/>
              <w:snapToGrid w:val="0"/>
              <w:ind w:firstLine="0" w:firstLineChars="0"/>
              <w:jc w:val="center"/>
              <w:rPr>
                <w:szCs w:val="21"/>
              </w:rPr>
            </w:pPr>
            <w:r>
              <w:rPr>
                <w:szCs w:val="21"/>
                <w:lang w:val="zh-CN"/>
              </w:rPr>
              <w:t>亚硝酸盐</w:t>
            </w:r>
          </w:p>
        </w:tc>
        <w:tc>
          <w:tcPr>
            <w:tcW w:w="1864" w:type="dxa"/>
            <w:tcMar>
              <w:top w:w="0" w:type="dxa"/>
              <w:left w:w="108" w:type="dxa"/>
              <w:bottom w:w="0" w:type="dxa"/>
              <w:right w:w="108" w:type="dxa"/>
            </w:tcMar>
            <w:vAlign w:val="center"/>
          </w:tcPr>
          <w:p>
            <w:pPr>
              <w:pStyle w:val="136"/>
              <w:adjustRightInd w:val="0"/>
              <w:snapToGrid w:val="0"/>
              <w:ind w:firstLine="0" w:firstLineChars="0"/>
              <w:jc w:val="center"/>
              <w:rPr>
                <w:szCs w:val="21"/>
              </w:rPr>
            </w:pPr>
            <w:r>
              <w:rPr>
                <w:szCs w:val="21"/>
              </w:rPr>
              <w:t>1.00</w:t>
            </w:r>
          </w:p>
        </w:tc>
        <w:tc>
          <w:tcPr>
            <w:tcW w:w="892" w:type="dxa"/>
            <w:vAlign w:val="center"/>
          </w:tcPr>
          <w:p>
            <w:pPr>
              <w:pStyle w:val="136"/>
              <w:adjustRightInd w:val="0"/>
              <w:snapToGrid w:val="0"/>
              <w:ind w:firstLine="0" w:firstLineChars="0"/>
              <w:jc w:val="center"/>
              <w:rPr>
                <w:szCs w:val="21"/>
              </w:rPr>
            </w:pPr>
            <w:r>
              <w:rPr>
                <w:szCs w:val="21"/>
              </w:rPr>
              <w:t>15</w:t>
            </w:r>
          </w:p>
        </w:tc>
        <w:tc>
          <w:tcPr>
            <w:tcW w:w="1870" w:type="dxa"/>
            <w:vAlign w:val="center"/>
          </w:tcPr>
          <w:p>
            <w:pPr>
              <w:pStyle w:val="136"/>
              <w:adjustRightInd w:val="0"/>
              <w:snapToGrid w:val="0"/>
              <w:ind w:firstLine="0" w:firstLineChars="0"/>
              <w:jc w:val="center"/>
              <w:rPr>
                <w:szCs w:val="21"/>
              </w:rPr>
            </w:pPr>
            <w:r>
              <w:rPr>
                <w:szCs w:val="21"/>
                <w:lang w:val="zh-CN"/>
              </w:rPr>
              <w:t>镉</w:t>
            </w:r>
          </w:p>
        </w:tc>
        <w:tc>
          <w:tcPr>
            <w:tcW w:w="1495" w:type="dxa"/>
            <w:vAlign w:val="center"/>
          </w:tcPr>
          <w:p>
            <w:pPr>
              <w:pStyle w:val="136"/>
              <w:adjustRightInd w:val="0"/>
              <w:snapToGrid w:val="0"/>
              <w:ind w:firstLine="0" w:firstLineChars="0"/>
              <w:jc w:val="center"/>
              <w:rPr>
                <w:szCs w:val="21"/>
              </w:rPr>
            </w:pPr>
            <w:r>
              <w:rPr>
                <w:szCs w:val="21"/>
              </w:rPr>
              <w:t>0.005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69" w:hRule="atLeast"/>
          <w:jc w:val="center"/>
        </w:trPr>
        <w:tc>
          <w:tcPr>
            <w:tcW w:w="703" w:type="dxa"/>
            <w:tcMar>
              <w:top w:w="0" w:type="dxa"/>
              <w:left w:w="108" w:type="dxa"/>
              <w:bottom w:w="0" w:type="dxa"/>
              <w:right w:w="108" w:type="dxa"/>
            </w:tcMar>
            <w:vAlign w:val="center"/>
          </w:tcPr>
          <w:p>
            <w:pPr>
              <w:pStyle w:val="136"/>
              <w:adjustRightInd w:val="0"/>
              <w:snapToGrid w:val="0"/>
              <w:ind w:firstLine="0" w:firstLineChars="0"/>
              <w:jc w:val="center"/>
              <w:rPr>
                <w:szCs w:val="21"/>
              </w:rPr>
            </w:pPr>
            <w:r>
              <w:rPr>
                <w:szCs w:val="21"/>
              </w:rPr>
              <w:t>5</w:t>
            </w:r>
          </w:p>
        </w:tc>
        <w:tc>
          <w:tcPr>
            <w:tcW w:w="2053" w:type="dxa"/>
            <w:tcMar>
              <w:top w:w="0" w:type="dxa"/>
              <w:left w:w="108" w:type="dxa"/>
              <w:bottom w:w="0" w:type="dxa"/>
              <w:right w:w="108" w:type="dxa"/>
            </w:tcMar>
            <w:vAlign w:val="center"/>
          </w:tcPr>
          <w:p>
            <w:pPr>
              <w:pStyle w:val="136"/>
              <w:adjustRightInd w:val="0"/>
              <w:snapToGrid w:val="0"/>
              <w:ind w:firstLine="0" w:firstLineChars="0"/>
              <w:jc w:val="center"/>
              <w:rPr>
                <w:szCs w:val="21"/>
              </w:rPr>
            </w:pPr>
            <w:r>
              <w:rPr>
                <w:szCs w:val="21"/>
                <w:lang w:val="zh-CN"/>
              </w:rPr>
              <w:t>挥发性酚类</w:t>
            </w:r>
          </w:p>
        </w:tc>
        <w:tc>
          <w:tcPr>
            <w:tcW w:w="1864" w:type="dxa"/>
            <w:tcMar>
              <w:top w:w="0" w:type="dxa"/>
              <w:left w:w="108" w:type="dxa"/>
              <w:bottom w:w="0" w:type="dxa"/>
              <w:right w:w="108" w:type="dxa"/>
            </w:tcMar>
            <w:vAlign w:val="center"/>
          </w:tcPr>
          <w:p>
            <w:pPr>
              <w:pStyle w:val="136"/>
              <w:adjustRightInd w:val="0"/>
              <w:snapToGrid w:val="0"/>
              <w:ind w:firstLine="0" w:firstLineChars="0"/>
              <w:jc w:val="center"/>
              <w:rPr>
                <w:szCs w:val="21"/>
              </w:rPr>
            </w:pPr>
            <w:r>
              <w:rPr>
                <w:szCs w:val="21"/>
              </w:rPr>
              <w:t>0.002</w:t>
            </w:r>
          </w:p>
        </w:tc>
        <w:tc>
          <w:tcPr>
            <w:tcW w:w="892" w:type="dxa"/>
            <w:vAlign w:val="center"/>
          </w:tcPr>
          <w:p>
            <w:pPr>
              <w:pStyle w:val="136"/>
              <w:adjustRightInd w:val="0"/>
              <w:snapToGrid w:val="0"/>
              <w:ind w:firstLine="0" w:firstLineChars="0"/>
              <w:jc w:val="center"/>
              <w:rPr>
                <w:szCs w:val="21"/>
              </w:rPr>
            </w:pPr>
            <w:r>
              <w:rPr>
                <w:szCs w:val="21"/>
              </w:rPr>
              <w:t>16</w:t>
            </w:r>
          </w:p>
        </w:tc>
        <w:tc>
          <w:tcPr>
            <w:tcW w:w="1870" w:type="dxa"/>
            <w:vAlign w:val="center"/>
          </w:tcPr>
          <w:p>
            <w:pPr>
              <w:pStyle w:val="136"/>
              <w:adjustRightInd w:val="0"/>
              <w:snapToGrid w:val="0"/>
              <w:ind w:firstLine="0" w:firstLineChars="0"/>
              <w:jc w:val="center"/>
              <w:rPr>
                <w:szCs w:val="21"/>
              </w:rPr>
            </w:pPr>
            <w:r>
              <w:rPr>
                <w:szCs w:val="21"/>
                <w:lang w:val="zh-CN"/>
              </w:rPr>
              <w:t>铁</w:t>
            </w:r>
          </w:p>
        </w:tc>
        <w:tc>
          <w:tcPr>
            <w:tcW w:w="1495" w:type="dxa"/>
            <w:vAlign w:val="center"/>
          </w:tcPr>
          <w:p>
            <w:pPr>
              <w:pStyle w:val="136"/>
              <w:adjustRightInd w:val="0"/>
              <w:snapToGrid w:val="0"/>
              <w:ind w:firstLine="0" w:firstLineChars="0"/>
              <w:jc w:val="center"/>
              <w:rPr>
                <w:szCs w:val="21"/>
              </w:rPr>
            </w:pPr>
            <w:r>
              <w:rPr>
                <w:szCs w:val="21"/>
              </w:rPr>
              <w:t>0.3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69" w:hRule="atLeast"/>
          <w:jc w:val="center"/>
        </w:trPr>
        <w:tc>
          <w:tcPr>
            <w:tcW w:w="703" w:type="dxa"/>
            <w:tcMar>
              <w:top w:w="0" w:type="dxa"/>
              <w:left w:w="108" w:type="dxa"/>
              <w:bottom w:w="0" w:type="dxa"/>
              <w:right w:w="108" w:type="dxa"/>
            </w:tcMar>
            <w:vAlign w:val="center"/>
          </w:tcPr>
          <w:p>
            <w:pPr>
              <w:pStyle w:val="136"/>
              <w:adjustRightInd w:val="0"/>
              <w:snapToGrid w:val="0"/>
              <w:ind w:firstLine="0" w:firstLineChars="0"/>
              <w:jc w:val="center"/>
              <w:rPr>
                <w:szCs w:val="21"/>
              </w:rPr>
            </w:pPr>
            <w:r>
              <w:rPr>
                <w:szCs w:val="21"/>
              </w:rPr>
              <w:t>6</w:t>
            </w:r>
          </w:p>
        </w:tc>
        <w:tc>
          <w:tcPr>
            <w:tcW w:w="2053" w:type="dxa"/>
            <w:tcMar>
              <w:top w:w="0" w:type="dxa"/>
              <w:left w:w="108" w:type="dxa"/>
              <w:bottom w:w="0" w:type="dxa"/>
              <w:right w:w="108" w:type="dxa"/>
            </w:tcMar>
            <w:vAlign w:val="center"/>
          </w:tcPr>
          <w:p>
            <w:pPr>
              <w:pStyle w:val="136"/>
              <w:adjustRightInd w:val="0"/>
              <w:snapToGrid w:val="0"/>
              <w:ind w:firstLine="0" w:firstLineChars="0"/>
              <w:jc w:val="center"/>
              <w:rPr>
                <w:szCs w:val="21"/>
              </w:rPr>
            </w:pPr>
            <w:r>
              <w:rPr>
                <w:szCs w:val="21"/>
                <w:lang w:val="zh-CN"/>
              </w:rPr>
              <w:t>总硬度</w:t>
            </w:r>
          </w:p>
        </w:tc>
        <w:tc>
          <w:tcPr>
            <w:tcW w:w="1864" w:type="dxa"/>
            <w:tcMar>
              <w:top w:w="0" w:type="dxa"/>
              <w:left w:w="108" w:type="dxa"/>
              <w:bottom w:w="0" w:type="dxa"/>
              <w:right w:w="108" w:type="dxa"/>
            </w:tcMar>
            <w:vAlign w:val="center"/>
          </w:tcPr>
          <w:p>
            <w:pPr>
              <w:pStyle w:val="136"/>
              <w:adjustRightInd w:val="0"/>
              <w:snapToGrid w:val="0"/>
              <w:ind w:firstLine="0" w:firstLineChars="0"/>
              <w:jc w:val="center"/>
              <w:rPr>
                <w:szCs w:val="21"/>
              </w:rPr>
            </w:pPr>
            <w:r>
              <w:rPr>
                <w:szCs w:val="21"/>
              </w:rPr>
              <w:t>450</w:t>
            </w:r>
          </w:p>
        </w:tc>
        <w:tc>
          <w:tcPr>
            <w:tcW w:w="892" w:type="dxa"/>
            <w:vAlign w:val="center"/>
          </w:tcPr>
          <w:p>
            <w:pPr>
              <w:pStyle w:val="136"/>
              <w:adjustRightInd w:val="0"/>
              <w:snapToGrid w:val="0"/>
              <w:ind w:firstLine="0" w:firstLineChars="0"/>
              <w:jc w:val="center"/>
              <w:rPr>
                <w:szCs w:val="21"/>
              </w:rPr>
            </w:pPr>
            <w:r>
              <w:rPr>
                <w:szCs w:val="21"/>
              </w:rPr>
              <w:t>17</w:t>
            </w:r>
          </w:p>
        </w:tc>
        <w:tc>
          <w:tcPr>
            <w:tcW w:w="1870" w:type="dxa"/>
            <w:vAlign w:val="center"/>
          </w:tcPr>
          <w:p>
            <w:pPr>
              <w:pStyle w:val="136"/>
              <w:adjustRightInd w:val="0"/>
              <w:snapToGrid w:val="0"/>
              <w:ind w:firstLine="0" w:firstLineChars="0"/>
              <w:jc w:val="center"/>
              <w:rPr>
                <w:szCs w:val="21"/>
              </w:rPr>
            </w:pPr>
            <w:r>
              <w:rPr>
                <w:szCs w:val="21"/>
                <w:lang w:val="zh-CN"/>
              </w:rPr>
              <w:t>锰</w:t>
            </w:r>
          </w:p>
        </w:tc>
        <w:tc>
          <w:tcPr>
            <w:tcW w:w="1495" w:type="dxa"/>
            <w:vAlign w:val="center"/>
          </w:tcPr>
          <w:p>
            <w:pPr>
              <w:pStyle w:val="136"/>
              <w:adjustRightInd w:val="0"/>
              <w:snapToGrid w:val="0"/>
              <w:ind w:firstLine="0" w:firstLineChars="0"/>
              <w:jc w:val="center"/>
              <w:rPr>
                <w:szCs w:val="21"/>
              </w:rPr>
            </w:pPr>
            <w:r>
              <w:rPr>
                <w:szCs w:val="21"/>
              </w:rPr>
              <w:t>0.10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69" w:hRule="atLeast"/>
          <w:jc w:val="center"/>
        </w:trPr>
        <w:tc>
          <w:tcPr>
            <w:tcW w:w="703" w:type="dxa"/>
            <w:tcMar>
              <w:top w:w="0" w:type="dxa"/>
              <w:left w:w="108" w:type="dxa"/>
              <w:bottom w:w="0" w:type="dxa"/>
              <w:right w:w="108" w:type="dxa"/>
            </w:tcMar>
            <w:vAlign w:val="center"/>
          </w:tcPr>
          <w:p>
            <w:pPr>
              <w:pStyle w:val="136"/>
              <w:adjustRightInd w:val="0"/>
              <w:snapToGrid w:val="0"/>
              <w:ind w:firstLine="0" w:firstLineChars="0"/>
              <w:jc w:val="center"/>
              <w:rPr>
                <w:szCs w:val="21"/>
              </w:rPr>
            </w:pPr>
            <w:r>
              <w:rPr>
                <w:szCs w:val="21"/>
              </w:rPr>
              <w:t>7</w:t>
            </w:r>
          </w:p>
        </w:tc>
        <w:tc>
          <w:tcPr>
            <w:tcW w:w="2053" w:type="dxa"/>
            <w:tcMar>
              <w:top w:w="0" w:type="dxa"/>
              <w:left w:w="108" w:type="dxa"/>
              <w:bottom w:w="0" w:type="dxa"/>
              <w:right w:w="108" w:type="dxa"/>
            </w:tcMar>
            <w:vAlign w:val="center"/>
          </w:tcPr>
          <w:p>
            <w:pPr>
              <w:pStyle w:val="136"/>
              <w:adjustRightInd w:val="0"/>
              <w:snapToGrid w:val="0"/>
              <w:ind w:firstLine="0" w:firstLineChars="0"/>
              <w:jc w:val="center"/>
              <w:rPr>
                <w:szCs w:val="21"/>
              </w:rPr>
            </w:pPr>
            <w:r>
              <w:rPr>
                <w:szCs w:val="21"/>
                <w:lang w:val="zh-CN"/>
              </w:rPr>
              <w:t>溶解性总固体</w:t>
            </w:r>
          </w:p>
        </w:tc>
        <w:tc>
          <w:tcPr>
            <w:tcW w:w="1864" w:type="dxa"/>
            <w:tcMar>
              <w:top w:w="0" w:type="dxa"/>
              <w:left w:w="108" w:type="dxa"/>
              <w:bottom w:w="0" w:type="dxa"/>
              <w:right w:w="108" w:type="dxa"/>
            </w:tcMar>
            <w:vAlign w:val="center"/>
          </w:tcPr>
          <w:p>
            <w:pPr>
              <w:pStyle w:val="136"/>
              <w:adjustRightInd w:val="0"/>
              <w:snapToGrid w:val="0"/>
              <w:ind w:firstLine="0" w:firstLineChars="0"/>
              <w:jc w:val="center"/>
              <w:rPr>
                <w:szCs w:val="21"/>
              </w:rPr>
            </w:pPr>
            <w:r>
              <w:rPr>
                <w:szCs w:val="21"/>
              </w:rPr>
              <w:t>1000</w:t>
            </w:r>
          </w:p>
        </w:tc>
        <w:tc>
          <w:tcPr>
            <w:tcW w:w="892" w:type="dxa"/>
            <w:vAlign w:val="center"/>
          </w:tcPr>
          <w:p>
            <w:pPr>
              <w:pStyle w:val="136"/>
              <w:adjustRightInd w:val="0"/>
              <w:snapToGrid w:val="0"/>
              <w:ind w:firstLine="0" w:firstLineChars="0"/>
              <w:jc w:val="center"/>
              <w:rPr>
                <w:szCs w:val="21"/>
              </w:rPr>
            </w:pPr>
            <w:r>
              <w:rPr>
                <w:szCs w:val="21"/>
              </w:rPr>
              <w:t>18</w:t>
            </w:r>
          </w:p>
        </w:tc>
        <w:tc>
          <w:tcPr>
            <w:tcW w:w="1870" w:type="dxa"/>
            <w:vAlign w:val="center"/>
          </w:tcPr>
          <w:p>
            <w:pPr>
              <w:pStyle w:val="136"/>
              <w:adjustRightInd w:val="0"/>
              <w:snapToGrid w:val="0"/>
              <w:ind w:firstLine="0" w:firstLineChars="0"/>
              <w:jc w:val="center"/>
              <w:rPr>
                <w:szCs w:val="21"/>
              </w:rPr>
            </w:pPr>
            <w:r>
              <w:rPr>
                <w:szCs w:val="21"/>
              </w:rPr>
              <w:t>氟化物</w:t>
            </w:r>
          </w:p>
        </w:tc>
        <w:tc>
          <w:tcPr>
            <w:tcW w:w="1495" w:type="dxa"/>
            <w:vAlign w:val="center"/>
          </w:tcPr>
          <w:p>
            <w:pPr>
              <w:pStyle w:val="136"/>
              <w:adjustRightInd w:val="0"/>
              <w:snapToGrid w:val="0"/>
              <w:ind w:firstLine="0" w:firstLineChars="0"/>
              <w:jc w:val="center"/>
              <w:rPr>
                <w:szCs w:val="21"/>
              </w:rPr>
            </w:pPr>
            <w:r>
              <w:rPr>
                <w:szCs w:val="21"/>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69" w:hRule="atLeast"/>
          <w:jc w:val="center"/>
        </w:trPr>
        <w:tc>
          <w:tcPr>
            <w:tcW w:w="703" w:type="dxa"/>
            <w:tcMar>
              <w:top w:w="0" w:type="dxa"/>
              <w:left w:w="108" w:type="dxa"/>
              <w:bottom w:w="0" w:type="dxa"/>
              <w:right w:w="108" w:type="dxa"/>
            </w:tcMar>
            <w:vAlign w:val="center"/>
          </w:tcPr>
          <w:p>
            <w:pPr>
              <w:pStyle w:val="136"/>
              <w:adjustRightInd w:val="0"/>
              <w:snapToGrid w:val="0"/>
              <w:ind w:firstLine="0" w:firstLineChars="0"/>
              <w:jc w:val="center"/>
              <w:rPr>
                <w:szCs w:val="21"/>
              </w:rPr>
            </w:pPr>
            <w:r>
              <w:rPr>
                <w:szCs w:val="21"/>
              </w:rPr>
              <w:t>8</w:t>
            </w:r>
          </w:p>
        </w:tc>
        <w:tc>
          <w:tcPr>
            <w:tcW w:w="2053" w:type="dxa"/>
            <w:tcMar>
              <w:top w:w="0" w:type="dxa"/>
              <w:left w:w="108" w:type="dxa"/>
              <w:bottom w:w="0" w:type="dxa"/>
              <w:right w:w="108" w:type="dxa"/>
            </w:tcMar>
            <w:vAlign w:val="center"/>
          </w:tcPr>
          <w:p>
            <w:pPr>
              <w:pStyle w:val="136"/>
              <w:adjustRightInd w:val="0"/>
              <w:snapToGrid w:val="0"/>
              <w:ind w:firstLine="0" w:firstLineChars="0"/>
              <w:jc w:val="center"/>
              <w:rPr>
                <w:szCs w:val="21"/>
              </w:rPr>
            </w:pPr>
            <w:r>
              <w:rPr>
                <w:szCs w:val="21"/>
                <w:lang w:val="zh-CN"/>
              </w:rPr>
              <w:t>硫酸盐</w:t>
            </w:r>
          </w:p>
        </w:tc>
        <w:tc>
          <w:tcPr>
            <w:tcW w:w="1864" w:type="dxa"/>
            <w:tcMar>
              <w:top w:w="0" w:type="dxa"/>
              <w:left w:w="108" w:type="dxa"/>
              <w:bottom w:w="0" w:type="dxa"/>
              <w:right w:w="108" w:type="dxa"/>
            </w:tcMar>
            <w:vAlign w:val="center"/>
          </w:tcPr>
          <w:p>
            <w:pPr>
              <w:pStyle w:val="136"/>
              <w:adjustRightInd w:val="0"/>
              <w:snapToGrid w:val="0"/>
              <w:ind w:firstLine="0" w:firstLineChars="0"/>
              <w:jc w:val="center"/>
              <w:rPr>
                <w:szCs w:val="21"/>
              </w:rPr>
            </w:pPr>
            <w:r>
              <w:rPr>
                <w:szCs w:val="21"/>
              </w:rPr>
              <w:t>250</w:t>
            </w:r>
          </w:p>
        </w:tc>
        <w:tc>
          <w:tcPr>
            <w:tcW w:w="892" w:type="dxa"/>
            <w:vAlign w:val="center"/>
          </w:tcPr>
          <w:p>
            <w:pPr>
              <w:pStyle w:val="136"/>
              <w:adjustRightInd w:val="0"/>
              <w:snapToGrid w:val="0"/>
              <w:ind w:firstLine="0" w:firstLineChars="0"/>
              <w:jc w:val="center"/>
              <w:rPr>
                <w:szCs w:val="21"/>
              </w:rPr>
            </w:pPr>
            <w:r>
              <w:rPr>
                <w:szCs w:val="21"/>
              </w:rPr>
              <w:t>19</w:t>
            </w:r>
          </w:p>
        </w:tc>
        <w:tc>
          <w:tcPr>
            <w:tcW w:w="1870" w:type="dxa"/>
            <w:vAlign w:val="center"/>
          </w:tcPr>
          <w:p>
            <w:pPr>
              <w:pStyle w:val="136"/>
              <w:adjustRightInd w:val="0"/>
              <w:snapToGrid w:val="0"/>
              <w:ind w:firstLine="0" w:firstLineChars="0"/>
              <w:jc w:val="center"/>
              <w:rPr>
                <w:szCs w:val="21"/>
              </w:rPr>
            </w:pPr>
            <w:r>
              <w:rPr>
                <w:szCs w:val="21"/>
              </w:rPr>
              <w:t>氰化物</w:t>
            </w:r>
          </w:p>
        </w:tc>
        <w:tc>
          <w:tcPr>
            <w:tcW w:w="1495" w:type="dxa"/>
            <w:vAlign w:val="center"/>
          </w:tcPr>
          <w:p>
            <w:pPr>
              <w:pStyle w:val="136"/>
              <w:adjustRightInd w:val="0"/>
              <w:snapToGrid w:val="0"/>
              <w:ind w:firstLine="0" w:firstLineChars="0"/>
              <w:jc w:val="center"/>
              <w:rPr>
                <w:szCs w:val="21"/>
              </w:rPr>
            </w:pPr>
            <w:r>
              <w:rPr>
                <w:szCs w:val="21"/>
              </w:rPr>
              <w:t>0.05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69" w:hRule="atLeast"/>
          <w:jc w:val="center"/>
        </w:trPr>
        <w:tc>
          <w:tcPr>
            <w:tcW w:w="703" w:type="dxa"/>
            <w:tcMar>
              <w:top w:w="0" w:type="dxa"/>
              <w:left w:w="108" w:type="dxa"/>
              <w:bottom w:w="0" w:type="dxa"/>
              <w:right w:w="108" w:type="dxa"/>
            </w:tcMar>
            <w:vAlign w:val="center"/>
          </w:tcPr>
          <w:p>
            <w:pPr>
              <w:pStyle w:val="136"/>
              <w:adjustRightInd w:val="0"/>
              <w:snapToGrid w:val="0"/>
              <w:ind w:firstLine="0" w:firstLineChars="0"/>
              <w:jc w:val="center"/>
              <w:rPr>
                <w:szCs w:val="21"/>
              </w:rPr>
            </w:pPr>
            <w:r>
              <w:rPr>
                <w:szCs w:val="21"/>
              </w:rPr>
              <w:t>9</w:t>
            </w:r>
          </w:p>
        </w:tc>
        <w:tc>
          <w:tcPr>
            <w:tcW w:w="2053" w:type="dxa"/>
            <w:tcMar>
              <w:top w:w="0" w:type="dxa"/>
              <w:left w:w="108" w:type="dxa"/>
              <w:bottom w:w="0" w:type="dxa"/>
              <w:right w:w="108" w:type="dxa"/>
            </w:tcMar>
            <w:vAlign w:val="center"/>
          </w:tcPr>
          <w:p>
            <w:pPr>
              <w:pStyle w:val="136"/>
              <w:adjustRightInd w:val="0"/>
              <w:snapToGrid w:val="0"/>
              <w:ind w:firstLine="0" w:firstLineChars="0"/>
              <w:jc w:val="center"/>
              <w:rPr>
                <w:bCs/>
                <w:szCs w:val="21"/>
              </w:rPr>
            </w:pPr>
            <w:r>
              <w:rPr>
                <w:szCs w:val="21"/>
                <w:lang w:val="zh-CN"/>
              </w:rPr>
              <w:t>氯化物</w:t>
            </w:r>
          </w:p>
        </w:tc>
        <w:tc>
          <w:tcPr>
            <w:tcW w:w="1864" w:type="dxa"/>
            <w:tcMar>
              <w:top w:w="0" w:type="dxa"/>
              <w:left w:w="108" w:type="dxa"/>
              <w:bottom w:w="0" w:type="dxa"/>
              <w:right w:w="108" w:type="dxa"/>
            </w:tcMar>
            <w:vAlign w:val="center"/>
          </w:tcPr>
          <w:p>
            <w:pPr>
              <w:pStyle w:val="136"/>
              <w:adjustRightInd w:val="0"/>
              <w:snapToGrid w:val="0"/>
              <w:ind w:firstLine="0" w:firstLineChars="0"/>
              <w:jc w:val="center"/>
              <w:rPr>
                <w:szCs w:val="21"/>
              </w:rPr>
            </w:pPr>
            <w:r>
              <w:rPr>
                <w:szCs w:val="21"/>
              </w:rPr>
              <w:t>250</w:t>
            </w:r>
          </w:p>
        </w:tc>
        <w:tc>
          <w:tcPr>
            <w:tcW w:w="892" w:type="dxa"/>
            <w:vAlign w:val="center"/>
          </w:tcPr>
          <w:p>
            <w:pPr>
              <w:pStyle w:val="136"/>
              <w:adjustRightInd w:val="0"/>
              <w:snapToGrid w:val="0"/>
              <w:ind w:firstLine="0" w:firstLineChars="0"/>
              <w:jc w:val="center"/>
              <w:rPr>
                <w:szCs w:val="21"/>
              </w:rPr>
            </w:pPr>
            <w:r>
              <w:rPr>
                <w:szCs w:val="21"/>
              </w:rPr>
              <w:t>20</w:t>
            </w:r>
          </w:p>
        </w:tc>
        <w:tc>
          <w:tcPr>
            <w:tcW w:w="1870" w:type="dxa"/>
            <w:vAlign w:val="center"/>
          </w:tcPr>
          <w:p>
            <w:pPr>
              <w:pStyle w:val="136"/>
              <w:adjustRightInd w:val="0"/>
              <w:snapToGrid w:val="0"/>
              <w:ind w:firstLine="0" w:firstLineChars="0"/>
              <w:jc w:val="center"/>
              <w:rPr>
                <w:szCs w:val="21"/>
              </w:rPr>
            </w:pPr>
            <w:r>
              <w:rPr>
                <w:szCs w:val="21"/>
              </w:rPr>
              <w:t>菌落总数</w:t>
            </w:r>
          </w:p>
        </w:tc>
        <w:tc>
          <w:tcPr>
            <w:tcW w:w="1495" w:type="dxa"/>
            <w:vAlign w:val="center"/>
          </w:tcPr>
          <w:p>
            <w:pPr>
              <w:pStyle w:val="136"/>
              <w:adjustRightInd w:val="0"/>
              <w:snapToGrid w:val="0"/>
              <w:ind w:firstLine="0" w:firstLineChars="0"/>
              <w:jc w:val="center"/>
              <w:rPr>
                <w:szCs w:val="21"/>
              </w:rPr>
            </w:pPr>
            <w:r>
              <w:rPr>
                <w:szCs w:val="21"/>
              </w:rPr>
              <w:t>100（CFU/mL）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69" w:hRule="atLeast"/>
          <w:jc w:val="center"/>
        </w:trPr>
        <w:tc>
          <w:tcPr>
            <w:tcW w:w="703" w:type="dxa"/>
            <w:tcMar>
              <w:top w:w="0" w:type="dxa"/>
              <w:left w:w="108" w:type="dxa"/>
              <w:bottom w:w="0" w:type="dxa"/>
              <w:right w:w="108" w:type="dxa"/>
            </w:tcMar>
            <w:vAlign w:val="center"/>
          </w:tcPr>
          <w:p>
            <w:pPr>
              <w:pStyle w:val="136"/>
              <w:adjustRightInd w:val="0"/>
              <w:snapToGrid w:val="0"/>
              <w:ind w:firstLine="0" w:firstLineChars="0"/>
              <w:jc w:val="center"/>
              <w:rPr>
                <w:szCs w:val="21"/>
              </w:rPr>
            </w:pPr>
            <w:r>
              <w:rPr>
                <w:szCs w:val="21"/>
              </w:rPr>
              <w:t>10</w:t>
            </w:r>
          </w:p>
        </w:tc>
        <w:tc>
          <w:tcPr>
            <w:tcW w:w="2053" w:type="dxa"/>
            <w:tcMar>
              <w:top w:w="0" w:type="dxa"/>
              <w:left w:w="108" w:type="dxa"/>
              <w:bottom w:w="0" w:type="dxa"/>
              <w:right w:w="108" w:type="dxa"/>
            </w:tcMar>
            <w:vAlign w:val="center"/>
          </w:tcPr>
          <w:p>
            <w:pPr>
              <w:pStyle w:val="136"/>
              <w:adjustRightInd w:val="0"/>
              <w:snapToGrid w:val="0"/>
              <w:ind w:firstLine="0" w:firstLineChars="0"/>
              <w:jc w:val="center"/>
              <w:rPr>
                <w:szCs w:val="21"/>
                <w:lang w:val="zh-CN"/>
              </w:rPr>
            </w:pPr>
            <w:r>
              <w:rPr>
                <w:szCs w:val="21"/>
                <w:lang w:val="zh-CN"/>
              </w:rPr>
              <w:t>硫化物</w:t>
            </w:r>
          </w:p>
        </w:tc>
        <w:tc>
          <w:tcPr>
            <w:tcW w:w="1864" w:type="dxa"/>
            <w:tcMar>
              <w:top w:w="0" w:type="dxa"/>
              <w:left w:w="108" w:type="dxa"/>
              <w:bottom w:w="0" w:type="dxa"/>
              <w:right w:w="108" w:type="dxa"/>
            </w:tcMar>
            <w:vAlign w:val="center"/>
          </w:tcPr>
          <w:p>
            <w:pPr>
              <w:pStyle w:val="136"/>
              <w:adjustRightInd w:val="0"/>
              <w:snapToGrid w:val="0"/>
              <w:ind w:firstLine="0" w:firstLineChars="0"/>
              <w:jc w:val="center"/>
              <w:rPr>
                <w:szCs w:val="21"/>
              </w:rPr>
            </w:pPr>
            <w:r>
              <w:rPr>
                <w:szCs w:val="21"/>
              </w:rPr>
              <w:t>0.02</w:t>
            </w:r>
          </w:p>
        </w:tc>
        <w:tc>
          <w:tcPr>
            <w:tcW w:w="892" w:type="dxa"/>
            <w:vAlign w:val="center"/>
          </w:tcPr>
          <w:p>
            <w:pPr>
              <w:pStyle w:val="136"/>
              <w:adjustRightInd w:val="0"/>
              <w:snapToGrid w:val="0"/>
              <w:ind w:firstLine="0" w:firstLineChars="0"/>
              <w:jc w:val="center"/>
              <w:rPr>
                <w:szCs w:val="21"/>
              </w:rPr>
            </w:pPr>
            <w:r>
              <w:rPr>
                <w:szCs w:val="21"/>
              </w:rPr>
              <w:t>21</w:t>
            </w:r>
          </w:p>
        </w:tc>
        <w:tc>
          <w:tcPr>
            <w:tcW w:w="1870" w:type="dxa"/>
            <w:vAlign w:val="center"/>
          </w:tcPr>
          <w:p>
            <w:pPr>
              <w:pStyle w:val="136"/>
              <w:adjustRightInd w:val="0"/>
              <w:snapToGrid w:val="0"/>
              <w:ind w:firstLine="0" w:firstLineChars="0"/>
              <w:jc w:val="center"/>
              <w:rPr>
                <w:szCs w:val="21"/>
              </w:rPr>
            </w:pPr>
            <w:r>
              <w:rPr>
                <w:szCs w:val="21"/>
              </w:rPr>
              <w:t>总大肠菌群</w:t>
            </w:r>
          </w:p>
        </w:tc>
        <w:tc>
          <w:tcPr>
            <w:tcW w:w="1495" w:type="dxa"/>
            <w:vAlign w:val="center"/>
          </w:tcPr>
          <w:p>
            <w:pPr>
              <w:pStyle w:val="136"/>
              <w:adjustRightInd w:val="0"/>
              <w:snapToGrid w:val="0"/>
              <w:ind w:firstLine="0" w:firstLineChars="0"/>
              <w:jc w:val="center"/>
              <w:rPr>
                <w:szCs w:val="21"/>
              </w:rPr>
            </w:pPr>
            <w:r>
              <w:rPr>
                <w:szCs w:val="21"/>
              </w:rPr>
              <w:t>3.0（MPN/100mL）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69" w:hRule="atLeast"/>
          <w:jc w:val="center"/>
        </w:trPr>
        <w:tc>
          <w:tcPr>
            <w:tcW w:w="703" w:type="dxa"/>
            <w:tcMar>
              <w:top w:w="0" w:type="dxa"/>
              <w:left w:w="108" w:type="dxa"/>
              <w:bottom w:w="0" w:type="dxa"/>
              <w:right w:w="108" w:type="dxa"/>
            </w:tcMar>
            <w:vAlign w:val="center"/>
          </w:tcPr>
          <w:p>
            <w:pPr>
              <w:pStyle w:val="136"/>
              <w:adjustRightInd w:val="0"/>
              <w:snapToGrid w:val="0"/>
              <w:ind w:firstLine="0" w:firstLineChars="0"/>
              <w:jc w:val="center"/>
              <w:rPr>
                <w:szCs w:val="21"/>
              </w:rPr>
            </w:pPr>
            <w:r>
              <w:rPr>
                <w:szCs w:val="21"/>
              </w:rPr>
              <w:t>11</w:t>
            </w:r>
          </w:p>
        </w:tc>
        <w:tc>
          <w:tcPr>
            <w:tcW w:w="2053" w:type="dxa"/>
            <w:tcMar>
              <w:top w:w="0" w:type="dxa"/>
              <w:left w:w="108" w:type="dxa"/>
              <w:bottom w:w="0" w:type="dxa"/>
              <w:right w:w="108" w:type="dxa"/>
            </w:tcMar>
            <w:vAlign w:val="center"/>
          </w:tcPr>
          <w:p>
            <w:pPr>
              <w:pStyle w:val="136"/>
              <w:adjustRightInd w:val="0"/>
              <w:snapToGrid w:val="0"/>
              <w:ind w:firstLine="0" w:firstLineChars="0"/>
              <w:jc w:val="center"/>
              <w:rPr>
                <w:szCs w:val="21"/>
              </w:rPr>
            </w:pPr>
            <w:r>
              <w:rPr>
                <w:szCs w:val="21"/>
                <w:lang w:val="zh-CN"/>
              </w:rPr>
              <w:t>砷</w:t>
            </w:r>
          </w:p>
        </w:tc>
        <w:tc>
          <w:tcPr>
            <w:tcW w:w="1864" w:type="dxa"/>
            <w:tcMar>
              <w:top w:w="0" w:type="dxa"/>
              <w:left w:w="108" w:type="dxa"/>
              <w:bottom w:w="0" w:type="dxa"/>
              <w:right w:w="108" w:type="dxa"/>
            </w:tcMar>
            <w:vAlign w:val="center"/>
          </w:tcPr>
          <w:p>
            <w:pPr>
              <w:pStyle w:val="136"/>
              <w:adjustRightInd w:val="0"/>
              <w:snapToGrid w:val="0"/>
              <w:ind w:firstLine="0" w:firstLineChars="0"/>
              <w:jc w:val="center"/>
              <w:rPr>
                <w:szCs w:val="21"/>
              </w:rPr>
            </w:pPr>
            <w:r>
              <w:rPr>
                <w:szCs w:val="21"/>
              </w:rPr>
              <w:t>0.01</w:t>
            </w:r>
          </w:p>
        </w:tc>
        <w:tc>
          <w:tcPr>
            <w:tcW w:w="892" w:type="dxa"/>
            <w:vAlign w:val="center"/>
          </w:tcPr>
          <w:p>
            <w:pPr>
              <w:pStyle w:val="136"/>
              <w:adjustRightInd w:val="0"/>
              <w:snapToGrid w:val="0"/>
              <w:ind w:firstLine="0" w:firstLineChars="0"/>
              <w:jc w:val="center"/>
              <w:rPr>
                <w:szCs w:val="21"/>
              </w:rPr>
            </w:pPr>
          </w:p>
        </w:tc>
        <w:tc>
          <w:tcPr>
            <w:tcW w:w="1870" w:type="dxa"/>
            <w:vAlign w:val="center"/>
          </w:tcPr>
          <w:p>
            <w:pPr>
              <w:pStyle w:val="136"/>
              <w:adjustRightInd w:val="0"/>
              <w:snapToGrid w:val="0"/>
              <w:ind w:firstLine="0" w:firstLineChars="0"/>
              <w:jc w:val="center"/>
              <w:rPr>
                <w:szCs w:val="21"/>
              </w:rPr>
            </w:pPr>
          </w:p>
        </w:tc>
        <w:tc>
          <w:tcPr>
            <w:tcW w:w="1495" w:type="dxa"/>
            <w:vAlign w:val="center"/>
          </w:tcPr>
          <w:p>
            <w:pPr>
              <w:pStyle w:val="136"/>
              <w:adjustRightInd w:val="0"/>
              <w:snapToGrid w:val="0"/>
              <w:ind w:firstLine="0" w:firstLineChars="0"/>
              <w:jc w:val="center"/>
              <w:rPr>
                <w:szCs w:val="21"/>
              </w:rPr>
            </w:pPr>
          </w:p>
        </w:tc>
      </w:tr>
    </w:tbl>
    <w:p>
      <w:pPr>
        <w:ind w:firstLine="482"/>
        <w:rPr>
          <w:rFonts w:ascii="Times New Roman" w:cs="Times New Roman"/>
          <w:b/>
        </w:rPr>
      </w:pPr>
      <w:r>
        <w:rPr>
          <w:rFonts w:ascii="Times New Roman" w:cs="Times New Roman"/>
          <w:b/>
        </w:rPr>
        <w:t>4、声环境质量标准</w:t>
      </w:r>
    </w:p>
    <w:p>
      <w:pPr>
        <w:pStyle w:val="114"/>
        <w:ind w:firstLine="480"/>
      </w:pPr>
      <w:r>
        <w:t>声环境质量执行《声环境质量标准》（GB3096-2008）中的2类声环境功能区标准。</w:t>
      </w:r>
    </w:p>
    <w:p>
      <w:pPr>
        <w:pStyle w:val="39"/>
        <w:rPr>
          <w:rFonts w:cs="Times New Roman"/>
        </w:rPr>
      </w:pPr>
      <w:r>
        <w:rPr>
          <w:rFonts w:cs="Times New Roman"/>
        </w:rPr>
        <w:t>表1.5-4  环境噪声标准限值（GB3096-2008）  单位：dB（A）</w:t>
      </w:r>
    </w:p>
    <w:tbl>
      <w:tblPr>
        <w:tblStyle w:val="59"/>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186"/>
        <w:gridCol w:w="3301"/>
        <w:gridCol w:w="330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exact"/>
          <w:jc w:val="center"/>
        </w:trPr>
        <w:tc>
          <w:tcPr>
            <w:tcW w:w="1244" w:type="pct"/>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声环境功能区类别</w:t>
            </w:r>
          </w:p>
        </w:tc>
        <w:tc>
          <w:tcPr>
            <w:tcW w:w="1878" w:type="pct"/>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昼间</w:t>
            </w:r>
          </w:p>
        </w:tc>
        <w:tc>
          <w:tcPr>
            <w:tcW w:w="1878" w:type="pct"/>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夜间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exact"/>
          <w:jc w:val="center"/>
        </w:trPr>
        <w:tc>
          <w:tcPr>
            <w:tcW w:w="1244" w:type="pct"/>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2类</w:t>
            </w:r>
          </w:p>
        </w:tc>
        <w:tc>
          <w:tcPr>
            <w:tcW w:w="1878" w:type="pct"/>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60</w:t>
            </w:r>
          </w:p>
        </w:tc>
        <w:tc>
          <w:tcPr>
            <w:tcW w:w="1878" w:type="pct"/>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50</w:t>
            </w:r>
          </w:p>
        </w:tc>
      </w:tr>
    </w:tbl>
    <w:p>
      <w:pPr>
        <w:pStyle w:val="114"/>
        <w:ind w:firstLine="482"/>
        <w:rPr>
          <w:b/>
          <w:bCs/>
        </w:rPr>
      </w:pPr>
      <w:r>
        <w:rPr>
          <w:b/>
          <w:bCs/>
        </w:rPr>
        <w:t>5、土壤环境质量标准</w:t>
      </w:r>
    </w:p>
    <w:p>
      <w:pPr>
        <w:pStyle w:val="114"/>
        <w:ind w:firstLine="480"/>
      </w:pPr>
      <w:r>
        <w:t>项目周边区域属于农业用地，土壤环境质量执行《土壤环境质量 农用地土壤污染风险管控标准（试行）》（GB15618-2018）中风险筛选值标准。项目所在井场内土壤执行《土壤环境质量 建设用地土壤污染风险管控标准（试行）》（GB 36600-2018）第二类用地风险筛选值。</w:t>
      </w:r>
    </w:p>
    <w:p>
      <w:pPr>
        <w:pStyle w:val="39"/>
        <w:rPr>
          <w:rFonts w:cs="Times New Roman"/>
        </w:rPr>
      </w:pPr>
      <w:r>
        <w:rPr>
          <w:rFonts w:cs="Times New Roman"/>
        </w:rPr>
        <w:t>表1.5-5  农用地土壤污染风险筛选值（基本项目）   单位mg/kg</w:t>
      </w:r>
    </w:p>
    <w:tbl>
      <w:tblPr>
        <w:tblStyle w:val="59"/>
        <w:tblW w:w="485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8"/>
        <w:gridCol w:w="735"/>
        <w:gridCol w:w="1434"/>
        <w:gridCol w:w="1251"/>
        <w:gridCol w:w="1467"/>
        <w:gridCol w:w="1809"/>
        <w:gridCol w:w="12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89" w:type="dxa"/>
            <w:vMerge w:val="restart"/>
            <w:tcBorders>
              <w:top w:val="single" w:color="000000" w:sz="12" w:space="0"/>
              <w:left w:val="nil"/>
              <w:bottom w:val="single" w:color="000000" w:sz="2" w:space="0"/>
              <w:right w:val="single" w:color="000000" w:sz="2" w:space="0"/>
            </w:tcBorders>
            <w:vAlign w:val="center"/>
          </w:tcPr>
          <w:p>
            <w:pPr>
              <w:pStyle w:val="39"/>
              <w:spacing w:line="240" w:lineRule="auto"/>
              <w:rPr>
                <w:rFonts w:cs="Times New Roman"/>
                <w:kern w:val="2"/>
              </w:rPr>
            </w:pPr>
            <w:r>
              <w:rPr>
                <w:rFonts w:cs="Times New Roman"/>
                <w:kern w:val="2"/>
              </w:rPr>
              <w:t>序号</w:t>
            </w:r>
          </w:p>
        </w:tc>
        <w:tc>
          <w:tcPr>
            <w:tcW w:w="2265" w:type="dxa"/>
            <w:gridSpan w:val="2"/>
            <w:vMerge w:val="restart"/>
            <w:tcBorders>
              <w:top w:val="single" w:color="000000" w:sz="12" w:space="0"/>
              <w:left w:val="single" w:color="000000" w:sz="2" w:space="0"/>
              <w:bottom w:val="single" w:color="000000" w:sz="2" w:space="0"/>
              <w:right w:val="single" w:color="000000" w:sz="2" w:space="0"/>
            </w:tcBorders>
            <w:vAlign w:val="center"/>
          </w:tcPr>
          <w:p>
            <w:pPr>
              <w:pStyle w:val="39"/>
              <w:spacing w:line="240" w:lineRule="auto"/>
              <w:rPr>
                <w:rFonts w:cs="Times New Roman"/>
                <w:kern w:val="2"/>
              </w:rPr>
            </w:pPr>
            <w:r>
              <w:rPr>
                <w:rFonts w:cs="Times New Roman"/>
                <w:kern w:val="2"/>
              </w:rPr>
              <w:t>污染物项目</w:t>
            </w:r>
          </w:p>
        </w:tc>
        <w:tc>
          <w:tcPr>
            <w:tcW w:w="6083" w:type="dxa"/>
            <w:gridSpan w:val="4"/>
            <w:tcBorders>
              <w:top w:val="single" w:color="000000" w:sz="12" w:space="0"/>
              <w:left w:val="single" w:color="000000" w:sz="2" w:space="0"/>
              <w:bottom w:val="single" w:color="000000" w:sz="2" w:space="0"/>
              <w:right w:val="nil"/>
            </w:tcBorders>
            <w:vAlign w:val="center"/>
          </w:tcPr>
          <w:p>
            <w:pPr>
              <w:pStyle w:val="39"/>
              <w:spacing w:line="240" w:lineRule="auto"/>
              <w:rPr>
                <w:rFonts w:cs="Times New Roman"/>
                <w:kern w:val="2"/>
              </w:rPr>
            </w:pPr>
            <w:r>
              <w:rPr>
                <w:rFonts w:cs="Times New Roman"/>
                <w:kern w:val="2"/>
              </w:rPr>
              <w:t>风险筛选值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89" w:type="dxa"/>
            <w:vMerge w:val="continue"/>
            <w:tcBorders>
              <w:top w:val="single" w:color="000000" w:sz="2" w:space="0"/>
              <w:left w:val="nil"/>
              <w:bottom w:val="single" w:color="000000" w:sz="2" w:space="0"/>
              <w:right w:val="single" w:color="000000" w:sz="2" w:space="0"/>
            </w:tcBorders>
            <w:vAlign w:val="center"/>
          </w:tcPr>
          <w:p>
            <w:pPr>
              <w:pStyle w:val="39"/>
              <w:spacing w:line="240" w:lineRule="auto"/>
              <w:rPr>
                <w:rFonts w:cs="Times New Roman"/>
                <w:kern w:val="2"/>
              </w:rPr>
            </w:pPr>
          </w:p>
        </w:tc>
        <w:tc>
          <w:tcPr>
            <w:tcW w:w="2265" w:type="dxa"/>
            <w:gridSpan w:val="2"/>
            <w:vMerge w:val="continue"/>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kern w:val="2"/>
              </w:rPr>
            </w:pP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kern w:val="2"/>
              </w:rPr>
            </w:pPr>
            <w:r>
              <w:rPr>
                <w:rFonts w:cs="Times New Roman"/>
                <w:kern w:val="2"/>
              </w:rPr>
              <w:t>pH≤5.5</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kern w:val="2"/>
              </w:rPr>
            </w:pPr>
            <w:r>
              <w:rPr>
                <w:rFonts w:cs="Times New Roman"/>
                <w:kern w:val="2"/>
              </w:rPr>
              <w:t>5.5＜pH≤6.5</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kern w:val="2"/>
              </w:rPr>
            </w:pPr>
            <w:r>
              <w:rPr>
                <w:rFonts w:cs="Times New Roman"/>
                <w:kern w:val="2"/>
              </w:rPr>
              <w:t>6.5＜pH≤7.5</w:t>
            </w:r>
          </w:p>
        </w:tc>
        <w:tc>
          <w:tcPr>
            <w:tcW w:w="1339" w:type="dxa"/>
            <w:tcBorders>
              <w:top w:val="single" w:color="000000" w:sz="2" w:space="0"/>
              <w:left w:val="single" w:color="000000" w:sz="2" w:space="0"/>
              <w:bottom w:val="single" w:color="000000" w:sz="2" w:space="0"/>
              <w:right w:val="nil"/>
            </w:tcBorders>
            <w:vAlign w:val="center"/>
          </w:tcPr>
          <w:p>
            <w:pPr>
              <w:pStyle w:val="39"/>
              <w:spacing w:line="240" w:lineRule="auto"/>
              <w:rPr>
                <w:rFonts w:cs="Times New Roman"/>
                <w:kern w:val="2"/>
              </w:rPr>
            </w:pPr>
            <w:r>
              <w:rPr>
                <w:rFonts w:cs="Times New Roman"/>
                <w:kern w:val="2"/>
              </w:rPr>
              <w:t>pH＞7.5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89" w:type="dxa"/>
            <w:vMerge w:val="restart"/>
            <w:tcBorders>
              <w:top w:val="single" w:color="000000" w:sz="2" w:space="0"/>
              <w:left w:val="nil"/>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1</w:t>
            </w:r>
          </w:p>
        </w:tc>
        <w:tc>
          <w:tcPr>
            <w:tcW w:w="763" w:type="dxa"/>
            <w:vMerge w:val="restart"/>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镉</w:t>
            </w: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水田</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0.3</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0.4</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0.6</w:t>
            </w:r>
          </w:p>
        </w:tc>
        <w:tc>
          <w:tcPr>
            <w:tcW w:w="1339" w:type="dxa"/>
            <w:tcBorders>
              <w:top w:val="single" w:color="000000" w:sz="2" w:space="0"/>
              <w:left w:val="single" w:color="000000" w:sz="2" w:space="0"/>
              <w:bottom w:val="single" w:color="000000" w:sz="2" w:space="0"/>
              <w:right w:val="nil"/>
            </w:tcBorders>
            <w:vAlign w:val="center"/>
          </w:tcPr>
          <w:p>
            <w:pPr>
              <w:pStyle w:val="39"/>
              <w:spacing w:line="240" w:lineRule="auto"/>
              <w:rPr>
                <w:rFonts w:cs="Times New Roman"/>
                <w:b w:val="0"/>
                <w:bCs/>
                <w:kern w:val="2"/>
              </w:rPr>
            </w:pPr>
            <w:r>
              <w:rPr>
                <w:rFonts w:cs="Times New Roman"/>
                <w:b w:val="0"/>
                <w:bCs/>
                <w:kern w:val="2"/>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89" w:type="dxa"/>
            <w:vMerge w:val="continue"/>
            <w:tcBorders>
              <w:top w:val="single" w:color="000000" w:sz="2" w:space="0"/>
              <w:left w:val="nil"/>
              <w:bottom w:val="single" w:color="000000" w:sz="2" w:space="0"/>
              <w:right w:val="single" w:color="000000" w:sz="2" w:space="0"/>
            </w:tcBorders>
            <w:vAlign w:val="center"/>
          </w:tcPr>
          <w:p>
            <w:pPr>
              <w:pStyle w:val="39"/>
              <w:spacing w:line="240" w:lineRule="auto"/>
              <w:rPr>
                <w:rFonts w:cs="Times New Roman"/>
                <w:b w:val="0"/>
                <w:bCs/>
                <w:kern w:val="2"/>
              </w:rPr>
            </w:pPr>
          </w:p>
        </w:tc>
        <w:tc>
          <w:tcPr>
            <w:tcW w:w="763" w:type="dxa"/>
            <w:vMerge w:val="continue"/>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其他</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0.3</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0.3</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0.3</w:t>
            </w:r>
          </w:p>
        </w:tc>
        <w:tc>
          <w:tcPr>
            <w:tcW w:w="1339" w:type="dxa"/>
            <w:tcBorders>
              <w:top w:val="single" w:color="000000" w:sz="2" w:space="0"/>
              <w:left w:val="single" w:color="000000" w:sz="2" w:space="0"/>
              <w:bottom w:val="single" w:color="000000" w:sz="2" w:space="0"/>
              <w:right w:val="nil"/>
            </w:tcBorders>
            <w:vAlign w:val="center"/>
          </w:tcPr>
          <w:p>
            <w:pPr>
              <w:pStyle w:val="39"/>
              <w:spacing w:line="240" w:lineRule="auto"/>
              <w:rPr>
                <w:rFonts w:cs="Times New Roman"/>
                <w:b w:val="0"/>
                <w:bCs/>
                <w:kern w:val="2"/>
              </w:rPr>
            </w:pPr>
            <w:r>
              <w:rPr>
                <w:rFonts w:cs="Times New Roman"/>
                <w:b w:val="0"/>
                <w:bCs/>
                <w:kern w:val="2"/>
              </w:rPr>
              <w:t>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89" w:type="dxa"/>
            <w:vMerge w:val="restart"/>
            <w:tcBorders>
              <w:top w:val="single" w:color="000000" w:sz="2" w:space="0"/>
              <w:left w:val="nil"/>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2</w:t>
            </w:r>
          </w:p>
        </w:tc>
        <w:tc>
          <w:tcPr>
            <w:tcW w:w="763" w:type="dxa"/>
            <w:vMerge w:val="restart"/>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汞</w:t>
            </w: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水田</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0.5</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0.5</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0.6</w:t>
            </w:r>
          </w:p>
        </w:tc>
        <w:tc>
          <w:tcPr>
            <w:tcW w:w="1339" w:type="dxa"/>
            <w:tcBorders>
              <w:top w:val="single" w:color="000000" w:sz="2" w:space="0"/>
              <w:left w:val="single" w:color="000000" w:sz="2" w:space="0"/>
              <w:bottom w:val="single" w:color="000000" w:sz="2" w:space="0"/>
              <w:right w:val="nil"/>
            </w:tcBorders>
            <w:vAlign w:val="center"/>
          </w:tcPr>
          <w:p>
            <w:pPr>
              <w:pStyle w:val="39"/>
              <w:spacing w:line="240" w:lineRule="auto"/>
              <w:rPr>
                <w:rFonts w:cs="Times New Roman"/>
                <w:b w:val="0"/>
                <w:bCs/>
                <w:kern w:val="2"/>
              </w:rPr>
            </w:pPr>
            <w:r>
              <w:rPr>
                <w:rFonts w:cs="Times New Roman"/>
                <w:b w:val="0"/>
                <w:bCs/>
                <w:kern w:val="2"/>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89" w:type="dxa"/>
            <w:vMerge w:val="continue"/>
            <w:tcBorders>
              <w:top w:val="single" w:color="000000" w:sz="2" w:space="0"/>
              <w:left w:val="nil"/>
              <w:bottom w:val="single" w:color="000000" w:sz="2" w:space="0"/>
              <w:right w:val="single" w:color="000000" w:sz="2" w:space="0"/>
            </w:tcBorders>
            <w:vAlign w:val="center"/>
          </w:tcPr>
          <w:p>
            <w:pPr>
              <w:pStyle w:val="39"/>
              <w:spacing w:line="240" w:lineRule="auto"/>
              <w:rPr>
                <w:rFonts w:cs="Times New Roman"/>
                <w:b w:val="0"/>
                <w:bCs/>
                <w:kern w:val="2"/>
              </w:rPr>
            </w:pPr>
          </w:p>
        </w:tc>
        <w:tc>
          <w:tcPr>
            <w:tcW w:w="763" w:type="dxa"/>
            <w:vMerge w:val="continue"/>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其他</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1.3</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1.8</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2.4</w:t>
            </w:r>
          </w:p>
        </w:tc>
        <w:tc>
          <w:tcPr>
            <w:tcW w:w="1339" w:type="dxa"/>
            <w:tcBorders>
              <w:top w:val="single" w:color="000000" w:sz="2" w:space="0"/>
              <w:left w:val="single" w:color="000000" w:sz="2" w:space="0"/>
              <w:bottom w:val="single" w:color="000000" w:sz="2" w:space="0"/>
              <w:right w:val="nil"/>
            </w:tcBorders>
            <w:vAlign w:val="center"/>
          </w:tcPr>
          <w:p>
            <w:pPr>
              <w:pStyle w:val="39"/>
              <w:spacing w:line="240" w:lineRule="auto"/>
              <w:rPr>
                <w:rFonts w:cs="Times New Roman"/>
                <w:b w:val="0"/>
                <w:bCs/>
                <w:kern w:val="2"/>
              </w:rPr>
            </w:pPr>
            <w:r>
              <w:rPr>
                <w:rFonts w:cs="Times New Roman"/>
                <w:b w:val="0"/>
                <w:bCs/>
                <w:kern w:val="2"/>
              </w:rPr>
              <w:t>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89" w:type="dxa"/>
            <w:vMerge w:val="restart"/>
            <w:tcBorders>
              <w:top w:val="single" w:color="000000" w:sz="2" w:space="0"/>
              <w:left w:val="nil"/>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3</w:t>
            </w:r>
          </w:p>
        </w:tc>
        <w:tc>
          <w:tcPr>
            <w:tcW w:w="763" w:type="dxa"/>
            <w:vMerge w:val="restart"/>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砷</w:t>
            </w: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水田</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30</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30</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25</w:t>
            </w:r>
          </w:p>
        </w:tc>
        <w:tc>
          <w:tcPr>
            <w:tcW w:w="1339" w:type="dxa"/>
            <w:tcBorders>
              <w:top w:val="single" w:color="000000" w:sz="2" w:space="0"/>
              <w:left w:val="single" w:color="000000" w:sz="2" w:space="0"/>
              <w:bottom w:val="single" w:color="000000" w:sz="2" w:space="0"/>
              <w:right w:val="nil"/>
            </w:tcBorders>
            <w:vAlign w:val="center"/>
          </w:tcPr>
          <w:p>
            <w:pPr>
              <w:pStyle w:val="39"/>
              <w:spacing w:line="240" w:lineRule="auto"/>
              <w:rPr>
                <w:rFonts w:cs="Times New Roman"/>
                <w:b w:val="0"/>
                <w:bCs/>
                <w:kern w:val="2"/>
              </w:rPr>
            </w:pPr>
            <w:r>
              <w:rPr>
                <w:rFonts w:cs="Times New Roman"/>
                <w:b w:val="0"/>
                <w:bCs/>
                <w:kern w:val="2"/>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89" w:type="dxa"/>
            <w:vMerge w:val="continue"/>
            <w:tcBorders>
              <w:top w:val="single" w:color="000000" w:sz="2" w:space="0"/>
              <w:left w:val="nil"/>
              <w:bottom w:val="single" w:color="000000" w:sz="2" w:space="0"/>
              <w:right w:val="single" w:color="000000" w:sz="2" w:space="0"/>
            </w:tcBorders>
            <w:vAlign w:val="center"/>
          </w:tcPr>
          <w:p>
            <w:pPr>
              <w:pStyle w:val="39"/>
              <w:spacing w:line="240" w:lineRule="auto"/>
              <w:rPr>
                <w:rFonts w:cs="Times New Roman"/>
                <w:b w:val="0"/>
                <w:bCs/>
                <w:kern w:val="2"/>
              </w:rPr>
            </w:pPr>
          </w:p>
        </w:tc>
        <w:tc>
          <w:tcPr>
            <w:tcW w:w="763" w:type="dxa"/>
            <w:vMerge w:val="continue"/>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其他</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40</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40</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30</w:t>
            </w:r>
          </w:p>
        </w:tc>
        <w:tc>
          <w:tcPr>
            <w:tcW w:w="1339" w:type="dxa"/>
            <w:tcBorders>
              <w:top w:val="single" w:color="000000" w:sz="2" w:space="0"/>
              <w:left w:val="single" w:color="000000" w:sz="2" w:space="0"/>
              <w:bottom w:val="single" w:color="000000" w:sz="2" w:space="0"/>
              <w:right w:val="nil"/>
            </w:tcBorders>
            <w:vAlign w:val="center"/>
          </w:tcPr>
          <w:p>
            <w:pPr>
              <w:pStyle w:val="39"/>
              <w:spacing w:line="240" w:lineRule="auto"/>
              <w:rPr>
                <w:rFonts w:cs="Times New Roman"/>
                <w:b w:val="0"/>
                <w:bCs/>
                <w:kern w:val="2"/>
              </w:rPr>
            </w:pPr>
            <w:r>
              <w:rPr>
                <w:rFonts w:cs="Times New Roman"/>
                <w:b w:val="0"/>
                <w:bCs/>
                <w:kern w:val="2"/>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89" w:type="dxa"/>
            <w:vMerge w:val="restart"/>
            <w:tcBorders>
              <w:top w:val="single" w:color="000000" w:sz="2" w:space="0"/>
              <w:left w:val="nil"/>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4</w:t>
            </w:r>
          </w:p>
        </w:tc>
        <w:tc>
          <w:tcPr>
            <w:tcW w:w="763" w:type="dxa"/>
            <w:vMerge w:val="restart"/>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铅</w:t>
            </w: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水田</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80</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100</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140</w:t>
            </w:r>
          </w:p>
        </w:tc>
        <w:tc>
          <w:tcPr>
            <w:tcW w:w="1339" w:type="dxa"/>
            <w:tcBorders>
              <w:top w:val="single" w:color="000000" w:sz="2" w:space="0"/>
              <w:left w:val="single" w:color="000000" w:sz="2" w:space="0"/>
              <w:bottom w:val="single" w:color="000000" w:sz="2" w:space="0"/>
              <w:right w:val="nil"/>
            </w:tcBorders>
            <w:vAlign w:val="center"/>
          </w:tcPr>
          <w:p>
            <w:pPr>
              <w:pStyle w:val="39"/>
              <w:spacing w:line="240" w:lineRule="auto"/>
              <w:rPr>
                <w:rFonts w:cs="Times New Roman"/>
                <w:b w:val="0"/>
                <w:bCs/>
                <w:kern w:val="2"/>
              </w:rPr>
            </w:pPr>
            <w:r>
              <w:rPr>
                <w:rFonts w:cs="Times New Roman"/>
                <w:b w:val="0"/>
                <w:bCs/>
                <w:kern w:val="2"/>
              </w:rPr>
              <w:t>240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89" w:type="dxa"/>
            <w:vMerge w:val="continue"/>
            <w:tcBorders>
              <w:top w:val="single" w:color="000000" w:sz="2" w:space="0"/>
              <w:left w:val="nil"/>
              <w:bottom w:val="single" w:color="000000" w:sz="2" w:space="0"/>
              <w:right w:val="single" w:color="000000" w:sz="2" w:space="0"/>
            </w:tcBorders>
            <w:vAlign w:val="center"/>
          </w:tcPr>
          <w:p>
            <w:pPr>
              <w:pStyle w:val="39"/>
              <w:spacing w:line="240" w:lineRule="auto"/>
              <w:rPr>
                <w:rFonts w:cs="Times New Roman"/>
                <w:b w:val="0"/>
                <w:bCs/>
                <w:kern w:val="2"/>
              </w:rPr>
            </w:pPr>
          </w:p>
        </w:tc>
        <w:tc>
          <w:tcPr>
            <w:tcW w:w="763" w:type="dxa"/>
            <w:vMerge w:val="continue"/>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其他</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70</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90</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120</w:t>
            </w:r>
          </w:p>
        </w:tc>
        <w:tc>
          <w:tcPr>
            <w:tcW w:w="1339" w:type="dxa"/>
            <w:tcBorders>
              <w:top w:val="single" w:color="000000" w:sz="2" w:space="0"/>
              <w:left w:val="single" w:color="000000" w:sz="2" w:space="0"/>
              <w:bottom w:val="single" w:color="000000" w:sz="2" w:space="0"/>
              <w:right w:val="nil"/>
            </w:tcBorders>
            <w:vAlign w:val="center"/>
          </w:tcPr>
          <w:p>
            <w:pPr>
              <w:pStyle w:val="39"/>
              <w:spacing w:line="240" w:lineRule="auto"/>
              <w:rPr>
                <w:rFonts w:cs="Times New Roman"/>
                <w:b w:val="0"/>
                <w:bCs/>
                <w:kern w:val="2"/>
              </w:rPr>
            </w:pPr>
            <w:r>
              <w:rPr>
                <w:rFonts w:cs="Times New Roman"/>
                <w:b w:val="0"/>
                <w:bCs/>
                <w:kern w:val="2"/>
              </w:rPr>
              <w:t>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89" w:type="dxa"/>
            <w:vMerge w:val="restart"/>
            <w:tcBorders>
              <w:top w:val="single" w:color="000000" w:sz="2" w:space="0"/>
              <w:left w:val="nil"/>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5</w:t>
            </w:r>
          </w:p>
        </w:tc>
        <w:tc>
          <w:tcPr>
            <w:tcW w:w="763" w:type="dxa"/>
            <w:vMerge w:val="restart"/>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铬</w:t>
            </w: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水田</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250</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250</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300</w:t>
            </w:r>
          </w:p>
        </w:tc>
        <w:tc>
          <w:tcPr>
            <w:tcW w:w="1339" w:type="dxa"/>
            <w:tcBorders>
              <w:top w:val="single" w:color="000000" w:sz="2" w:space="0"/>
              <w:left w:val="single" w:color="000000" w:sz="2" w:space="0"/>
              <w:bottom w:val="single" w:color="000000" w:sz="2" w:space="0"/>
              <w:right w:val="nil"/>
            </w:tcBorders>
            <w:vAlign w:val="center"/>
          </w:tcPr>
          <w:p>
            <w:pPr>
              <w:pStyle w:val="39"/>
              <w:spacing w:line="240" w:lineRule="auto"/>
              <w:rPr>
                <w:rFonts w:cs="Times New Roman"/>
                <w:b w:val="0"/>
                <w:bCs/>
                <w:kern w:val="2"/>
              </w:rPr>
            </w:pPr>
            <w:r>
              <w:rPr>
                <w:rFonts w:cs="Times New Roman"/>
                <w:b w:val="0"/>
                <w:bCs/>
                <w:kern w:val="2"/>
              </w:rPr>
              <w:t>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89" w:type="dxa"/>
            <w:vMerge w:val="continue"/>
            <w:tcBorders>
              <w:top w:val="single" w:color="000000" w:sz="2" w:space="0"/>
              <w:left w:val="nil"/>
              <w:bottom w:val="single" w:color="000000" w:sz="2" w:space="0"/>
              <w:right w:val="single" w:color="000000" w:sz="2" w:space="0"/>
            </w:tcBorders>
            <w:vAlign w:val="center"/>
          </w:tcPr>
          <w:p>
            <w:pPr>
              <w:pStyle w:val="39"/>
              <w:spacing w:line="240" w:lineRule="auto"/>
              <w:rPr>
                <w:rFonts w:cs="Times New Roman"/>
                <w:b w:val="0"/>
                <w:bCs/>
                <w:kern w:val="2"/>
              </w:rPr>
            </w:pPr>
          </w:p>
        </w:tc>
        <w:tc>
          <w:tcPr>
            <w:tcW w:w="763" w:type="dxa"/>
            <w:vMerge w:val="continue"/>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其他</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150</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150</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200</w:t>
            </w:r>
          </w:p>
        </w:tc>
        <w:tc>
          <w:tcPr>
            <w:tcW w:w="1339" w:type="dxa"/>
            <w:tcBorders>
              <w:top w:val="single" w:color="000000" w:sz="2" w:space="0"/>
              <w:left w:val="single" w:color="000000" w:sz="2" w:space="0"/>
              <w:bottom w:val="single" w:color="000000" w:sz="2" w:space="0"/>
              <w:right w:val="nil"/>
            </w:tcBorders>
            <w:vAlign w:val="center"/>
          </w:tcPr>
          <w:p>
            <w:pPr>
              <w:pStyle w:val="39"/>
              <w:spacing w:line="240" w:lineRule="auto"/>
              <w:rPr>
                <w:rFonts w:cs="Times New Roman"/>
                <w:b w:val="0"/>
                <w:bCs/>
                <w:kern w:val="2"/>
              </w:rPr>
            </w:pPr>
            <w:r>
              <w:rPr>
                <w:rFonts w:cs="Times New Roman"/>
                <w:b w:val="0"/>
                <w:bCs/>
                <w:kern w:val="2"/>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89" w:type="dxa"/>
            <w:vMerge w:val="restart"/>
            <w:tcBorders>
              <w:top w:val="single" w:color="000000" w:sz="2" w:space="0"/>
              <w:left w:val="nil"/>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6</w:t>
            </w:r>
          </w:p>
        </w:tc>
        <w:tc>
          <w:tcPr>
            <w:tcW w:w="763" w:type="dxa"/>
            <w:vMerge w:val="restart"/>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铜</w:t>
            </w: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果园</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150</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150</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200</w:t>
            </w:r>
          </w:p>
        </w:tc>
        <w:tc>
          <w:tcPr>
            <w:tcW w:w="1339" w:type="dxa"/>
            <w:tcBorders>
              <w:top w:val="single" w:color="000000" w:sz="2" w:space="0"/>
              <w:left w:val="single" w:color="000000" w:sz="2" w:space="0"/>
              <w:bottom w:val="single" w:color="000000" w:sz="2" w:space="0"/>
              <w:right w:val="nil"/>
            </w:tcBorders>
            <w:vAlign w:val="center"/>
          </w:tcPr>
          <w:p>
            <w:pPr>
              <w:pStyle w:val="39"/>
              <w:spacing w:line="240" w:lineRule="auto"/>
              <w:rPr>
                <w:rFonts w:cs="Times New Roman"/>
                <w:b w:val="0"/>
                <w:bCs/>
                <w:kern w:val="2"/>
              </w:rPr>
            </w:pPr>
            <w:r>
              <w:rPr>
                <w:rFonts w:cs="Times New Roman"/>
                <w:b w:val="0"/>
                <w:bCs/>
                <w:kern w:val="2"/>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89" w:type="dxa"/>
            <w:vMerge w:val="continue"/>
            <w:tcBorders>
              <w:top w:val="single" w:color="000000" w:sz="2" w:space="0"/>
              <w:left w:val="nil"/>
              <w:bottom w:val="single" w:color="000000" w:sz="2" w:space="0"/>
              <w:right w:val="single" w:color="000000" w:sz="2" w:space="0"/>
            </w:tcBorders>
            <w:vAlign w:val="center"/>
          </w:tcPr>
          <w:p>
            <w:pPr>
              <w:pStyle w:val="39"/>
              <w:spacing w:line="240" w:lineRule="auto"/>
              <w:rPr>
                <w:rFonts w:cs="Times New Roman"/>
                <w:b w:val="0"/>
                <w:bCs/>
                <w:kern w:val="2"/>
              </w:rPr>
            </w:pPr>
          </w:p>
        </w:tc>
        <w:tc>
          <w:tcPr>
            <w:tcW w:w="763" w:type="dxa"/>
            <w:vMerge w:val="continue"/>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其他</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50</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50</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100</w:t>
            </w:r>
          </w:p>
        </w:tc>
        <w:tc>
          <w:tcPr>
            <w:tcW w:w="1339" w:type="dxa"/>
            <w:tcBorders>
              <w:top w:val="single" w:color="000000" w:sz="2" w:space="0"/>
              <w:left w:val="single" w:color="000000" w:sz="2" w:space="0"/>
              <w:bottom w:val="single" w:color="000000" w:sz="2" w:space="0"/>
              <w:right w:val="nil"/>
            </w:tcBorders>
            <w:vAlign w:val="center"/>
          </w:tcPr>
          <w:p>
            <w:pPr>
              <w:pStyle w:val="39"/>
              <w:spacing w:line="240" w:lineRule="auto"/>
              <w:rPr>
                <w:rFonts w:cs="Times New Roman"/>
                <w:b w:val="0"/>
                <w:bCs/>
                <w:kern w:val="2"/>
              </w:rPr>
            </w:pPr>
            <w:r>
              <w:rPr>
                <w:rFonts w:cs="Times New Roman"/>
                <w:b w:val="0"/>
                <w:bCs/>
                <w:kern w:val="2"/>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89" w:type="dxa"/>
            <w:tcBorders>
              <w:top w:val="single" w:color="000000" w:sz="2" w:space="0"/>
              <w:left w:val="nil"/>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7</w:t>
            </w:r>
          </w:p>
        </w:tc>
        <w:tc>
          <w:tcPr>
            <w:tcW w:w="2265" w:type="dxa"/>
            <w:gridSpan w:val="2"/>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镍</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60</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70</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100</w:t>
            </w:r>
          </w:p>
        </w:tc>
        <w:tc>
          <w:tcPr>
            <w:tcW w:w="1339" w:type="dxa"/>
            <w:tcBorders>
              <w:top w:val="single" w:color="000000" w:sz="2" w:space="0"/>
              <w:left w:val="single" w:color="000000" w:sz="2" w:space="0"/>
              <w:bottom w:val="single" w:color="000000" w:sz="2" w:space="0"/>
              <w:right w:val="nil"/>
            </w:tcBorders>
            <w:vAlign w:val="center"/>
          </w:tcPr>
          <w:p>
            <w:pPr>
              <w:pStyle w:val="39"/>
              <w:spacing w:line="240" w:lineRule="auto"/>
              <w:rPr>
                <w:rFonts w:cs="Times New Roman"/>
                <w:b w:val="0"/>
                <w:bCs/>
                <w:kern w:val="2"/>
              </w:rPr>
            </w:pPr>
            <w:r>
              <w:rPr>
                <w:rFonts w:cs="Times New Roman"/>
                <w:b w:val="0"/>
                <w:bCs/>
                <w:kern w:val="2"/>
              </w:rPr>
              <w:t>190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89" w:type="dxa"/>
            <w:tcBorders>
              <w:top w:val="single" w:color="000000" w:sz="2" w:space="0"/>
              <w:left w:val="nil"/>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8</w:t>
            </w:r>
          </w:p>
        </w:tc>
        <w:tc>
          <w:tcPr>
            <w:tcW w:w="2265" w:type="dxa"/>
            <w:gridSpan w:val="2"/>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锌</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200</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200</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39"/>
              <w:spacing w:line="240" w:lineRule="auto"/>
              <w:rPr>
                <w:rFonts w:cs="Times New Roman"/>
                <w:b w:val="0"/>
                <w:bCs/>
                <w:kern w:val="2"/>
              </w:rPr>
            </w:pPr>
            <w:r>
              <w:rPr>
                <w:rFonts w:cs="Times New Roman"/>
                <w:b w:val="0"/>
                <w:bCs/>
                <w:kern w:val="2"/>
              </w:rPr>
              <w:t>250</w:t>
            </w:r>
          </w:p>
        </w:tc>
        <w:tc>
          <w:tcPr>
            <w:tcW w:w="1339" w:type="dxa"/>
            <w:tcBorders>
              <w:top w:val="single" w:color="000000" w:sz="2" w:space="0"/>
              <w:left w:val="single" w:color="000000" w:sz="2" w:space="0"/>
              <w:bottom w:val="single" w:color="000000" w:sz="2" w:space="0"/>
              <w:right w:val="nil"/>
            </w:tcBorders>
            <w:vAlign w:val="center"/>
          </w:tcPr>
          <w:p>
            <w:pPr>
              <w:pStyle w:val="39"/>
              <w:spacing w:line="240" w:lineRule="auto"/>
              <w:rPr>
                <w:rFonts w:cs="Times New Roman"/>
                <w:b w:val="0"/>
                <w:bCs/>
                <w:kern w:val="2"/>
              </w:rPr>
            </w:pPr>
            <w:r>
              <w:rPr>
                <w:rFonts w:cs="Times New Roman"/>
                <w:b w:val="0"/>
                <w:bCs/>
                <w:kern w:val="2"/>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9137" w:type="dxa"/>
            <w:gridSpan w:val="7"/>
            <w:tcBorders>
              <w:top w:val="single" w:color="000000" w:sz="2" w:space="0"/>
              <w:left w:val="nil"/>
              <w:bottom w:val="single" w:color="000000" w:sz="12" w:space="0"/>
              <w:right w:val="nil"/>
            </w:tcBorders>
            <w:vAlign w:val="center"/>
          </w:tcPr>
          <w:p>
            <w:pPr>
              <w:pStyle w:val="39"/>
              <w:spacing w:line="240" w:lineRule="auto"/>
              <w:rPr>
                <w:rFonts w:cs="Times New Roman"/>
                <w:b w:val="0"/>
                <w:bCs/>
                <w:kern w:val="2"/>
              </w:rPr>
            </w:pPr>
            <w:r>
              <w:rPr>
                <w:rFonts w:cs="Times New Roman"/>
                <w:b w:val="0"/>
                <w:bCs/>
                <w:kern w:val="2"/>
              </w:rPr>
              <w:t>注：重金属和类金属砷均按元素总量计。对于水旱轮作地，采用较严格的风险筛选值。</w:t>
            </w:r>
          </w:p>
        </w:tc>
      </w:tr>
    </w:tbl>
    <w:p>
      <w:pPr>
        <w:pStyle w:val="39"/>
        <w:rPr>
          <w:rFonts w:cs="Times New Roman"/>
        </w:rPr>
      </w:pPr>
      <w:r>
        <w:rPr>
          <w:rFonts w:cs="Times New Roman"/>
        </w:rPr>
        <w:t>表1.5-6  土壤环境质量标准 建设用地土壤污染风险管控标准（试行） 单位：mg/kg</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8"/>
        <w:gridCol w:w="2552"/>
        <w:gridCol w:w="2552"/>
        <w:gridCol w:w="27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Merge w:val="restart"/>
            <w:vAlign w:val="center"/>
          </w:tcPr>
          <w:p>
            <w:pPr>
              <w:pStyle w:val="39"/>
              <w:spacing w:line="240" w:lineRule="auto"/>
              <w:rPr>
                <w:rFonts w:cs="Times New Roman"/>
                <w:b w:val="0"/>
                <w:bCs/>
                <w:kern w:val="2"/>
              </w:rPr>
            </w:pPr>
            <w:r>
              <w:rPr>
                <w:rFonts w:cs="Times New Roman"/>
                <w:b w:val="0"/>
                <w:bCs/>
                <w:kern w:val="2"/>
              </w:rPr>
              <w:t>序号</w:t>
            </w:r>
          </w:p>
        </w:tc>
        <w:tc>
          <w:tcPr>
            <w:tcW w:w="2693" w:type="dxa"/>
            <w:vMerge w:val="restart"/>
            <w:vAlign w:val="center"/>
          </w:tcPr>
          <w:p>
            <w:pPr>
              <w:pStyle w:val="39"/>
              <w:spacing w:line="240" w:lineRule="auto"/>
              <w:rPr>
                <w:rFonts w:cs="Times New Roman"/>
                <w:b w:val="0"/>
                <w:bCs/>
                <w:kern w:val="2"/>
              </w:rPr>
            </w:pPr>
            <w:r>
              <w:rPr>
                <w:rFonts w:cs="Times New Roman"/>
                <w:b w:val="0"/>
                <w:bCs/>
                <w:kern w:val="2"/>
              </w:rPr>
              <w:t>污染物项目</w:t>
            </w:r>
          </w:p>
        </w:tc>
        <w:tc>
          <w:tcPr>
            <w:tcW w:w="2693" w:type="dxa"/>
            <w:vAlign w:val="center"/>
          </w:tcPr>
          <w:p>
            <w:pPr>
              <w:pStyle w:val="39"/>
              <w:spacing w:line="240" w:lineRule="auto"/>
              <w:rPr>
                <w:rFonts w:cs="Times New Roman"/>
                <w:b w:val="0"/>
                <w:bCs/>
                <w:kern w:val="2"/>
              </w:rPr>
            </w:pPr>
            <w:r>
              <w:rPr>
                <w:rFonts w:cs="Times New Roman"/>
                <w:b w:val="0"/>
                <w:bCs/>
                <w:kern w:val="2"/>
              </w:rPr>
              <w:t>筛选值</w:t>
            </w:r>
          </w:p>
        </w:tc>
        <w:tc>
          <w:tcPr>
            <w:tcW w:w="2863" w:type="dxa"/>
            <w:vAlign w:val="center"/>
          </w:tcPr>
          <w:p>
            <w:pPr>
              <w:pStyle w:val="39"/>
              <w:spacing w:line="240" w:lineRule="auto"/>
              <w:rPr>
                <w:rFonts w:cs="Times New Roman"/>
                <w:b w:val="0"/>
                <w:bCs/>
                <w:kern w:val="2"/>
              </w:rPr>
            </w:pPr>
            <w:r>
              <w:rPr>
                <w:rFonts w:cs="Times New Roman"/>
                <w:b w:val="0"/>
                <w:bCs/>
                <w:kern w:val="2"/>
              </w:rPr>
              <w:t>管制值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Merge w:val="continue"/>
            <w:vAlign w:val="center"/>
          </w:tcPr>
          <w:p>
            <w:pPr>
              <w:pStyle w:val="39"/>
              <w:spacing w:line="240" w:lineRule="auto"/>
              <w:rPr>
                <w:rFonts w:cs="Times New Roman"/>
                <w:b w:val="0"/>
                <w:bCs/>
                <w:kern w:val="2"/>
              </w:rPr>
            </w:pPr>
          </w:p>
        </w:tc>
        <w:tc>
          <w:tcPr>
            <w:tcW w:w="2693" w:type="dxa"/>
            <w:vMerge w:val="continue"/>
            <w:vAlign w:val="center"/>
          </w:tcPr>
          <w:p>
            <w:pPr>
              <w:pStyle w:val="39"/>
              <w:spacing w:line="240" w:lineRule="auto"/>
              <w:rPr>
                <w:rFonts w:cs="Times New Roman"/>
                <w:b w:val="0"/>
                <w:bCs/>
                <w:kern w:val="2"/>
              </w:rPr>
            </w:pPr>
          </w:p>
        </w:tc>
        <w:tc>
          <w:tcPr>
            <w:tcW w:w="2693" w:type="dxa"/>
            <w:vAlign w:val="center"/>
          </w:tcPr>
          <w:p>
            <w:pPr>
              <w:pStyle w:val="39"/>
              <w:spacing w:line="240" w:lineRule="auto"/>
              <w:rPr>
                <w:rFonts w:cs="Times New Roman"/>
                <w:b w:val="0"/>
                <w:bCs/>
                <w:kern w:val="2"/>
              </w:rPr>
            </w:pPr>
            <w:r>
              <w:rPr>
                <w:rFonts w:cs="Times New Roman"/>
                <w:b w:val="0"/>
                <w:bCs/>
                <w:kern w:val="2"/>
              </w:rPr>
              <w:t>第二类用地</w:t>
            </w:r>
          </w:p>
        </w:tc>
        <w:tc>
          <w:tcPr>
            <w:tcW w:w="2863" w:type="dxa"/>
            <w:vAlign w:val="center"/>
          </w:tcPr>
          <w:p>
            <w:pPr>
              <w:pStyle w:val="39"/>
              <w:spacing w:line="240" w:lineRule="auto"/>
              <w:rPr>
                <w:rFonts w:cs="Times New Roman"/>
                <w:b w:val="0"/>
                <w:bCs/>
                <w:kern w:val="2"/>
              </w:rPr>
            </w:pPr>
            <w:r>
              <w:rPr>
                <w:rFonts w:cs="Times New Roman"/>
                <w:b w:val="0"/>
                <w:bCs/>
                <w:kern w:val="2"/>
              </w:rPr>
              <w:t>第二类用地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208" w:type="dxa"/>
            <w:gridSpan w:val="4"/>
            <w:vAlign w:val="center"/>
          </w:tcPr>
          <w:p>
            <w:pPr>
              <w:pStyle w:val="39"/>
              <w:spacing w:line="240" w:lineRule="auto"/>
              <w:rPr>
                <w:rFonts w:cs="Times New Roman"/>
                <w:b w:val="0"/>
                <w:bCs/>
                <w:kern w:val="2"/>
              </w:rPr>
            </w:pPr>
            <w:r>
              <w:rPr>
                <w:rFonts w:cs="Times New Roman"/>
                <w:b w:val="0"/>
                <w:bCs/>
                <w:kern w:val="2"/>
              </w:rPr>
              <w:t>重金属和无机物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1</w:t>
            </w:r>
          </w:p>
        </w:tc>
        <w:tc>
          <w:tcPr>
            <w:tcW w:w="2693" w:type="dxa"/>
            <w:vAlign w:val="center"/>
          </w:tcPr>
          <w:p>
            <w:pPr>
              <w:pStyle w:val="39"/>
              <w:spacing w:line="240" w:lineRule="auto"/>
              <w:rPr>
                <w:rFonts w:cs="Times New Roman"/>
                <w:b w:val="0"/>
                <w:bCs/>
                <w:kern w:val="2"/>
              </w:rPr>
            </w:pPr>
            <w:r>
              <w:rPr>
                <w:rFonts w:cs="Times New Roman"/>
                <w:b w:val="0"/>
                <w:bCs/>
                <w:kern w:val="2"/>
              </w:rPr>
              <w:t>砷</w:t>
            </w:r>
          </w:p>
        </w:tc>
        <w:tc>
          <w:tcPr>
            <w:tcW w:w="2693" w:type="dxa"/>
            <w:vAlign w:val="center"/>
          </w:tcPr>
          <w:p>
            <w:pPr>
              <w:pStyle w:val="39"/>
              <w:spacing w:line="240" w:lineRule="auto"/>
              <w:rPr>
                <w:rFonts w:cs="Times New Roman"/>
                <w:b w:val="0"/>
                <w:bCs/>
                <w:kern w:val="2"/>
              </w:rPr>
            </w:pPr>
            <w:r>
              <w:rPr>
                <w:rFonts w:cs="Times New Roman"/>
                <w:b w:val="0"/>
                <w:bCs/>
                <w:kern w:val="2"/>
              </w:rPr>
              <w:t>60</w:t>
            </w:r>
          </w:p>
        </w:tc>
        <w:tc>
          <w:tcPr>
            <w:tcW w:w="2863" w:type="dxa"/>
            <w:vAlign w:val="center"/>
          </w:tcPr>
          <w:p>
            <w:pPr>
              <w:pStyle w:val="39"/>
              <w:spacing w:line="240" w:lineRule="auto"/>
              <w:rPr>
                <w:rFonts w:cs="Times New Roman"/>
                <w:b w:val="0"/>
                <w:bCs/>
                <w:kern w:val="2"/>
              </w:rPr>
            </w:pPr>
            <w:r>
              <w:rPr>
                <w:rFonts w:cs="Times New Roman"/>
                <w:b w:val="0"/>
                <w:bCs/>
                <w:kern w:val="2"/>
              </w:rPr>
              <w:t>140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2</w:t>
            </w:r>
          </w:p>
        </w:tc>
        <w:tc>
          <w:tcPr>
            <w:tcW w:w="2693" w:type="dxa"/>
            <w:vAlign w:val="center"/>
          </w:tcPr>
          <w:p>
            <w:pPr>
              <w:pStyle w:val="39"/>
              <w:spacing w:line="240" w:lineRule="auto"/>
              <w:rPr>
                <w:rFonts w:cs="Times New Roman"/>
                <w:b w:val="0"/>
                <w:bCs/>
                <w:kern w:val="2"/>
              </w:rPr>
            </w:pPr>
            <w:r>
              <w:rPr>
                <w:rFonts w:cs="Times New Roman"/>
                <w:b w:val="0"/>
                <w:bCs/>
                <w:kern w:val="2"/>
              </w:rPr>
              <w:t>镉</w:t>
            </w:r>
          </w:p>
        </w:tc>
        <w:tc>
          <w:tcPr>
            <w:tcW w:w="2693" w:type="dxa"/>
            <w:vAlign w:val="center"/>
          </w:tcPr>
          <w:p>
            <w:pPr>
              <w:pStyle w:val="39"/>
              <w:spacing w:line="240" w:lineRule="auto"/>
              <w:rPr>
                <w:rFonts w:cs="Times New Roman"/>
                <w:b w:val="0"/>
                <w:bCs/>
                <w:kern w:val="2"/>
              </w:rPr>
            </w:pPr>
            <w:r>
              <w:rPr>
                <w:rFonts w:cs="Times New Roman"/>
                <w:b w:val="0"/>
                <w:bCs/>
                <w:kern w:val="2"/>
              </w:rPr>
              <w:t>65</w:t>
            </w:r>
          </w:p>
        </w:tc>
        <w:tc>
          <w:tcPr>
            <w:tcW w:w="2863" w:type="dxa"/>
            <w:vAlign w:val="center"/>
          </w:tcPr>
          <w:p>
            <w:pPr>
              <w:pStyle w:val="39"/>
              <w:spacing w:line="240" w:lineRule="auto"/>
              <w:rPr>
                <w:rFonts w:cs="Times New Roman"/>
                <w:b w:val="0"/>
                <w:bCs/>
                <w:kern w:val="2"/>
              </w:rPr>
            </w:pPr>
            <w:r>
              <w:rPr>
                <w:rFonts w:cs="Times New Roman"/>
                <w:b w:val="0"/>
                <w:bCs/>
                <w:kern w:val="2"/>
              </w:rPr>
              <w:t>172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3</w:t>
            </w:r>
          </w:p>
        </w:tc>
        <w:tc>
          <w:tcPr>
            <w:tcW w:w="2693" w:type="dxa"/>
            <w:vAlign w:val="center"/>
          </w:tcPr>
          <w:p>
            <w:pPr>
              <w:pStyle w:val="39"/>
              <w:spacing w:line="240" w:lineRule="auto"/>
              <w:rPr>
                <w:rFonts w:cs="Times New Roman"/>
                <w:b w:val="0"/>
                <w:bCs/>
                <w:kern w:val="2"/>
              </w:rPr>
            </w:pPr>
            <w:r>
              <w:rPr>
                <w:rFonts w:cs="Times New Roman"/>
                <w:b w:val="0"/>
                <w:bCs/>
                <w:kern w:val="2"/>
              </w:rPr>
              <w:t>铬（六价）</w:t>
            </w:r>
          </w:p>
        </w:tc>
        <w:tc>
          <w:tcPr>
            <w:tcW w:w="2693" w:type="dxa"/>
            <w:vAlign w:val="center"/>
          </w:tcPr>
          <w:p>
            <w:pPr>
              <w:pStyle w:val="39"/>
              <w:spacing w:line="240" w:lineRule="auto"/>
              <w:rPr>
                <w:rFonts w:cs="Times New Roman"/>
                <w:b w:val="0"/>
                <w:bCs/>
                <w:kern w:val="2"/>
              </w:rPr>
            </w:pPr>
            <w:r>
              <w:rPr>
                <w:rFonts w:cs="Times New Roman"/>
                <w:b w:val="0"/>
                <w:bCs/>
                <w:kern w:val="2"/>
              </w:rPr>
              <w:t>5.7</w:t>
            </w:r>
          </w:p>
        </w:tc>
        <w:tc>
          <w:tcPr>
            <w:tcW w:w="2863" w:type="dxa"/>
            <w:vAlign w:val="center"/>
          </w:tcPr>
          <w:p>
            <w:pPr>
              <w:pStyle w:val="39"/>
              <w:spacing w:line="240" w:lineRule="auto"/>
              <w:rPr>
                <w:rFonts w:cs="Times New Roman"/>
                <w:b w:val="0"/>
                <w:bCs/>
                <w:kern w:val="2"/>
              </w:rPr>
            </w:pPr>
            <w:r>
              <w:rPr>
                <w:rFonts w:cs="Times New Roman"/>
                <w:b w:val="0"/>
                <w:bCs/>
                <w:kern w:val="2"/>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4</w:t>
            </w:r>
          </w:p>
        </w:tc>
        <w:tc>
          <w:tcPr>
            <w:tcW w:w="2693" w:type="dxa"/>
            <w:vAlign w:val="center"/>
          </w:tcPr>
          <w:p>
            <w:pPr>
              <w:pStyle w:val="39"/>
              <w:spacing w:line="240" w:lineRule="auto"/>
              <w:rPr>
                <w:rFonts w:cs="Times New Roman"/>
                <w:b w:val="0"/>
                <w:bCs/>
                <w:kern w:val="2"/>
              </w:rPr>
            </w:pPr>
            <w:r>
              <w:rPr>
                <w:rFonts w:cs="Times New Roman"/>
                <w:b w:val="0"/>
                <w:bCs/>
                <w:kern w:val="2"/>
              </w:rPr>
              <w:t>铜</w:t>
            </w:r>
          </w:p>
        </w:tc>
        <w:tc>
          <w:tcPr>
            <w:tcW w:w="2693" w:type="dxa"/>
            <w:vAlign w:val="center"/>
          </w:tcPr>
          <w:p>
            <w:pPr>
              <w:pStyle w:val="39"/>
              <w:spacing w:line="240" w:lineRule="auto"/>
              <w:rPr>
                <w:rFonts w:cs="Times New Roman"/>
                <w:b w:val="0"/>
                <w:bCs/>
                <w:kern w:val="2"/>
              </w:rPr>
            </w:pPr>
            <w:r>
              <w:rPr>
                <w:rFonts w:cs="Times New Roman"/>
                <w:b w:val="0"/>
                <w:bCs/>
                <w:kern w:val="2"/>
              </w:rPr>
              <w:t>18000</w:t>
            </w:r>
          </w:p>
        </w:tc>
        <w:tc>
          <w:tcPr>
            <w:tcW w:w="2863" w:type="dxa"/>
            <w:vAlign w:val="center"/>
          </w:tcPr>
          <w:p>
            <w:pPr>
              <w:pStyle w:val="39"/>
              <w:spacing w:line="240" w:lineRule="auto"/>
              <w:rPr>
                <w:rFonts w:cs="Times New Roman"/>
                <w:b w:val="0"/>
                <w:bCs/>
                <w:kern w:val="2"/>
              </w:rPr>
            </w:pPr>
            <w:r>
              <w:rPr>
                <w:rFonts w:cs="Times New Roman"/>
                <w:b w:val="0"/>
                <w:bCs/>
                <w:kern w:val="2"/>
              </w:rPr>
              <w:t>36000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5</w:t>
            </w:r>
          </w:p>
        </w:tc>
        <w:tc>
          <w:tcPr>
            <w:tcW w:w="2693" w:type="dxa"/>
            <w:vAlign w:val="center"/>
          </w:tcPr>
          <w:p>
            <w:pPr>
              <w:pStyle w:val="39"/>
              <w:spacing w:line="240" w:lineRule="auto"/>
              <w:rPr>
                <w:rFonts w:cs="Times New Roman"/>
                <w:b w:val="0"/>
                <w:bCs/>
                <w:kern w:val="2"/>
              </w:rPr>
            </w:pPr>
            <w:r>
              <w:rPr>
                <w:rFonts w:cs="Times New Roman"/>
                <w:b w:val="0"/>
                <w:bCs/>
                <w:kern w:val="2"/>
              </w:rPr>
              <w:t>铅</w:t>
            </w:r>
          </w:p>
        </w:tc>
        <w:tc>
          <w:tcPr>
            <w:tcW w:w="2693" w:type="dxa"/>
            <w:vAlign w:val="center"/>
          </w:tcPr>
          <w:p>
            <w:pPr>
              <w:pStyle w:val="39"/>
              <w:spacing w:line="240" w:lineRule="auto"/>
              <w:rPr>
                <w:rFonts w:cs="Times New Roman"/>
                <w:b w:val="0"/>
                <w:bCs/>
                <w:kern w:val="2"/>
              </w:rPr>
            </w:pPr>
            <w:r>
              <w:rPr>
                <w:rFonts w:cs="Times New Roman"/>
                <w:b w:val="0"/>
                <w:bCs/>
                <w:kern w:val="2"/>
              </w:rPr>
              <w:t>800</w:t>
            </w:r>
          </w:p>
        </w:tc>
        <w:tc>
          <w:tcPr>
            <w:tcW w:w="2863" w:type="dxa"/>
            <w:vAlign w:val="center"/>
          </w:tcPr>
          <w:p>
            <w:pPr>
              <w:pStyle w:val="39"/>
              <w:spacing w:line="240" w:lineRule="auto"/>
              <w:rPr>
                <w:rFonts w:cs="Times New Roman"/>
                <w:b w:val="0"/>
                <w:bCs/>
                <w:kern w:val="2"/>
              </w:rPr>
            </w:pPr>
            <w:r>
              <w:rPr>
                <w:rFonts w:cs="Times New Roman"/>
                <w:b w:val="0"/>
                <w:bCs/>
                <w:kern w:val="2"/>
              </w:rPr>
              <w:t>2500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6</w:t>
            </w:r>
          </w:p>
        </w:tc>
        <w:tc>
          <w:tcPr>
            <w:tcW w:w="2693" w:type="dxa"/>
            <w:vAlign w:val="center"/>
          </w:tcPr>
          <w:p>
            <w:pPr>
              <w:pStyle w:val="39"/>
              <w:spacing w:line="240" w:lineRule="auto"/>
              <w:rPr>
                <w:rFonts w:cs="Times New Roman"/>
                <w:b w:val="0"/>
                <w:bCs/>
                <w:kern w:val="2"/>
              </w:rPr>
            </w:pPr>
            <w:r>
              <w:rPr>
                <w:rFonts w:cs="Times New Roman"/>
                <w:b w:val="0"/>
                <w:bCs/>
                <w:kern w:val="2"/>
              </w:rPr>
              <w:t>汞</w:t>
            </w:r>
          </w:p>
        </w:tc>
        <w:tc>
          <w:tcPr>
            <w:tcW w:w="2693" w:type="dxa"/>
            <w:vAlign w:val="center"/>
          </w:tcPr>
          <w:p>
            <w:pPr>
              <w:pStyle w:val="39"/>
              <w:spacing w:line="240" w:lineRule="auto"/>
              <w:rPr>
                <w:rFonts w:cs="Times New Roman"/>
                <w:b w:val="0"/>
                <w:bCs/>
                <w:kern w:val="2"/>
              </w:rPr>
            </w:pPr>
            <w:r>
              <w:rPr>
                <w:rFonts w:cs="Times New Roman"/>
                <w:b w:val="0"/>
                <w:bCs/>
                <w:kern w:val="2"/>
              </w:rPr>
              <w:t>38</w:t>
            </w:r>
          </w:p>
        </w:tc>
        <w:tc>
          <w:tcPr>
            <w:tcW w:w="2863" w:type="dxa"/>
            <w:vAlign w:val="center"/>
          </w:tcPr>
          <w:p>
            <w:pPr>
              <w:pStyle w:val="39"/>
              <w:spacing w:line="240" w:lineRule="auto"/>
              <w:rPr>
                <w:rFonts w:cs="Times New Roman"/>
                <w:b w:val="0"/>
                <w:bCs/>
                <w:kern w:val="2"/>
              </w:rPr>
            </w:pPr>
            <w:r>
              <w:rPr>
                <w:rFonts w:cs="Times New Roman"/>
                <w:b w:val="0"/>
                <w:bCs/>
                <w:kern w:val="2"/>
              </w:rPr>
              <w:t>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7</w:t>
            </w:r>
          </w:p>
        </w:tc>
        <w:tc>
          <w:tcPr>
            <w:tcW w:w="2693" w:type="dxa"/>
            <w:vAlign w:val="center"/>
          </w:tcPr>
          <w:p>
            <w:pPr>
              <w:pStyle w:val="39"/>
              <w:spacing w:line="240" w:lineRule="auto"/>
              <w:rPr>
                <w:rFonts w:cs="Times New Roman"/>
                <w:b w:val="0"/>
                <w:bCs/>
                <w:kern w:val="2"/>
              </w:rPr>
            </w:pPr>
            <w:r>
              <w:rPr>
                <w:rFonts w:cs="Times New Roman"/>
                <w:b w:val="0"/>
                <w:bCs/>
                <w:kern w:val="2"/>
              </w:rPr>
              <w:t>镍</w:t>
            </w:r>
          </w:p>
        </w:tc>
        <w:tc>
          <w:tcPr>
            <w:tcW w:w="2693" w:type="dxa"/>
            <w:vAlign w:val="center"/>
          </w:tcPr>
          <w:p>
            <w:pPr>
              <w:pStyle w:val="39"/>
              <w:spacing w:line="240" w:lineRule="auto"/>
              <w:rPr>
                <w:rFonts w:cs="Times New Roman"/>
                <w:b w:val="0"/>
                <w:bCs/>
                <w:kern w:val="2"/>
              </w:rPr>
            </w:pPr>
            <w:r>
              <w:rPr>
                <w:rFonts w:cs="Times New Roman"/>
                <w:b w:val="0"/>
                <w:bCs/>
                <w:kern w:val="2"/>
              </w:rPr>
              <w:t>900</w:t>
            </w:r>
          </w:p>
        </w:tc>
        <w:tc>
          <w:tcPr>
            <w:tcW w:w="2863" w:type="dxa"/>
            <w:vAlign w:val="center"/>
          </w:tcPr>
          <w:p>
            <w:pPr>
              <w:pStyle w:val="39"/>
              <w:spacing w:line="240" w:lineRule="auto"/>
              <w:rPr>
                <w:rFonts w:cs="Times New Roman"/>
                <w:b w:val="0"/>
                <w:bCs/>
                <w:kern w:val="2"/>
              </w:rPr>
            </w:pPr>
            <w:r>
              <w:rPr>
                <w:rFonts w:cs="Times New Roman"/>
                <w:b w:val="0"/>
                <w:bCs/>
                <w:kern w:val="2"/>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208" w:type="dxa"/>
            <w:gridSpan w:val="4"/>
            <w:vAlign w:val="center"/>
          </w:tcPr>
          <w:p>
            <w:pPr>
              <w:pStyle w:val="39"/>
              <w:spacing w:line="240" w:lineRule="auto"/>
              <w:rPr>
                <w:rFonts w:cs="Times New Roman"/>
                <w:b w:val="0"/>
                <w:bCs/>
                <w:kern w:val="2"/>
              </w:rPr>
            </w:pPr>
            <w:r>
              <w:rPr>
                <w:rFonts w:cs="Times New Roman"/>
                <w:b w:val="0"/>
                <w:bCs/>
                <w:kern w:val="2"/>
              </w:rPr>
              <w:t>挥发性有机物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8</w:t>
            </w:r>
          </w:p>
        </w:tc>
        <w:tc>
          <w:tcPr>
            <w:tcW w:w="2693" w:type="dxa"/>
            <w:vAlign w:val="center"/>
          </w:tcPr>
          <w:p>
            <w:pPr>
              <w:pStyle w:val="39"/>
              <w:spacing w:line="240" w:lineRule="auto"/>
              <w:rPr>
                <w:rFonts w:cs="Times New Roman"/>
                <w:b w:val="0"/>
                <w:bCs/>
                <w:kern w:val="2"/>
              </w:rPr>
            </w:pPr>
            <w:r>
              <w:rPr>
                <w:rFonts w:cs="Times New Roman"/>
                <w:b w:val="0"/>
                <w:bCs/>
                <w:kern w:val="2"/>
              </w:rPr>
              <w:t>四氯化碳</w:t>
            </w:r>
          </w:p>
        </w:tc>
        <w:tc>
          <w:tcPr>
            <w:tcW w:w="2693" w:type="dxa"/>
            <w:vAlign w:val="center"/>
          </w:tcPr>
          <w:p>
            <w:pPr>
              <w:pStyle w:val="39"/>
              <w:spacing w:line="240" w:lineRule="auto"/>
              <w:rPr>
                <w:rFonts w:cs="Times New Roman"/>
                <w:b w:val="0"/>
                <w:bCs/>
                <w:kern w:val="2"/>
              </w:rPr>
            </w:pPr>
            <w:r>
              <w:rPr>
                <w:rFonts w:cs="Times New Roman"/>
                <w:b w:val="0"/>
                <w:bCs/>
                <w:kern w:val="2"/>
              </w:rPr>
              <w:t>2.8</w:t>
            </w:r>
          </w:p>
        </w:tc>
        <w:tc>
          <w:tcPr>
            <w:tcW w:w="2863" w:type="dxa"/>
            <w:vAlign w:val="center"/>
          </w:tcPr>
          <w:p>
            <w:pPr>
              <w:pStyle w:val="39"/>
              <w:spacing w:line="240" w:lineRule="auto"/>
              <w:rPr>
                <w:rFonts w:cs="Times New Roman"/>
                <w:b w:val="0"/>
                <w:bCs/>
                <w:kern w:val="2"/>
              </w:rPr>
            </w:pPr>
            <w:r>
              <w:rPr>
                <w:rFonts w:cs="Times New Roman"/>
                <w:b w:val="0"/>
                <w:bCs/>
                <w:kern w:val="2"/>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9</w:t>
            </w:r>
          </w:p>
        </w:tc>
        <w:tc>
          <w:tcPr>
            <w:tcW w:w="2693" w:type="dxa"/>
            <w:vAlign w:val="center"/>
          </w:tcPr>
          <w:p>
            <w:pPr>
              <w:pStyle w:val="39"/>
              <w:spacing w:line="240" w:lineRule="auto"/>
              <w:rPr>
                <w:rFonts w:cs="Times New Roman"/>
                <w:b w:val="0"/>
                <w:bCs/>
                <w:kern w:val="2"/>
              </w:rPr>
            </w:pPr>
            <w:r>
              <w:rPr>
                <w:rFonts w:cs="Times New Roman"/>
                <w:b w:val="0"/>
                <w:bCs/>
                <w:kern w:val="2"/>
              </w:rPr>
              <w:t>氯仿</w:t>
            </w:r>
          </w:p>
        </w:tc>
        <w:tc>
          <w:tcPr>
            <w:tcW w:w="2693" w:type="dxa"/>
            <w:vAlign w:val="center"/>
          </w:tcPr>
          <w:p>
            <w:pPr>
              <w:pStyle w:val="39"/>
              <w:spacing w:line="240" w:lineRule="auto"/>
              <w:rPr>
                <w:rFonts w:cs="Times New Roman"/>
                <w:b w:val="0"/>
                <w:bCs/>
                <w:kern w:val="2"/>
              </w:rPr>
            </w:pPr>
            <w:r>
              <w:rPr>
                <w:rFonts w:cs="Times New Roman"/>
                <w:b w:val="0"/>
                <w:bCs/>
                <w:kern w:val="2"/>
              </w:rPr>
              <w:t>0.9</w:t>
            </w:r>
          </w:p>
        </w:tc>
        <w:tc>
          <w:tcPr>
            <w:tcW w:w="2863" w:type="dxa"/>
            <w:vAlign w:val="center"/>
          </w:tcPr>
          <w:p>
            <w:pPr>
              <w:pStyle w:val="39"/>
              <w:spacing w:line="240" w:lineRule="auto"/>
              <w:rPr>
                <w:rFonts w:cs="Times New Roman"/>
                <w:b w:val="0"/>
                <w:bCs/>
                <w:kern w:val="2"/>
              </w:rPr>
            </w:pPr>
            <w:r>
              <w:rPr>
                <w:rFonts w:cs="Times New Roman"/>
                <w:b w:val="0"/>
                <w:bCs/>
                <w:kern w:val="2"/>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10</w:t>
            </w:r>
          </w:p>
        </w:tc>
        <w:tc>
          <w:tcPr>
            <w:tcW w:w="2693" w:type="dxa"/>
            <w:vAlign w:val="center"/>
          </w:tcPr>
          <w:p>
            <w:pPr>
              <w:pStyle w:val="39"/>
              <w:spacing w:line="240" w:lineRule="auto"/>
              <w:rPr>
                <w:rFonts w:cs="Times New Roman"/>
                <w:b w:val="0"/>
                <w:bCs/>
                <w:kern w:val="2"/>
              </w:rPr>
            </w:pPr>
            <w:r>
              <w:rPr>
                <w:rFonts w:cs="Times New Roman"/>
                <w:b w:val="0"/>
                <w:bCs/>
                <w:kern w:val="2"/>
              </w:rPr>
              <w:t>氯甲烷</w:t>
            </w:r>
          </w:p>
        </w:tc>
        <w:tc>
          <w:tcPr>
            <w:tcW w:w="2693" w:type="dxa"/>
            <w:vAlign w:val="center"/>
          </w:tcPr>
          <w:p>
            <w:pPr>
              <w:pStyle w:val="39"/>
              <w:spacing w:line="240" w:lineRule="auto"/>
              <w:rPr>
                <w:rFonts w:cs="Times New Roman"/>
                <w:b w:val="0"/>
                <w:bCs/>
                <w:kern w:val="2"/>
              </w:rPr>
            </w:pPr>
            <w:r>
              <w:rPr>
                <w:rFonts w:cs="Times New Roman"/>
                <w:b w:val="0"/>
                <w:bCs/>
                <w:kern w:val="2"/>
              </w:rPr>
              <w:t>37</w:t>
            </w:r>
          </w:p>
        </w:tc>
        <w:tc>
          <w:tcPr>
            <w:tcW w:w="2863" w:type="dxa"/>
            <w:vAlign w:val="center"/>
          </w:tcPr>
          <w:p>
            <w:pPr>
              <w:pStyle w:val="39"/>
              <w:spacing w:line="240" w:lineRule="auto"/>
              <w:rPr>
                <w:rFonts w:cs="Times New Roman"/>
                <w:b w:val="0"/>
                <w:bCs/>
                <w:kern w:val="2"/>
              </w:rPr>
            </w:pPr>
            <w:r>
              <w:rPr>
                <w:rFonts w:cs="Times New Roman"/>
                <w:b w:val="0"/>
                <w:bCs/>
                <w:kern w:val="2"/>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11</w:t>
            </w:r>
          </w:p>
        </w:tc>
        <w:tc>
          <w:tcPr>
            <w:tcW w:w="2693" w:type="dxa"/>
            <w:vAlign w:val="center"/>
          </w:tcPr>
          <w:p>
            <w:pPr>
              <w:pStyle w:val="39"/>
              <w:spacing w:line="240" w:lineRule="auto"/>
              <w:rPr>
                <w:rFonts w:cs="Times New Roman"/>
                <w:b w:val="0"/>
                <w:bCs/>
                <w:kern w:val="2"/>
              </w:rPr>
            </w:pPr>
            <w:r>
              <w:rPr>
                <w:rFonts w:cs="Times New Roman"/>
                <w:b w:val="0"/>
                <w:bCs/>
                <w:kern w:val="2"/>
              </w:rPr>
              <w:t>1,1-二氯乙烷</w:t>
            </w:r>
          </w:p>
        </w:tc>
        <w:tc>
          <w:tcPr>
            <w:tcW w:w="2693" w:type="dxa"/>
            <w:vAlign w:val="center"/>
          </w:tcPr>
          <w:p>
            <w:pPr>
              <w:pStyle w:val="39"/>
              <w:spacing w:line="240" w:lineRule="auto"/>
              <w:rPr>
                <w:rFonts w:cs="Times New Roman"/>
                <w:b w:val="0"/>
                <w:bCs/>
                <w:kern w:val="2"/>
              </w:rPr>
            </w:pPr>
            <w:r>
              <w:rPr>
                <w:rFonts w:cs="Times New Roman"/>
                <w:b w:val="0"/>
                <w:bCs/>
                <w:kern w:val="2"/>
              </w:rPr>
              <w:t>9</w:t>
            </w:r>
          </w:p>
        </w:tc>
        <w:tc>
          <w:tcPr>
            <w:tcW w:w="2863" w:type="dxa"/>
            <w:vAlign w:val="center"/>
          </w:tcPr>
          <w:p>
            <w:pPr>
              <w:pStyle w:val="39"/>
              <w:spacing w:line="240" w:lineRule="auto"/>
              <w:rPr>
                <w:rFonts w:cs="Times New Roman"/>
                <w:b w:val="0"/>
                <w:bCs/>
                <w:kern w:val="2"/>
              </w:rPr>
            </w:pPr>
            <w:r>
              <w:rPr>
                <w:rFonts w:cs="Times New Roman"/>
                <w:b w:val="0"/>
                <w:bCs/>
                <w:kern w:val="2"/>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12</w:t>
            </w:r>
          </w:p>
        </w:tc>
        <w:tc>
          <w:tcPr>
            <w:tcW w:w="2693" w:type="dxa"/>
            <w:vAlign w:val="center"/>
          </w:tcPr>
          <w:p>
            <w:pPr>
              <w:pStyle w:val="39"/>
              <w:spacing w:line="240" w:lineRule="auto"/>
              <w:rPr>
                <w:rFonts w:cs="Times New Roman"/>
                <w:b w:val="0"/>
                <w:bCs/>
                <w:kern w:val="2"/>
              </w:rPr>
            </w:pPr>
            <w:r>
              <w:rPr>
                <w:rFonts w:cs="Times New Roman"/>
                <w:b w:val="0"/>
                <w:bCs/>
                <w:kern w:val="2"/>
              </w:rPr>
              <w:t>1,2-二氯乙烷</w:t>
            </w:r>
          </w:p>
        </w:tc>
        <w:tc>
          <w:tcPr>
            <w:tcW w:w="2693" w:type="dxa"/>
            <w:vAlign w:val="center"/>
          </w:tcPr>
          <w:p>
            <w:pPr>
              <w:pStyle w:val="39"/>
              <w:spacing w:line="240" w:lineRule="auto"/>
              <w:rPr>
                <w:rFonts w:cs="Times New Roman"/>
                <w:b w:val="0"/>
                <w:bCs/>
                <w:kern w:val="2"/>
              </w:rPr>
            </w:pPr>
            <w:r>
              <w:rPr>
                <w:rFonts w:cs="Times New Roman"/>
                <w:b w:val="0"/>
                <w:bCs/>
                <w:kern w:val="2"/>
              </w:rPr>
              <w:t>5</w:t>
            </w:r>
          </w:p>
        </w:tc>
        <w:tc>
          <w:tcPr>
            <w:tcW w:w="2863" w:type="dxa"/>
            <w:vAlign w:val="center"/>
          </w:tcPr>
          <w:p>
            <w:pPr>
              <w:pStyle w:val="39"/>
              <w:spacing w:line="240" w:lineRule="auto"/>
              <w:rPr>
                <w:rFonts w:cs="Times New Roman"/>
                <w:b w:val="0"/>
                <w:bCs/>
                <w:kern w:val="2"/>
              </w:rPr>
            </w:pPr>
            <w:r>
              <w:rPr>
                <w:rFonts w:cs="Times New Roman"/>
                <w:b w:val="0"/>
                <w:bCs/>
                <w:kern w:val="2"/>
              </w:rPr>
              <w:t>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13</w:t>
            </w:r>
          </w:p>
        </w:tc>
        <w:tc>
          <w:tcPr>
            <w:tcW w:w="2693" w:type="dxa"/>
            <w:vAlign w:val="center"/>
          </w:tcPr>
          <w:p>
            <w:pPr>
              <w:pStyle w:val="39"/>
              <w:spacing w:line="240" w:lineRule="auto"/>
              <w:rPr>
                <w:rFonts w:cs="Times New Roman"/>
                <w:b w:val="0"/>
                <w:bCs/>
                <w:kern w:val="2"/>
              </w:rPr>
            </w:pPr>
            <w:r>
              <w:rPr>
                <w:rFonts w:cs="Times New Roman"/>
                <w:b w:val="0"/>
                <w:bCs/>
                <w:kern w:val="2"/>
              </w:rPr>
              <w:t>1,1-二氯乙烯</w:t>
            </w:r>
          </w:p>
        </w:tc>
        <w:tc>
          <w:tcPr>
            <w:tcW w:w="2693" w:type="dxa"/>
            <w:vAlign w:val="center"/>
          </w:tcPr>
          <w:p>
            <w:pPr>
              <w:pStyle w:val="39"/>
              <w:spacing w:line="240" w:lineRule="auto"/>
              <w:rPr>
                <w:rFonts w:cs="Times New Roman"/>
                <w:b w:val="0"/>
                <w:bCs/>
                <w:kern w:val="2"/>
              </w:rPr>
            </w:pPr>
            <w:r>
              <w:rPr>
                <w:rFonts w:cs="Times New Roman"/>
                <w:b w:val="0"/>
                <w:bCs/>
                <w:kern w:val="2"/>
              </w:rPr>
              <w:t>66</w:t>
            </w:r>
          </w:p>
        </w:tc>
        <w:tc>
          <w:tcPr>
            <w:tcW w:w="2863" w:type="dxa"/>
            <w:vAlign w:val="center"/>
          </w:tcPr>
          <w:p>
            <w:pPr>
              <w:pStyle w:val="39"/>
              <w:spacing w:line="240" w:lineRule="auto"/>
              <w:rPr>
                <w:rFonts w:cs="Times New Roman"/>
                <w:b w:val="0"/>
                <w:bCs/>
                <w:kern w:val="2"/>
              </w:rPr>
            </w:pPr>
            <w:r>
              <w:rPr>
                <w:rFonts w:cs="Times New Roman"/>
                <w:b w:val="0"/>
                <w:bCs/>
                <w:kern w:val="2"/>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14</w:t>
            </w:r>
          </w:p>
        </w:tc>
        <w:tc>
          <w:tcPr>
            <w:tcW w:w="2693" w:type="dxa"/>
            <w:vAlign w:val="center"/>
          </w:tcPr>
          <w:p>
            <w:pPr>
              <w:pStyle w:val="39"/>
              <w:spacing w:line="240" w:lineRule="auto"/>
              <w:rPr>
                <w:rFonts w:cs="Times New Roman"/>
                <w:b w:val="0"/>
                <w:bCs/>
                <w:kern w:val="2"/>
              </w:rPr>
            </w:pPr>
            <w:r>
              <w:rPr>
                <w:rFonts w:cs="Times New Roman"/>
                <w:b w:val="0"/>
                <w:bCs/>
                <w:kern w:val="2"/>
              </w:rPr>
              <w:t>顺1,2-二氯乙烯</w:t>
            </w:r>
          </w:p>
        </w:tc>
        <w:tc>
          <w:tcPr>
            <w:tcW w:w="2693" w:type="dxa"/>
            <w:vAlign w:val="center"/>
          </w:tcPr>
          <w:p>
            <w:pPr>
              <w:pStyle w:val="39"/>
              <w:spacing w:line="240" w:lineRule="auto"/>
              <w:rPr>
                <w:rFonts w:cs="Times New Roman"/>
                <w:b w:val="0"/>
                <w:bCs/>
                <w:kern w:val="2"/>
              </w:rPr>
            </w:pPr>
            <w:r>
              <w:rPr>
                <w:rFonts w:cs="Times New Roman"/>
                <w:b w:val="0"/>
                <w:bCs/>
                <w:kern w:val="2"/>
              </w:rPr>
              <w:t>596</w:t>
            </w:r>
          </w:p>
        </w:tc>
        <w:tc>
          <w:tcPr>
            <w:tcW w:w="2863" w:type="dxa"/>
            <w:vAlign w:val="center"/>
          </w:tcPr>
          <w:p>
            <w:pPr>
              <w:pStyle w:val="39"/>
              <w:spacing w:line="240" w:lineRule="auto"/>
              <w:rPr>
                <w:rFonts w:cs="Times New Roman"/>
                <w:b w:val="0"/>
                <w:bCs/>
                <w:kern w:val="2"/>
              </w:rPr>
            </w:pPr>
            <w:r>
              <w:rPr>
                <w:rFonts w:cs="Times New Roman"/>
                <w:b w:val="0"/>
                <w:bCs/>
                <w:kern w:val="2"/>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15</w:t>
            </w:r>
          </w:p>
        </w:tc>
        <w:tc>
          <w:tcPr>
            <w:tcW w:w="2693" w:type="dxa"/>
            <w:vAlign w:val="center"/>
          </w:tcPr>
          <w:p>
            <w:pPr>
              <w:pStyle w:val="39"/>
              <w:spacing w:line="240" w:lineRule="auto"/>
              <w:rPr>
                <w:rFonts w:cs="Times New Roman"/>
                <w:b w:val="0"/>
                <w:bCs/>
                <w:kern w:val="2"/>
              </w:rPr>
            </w:pPr>
            <w:r>
              <w:rPr>
                <w:rFonts w:cs="Times New Roman"/>
                <w:b w:val="0"/>
                <w:bCs/>
                <w:kern w:val="2"/>
              </w:rPr>
              <w:t>反1,2-二氯乙烯</w:t>
            </w:r>
          </w:p>
        </w:tc>
        <w:tc>
          <w:tcPr>
            <w:tcW w:w="2693" w:type="dxa"/>
            <w:vAlign w:val="center"/>
          </w:tcPr>
          <w:p>
            <w:pPr>
              <w:pStyle w:val="39"/>
              <w:spacing w:line="240" w:lineRule="auto"/>
              <w:rPr>
                <w:rFonts w:cs="Times New Roman"/>
                <w:b w:val="0"/>
                <w:bCs/>
                <w:kern w:val="2"/>
              </w:rPr>
            </w:pPr>
            <w:r>
              <w:rPr>
                <w:rFonts w:cs="Times New Roman"/>
                <w:b w:val="0"/>
                <w:bCs/>
                <w:kern w:val="2"/>
              </w:rPr>
              <w:t>54</w:t>
            </w:r>
          </w:p>
        </w:tc>
        <w:tc>
          <w:tcPr>
            <w:tcW w:w="2863" w:type="dxa"/>
            <w:vAlign w:val="center"/>
          </w:tcPr>
          <w:p>
            <w:pPr>
              <w:pStyle w:val="39"/>
              <w:spacing w:line="240" w:lineRule="auto"/>
              <w:rPr>
                <w:rFonts w:cs="Times New Roman"/>
                <w:b w:val="0"/>
                <w:bCs/>
                <w:kern w:val="2"/>
              </w:rPr>
            </w:pPr>
            <w:r>
              <w:rPr>
                <w:rFonts w:cs="Times New Roman"/>
                <w:b w:val="0"/>
                <w:bCs/>
                <w:kern w:val="2"/>
              </w:rPr>
              <w:t>163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16</w:t>
            </w:r>
          </w:p>
        </w:tc>
        <w:tc>
          <w:tcPr>
            <w:tcW w:w="2693" w:type="dxa"/>
            <w:vAlign w:val="center"/>
          </w:tcPr>
          <w:p>
            <w:pPr>
              <w:pStyle w:val="39"/>
              <w:spacing w:line="240" w:lineRule="auto"/>
              <w:rPr>
                <w:rFonts w:cs="Times New Roman"/>
                <w:b w:val="0"/>
                <w:bCs/>
                <w:kern w:val="2"/>
              </w:rPr>
            </w:pPr>
            <w:r>
              <w:rPr>
                <w:rFonts w:cs="Times New Roman"/>
                <w:b w:val="0"/>
                <w:bCs/>
                <w:kern w:val="2"/>
              </w:rPr>
              <w:t>二氯甲烷</w:t>
            </w:r>
          </w:p>
        </w:tc>
        <w:tc>
          <w:tcPr>
            <w:tcW w:w="2693" w:type="dxa"/>
            <w:vAlign w:val="center"/>
          </w:tcPr>
          <w:p>
            <w:pPr>
              <w:pStyle w:val="39"/>
              <w:spacing w:line="240" w:lineRule="auto"/>
              <w:rPr>
                <w:rFonts w:cs="Times New Roman"/>
                <w:b w:val="0"/>
                <w:bCs/>
                <w:kern w:val="2"/>
              </w:rPr>
            </w:pPr>
            <w:r>
              <w:rPr>
                <w:rFonts w:cs="Times New Roman"/>
                <w:b w:val="0"/>
                <w:bCs/>
                <w:kern w:val="2"/>
              </w:rPr>
              <w:t>616</w:t>
            </w:r>
          </w:p>
        </w:tc>
        <w:tc>
          <w:tcPr>
            <w:tcW w:w="2863" w:type="dxa"/>
            <w:vAlign w:val="center"/>
          </w:tcPr>
          <w:p>
            <w:pPr>
              <w:pStyle w:val="39"/>
              <w:spacing w:line="240" w:lineRule="auto"/>
              <w:rPr>
                <w:rFonts w:cs="Times New Roman"/>
                <w:b w:val="0"/>
                <w:bCs/>
                <w:kern w:val="2"/>
              </w:rPr>
            </w:pPr>
            <w:r>
              <w:rPr>
                <w:rFonts w:cs="Times New Roman"/>
                <w:b w:val="0"/>
                <w:bCs/>
                <w:kern w:val="2"/>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17</w:t>
            </w:r>
          </w:p>
        </w:tc>
        <w:tc>
          <w:tcPr>
            <w:tcW w:w="2693" w:type="dxa"/>
            <w:vAlign w:val="center"/>
          </w:tcPr>
          <w:p>
            <w:pPr>
              <w:pStyle w:val="39"/>
              <w:spacing w:line="240" w:lineRule="auto"/>
              <w:rPr>
                <w:rFonts w:cs="Times New Roman"/>
                <w:b w:val="0"/>
                <w:bCs/>
                <w:kern w:val="2"/>
              </w:rPr>
            </w:pPr>
            <w:r>
              <w:rPr>
                <w:rFonts w:cs="Times New Roman"/>
                <w:b w:val="0"/>
                <w:bCs/>
                <w:kern w:val="2"/>
              </w:rPr>
              <w:t>1,2-二氯丙烷</w:t>
            </w:r>
          </w:p>
        </w:tc>
        <w:tc>
          <w:tcPr>
            <w:tcW w:w="2693" w:type="dxa"/>
            <w:vAlign w:val="center"/>
          </w:tcPr>
          <w:p>
            <w:pPr>
              <w:pStyle w:val="39"/>
              <w:spacing w:line="240" w:lineRule="auto"/>
              <w:rPr>
                <w:rFonts w:cs="Times New Roman"/>
                <w:b w:val="0"/>
                <w:bCs/>
                <w:kern w:val="2"/>
              </w:rPr>
            </w:pPr>
            <w:r>
              <w:rPr>
                <w:rFonts w:cs="Times New Roman"/>
                <w:b w:val="0"/>
                <w:bCs/>
                <w:kern w:val="2"/>
              </w:rPr>
              <w:t>5</w:t>
            </w:r>
          </w:p>
        </w:tc>
        <w:tc>
          <w:tcPr>
            <w:tcW w:w="2863" w:type="dxa"/>
            <w:vAlign w:val="center"/>
          </w:tcPr>
          <w:p>
            <w:pPr>
              <w:pStyle w:val="39"/>
              <w:spacing w:line="240" w:lineRule="auto"/>
              <w:rPr>
                <w:rFonts w:cs="Times New Roman"/>
                <w:b w:val="0"/>
                <w:bCs/>
                <w:kern w:val="2"/>
              </w:rPr>
            </w:pPr>
            <w:r>
              <w:rPr>
                <w:rFonts w:cs="Times New Roman"/>
                <w:b w:val="0"/>
                <w:bCs/>
                <w:kern w:val="2"/>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18</w:t>
            </w:r>
          </w:p>
        </w:tc>
        <w:tc>
          <w:tcPr>
            <w:tcW w:w="2693" w:type="dxa"/>
            <w:vAlign w:val="center"/>
          </w:tcPr>
          <w:p>
            <w:pPr>
              <w:pStyle w:val="39"/>
              <w:spacing w:line="240" w:lineRule="auto"/>
              <w:rPr>
                <w:rFonts w:cs="Times New Roman"/>
                <w:b w:val="0"/>
                <w:bCs/>
                <w:kern w:val="2"/>
              </w:rPr>
            </w:pPr>
            <w:r>
              <w:rPr>
                <w:rFonts w:cs="Times New Roman"/>
                <w:b w:val="0"/>
                <w:bCs/>
                <w:kern w:val="2"/>
              </w:rPr>
              <w:t>1,1,1,2-四氯乙烷</w:t>
            </w:r>
          </w:p>
        </w:tc>
        <w:tc>
          <w:tcPr>
            <w:tcW w:w="2693" w:type="dxa"/>
            <w:vAlign w:val="center"/>
          </w:tcPr>
          <w:p>
            <w:pPr>
              <w:pStyle w:val="39"/>
              <w:spacing w:line="240" w:lineRule="auto"/>
              <w:rPr>
                <w:rFonts w:cs="Times New Roman"/>
                <w:b w:val="0"/>
                <w:bCs/>
                <w:kern w:val="2"/>
              </w:rPr>
            </w:pPr>
            <w:r>
              <w:rPr>
                <w:rFonts w:cs="Times New Roman"/>
                <w:b w:val="0"/>
                <w:bCs/>
                <w:kern w:val="2"/>
              </w:rPr>
              <w:t>10</w:t>
            </w:r>
          </w:p>
        </w:tc>
        <w:tc>
          <w:tcPr>
            <w:tcW w:w="2863" w:type="dxa"/>
            <w:vAlign w:val="center"/>
          </w:tcPr>
          <w:p>
            <w:pPr>
              <w:pStyle w:val="39"/>
              <w:spacing w:line="240" w:lineRule="auto"/>
              <w:rPr>
                <w:rFonts w:cs="Times New Roman"/>
                <w:b w:val="0"/>
                <w:bCs/>
                <w:kern w:val="2"/>
              </w:rPr>
            </w:pPr>
            <w:r>
              <w:rPr>
                <w:rFonts w:cs="Times New Roman"/>
                <w:b w:val="0"/>
                <w:bCs/>
                <w:kern w:val="2"/>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19</w:t>
            </w:r>
          </w:p>
        </w:tc>
        <w:tc>
          <w:tcPr>
            <w:tcW w:w="2693" w:type="dxa"/>
            <w:vAlign w:val="center"/>
          </w:tcPr>
          <w:p>
            <w:pPr>
              <w:pStyle w:val="39"/>
              <w:spacing w:line="240" w:lineRule="auto"/>
              <w:rPr>
                <w:rFonts w:cs="Times New Roman"/>
                <w:b w:val="0"/>
                <w:bCs/>
                <w:kern w:val="2"/>
              </w:rPr>
            </w:pPr>
            <w:r>
              <w:rPr>
                <w:rFonts w:cs="Times New Roman"/>
                <w:b w:val="0"/>
                <w:bCs/>
                <w:kern w:val="2"/>
              </w:rPr>
              <w:t>1,1,2,2-四氯乙烷</w:t>
            </w:r>
          </w:p>
        </w:tc>
        <w:tc>
          <w:tcPr>
            <w:tcW w:w="2693" w:type="dxa"/>
            <w:vAlign w:val="center"/>
          </w:tcPr>
          <w:p>
            <w:pPr>
              <w:pStyle w:val="39"/>
              <w:spacing w:line="240" w:lineRule="auto"/>
              <w:rPr>
                <w:rFonts w:cs="Times New Roman"/>
                <w:b w:val="0"/>
                <w:bCs/>
                <w:kern w:val="2"/>
              </w:rPr>
            </w:pPr>
            <w:r>
              <w:rPr>
                <w:rFonts w:cs="Times New Roman"/>
                <w:b w:val="0"/>
                <w:bCs/>
                <w:kern w:val="2"/>
              </w:rPr>
              <w:t>6.8</w:t>
            </w:r>
          </w:p>
        </w:tc>
        <w:tc>
          <w:tcPr>
            <w:tcW w:w="2863" w:type="dxa"/>
            <w:vAlign w:val="center"/>
          </w:tcPr>
          <w:p>
            <w:pPr>
              <w:pStyle w:val="39"/>
              <w:spacing w:line="240" w:lineRule="auto"/>
              <w:rPr>
                <w:rFonts w:cs="Times New Roman"/>
                <w:b w:val="0"/>
                <w:bCs/>
                <w:kern w:val="2"/>
              </w:rPr>
            </w:pPr>
            <w:r>
              <w:rPr>
                <w:rFonts w:cs="Times New Roman"/>
                <w:b w:val="0"/>
                <w:bCs/>
                <w:kern w:val="2"/>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20</w:t>
            </w:r>
          </w:p>
        </w:tc>
        <w:tc>
          <w:tcPr>
            <w:tcW w:w="2693" w:type="dxa"/>
            <w:vAlign w:val="center"/>
          </w:tcPr>
          <w:p>
            <w:pPr>
              <w:pStyle w:val="39"/>
              <w:spacing w:line="240" w:lineRule="auto"/>
              <w:rPr>
                <w:rFonts w:cs="Times New Roman"/>
                <w:b w:val="0"/>
                <w:bCs/>
                <w:kern w:val="2"/>
              </w:rPr>
            </w:pPr>
            <w:r>
              <w:rPr>
                <w:rFonts w:cs="Times New Roman"/>
                <w:b w:val="0"/>
                <w:bCs/>
                <w:kern w:val="2"/>
              </w:rPr>
              <w:t>四氯乙烯</w:t>
            </w:r>
          </w:p>
        </w:tc>
        <w:tc>
          <w:tcPr>
            <w:tcW w:w="2693" w:type="dxa"/>
            <w:vAlign w:val="center"/>
          </w:tcPr>
          <w:p>
            <w:pPr>
              <w:pStyle w:val="39"/>
              <w:spacing w:line="240" w:lineRule="auto"/>
              <w:rPr>
                <w:rFonts w:cs="Times New Roman"/>
                <w:b w:val="0"/>
                <w:bCs/>
                <w:kern w:val="2"/>
              </w:rPr>
            </w:pPr>
            <w:r>
              <w:rPr>
                <w:rFonts w:cs="Times New Roman"/>
                <w:b w:val="0"/>
                <w:bCs/>
                <w:kern w:val="2"/>
              </w:rPr>
              <w:t>53</w:t>
            </w:r>
          </w:p>
        </w:tc>
        <w:tc>
          <w:tcPr>
            <w:tcW w:w="2863" w:type="dxa"/>
            <w:vAlign w:val="center"/>
          </w:tcPr>
          <w:p>
            <w:pPr>
              <w:pStyle w:val="39"/>
              <w:spacing w:line="240" w:lineRule="auto"/>
              <w:rPr>
                <w:rFonts w:cs="Times New Roman"/>
                <w:b w:val="0"/>
                <w:bCs/>
                <w:kern w:val="2"/>
              </w:rPr>
            </w:pPr>
            <w:r>
              <w:rPr>
                <w:rFonts w:cs="Times New Roman"/>
                <w:b w:val="0"/>
                <w:bCs/>
                <w:kern w:val="2"/>
              </w:rPr>
              <w:t>183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21</w:t>
            </w:r>
          </w:p>
        </w:tc>
        <w:tc>
          <w:tcPr>
            <w:tcW w:w="2693" w:type="dxa"/>
            <w:vAlign w:val="center"/>
          </w:tcPr>
          <w:p>
            <w:pPr>
              <w:pStyle w:val="39"/>
              <w:spacing w:line="240" w:lineRule="auto"/>
              <w:rPr>
                <w:rFonts w:cs="Times New Roman"/>
                <w:b w:val="0"/>
                <w:bCs/>
                <w:kern w:val="2"/>
              </w:rPr>
            </w:pPr>
            <w:r>
              <w:rPr>
                <w:rFonts w:cs="Times New Roman"/>
                <w:b w:val="0"/>
                <w:bCs/>
                <w:kern w:val="2"/>
              </w:rPr>
              <w:t>1,1,1-三氯乙烷</w:t>
            </w:r>
          </w:p>
        </w:tc>
        <w:tc>
          <w:tcPr>
            <w:tcW w:w="2693" w:type="dxa"/>
            <w:vAlign w:val="center"/>
          </w:tcPr>
          <w:p>
            <w:pPr>
              <w:pStyle w:val="39"/>
              <w:spacing w:line="240" w:lineRule="auto"/>
              <w:rPr>
                <w:rFonts w:cs="Times New Roman"/>
                <w:b w:val="0"/>
                <w:bCs/>
                <w:kern w:val="2"/>
              </w:rPr>
            </w:pPr>
            <w:r>
              <w:rPr>
                <w:rFonts w:cs="Times New Roman"/>
                <w:b w:val="0"/>
                <w:bCs/>
                <w:kern w:val="2"/>
              </w:rPr>
              <w:t>840</w:t>
            </w:r>
          </w:p>
        </w:tc>
        <w:tc>
          <w:tcPr>
            <w:tcW w:w="2863" w:type="dxa"/>
            <w:vAlign w:val="center"/>
          </w:tcPr>
          <w:p>
            <w:pPr>
              <w:pStyle w:val="39"/>
              <w:spacing w:line="240" w:lineRule="auto"/>
              <w:rPr>
                <w:rFonts w:cs="Times New Roman"/>
                <w:b w:val="0"/>
                <w:bCs/>
                <w:kern w:val="2"/>
              </w:rPr>
            </w:pPr>
            <w:r>
              <w:rPr>
                <w:rFonts w:cs="Times New Roman"/>
                <w:b w:val="0"/>
                <w:bCs/>
                <w:kern w:val="2"/>
              </w:rPr>
              <w:t>840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22</w:t>
            </w:r>
          </w:p>
        </w:tc>
        <w:tc>
          <w:tcPr>
            <w:tcW w:w="2693" w:type="dxa"/>
            <w:vAlign w:val="center"/>
          </w:tcPr>
          <w:p>
            <w:pPr>
              <w:pStyle w:val="39"/>
              <w:spacing w:line="240" w:lineRule="auto"/>
              <w:rPr>
                <w:rFonts w:cs="Times New Roman"/>
                <w:b w:val="0"/>
                <w:bCs/>
                <w:kern w:val="2"/>
              </w:rPr>
            </w:pPr>
            <w:r>
              <w:rPr>
                <w:rFonts w:cs="Times New Roman"/>
                <w:b w:val="0"/>
                <w:bCs/>
                <w:kern w:val="2"/>
              </w:rPr>
              <w:t>1,1,2-三氯乙烷</w:t>
            </w:r>
          </w:p>
        </w:tc>
        <w:tc>
          <w:tcPr>
            <w:tcW w:w="2693" w:type="dxa"/>
            <w:vAlign w:val="center"/>
          </w:tcPr>
          <w:p>
            <w:pPr>
              <w:pStyle w:val="39"/>
              <w:spacing w:line="240" w:lineRule="auto"/>
              <w:rPr>
                <w:rFonts w:cs="Times New Roman"/>
                <w:b w:val="0"/>
                <w:bCs/>
                <w:kern w:val="2"/>
              </w:rPr>
            </w:pPr>
            <w:r>
              <w:rPr>
                <w:rFonts w:cs="Times New Roman"/>
                <w:b w:val="0"/>
                <w:bCs/>
                <w:kern w:val="2"/>
              </w:rPr>
              <w:t>2.8</w:t>
            </w:r>
          </w:p>
        </w:tc>
        <w:tc>
          <w:tcPr>
            <w:tcW w:w="2863" w:type="dxa"/>
            <w:vAlign w:val="center"/>
          </w:tcPr>
          <w:p>
            <w:pPr>
              <w:pStyle w:val="39"/>
              <w:spacing w:line="240" w:lineRule="auto"/>
              <w:rPr>
                <w:rFonts w:cs="Times New Roman"/>
                <w:b w:val="0"/>
                <w:bCs/>
                <w:kern w:val="2"/>
              </w:rPr>
            </w:pPr>
            <w:r>
              <w:rPr>
                <w:rFonts w:cs="Times New Roman"/>
                <w:b w:val="0"/>
                <w:bCs/>
                <w:kern w:val="2"/>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23</w:t>
            </w:r>
          </w:p>
        </w:tc>
        <w:tc>
          <w:tcPr>
            <w:tcW w:w="2693" w:type="dxa"/>
            <w:vAlign w:val="center"/>
          </w:tcPr>
          <w:p>
            <w:pPr>
              <w:pStyle w:val="39"/>
              <w:spacing w:line="240" w:lineRule="auto"/>
              <w:rPr>
                <w:rFonts w:cs="Times New Roman"/>
                <w:b w:val="0"/>
                <w:bCs/>
                <w:kern w:val="2"/>
              </w:rPr>
            </w:pPr>
            <w:r>
              <w:rPr>
                <w:rFonts w:cs="Times New Roman"/>
                <w:b w:val="0"/>
                <w:bCs/>
                <w:kern w:val="2"/>
              </w:rPr>
              <w:t>三氯乙烯</w:t>
            </w:r>
          </w:p>
        </w:tc>
        <w:tc>
          <w:tcPr>
            <w:tcW w:w="2693" w:type="dxa"/>
            <w:vAlign w:val="center"/>
          </w:tcPr>
          <w:p>
            <w:pPr>
              <w:pStyle w:val="39"/>
              <w:spacing w:line="240" w:lineRule="auto"/>
              <w:rPr>
                <w:rFonts w:cs="Times New Roman"/>
                <w:b w:val="0"/>
                <w:bCs/>
                <w:kern w:val="2"/>
              </w:rPr>
            </w:pPr>
            <w:r>
              <w:rPr>
                <w:rFonts w:cs="Times New Roman"/>
                <w:b w:val="0"/>
                <w:bCs/>
                <w:kern w:val="2"/>
              </w:rPr>
              <w:t>2.8</w:t>
            </w:r>
          </w:p>
        </w:tc>
        <w:tc>
          <w:tcPr>
            <w:tcW w:w="2863" w:type="dxa"/>
            <w:vAlign w:val="center"/>
          </w:tcPr>
          <w:p>
            <w:pPr>
              <w:pStyle w:val="39"/>
              <w:spacing w:line="240" w:lineRule="auto"/>
              <w:rPr>
                <w:rFonts w:cs="Times New Roman"/>
                <w:b w:val="0"/>
                <w:bCs/>
                <w:kern w:val="2"/>
              </w:rPr>
            </w:pPr>
            <w:r>
              <w:rPr>
                <w:rFonts w:cs="Times New Roman"/>
                <w:b w:val="0"/>
                <w:bCs/>
                <w:kern w:val="2"/>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24</w:t>
            </w:r>
          </w:p>
        </w:tc>
        <w:tc>
          <w:tcPr>
            <w:tcW w:w="2693" w:type="dxa"/>
            <w:vAlign w:val="center"/>
          </w:tcPr>
          <w:p>
            <w:pPr>
              <w:pStyle w:val="39"/>
              <w:spacing w:line="240" w:lineRule="auto"/>
              <w:rPr>
                <w:rFonts w:cs="Times New Roman"/>
                <w:b w:val="0"/>
                <w:bCs/>
                <w:kern w:val="2"/>
              </w:rPr>
            </w:pPr>
            <w:r>
              <w:rPr>
                <w:rFonts w:cs="Times New Roman"/>
                <w:b w:val="0"/>
                <w:bCs/>
                <w:kern w:val="2"/>
              </w:rPr>
              <w:t>1,2,3-三氯丙烷</w:t>
            </w:r>
          </w:p>
        </w:tc>
        <w:tc>
          <w:tcPr>
            <w:tcW w:w="2693" w:type="dxa"/>
            <w:vAlign w:val="center"/>
          </w:tcPr>
          <w:p>
            <w:pPr>
              <w:pStyle w:val="39"/>
              <w:spacing w:line="240" w:lineRule="auto"/>
              <w:rPr>
                <w:rFonts w:cs="Times New Roman"/>
                <w:b w:val="0"/>
                <w:bCs/>
                <w:kern w:val="2"/>
              </w:rPr>
            </w:pPr>
            <w:r>
              <w:rPr>
                <w:rFonts w:cs="Times New Roman"/>
                <w:b w:val="0"/>
                <w:bCs/>
                <w:kern w:val="2"/>
              </w:rPr>
              <w:t>0.5</w:t>
            </w:r>
          </w:p>
        </w:tc>
        <w:tc>
          <w:tcPr>
            <w:tcW w:w="2863" w:type="dxa"/>
            <w:vAlign w:val="center"/>
          </w:tcPr>
          <w:p>
            <w:pPr>
              <w:pStyle w:val="39"/>
              <w:spacing w:line="240" w:lineRule="auto"/>
              <w:rPr>
                <w:rFonts w:cs="Times New Roman"/>
                <w:b w:val="0"/>
                <w:bCs/>
                <w:kern w:val="2"/>
              </w:rPr>
            </w:pPr>
            <w:r>
              <w:rPr>
                <w:rFonts w:cs="Times New Roman"/>
                <w:b w:val="0"/>
                <w:bCs/>
                <w:kern w:val="2"/>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25</w:t>
            </w:r>
          </w:p>
        </w:tc>
        <w:tc>
          <w:tcPr>
            <w:tcW w:w="2693" w:type="dxa"/>
            <w:vAlign w:val="center"/>
          </w:tcPr>
          <w:p>
            <w:pPr>
              <w:pStyle w:val="39"/>
              <w:spacing w:line="240" w:lineRule="auto"/>
              <w:rPr>
                <w:rFonts w:cs="Times New Roman"/>
                <w:b w:val="0"/>
                <w:bCs/>
                <w:kern w:val="2"/>
              </w:rPr>
            </w:pPr>
            <w:r>
              <w:rPr>
                <w:rFonts w:cs="Times New Roman"/>
                <w:b w:val="0"/>
                <w:bCs/>
                <w:kern w:val="2"/>
              </w:rPr>
              <w:t>氯乙烯</w:t>
            </w:r>
          </w:p>
        </w:tc>
        <w:tc>
          <w:tcPr>
            <w:tcW w:w="2693" w:type="dxa"/>
            <w:vAlign w:val="center"/>
          </w:tcPr>
          <w:p>
            <w:pPr>
              <w:pStyle w:val="39"/>
              <w:spacing w:line="240" w:lineRule="auto"/>
              <w:rPr>
                <w:rFonts w:cs="Times New Roman"/>
                <w:b w:val="0"/>
                <w:bCs/>
                <w:kern w:val="2"/>
              </w:rPr>
            </w:pPr>
            <w:r>
              <w:rPr>
                <w:rFonts w:cs="Times New Roman"/>
                <w:b w:val="0"/>
                <w:bCs/>
                <w:kern w:val="2"/>
              </w:rPr>
              <w:t>0.43</w:t>
            </w:r>
          </w:p>
        </w:tc>
        <w:tc>
          <w:tcPr>
            <w:tcW w:w="2863" w:type="dxa"/>
            <w:vAlign w:val="center"/>
          </w:tcPr>
          <w:p>
            <w:pPr>
              <w:pStyle w:val="39"/>
              <w:spacing w:line="240" w:lineRule="auto"/>
              <w:rPr>
                <w:rFonts w:cs="Times New Roman"/>
                <w:b w:val="0"/>
                <w:bCs/>
                <w:kern w:val="2"/>
              </w:rPr>
            </w:pPr>
            <w:r>
              <w:rPr>
                <w:rFonts w:cs="Times New Roman"/>
                <w:b w:val="0"/>
                <w:bCs/>
                <w:kern w:val="2"/>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26</w:t>
            </w:r>
          </w:p>
        </w:tc>
        <w:tc>
          <w:tcPr>
            <w:tcW w:w="2693" w:type="dxa"/>
            <w:vAlign w:val="center"/>
          </w:tcPr>
          <w:p>
            <w:pPr>
              <w:pStyle w:val="39"/>
              <w:spacing w:line="240" w:lineRule="auto"/>
              <w:rPr>
                <w:rFonts w:cs="Times New Roman"/>
                <w:b w:val="0"/>
                <w:bCs/>
                <w:kern w:val="2"/>
              </w:rPr>
            </w:pPr>
            <w:r>
              <w:rPr>
                <w:rFonts w:cs="Times New Roman"/>
                <w:b w:val="0"/>
                <w:bCs/>
                <w:kern w:val="2"/>
              </w:rPr>
              <w:t>苯</w:t>
            </w:r>
          </w:p>
        </w:tc>
        <w:tc>
          <w:tcPr>
            <w:tcW w:w="2693" w:type="dxa"/>
            <w:vAlign w:val="center"/>
          </w:tcPr>
          <w:p>
            <w:pPr>
              <w:pStyle w:val="39"/>
              <w:spacing w:line="240" w:lineRule="auto"/>
              <w:rPr>
                <w:rFonts w:cs="Times New Roman"/>
                <w:b w:val="0"/>
                <w:bCs/>
                <w:kern w:val="2"/>
              </w:rPr>
            </w:pPr>
            <w:r>
              <w:rPr>
                <w:rFonts w:cs="Times New Roman"/>
                <w:b w:val="0"/>
                <w:bCs/>
                <w:kern w:val="2"/>
              </w:rPr>
              <w:t>4</w:t>
            </w:r>
          </w:p>
        </w:tc>
        <w:tc>
          <w:tcPr>
            <w:tcW w:w="2863" w:type="dxa"/>
            <w:vAlign w:val="center"/>
          </w:tcPr>
          <w:p>
            <w:pPr>
              <w:pStyle w:val="39"/>
              <w:spacing w:line="240" w:lineRule="auto"/>
              <w:rPr>
                <w:rFonts w:cs="Times New Roman"/>
                <w:b w:val="0"/>
                <w:bCs/>
                <w:kern w:val="2"/>
              </w:rPr>
            </w:pPr>
            <w:r>
              <w:rPr>
                <w:rFonts w:cs="Times New Roman"/>
                <w:b w:val="0"/>
                <w:bCs/>
                <w:kern w:val="2"/>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27</w:t>
            </w:r>
          </w:p>
        </w:tc>
        <w:tc>
          <w:tcPr>
            <w:tcW w:w="2693" w:type="dxa"/>
            <w:vAlign w:val="center"/>
          </w:tcPr>
          <w:p>
            <w:pPr>
              <w:pStyle w:val="39"/>
              <w:spacing w:line="240" w:lineRule="auto"/>
              <w:rPr>
                <w:rFonts w:cs="Times New Roman"/>
                <w:b w:val="0"/>
                <w:bCs/>
                <w:kern w:val="2"/>
              </w:rPr>
            </w:pPr>
            <w:r>
              <w:rPr>
                <w:rFonts w:cs="Times New Roman"/>
                <w:b w:val="0"/>
                <w:bCs/>
                <w:kern w:val="2"/>
              </w:rPr>
              <w:t>氯苯</w:t>
            </w:r>
          </w:p>
        </w:tc>
        <w:tc>
          <w:tcPr>
            <w:tcW w:w="2693" w:type="dxa"/>
            <w:vAlign w:val="center"/>
          </w:tcPr>
          <w:p>
            <w:pPr>
              <w:pStyle w:val="39"/>
              <w:spacing w:line="240" w:lineRule="auto"/>
              <w:rPr>
                <w:rFonts w:cs="Times New Roman"/>
                <w:b w:val="0"/>
                <w:bCs/>
                <w:kern w:val="2"/>
              </w:rPr>
            </w:pPr>
            <w:r>
              <w:rPr>
                <w:rFonts w:cs="Times New Roman"/>
                <w:b w:val="0"/>
                <w:bCs/>
                <w:kern w:val="2"/>
              </w:rPr>
              <w:t>270</w:t>
            </w:r>
          </w:p>
        </w:tc>
        <w:tc>
          <w:tcPr>
            <w:tcW w:w="2863" w:type="dxa"/>
            <w:vAlign w:val="center"/>
          </w:tcPr>
          <w:p>
            <w:pPr>
              <w:pStyle w:val="39"/>
              <w:spacing w:line="240" w:lineRule="auto"/>
              <w:rPr>
                <w:rFonts w:cs="Times New Roman"/>
                <w:b w:val="0"/>
                <w:bCs/>
                <w:kern w:val="2"/>
              </w:rPr>
            </w:pPr>
            <w:r>
              <w:rPr>
                <w:rFonts w:cs="Times New Roman"/>
                <w:b w:val="0"/>
                <w:bCs/>
                <w:kern w:val="2"/>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28</w:t>
            </w:r>
          </w:p>
        </w:tc>
        <w:tc>
          <w:tcPr>
            <w:tcW w:w="2693" w:type="dxa"/>
            <w:vAlign w:val="center"/>
          </w:tcPr>
          <w:p>
            <w:pPr>
              <w:pStyle w:val="39"/>
              <w:spacing w:line="240" w:lineRule="auto"/>
              <w:rPr>
                <w:rFonts w:cs="Times New Roman"/>
                <w:b w:val="0"/>
                <w:bCs/>
                <w:kern w:val="2"/>
              </w:rPr>
            </w:pPr>
            <w:r>
              <w:rPr>
                <w:rFonts w:cs="Times New Roman"/>
                <w:b w:val="0"/>
                <w:bCs/>
                <w:kern w:val="2"/>
              </w:rPr>
              <w:t>1,2-二氯苯</w:t>
            </w:r>
          </w:p>
        </w:tc>
        <w:tc>
          <w:tcPr>
            <w:tcW w:w="2693" w:type="dxa"/>
            <w:vAlign w:val="center"/>
          </w:tcPr>
          <w:p>
            <w:pPr>
              <w:pStyle w:val="39"/>
              <w:spacing w:line="240" w:lineRule="auto"/>
              <w:rPr>
                <w:rFonts w:cs="Times New Roman"/>
                <w:b w:val="0"/>
                <w:bCs/>
                <w:kern w:val="2"/>
              </w:rPr>
            </w:pPr>
            <w:r>
              <w:rPr>
                <w:rFonts w:cs="Times New Roman"/>
                <w:b w:val="0"/>
                <w:bCs/>
                <w:kern w:val="2"/>
              </w:rPr>
              <w:t>560</w:t>
            </w:r>
          </w:p>
        </w:tc>
        <w:tc>
          <w:tcPr>
            <w:tcW w:w="2863" w:type="dxa"/>
            <w:vAlign w:val="center"/>
          </w:tcPr>
          <w:p>
            <w:pPr>
              <w:pStyle w:val="39"/>
              <w:spacing w:line="240" w:lineRule="auto"/>
              <w:rPr>
                <w:rFonts w:cs="Times New Roman"/>
                <w:b w:val="0"/>
                <w:bCs/>
                <w:kern w:val="2"/>
              </w:rPr>
            </w:pPr>
            <w:r>
              <w:rPr>
                <w:rFonts w:cs="Times New Roman"/>
                <w:b w:val="0"/>
                <w:bCs/>
                <w:kern w:val="2"/>
              </w:rPr>
              <w:t>560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29</w:t>
            </w:r>
          </w:p>
        </w:tc>
        <w:tc>
          <w:tcPr>
            <w:tcW w:w="2693" w:type="dxa"/>
            <w:vAlign w:val="center"/>
          </w:tcPr>
          <w:p>
            <w:pPr>
              <w:pStyle w:val="39"/>
              <w:spacing w:line="240" w:lineRule="auto"/>
              <w:rPr>
                <w:rFonts w:cs="Times New Roman"/>
                <w:b w:val="0"/>
                <w:bCs/>
                <w:kern w:val="2"/>
              </w:rPr>
            </w:pPr>
            <w:r>
              <w:rPr>
                <w:rFonts w:cs="Times New Roman"/>
                <w:b w:val="0"/>
                <w:bCs/>
                <w:kern w:val="2"/>
              </w:rPr>
              <w:t>1,4-二氯苯</w:t>
            </w:r>
          </w:p>
        </w:tc>
        <w:tc>
          <w:tcPr>
            <w:tcW w:w="2693" w:type="dxa"/>
            <w:vAlign w:val="center"/>
          </w:tcPr>
          <w:p>
            <w:pPr>
              <w:pStyle w:val="39"/>
              <w:spacing w:line="240" w:lineRule="auto"/>
              <w:rPr>
                <w:rFonts w:cs="Times New Roman"/>
                <w:b w:val="0"/>
                <w:bCs/>
                <w:kern w:val="2"/>
              </w:rPr>
            </w:pPr>
            <w:r>
              <w:rPr>
                <w:rFonts w:cs="Times New Roman"/>
                <w:b w:val="0"/>
                <w:bCs/>
                <w:kern w:val="2"/>
              </w:rPr>
              <w:t>20</w:t>
            </w:r>
          </w:p>
        </w:tc>
        <w:tc>
          <w:tcPr>
            <w:tcW w:w="2863" w:type="dxa"/>
            <w:vAlign w:val="center"/>
          </w:tcPr>
          <w:p>
            <w:pPr>
              <w:pStyle w:val="39"/>
              <w:spacing w:line="240" w:lineRule="auto"/>
              <w:rPr>
                <w:rFonts w:cs="Times New Roman"/>
                <w:b w:val="0"/>
                <w:bCs/>
                <w:kern w:val="2"/>
              </w:rPr>
            </w:pPr>
            <w:r>
              <w:rPr>
                <w:rFonts w:cs="Times New Roman"/>
                <w:b w:val="0"/>
                <w:bCs/>
                <w:kern w:val="2"/>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30</w:t>
            </w:r>
          </w:p>
        </w:tc>
        <w:tc>
          <w:tcPr>
            <w:tcW w:w="2693" w:type="dxa"/>
            <w:vAlign w:val="center"/>
          </w:tcPr>
          <w:p>
            <w:pPr>
              <w:pStyle w:val="39"/>
              <w:spacing w:line="240" w:lineRule="auto"/>
              <w:rPr>
                <w:rFonts w:cs="Times New Roman"/>
                <w:b w:val="0"/>
                <w:bCs/>
                <w:kern w:val="2"/>
              </w:rPr>
            </w:pPr>
            <w:r>
              <w:rPr>
                <w:rFonts w:cs="Times New Roman"/>
                <w:b w:val="0"/>
                <w:bCs/>
                <w:kern w:val="2"/>
              </w:rPr>
              <w:t>乙苯</w:t>
            </w:r>
          </w:p>
        </w:tc>
        <w:tc>
          <w:tcPr>
            <w:tcW w:w="2693" w:type="dxa"/>
            <w:vAlign w:val="center"/>
          </w:tcPr>
          <w:p>
            <w:pPr>
              <w:pStyle w:val="39"/>
              <w:spacing w:line="240" w:lineRule="auto"/>
              <w:rPr>
                <w:rFonts w:cs="Times New Roman"/>
                <w:b w:val="0"/>
                <w:bCs/>
                <w:kern w:val="2"/>
              </w:rPr>
            </w:pPr>
            <w:r>
              <w:rPr>
                <w:rFonts w:cs="Times New Roman"/>
                <w:b w:val="0"/>
                <w:bCs/>
                <w:kern w:val="2"/>
              </w:rPr>
              <w:t>28</w:t>
            </w:r>
          </w:p>
        </w:tc>
        <w:tc>
          <w:tcPr>
            <w:tcW w:w="2863" w:type="dxa"/>
            <w:vAlign w:val="center"/>
          </w:tcPr>
          <w:p>
            <w:pPr>
              <w:pStyle w:val="39"/>
              <w:spacing w:line="240" w:lineRule="auto"/>
              <w:rPr>
                <w:rFonts w:cs="Times New Roman"/>
                <w:b w:val="0"/>
                <w:bCs/>
                <w:kern w:val="2"/>
              </w:rPr>
            </w:pPr>
            <w:r>
              <w:rPr>
                <w:rFonts w:cs="Times New Roman"/>
                <w:b w:val="0"/>
                <w:bCs/>
                <w:kern w:val="2"/>
              </w:rPr>
              <w:t>280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31</w:t>
            </w:r>
          </w:p>
        </w:tc>
        <w:tc>
          <w:tcPr>
            <w:tcW w:w="2693" w:type="dxa"/>
            <w:vAlign w:val="center"/>
          </w:tcPr>
          <w:p>
            <w:pPr>
              <w:pStyle w:val="39"/>
              <w:spacing w:line="240" w:lineRule="auto"/>
              <w:rPr>
                <w:rFonts w:cs="Times New Roman"/>
                <w:b w:val="0"/>
                <w:bCs/>
                <w:kern w:val="2"/>
              </w:rPr>
            </w:pPr>
            <w:r>
              <w:rPr>
                <w:rFonts w:cs="Times New Roman"/>
                <w:b w:val="0"/>
                <w:bCs/>
                <w:kern w:val="2"/>
              </w:rPr>
              <w:t>苯乙烯</w:t>
            </w:r>
          </w:p>
        </w:tc>
        <w:tc>
          <w:tcPr>
            <w:tcW w:w="2693" w:type="dxa"/>
            <w:vAlign w:val="center"/>
          </w:tcPr>
          <w:p>
            <w:pPr>
              <w:pStyle w:val="39"/>
              <w:spacing w:line="240" w:lineRule="auto"/>
              <w:rPr>
                <w:rFonts w:cs="Times New Roman"/>
                <w:b w:val="0"/>
                <w:bCs/>
                <w:kern w:val="2"/>
              </w:rPr>
            </w:pPr>
            <w:r>
              <w:rPr>
                <w:rFonts w:cs="Times New Roman"/>
                <w:b w:val="0"/>
                <w:bCs/>
                <w:kern w:val="2"/>
              </w:rPr>
              <w:t>1290</w:t>
            </w:r>
          </w:p>
        </w:tc>
        <w:tc>
          <w:tcPr>
            <w:tcW w:w="2863" w:type="dxa"/>
            <w:vAlign w:val="center"/>
          </w:tcPr>
          <w:p>
            <w:pPr>
              <w:pStyle w:val="39"/>
              <w:spacing w:line="240" w:lineRule="auto"/>
              <w:rPr>
                <w:rFonts w:cs="Times New Roman"/>
                <w:b w:val="0"/>
                <w:bCs/>
                <w:kern w:val="2"/>
              </w:rPr>
            </w:pPr>
            <w:r>
              <w:rPr>
                <w:rFonts w:cs="Times New Roman"/>
                <w:b w:val="0"/>
                <w:bCs/>
                <w:kern w:val="2"/>
              </w:rPr>
              <w:t>1290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32</w:t>
            </w:r>
          </w:p>
        </w:tc>
        <w:tc>
          <w:tcPr>
            <w:tcW w:w="2693" w:type="dxa"/>
            <w:vAlign w:val="center"/>
          </w:tcPr>
          <w:p>
            <w:pPr>
              <w:pStyle w:val="39"/>
              <w:spacing w:line="240" w:lineRule="auto"/>
              <w:rPr>
                <w:rFonts w:cs="Times New Roman"/>
                <w:b w:val="0"/>
                <w:bCs/>
                <w:kern w:val="2"/>
              </w:rPr>
            </w:pPr>
            <w:r>
              <w:rPr>
                <w:rFonts w:cs="Times New Roman"/>
                <w:b w:val="0"/>
                <w:bCs/>
                <w:kern w:val="2"/>
              </w:rPr>
              <w:t>甲苯</w:t>
            </w:r>
          </w:p>
        </w:tc>
        <w:tc>
          <w:tcPr>
            <w:tcW w:w="2693" w:type="dxa"/>
            <w:vAlign w:val="center"/>
          </w:tcPr>
          <w:p>
            <w:pPr>
              <w:pStyle w:val="39"/>
              <w:spacing w:line="240" w:lineRule="auto"/>
              <w:rPr>
                <w:rFonts w:cs="Times New Roman"/>
                <w:b w:val="0"/>
                <w:bCs/>
                <w:kern w:val="2"/>
              </w:rPr>
            </w:pPr>
            <w:r>
              <w:rPr>
                <w:rFonts w:cs="Times New Roman"/>
                <w:b w:val="0"/>
                <w:bCs/>
                <w:kern w:val="2"/>
              </w:rPr>
              <w:t>1200</w:t>
            </w:r>
          </w:p>
        </w:tc>
        <w:tc>
          <w:tcPr>
            <w:tcW w:w="2863" w:type="dxa"/>
            <w:vAlign w:val="center"/>
          </w:tcPr>
          <w:p>
            <w:pPr>
              <w:pStyle w:val="39"/>
              <w:spacing w:line="240" w:lineRule="auto"/>
              <w:rPr>
                <w:rFonts w:cs="Times New Roman"/>
                <w:b w:val="0"/>
                <w:bCs/>
                <w:kern w:val="2"/>
              </w:rPr>
            </w:pPr>
            <w:r>
              <w:rPr>
                <w:rFonts w:cs="Times New Roman"/>
                <w:b w:val="0"/>
                <w:bCs/>
                <w:kern w:val="2"/>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33</w:t>
            </w:r>
          </w:p>
        </w:tc>
        <w:tc>
          <w:tcPr>
            <w:tcW w:w="2693" w:type="dxa"/>
            <w:vAlign w:val="center"/>
          </w:tcPr>
          <w:p>
            <w:pPr>
              <w:pStyle w:val="39"/>
              <w:spacing w:line="240" w:lineRule="auto"/>
              <w:rPr>
                <w:rFonts w:cs="Times New Roman"/>
                <w:b w:val="0"/>
                <w:bCs/>
                <w:kern w:val="2"/>
              </w:rPr>
            </w:pPr>
            <w:r>
              <w:rPr>
                <w:rFonts w:cs="Times New Roman"/>
                <w:b w:val="0"/>
                <w:bCs/>
                <w:kern w:val="2"/>
              </w:rPr>
              <w:t>间二甲苯+对二甲苯</w:t>
            </w:r>
          </w:p>
        </w:tc>
        <w:tc>
          <w:tcPr>
            <w:tcW w:w="2693" w:type="dxa"/>
            <w:vAlign w:val="center"/>
          </w:tcPr>
          <w:p>
            <w:pPr>
              <w:pStyle w:val="39"/>
              <w:spacing w:line="240" w:lineRule="auto"/>
              <w:rPr>
                <w:rFonts w:cs="Times New Roman"/>
                <w:b w:val="0"/>
                <w:bCs/>
                <w:kern w:val="2"/>
              </w:rPr>
            </w:pPr>
            <w:r>
              <w:rPr>
                <w:rFonts w:cs="Times New Roman"/>
                <w:b w:val="0"/>
                <w:bCs/>
                <w:kern w:val="2"/>
              </w:rPr>
              <w:t>570</w:t>
            </w:r>
          </w:p>
        </w:tc>
        <w:tc>
          <w:tcPr>
            <w:tcW w:w="2863" w:type="dxa"/>
            <w:vAlign w:val="center"/>
          </w:tcPr>
          <w:p>
            <w:pPr>
              <w:pStyle w:val="39"/>
              <w:spacing w:line="240" w:lineRule="auto"/>
              <w:rPr>
                <w:rFonts w:cs="Times New Roman"/>
                <w:b w:val="0"/>
                <w:bCs/>
                <w:kern w:val="2"/>
              </w:rPr>
            </w:pPr>
            <w:r>
              <w:rPr>
                <w:rFonts w:cs="Times New Roman"/>
                <w:b w:val="0"/>
                <w:bCs/>
                <w:kern w:val="2"/>
              </w:rPr>
              <w:t>570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34</w:t>
            </w:r>
          </w:p>
        </w:tc>
        <w:tc>
          <w:tcPr>
            <w:tcW w:w="2693" w:type="dxa"/>
            <w:vAlign w:val="center"/>
          </w:tcPr>
          <w:p>
            <w:pPr>
              <w:pStyle w:val="39"/>
              <w:spacing w:line="240" w:lineRule="auto"/>
              <w:rPr>
                <w:rFonts w:cs="Times New Roman"/>
                <w:b w:val="0"/>
                <w:bCs/>
                <w:kern w:val="2"/>
              </w:rPr>
            </w:pPr>
            <w:r>
              <w:rPr>
                <w:rFonts w:cs="Times New Roman"/>
                <w:b w:val="0"/>
                <w:bCs/>
                <w:kern w:val="2"/>
              </w:rPr>
              <w:t>邻二甲苯</w:t>
            </w:r>
          </w:p>
        </w:tc>
        <w:tc>
          <w:tcPr>
            <w:tcW w:w="2693" w:type="dxa"/>
            <w:vAlign w:val="center"/>
          </w:tcPr>
          <w:p>
            <w:pPr>
              <w:pStyle w:val="39"/>
              <w:spacing w:line="240" w:lineRule="auto"/>
              <w:rPr>
                <w:rFonts w:cs="Times New Roman"/>
                <w:b w:val="0"/>
                <w:bCs/>
                <w:kern w:val="2"/>
              </w:rPr>
            </w:pPr>
            <w:r>
              <w:rPr>
                <w:rFonts w:cs="Times New Roman"/>
                <w:b w:val="0"/>
                <w:bCs/>
                <w:kern w:val="2"/>
              </w:rPr>
              <w:t>640</w:t>
            </w:r>
          </w:p>
        </w:tc>
        <w:tc>
          <w:tcPr>
            <w:tcW w:w="2863" w:type="dxa"/>
            <w:vAlign w:val="center"/>
          </w:tcPr>
          <w:p>
            <w:pPr>
              <w:pStyle w:val="39"/>
              <w:spacing w:line="240" w:lineRule="auto"/>
              <w:rPr>
                <w:rFonts w:cs="Times New Roman"/>
                <w:b w:val="0"/>
                <w:bCs/>
                <w:kern w:val="2"/>
              </w:rPr>
            </w:pPr>
            <w:r>
              <w:rPr>
                <w:rFonts w:cs="Times New Roman"/>
                <w:b w:val="0"/>
                <w:bCs/>
                <w:kern w:val="2"/>
              </w:rPr>
              <w:t>640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208" w:type="dxa"/>
            <w:gridSpan w:val="4"/>
            <w:vAlign w:val="center"/>
          </w:tcPr>
          <w:p>
            <w:pPr>
              <w:pStyle w:val="39"/>
              <w:spacing w:line="240" w:lineRule="auto"/>
              <w:rPr>
                <w:rFonts w:cs="Times New Roman"/>
                <w:b w:val="0"/>
                <w:bCs/>
                <w:kern w:val="2"/>
              </w:rPr>
            </w:pPr>
            <w:r>
              <w:rPr>
                <w:rFonts w:cs="Times New Roman"/>
                <w:b w:val="0"/>
                <w:bCs/>
                <w:kern w:val="2"/>
              </w:rPr>
              <w:t>半挥发性有机物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35</w:t>
            </w:r>
          </w:p>
        </w:tc>
        <w:tc>
          <w:tcPr>
            <w:tcW w:w="2693" w:type="dxa"/>
            <w:vAlign w:val="center"/>
          </w:tcPr>
          <w:p>
            <w:pPr>
              <w:pStyle w:val="39"/>
              <w:spacing w:line="240" w:lineRule="auto"/>
              <w:rPr>
                <w:rFonts w:cs="Times New Roman"/>
                <w:b w:val="0"/>
                <w:bCs/>
                <w:kern w:val="2"/>
              </w:rPr>
            </w:pPr>
            <w:r>
              <w:rPr>
                <w:rFonts w:cs="Times New Roman"/>
                <w:b w:val="0"/>
                <w:bCs/>
                <w:kern w:val="2"/>
              </w:rPr>
              <w:t>硝基苯</w:t>
            </w:r>
          </w:p>
        </w:tc>
        <w:tc>
          <w:tcPr>
            <w:tcW w:w="2693" w:type="dxa"/>
            <w:vAlign w:val="center"/>
          </w:tcPr>
          <w:p>
            <w:pPr>
              <w:pStyle w:val="39"/>
              <w:spacing w:line="240" w:lineRule="auto"/>
              <w:rPr>
                <w:rFonts w:cs="Times New Roman"/>
                <w:b w:val="0"/>
                <w:bCs/>
                <w:kern w:val="2"/>
              </w:rPr>
            </w:pPr>
            <w:r>
              <w:rPr>
                <w:rFonts w:cs="Times New Roman"/>
                <w:b w:val="0"/>
                <w:bCs/>
                <w:kern w:val="2"/>
              </w:rPr>
              <w:t>76</w:t>
            </w:r>
          </w:p>
        </w:tc>
        <w:tc>
          <w:tcPr>
            <w:tcW w:w="2863" w:type="dxa"/>
            <w:vAlign w:val="center"/>
          </w:tcPr>
          <w:p>
            <w:pPr>
              <w:pStyle w:val="39"/>
              <w:spacing w:line="240" w:lineRule="auto"/>
              <w:rPr>
                <w:rFonts w:cs="Times New Roman"/>
                <w:b w:val="0"/>
                <w:bCs/>
                <w:kern w:val="2"/>
              </w:rPr>
            </w:pPr>
            <w:r>
              <w:rPr>
                <w:rFonts w:cs="Times New Roman"/>
                <w:b w:val="0"/>
                <w:bCs/>
                <w:kern w:val="2"/>
              </w:rPr>
              <w:t>760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36</w:t>
            </w:r>
          </w:p>
        </w:tc>
        <w:tc>
          <w:tcPr>
            <w:tcW w:w="2693" w:type="dxa"/>
            <w:vAlign w:val="center"/>
          </w:tcPr>
          <w:p>
            <w:pPr>
              <w:pStyle w:val="39"/>
              <w:spacing w:line="240" w:lineRule="auto"/>
              <w:rPr>
                <w:rFonts w:cs="Times New Roman"/>
                <w:b w:val="0"/>
                <w:bCs/>
                <w:kern w:val="2"/>
              </w:rPr>
            </w:pPr>
            <w:r>
              <w:rPr>
                <w:rFonts w:cs="Times New Roman"/>
                <w:b w:val="0"/>
                <w:bCs/>
                <w:kern w:val="2"/>
              </w:rPr>
              <w:t>苯胺</w:t>
            </w:r>
          </w:p>
        </w:tc>
        <w:tc>
          <w:tcPr>
            <w:tcW w:w="2693" w:type="dxa"/>
            <w:vAlign w:val="center"/>
          </w:tcPr>
          <w:p>
            <w:pPr>
              <w:pStyle w:val="39"/>
              <w:spacing w:line="240" w:lineRule="auto"/>
              <w:rPr>
                <w:rFonts w:cs="Times New Roman"/>
                <w:b w:val="0"/>
                <w:bCs/>
                <w:kern w:val="2"/>
              </w:rPr>
            </w:pPr>
            <w:r>
              <w:rPr>
                <w:rFonts w:cs="Times New Roman"/>
                <w:b w:val="0"/>
                <w:bCs/>
                <w:kern w:val="2"/>
              </w:rPr>
              <w:t>260</w:t>
            </w:r>
          </w:p>
        </w:tc>
        <w:tc>
          <w:tcPr>
            <w:tcW w:w="2863" w:type="dxa"/>
            <w:vAlign w:val="center"/>
          </w:tcPr>
          <w:p>
            <w:pPr>
              <w:pStyle w:val="39"/>
              <w:spacing w:line="240" w:lineRule="auto"/>
              <w:rPr>
                <w:rFonts w:cs="Times New Roman"/>
                <w:b w:val="0"/>
                <w:bCs/>
                <w:kern w:val="2"/>
              </w:rPr>
            </w:pPr>
            <w:r>
              <w:rPr>
                <w:rFonts w:cs="Times New Roman"/>
                <w:b w:val="0"/>
                <w:bCs/>
                <w:kern w:val="2"/>
              </w:rPr>
              <w:t>663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37</w:t>
            </w:r>
          </w:p>
        </w:tc>
        <w:tc>
          <w:tcPr>
            <w:tcW w:w="2693" w:type="dxa"/>
            <w:vAlign w:val="center"/>
          </w:tcPr>
          <w:p>
            <w:pPr>
              <w:pStyle w:val="39"/>
              <w:spacing w:line="240" w:lineRule="auto"/>
              <w:rPr>
                <w:rFonts w:cs="Times New Roman"/>
                <w:b w:val="0"/>
                <w:bCs/>
                <w:kern w:val="2"/>
              </w:rPr>
            </w:pPr>
            <w:r>
              <w:rPr>
                <w:rFonts w:cs="Times New Roman"/>
                <w:b w:val="0"/>
                <w:bCs/>
                <w:kern w:val="2"/>
              </w:rPr>
              <w:t>2-氯酚</w:t>
            </w:r>
          </w:p>
        </w:tc>
        <w:tc>
          <w:tcPr>
            <w:tcW w:w="2693" w:type="dxa"/>
            <w:vAlign w:val="center"/>
          </w:tcPr>
          <w:p>
            <w:pPr>
              <w:pStyle w:val="39"/>
              <w:spacing w:line="240" w:lineRule="auto"/>
              <w:rPr>
                <w:rFonts w:cs="Times New Roman"/>
                <w:b w:val="0"/>
                <w:bCs/>
                <w:kern w:val="2"/>
              </w:rPr>
            </w:pPr>
            <w:r>
              <w:rPr>
                <w:rFonts w:cs="Times New Roman"/>
                <w:b w:val="0"/>
                <w:bCs/>
                <w:kern w:val="2"/>
              </w:rPr>
              <w:t>2256</w:t>
            </w:r>
          </w:p>
        </w:tc>
        <w:tc>
          <w:tcPr>
            <w:tcW w:w="2863" w:type="dxa"/>
            <w:vAlign w:val="center"/>
          </w:tcPr>
          <w:p>
            <w:pPr>
              <w:pStyle w:val="39"/>
              <w:spacing w:line="240" w:lineRule="auto"/>
              <w:rPr>
                <w:rFonts w:cs="Times New Roman"/>
                <w:b w:val="0"/>
                <w:bCs/>
                <w:kern w:val="2"/>
              </w:rPr>
            </w:pPr>
            <w:r>
              <w:rPr>
                <w:rFonts w:cs="Times New Roman"/>
                <w:b w:val="0"/>
                <w:bCs/>
                <w:kern w:val="2"/>
              </w:rPr>
              <w:t>4500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38</w:t>
            </w:r>
          </w:p>
        </w:tc>
        <w:tc>
          <w:tcPr>
            <w:tcW w:w="2693" w:type="dxa"/>
            <w:vAlign w:val="center"/>
          </w:tcPr>
          <w:p>
            <w:pPr>
              <w:pStyle w:val="39"/>
              <w:spacing w:line="240" w:lineRule="auto"/>
              <w:rPr>
                <w:rFonts w:cs="Times New Roman"/>
                <w:b w:val="0"/>
                <w:bCs/>
                <w:kern w:val="2"/>
              </w:rPr>
            </w:pPr>
            <w:r>
              <w:rPr>
                <w:rFonts w:cs="Times New Roman"/>
                <w:b w:val="0"/>
                <w:bCs/>
                <w:kern w:val="2"/>
              </w:rPr>
              <w:t>苯并[a]蒽</w:t>
            </w:r>
          </w:p>
        </w:tc>
        <w:tc>
          <w:tcPr>
            <w:tcW w:w="2693" w:type="dxa"/>
            <w:vAlign w:val="center"/>
          </w:tcPr>
          <w:p>
            <w:pPr>
              <w:pStyle w:val="39"/>
              <w:spacing w:line="240" w:lineRule="auto"/>
              <w:rPr>
                <w:rFonts w:cs="Times New Roman"/>
                <w:b w:val="0"/>
                <w:bCs/>
                <w:kern w:val="2"/>
              </w:rPr>
            </w:pPr>
            <w:r>
              <w:rPr>
                <w:rFonts w:cs="Times New Roman"/>
                <w:b w:val="0"/>
                <w:bCs/>
                <w:kern w:val="2"/>
              </w:rPr>
              <w:t>15</w:t>
            </w:r>
          </w:p>
        </w:tc>
        <w:tc>
          <w:tcPr>
            <w:tcW w:w="2863" w:type="dxa"/>
            <w:vAlign w:val="center"/>
          </w:tcPr>
          <w:p>
            <w:pPr>
              <w:pStyle w:val="39"/>
              <w:spacing w:line="240" w:lineRule="auto"/>
              <w:rPr>
                <w:rFonts w:cs="Times New Roman"/>
                <w:b w:val="0"/>
                <w:bCs/>
                <w:kern w:val="2"/>
              </w:rPr>
            </w:pPr>
            <w:r>
              <w:rPr>
                <w:rFonts w:cs="Times New Roman"/>
                <w:b w:val="0"/>
                <w:bCs/>
                <w:kern w:val="2"/>
              </w:rPr>
              <w:t>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39</w:t>
            </w:r>
          </w:p>
        </w:tc>
        <w:tc>
          <w:tcPr>
            <w:tcW w:w="2693" w:type="dxa"/>
            <w:vAlign w:val="center"/>
          </w:tcPr>
          <w:p>
            <w:pPr>
              <w:pStyle w:val="39"/>
              <w:spacing w:line="240" w:lineRule="auto"/>
              <w:rPr>
                <w:rFonts w:cs="Times New Roman"/>
                <w:b w:val="0"/>
                <w:bCs/>
                <w:kern w:val="2"/>
              </w:rPr>
            </w:pPr>
            <w:r>
              <w:rPr>
                <w:rFonts w:cs="Times New Roman"/>
                <w:b w:val="0"/>
                <w:bCs/>
                <w:kern w:val="2"/>
              </w:rPr>
              <w:t>苯并[a]芘</w:t>
            </w:r>
          </w:p>
        </w:tc>
        <w:tc>
          <w:tcPr>
            <w:tcW w:w="2693" w:type="dxa"/>
            <w:vAlign w:val="center"/>
          </w:tcPr>
          <w:p>
            <w:pPr>
              <w:pStyle w:val="39"/>
              <w:spacing w:line="240" w:lineRule="auto"/>
              <w:rPr>
                <w:rFonts w:cs="Times New Roman"/>
                <w:b w:val="0"/>
                <w:bCs/>
                <w:kern w:val="2"/>
              </w:rPr>
            </w:pPr>
            <w:r>
              <w:rPr>
                <w:rFonts w:cs="Times New Roman"/>
                <w:b w:val="0"/>
                <w:bCs/>
                <w:kern w:val="2"/>
              </w:rPr>
              <w:t>1.5</w:t>
            </w:r>
          </w:p>
        </w:tc>
        <w:tc>
          <w:tcPr>
            <w:tcW w:w="2863" w:type="dxa"/>
            <w:vAlign w:val="center"/>
          </w:tcPr>
          <w:p>
            <w:pPr>
              <w:pStyle w:val="39"/>
              <w:spacing w:line="240" w:lineRule="auto"/>
              <w:rPr>
                <w:rFonts w:cs="Times New Roman"/>
                <w:b w:val="0"/>
                <w:bCs/>
                <w:kern w:val="2"/>
              </w:rPr>
            </w:pPr>
            <w:r>
              <w:rPr>
                <w:rFonts w:cs="Times New Roman"/>
                <w:b w:val="0"/>
                <w:bCs/>
                <w:kern w:val="2"/>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40</w:t>
            </w:r>
          </w:p>
        </w:tc>
        <w:tc>
          <w:tcPr>
            <w:tcW w:w="2693" w:type="dxa"/>
            <w:vAlign w:val="center"/>
          </w:tcPr>
          <w:p>
            <w:pPr>
              <w:pStyle w:val="39"/>
              <w:spacing w:line="240" w:lineRule="auto"/>
              <w:rPr>
                <w:rFonts w:cs="Times New Roman"/>
                <w:b w:val="0"/>
                <w:bCs/>
                <w:kern w:val="2"/>
              </w:rPr>
            </w:pPr>
            <w:r>
              <w:rPr>
                <w:rFonts w:cs="Times New Roman"/>
                <w:b w:val="0"/>
                <w:bCs/>
                <w:kern w:val="2"/>
              </w:rPr>
              <w:t>苯并[b]荧蒽</w:t>
            </w:r>
          </w:p>
        </w:tc>
        <w:tc>
          <w:tcPr>
            <w:tcW w:w="2693" w:type="dxa"/>
            <w:vAlign w:val="center"/>
          </w:tcPr>
          <w:p>
            <w:pPr>
              <w:pStyle w:val="39"/>
              <w:spacing w:line="240" w:lineRule="auto"/>
              <w:rPr>
                <w:rFonts w:cs="Times New Roman"/>
                <w:b w:val="0"/>
                <w:bCs/>
                <w:kern w:val="2"/>
              </w:rPr>
            </w:pPr>
            <w:r>
              <w:rPr>
                <w:rFonts w:cs="Times New Roman"/>
                <w:b w:val="0"/>
                <w:bCs/>
                <w:kern w:val="2"/>
              </w:rPr>
              <w:t>15</w:t>
            </w:r>
          </w:p>
        </w:tc>
        <w:tc>
          <w:tcPr>
            <w:tcW w:w="2863" w:type="dxa"/>
            <w:vAlign w:val="center"/>
          </w:tcPr>
          <w:p>
            <w:pPr>
              <w:pStyle w:val="39"/>
              <w:spacing w:line="240" w:lineRule="auto"/>
              <w:rPr>
                <w:rFonts w:cs="Times New Roman"/>
                <w:b w:val="0"/>
                <w:bCs/>
                <w:kern w:val="2"/>
              </w:rPr>
            </w:pPr>
            <w:r>
              <w:rPr>
                <w:rFonts w:cs="Times New Roman"/>
                <w:b w:val="0"/>
                <w:bCs/>
                <w:kern w:val="2"/>
              </w:rPr>
              <w:t>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41</w:t>
            </w:r>
          </w:p>
        </w:tc>
        <w:tc>
          <w:tcPr>
            <w:tcW w:w="2693" w:type="dxa"/>
            <w:vAlign w:val="center"/>
          </w:tcPr>
          <w:p>
            <w:pPr>
              <w:pStyle w:val="39"/>
              <w:spacing w:line="240" w:lineRule="auto"/>
              <w:rPr>
                <w:rFonts w:cs="Times New Roman"/>
                <w:b w:val="0"/>
                <w:bCs/>
                <w:kern w:val="2"/>
              </w:rPr>
            </w:pPr>
            <w:r>
              <w:rPr>
                <w:rFonts w:cs="Times New Roman"/>
                <w:b w:val="0"/>
                <w:bCs/>
                <w:kern w:val="2"/>
              </w:rPr>
              <w:t>苯并[k]荧蒽</w:t>
            </w:r>
          </w:p>
        </w:tc>
        <w:tc>
          <w:tcPr>
            <w:tcW w:w="2693" w:type="dxa"/>
            <w:vAlign w:val="center"/>
          </w:tcPr>
          <w:p>
            <w:pPr>
              <w:pStyle w:val="39"/>
              <w:spacing w:line="240" w:lineRule="auto"/>
              <w:rPr>
                <w:rFonts w:cs="Times New Roman"/>
                <w:b w:val="0"/>
                <w:bCs/>
                <w:kern w:val="2"/>
              </w:rPr>
            </w:pPr>
            <w:r>
              <w:rPr>
                <w:rFonts w:cs="Times New Roman"/>
                <w:b w:val="0"/>
                <w:bCs/>
                <w:kern w:val="2"/>
              </w:rPr>
              <w:t>151</w:t>
            </w:r>
          </w:p>
        </w:tc>
        <w:tc>
          <w:tcPr>
            <w:tcW w:w="2863" w:type="dxa"/>
            <w:vAlign w:val="center"/>
          </w:tcPr>
          <w:p>
            <w:pPr>
              <w:pStyle w:val="39"/>
              <w:spacing w:line="240" w:lineRule="auto"/>
              <w:rPr>
                <w:rFonts w:cs="Times New Roman"/>
                <w:b w:val="0"/>
                <w:bCs/>
                <w:kern w:val="2"/>
              </w:rPr>
            </w:pPr>
            <w:r>
              <w:rPr>
                <w:rFonts w:cs="Times New Roman"/>
                <w:b w:val="0"/>
                <w:bCs/>
                <w:kern w:val="2"/>
              </w:rPr>
              <w:t>1500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42</w:t>
            </w:r>
          </w:p>
        </w:tc>
        <w:tc>
          <w:tcPr>
            <w:tcW w:w="2693" w:type="dxa"/>
            <w:vAlign w:val="center"/>
          </w:tcPr>
          <w:p>
            <w:pPr>
              <w:pStyle w:val="39"/>
              <w:spacing w:line="240" w:lineRule="auto"/>
              <w:rPr>
                <w:rFonts w:cs="Times New Roman"/>
                <w:b w:val="0"/>
                <w:bCs/>
                <w:kern w:val="2"/>
              </w:rPr>
            </w:pPr>
            <w:r>
              <w:rPr>
                <w:rFonts w:cs="Times New Roman"/>
                <w:b w:val="0"/>
                <w:bCs/>
                <w:kern w:val="2"/>
              </w:rPr>
              <w:t>䓛</w:t>
            </w:r>
          </w:p>
        </w:tc>
        <w:tc>
          <w:tcPr>
            <w:tcW w:w="2693" w:type="dxa"/>
            <w:vAlign w:val="center"/>
          </w:tcPr>
          <w:p>
            <w:pPr>
              <w:pStyle w:val="39"/>
              <w:spacing w:line="240" w:lineRule="auto"/>
              <w:rPr>
                <w:rFonts w:cs="Times New Roman"/>
                <w:b w:val="0"/>
                <w:bCs/>
                <w:kern w:val="2"/>
              </w:rPr>
            </w:pPr>
            <w:r>
              <w:rPr>
                <w:rFonts w:cs="Times New Roman"/>
                <w:b w:val="0"/>
                <w:bCs/>
                <w:kern w:val="2"/>
              </w:rPr>
              <w:t>1293</w:t>
            </w:r>
          </w:p>
        </w:tc>
        <w:tc>
          <w:tcPr>
            <w:tcW w:w="2863" w:type="dxa"/>
            <w:vAlign w:val="center"/>
          </w:tcPr>
          <w:p>
            <w:pPr>
              <w:pStyle w:val="39"/>
              <w:spacing w:line="240" w:lineRule="auto"/>
              <w:rPr>
                <w:rFonts w:cs="Times New Roman"/>
                <w:b w:val="0"/>
                <w:bCs/>
                <w:kern w:val="2"/>
              </w:rPr>
            </w:pPr>
            <w:r>
              <w:rPr>
                <w:rFonts w:cs="Times New Roman"/>
                <w:b w:val="0"/>
                <w:bCs/>
                <w:kern w:val="2"/>
              </w:rPr>
              <w:t>12900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43</w:t>
            </w:r>
          </w:p>
        </w:tc>
        <w:tc>
          <w:tcPr>
            <w:tcW w:w="2693" w:type="dxa"/>
            <w:vAlign w:val="center"/>
          </w:tcPr>
          <w:p>
            <w:pPr>
              <w:pStyle w:val="39"/>
              <w:spacing w:line="240" w:lineRule="auto"/>
              <w:rPr>
                <w:rFonts w:cs="Times New Roman"/>
                <w:b w:val="0"/>
                <w:bCs/>
                <w:kern w:val="2"/>
              </w:rPr>
            </w:pPr>
            <w:r>
              <w:rPr>
                <w:rFonts w:cs="Times New Roman"/>
                <w:b w:val="0"/>
                <w:bCs/>
                <w:kern w:val="2"/>
              </w:rPr>
              <w:t>二苯并[a,h]蒽</w:t>
            </w:r>
          </w:p>
        </w:tc>
        <w:tc>
          <w:tcPr>
            <w:tcW w:w="2693" w:type="dxa"/>
            <w:vAlign w:val="center"/>
          </w:tcPr>
          <w:p>
            <w:pPr>
              <w:pStyle w:val="39"/>
              <w:spacing w:line="240" w:lineRule="auto"/>
              <w:rPr>
                <w:rFonts w:cs="Times New Roman"/>
                <w:b w:val="0"/>
                <w:bCs/>
                <w:kern w:val="2"/>
              </w:rPr>
            </w:pPr>
            <w:r>
              <w:rPr>
                <w:rFonts w:cs="Times New Roman"/>
                <w:b w:val="0"/>
                <w:bCs/>
                <w:kern w:val="2"/>
              </w:rPr>
              <w:t>1.5</w:t>
            </w:r>
          </w:p>
        </w:tc>
        <w:tc>
          <w:tcPr>
            <w:tcW w:w="2863" w:type="dxa"/>
            <w:vAlign w:val="center"/>
          </w:tcPr>
          <w:p>
            <w:pPr>
              <w:pStyle w:val="39"/>
              <w:spacing w:line="240" w:lineRule="auto"/>
              <w:rPr>
                <w:rFonts w:cs="Times New Roman"/>
                <w:b w:val="0"/>
                <w:bCs/>
                <w:kern w:val="2"/>
              </w:rPr>
            </w:pPr>
            <w:r>
              <w:rPr>
                <w:rFonts w:cs="Times New Roman"/>
                <w:b w:val="0"/>
                <w:bCs/>
                <w:kern w:val="2"/>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44</w:t>
            </w:r>
          </w:p>
        </w:tc>
        <w:tc>
          <w:tcPr>
            <w:tcW w:w="2693" w:type="dxa"/>
            <w:vAlign w:val="center"/>
          </w:tcPr>
          <w:p>
            <w:pPr>
              <w:pStyle w:val="39"/>
              <w:spacing w:line="240" w:lineRule="auto"/>
              <w:rPr>
                <w:rFonts w:cs="Times New Roman"/>
                <w:b w:val="0"/>
                <w:bCs/>
                <w:kern w:val="2"/>
              </w:rPr>
            </w:pPr>
            <w:r>
              <w:rPr>
                <w:rFonts w:cs="Times New Roman"/>
                <w:b w:val="0"/>
                <w:bCs/>
                <w:kern w:val="2"/>
              </w:rPr>
              <w:t>茚并[1,2,3-cd]芘</w:t>
            </w:r>
          </w:p>
        </w:tc>
        <w:tc>
          <w:tcPr>
            <w:tcW w:w="2693" w:type="dxa"/>
            <w:vAlign w:val="center"/>
          </w:tcPr>
          <w:p>
            <w:pPr>
              <w:pStyle w:val="39"/>
              <w:spacing w:line="240" w:lineRule="auto"/>
              <w:rPr>
                <w:rFonts w:cs="Times New Roman"/>
                <w:b w:val="0"/>
                <w:bCs/>
                <w:kern w:val="2"/>
              </w:rPr>
            </w:pPr>
            <w:r>
              <w:rPr>
                <w:rFonts w:cs="Times New Roman"/>
                <w:b w:val="0"/>
                <w:bCs/>
                <w:kern w:val="2"/>
              </w:rPr>
              <w:t>15</w:t>
            </w:r>
          </w:p>
        </w:tc>
        <w:tc>
          <w:tcPr>
            <w:tcW w:w="2863" w:type="dxa"/>
            <w:vAlign w:val="center"/>
          </w:tcPr>
          <w:p>
            <w:pPr>
              <w:pStyle w:val="39"/>
              <w:spacing w:line="240" w:lineRule="auto"/>
              <w:rPr>
                <w:rFonts w:cs="Times New Roman"/>
                <w:b w:val="0"/>
                <w:bCs/>
                <w:kern w:val="2"/>
              </w:rPr>
            </w:pPr>
            <w:r>
              <w:rPr>
                <w:rFonts w:cs="Times New Roman"/>
                <w:b w:val="0"/>
                <w:bCs/>
                <w:kern w:val="2"/>
              </w:rPr>
              <w:t>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39"/>
              <w:spacing w:line="240" w:lineRule="auto"/>
              <w:rPr>
                <w:rFonts w:cs="Times New Roman"/>
                <w:b w:val="0"/>
                <w:bCs/>
                <w:kern w:val="2"/>
              </w:rPr>
            </w:pPr>
            <w:r>
              <w:rPr>
                <w:rFonts w:cs="Times New Roman"/>
                <w:b w:val="0"/>
                <w:bCs/>
                <w:kern w:val="2"/>
              </w:rPr>
              <w:t>45</w:t>
            </w:r>
          </w:p>
        </w:tc>
        <w:tc>
          <w:tcPr>
            <w:tcW w:w="2693" w:type="dxa"/>
            <w:vAlign w:val="center"/>
          </w:tcPr>
          <w:p>
            <w:pPr>
              <w:pStyle w:val="39"/>
              <w:spacing w:line="240" w:lineRule="auto"/>
              <w:rPr>
                <w:rFonts w:cs="Times New Roman"/>
                <w:b w:val="0"/>
                <w:bCs/>
                <w:kern w:val="2"/>
              </w:rPr>
            </w:pPr>
            <w:r>
              <w:rPr>
                <w:rFonts w:cs="Times New Roman"/>
                <w:b w:val="0"/>
                <w:bCs/>
                <w:kern w:val="2"/>
              </w:rPr>
              <w:t>萘</w:t>
            </w:r>
          </w:p>
        </w:tc>
        <w:tc>
          <w:tcPr>
            <w:tcW w:w="2693" w:type="dxa"/>
            <w:vAlign w:val="center"/>
          </w:tcPr>
          <w:p>
            <w:pPr>
              <w:pStyle w:val="39"/>
              <w:spacing w:line="240" w:lineRule="auto"/>
              <w:rPr>
                <w:rFonts w:cs="Times New Roman"/>
                <w:b w:val="0"/>
                <w:bCs/>
                <w:kern w:val="2"/>
              </w:rPr>
            </w:pPr>
            <w:r>
              <w:rPr>
                <w:rFonts w:cs="Times New Roman"/>
                <w:b w:val="0"/>
                <w:bCs/>
                <w:kern w:val="2"/>
              </w:rPr>
              <w:t>70</w:t>
            </w:r>
          </w:p>
        </w:tc>
        <w:tc>
          <w:tcPr>
            <w:tcW w:w="2863" w:type="dxa"/>
            <w:vAlign w:val="center"/>
          </w:tcPr>
          <w:p>
            <w:pPr>
              <w:pStyle w:val="39"/>
              <w:spacing w:line="240" w:lineRule="auto"/>
              <w:rPr>
                <w:rFonts w:cs="Times New Roman"/>
                <w:b w:val="0"/>
                <w:bCs/>
                <w:kern w:val="2"/>
              </w:rPr>
            </w:pPr>
            <w:r>
              <w:rPr>
                <w:rFonts w:cs="Times New Roman"/>
                <w:b w:val="0"/>
                <w:bCs/>
                <w:kern w:val="2"/>
              </w:rPr>
              <w:t>700</w:t>
            </w:r>
          </w:p>
        </w:tc>
      </w:tr>
    </w:tbl>
    <w:p>
      <w:pPr>
        <w:keepNext/>
        <w:keepLines/>
        <w:ind w:firstLine="0" w:firstLineChars="0"/>
        <w:outlineLvl w:val="2"/>
        <w:rPr>
          <w:rFonts w:ascii="Times New Roman" w:cs="Times New Roman"/>
          <w:b/>
          <w:szCs w:val="32"/>
        </w:rPr>
      </w:pPr>
      <w:r>
        <w:rPr>
          <w:rFonts w:ascii="Times New Roman" w:cs="Times New Roman"/>
          <w:b/>
          <w:szCs w:val="32"/>
        </w:rPr>
        <w:t>1.5.2 污染物排放标准</w:t>
      </w:r>
    </w:p>
    <w:p>
      <w:pPr>
        <w:ind w:firstLine="482"/>
        <w:rPr>
          <w:rFonts w:ascii="Times New Roman" w:cs="Times New Roman"/>
          <w:b/>
          <w:bCs/>
        </w:rPr>
      </w:pPr>
      <w:r>
        <w:rPr>
          <w:rFonts w:ascii="Times New Roman" w:cs="Times New Roman"/>
          <w:b/>
          <w:bCs/>
        </w:rPr>
        <w:t>1、废气</w:t>
      </w:r>
    </w:p>
    <w:p>
      <w:pPr>
        <w:pStyle w:val="114"/>
        <w:ind w:firstLine="480"/>
      </w:pPr>
      <w:r>
        <w:t>站场施工期总悬浮颗粒物执行《四川省施工场地扬尘排放标准》（DB51/2682—2020）表1排放限值。</w:t>
      </w:r>
    </w:p>
    <w:p>
      <w:pPr>
        <w:topLinePunct w:val="0"/>
        <w:snapToGrid w:val="0"/>
        <w:spacing w:before="156" w:beforeLines="50"/>
        <w:ind w:firstLine="480" w:firstLineChars="0"/>
        <w:jc w:val="center"/>
        <w:rPr>
          <w:rFonts w:ascii="Times New Roman" w:cs="Times New Roman"/>
          <w:b/>
          <w:kern w:val="2"/>
          <w:sz w:val="21"/>
          <w:szCs w:val="20"/>
        </w:rPr>
      </w:pPr>
      <w:r>
        <w:rPr>
          <w:rFonts w:ascii="Times New Roman" w:cs="Times New Roman"/>
          <w:b/>
          <w:kern w:val="2"/>
          <w:sz w:val="21"/>
          <w:szCs w:val="20"/>
        </w:rPr>
        <w:t>表1.5-7  四川省施工场地扬尘排放限值   单位：μg/m</w:t>
      </w:r>
      <w:r>
        <w:rPr>
          <w:rFonts w:ascii="Times New Roman" w:cs="Times New Roman"/>
          <w:b/>
          <w:kern w:val="2"/>
          <w:sz w:val="21"/>
          <w:szCs w:val="20"/>
          <w:vertAlign w:val="superscript"/>
        </w:rPr>
        <w:t>3</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4"/>
        <w:gridCol w:w="1001"/>
        <w:gridCol w:w="3656"/>
        <w:gridCol w:w="1636"/>
        <w:gridCol w:w="12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116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监测项目</w:t>
            </w:r>
          </w:p>
        </w:tc>
        <w:tc>
          <w:tcPr>
            <w:tcW w:w="102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区域</w:t>
            </w:r>
          </w:p>
        </w:tc>
        <w:tc>
          <w:tcPr>
            <w:tcW w:w="373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施工阶段</w:t>
            </w:r>
          </w:p>
        </w:tc>
        <w:tc>
          <w:tcPr>
            <w:tcW w:w="167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监测点排放限值（μg/m</w:t>
            </w:r>
            <w:r>
              <w:rPr>
                <w:rFonts w:ascii="Times New Roman" w:cs="Times New Roman"/>
                <w:kern w:val="2"/>
                <w:sz w:val="21"/>
                <w:szCs w:val="21"/>
                <w:vertAlign w:val="superscript"/>
              </w:rPr>
              <w:t>3</w:t>
            </w:r>
            <w:r>
              <w:rPr>
                <w:rFonts w:ascii="Times New Roman" w:cs="Times New Roman"/>
                <w:kern w:val="2"/>
                <w:sz w:val="21"/>
                <w:szCs w:val="21"/>
              </w:rPr>
              <w:t>）</w:t>
            </w:r>
          </w:p>
        </w:tc>
        <w:tc>
          <w:tcPr>
            <w:tcW w:w="1323"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监测时间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65" w:type="dxa"/>
            <w:vMerge w:val="restart"/>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总悬浮颗粒物</w:t>
            </w:r>
          </w:p>
        </w:tc>
        <w:tc>
          <w:tcPr>
            <w:tcW w:w="1020" w:type="dxa"/>
            <w:vMerge w:val="restart"/>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达州市</w:t>
            </w:r>
          </w:p>
        </w:tc>
        <w:tc>
          <w:tcPr>
            <w:tcW w:w="373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拆除工程/土方开挖/土方回填阶段600</w:t>
            </w:r>
          </w:p>
        </w:tc>
        <w:tc>
          <w:tcPr>
            <w:tcW w:w="167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600</w:t>
            </w:r>
          </w:p>
        </w:tc>
        <w:tc>
          <w:tcPr>
            <w:tcW w:w="1323" w:type="dxa"/>
            <w:vMerge w:val="restart"/>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自监测起持续15分钟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65" w:type="dxa"/>
            <w:vMerge w:val="continue"/>
            <w:vAlign w:val="center"/>
          </w:tcPr>
          <w:p>
            <w:pPr>
              <w:pStyle w:val="114"/>
              <w:ind w:firstLine="480"/>
            </w:pPr>
          </w:p>
        </w:tc>
        <w:tc>
          <w:tcPr>
            <w:tcW w:w="1020" w:type="dxa"/>
            <w:vMerge w:val="continue"/>
            <w:vAlign w:val="center"/>
          </w:tcPr>
          <w:p>
            <w:pPr>
              <w:pStyle w:val="114"/>
              <w:ind w:firstLine="480"/>
            </w:pPr>
          </w:p>
        </w:tc>
        <w:tc>
          <w:tcPr>
            <w:tcW w:w="373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其他工程阶段</w:t>
            </w:r>
          </w:p>
        </w:tc>
        <w:tc>
          <w:tcPr>
            <w:tcW w:w="167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250</w:t>
            </w:r>
          </w:p>
        </w:tc>
        <w:tc>
          <w:tcPr>
            <w:tcW w:w="1323" w:type="dxa"/>
            <w:vMerge w:val="continue"/>
            <w:vAlign w:val="center"/>
          </w:tcPr>
          <w:p>
            <w:pPr>
              <w:widowControl/>
              <w:topLinePunct w:val="0"/>
              <w:snapToGrid w:val="0"/>
              <w:spacing w:line="240" w:lineRule="auto"/>
              <w:ind w:firstLine="0" w:firstLineChars="0"/>
              <w:jc w:val="center"/>
              <w:rPr>
                <w:rFonts w:ascii="Times New Roman" w:cs="Times New Roman"/>
                <w:kern w:val="2"/>
                <w:sz w:val="21"/>
                <w:szCs w:val="21"/>
              </w:rPr>
            </w:pPr>
          </w:p>
        </w:tc>
      </w:tr>
    </w:tbl>
    <w:p>
      <w:pPr>
        <w:pStyle w:val="114"/>
        <w:ind w:firstLine="480"/>
      </w:pPr>
      <w:r>
        <w:t>空气钻粉尘和测试放喷废气执行《大气污染物综合排放标准》（GB 16297-1996）表2中的二级标准。</w:t>
      </w:r>
    </w:p>
    <w:p>
      <w:pPr>
        <w:topLinePunct w:val="0"/>
        <w:snapToGrid w:val="0"/>
        <w:spacing w:before="156" w:beforeLines="50"/>
        <w:ind w:firstLine="480" w:firstLineChars="0"/>
        <w:jc w:val="center"/>
        <w:rPr>
          <w:rFonts w:ascii="Times New Roman" w:cs="Times New Roman"/>
          <w:b/>
          <w:kern w:val="2"/>
          <w:sz w:val="21"/>
          <w:szCs w:val="20"/>
        </w:rPr>
      </w:pPr>
      <w:r>
        <w:rPr>
          <w:rFonts w:ascii="Times New Roman" w:cs="Times New Roman"/>
          <w:b/>
          <w:kern w:val="2"/>
          <w:sz w:val="21"/>
          <w:szCs w:val="20"/>
        </w:rPr>
        <w:t>表1.5-8  其他废气排放执行标准  单位：mg/m</w:t>
      </w:r>
      <w:r>
        <w:rPr>
          <w:rFonts w:ascii="Times New Roman" w:cs="Times New Roman"/>
          <w:b/>
          <w:kern w:val="2"/>
          <w:sz w:val="21"/>
          <w:szCs w:val="20"/>
          <w:vertAlign w:val="superscript"/>
        </w:rPr>
        <w:t>3</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74"/>
        <w:gridCol w:w="1673"/>
        <w:gridCol w:w="1130"/>
        <w:gridCol w:w="1104"/>
        <w:gridCol w:w="1781"/>
        <w:gridCol w:w="12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31"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标准</w:t>
            </w:r>
          </w:p>
        </w:tc>
        <w:tc>
          <w:tcPr>
            <w:tcW w:w="1632"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项目</w:t>
            </w:r>
          </w:p>
        </w:tc>
        <w:tc>
          <w:tcPr>
            <w:tcW w:w="1103"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SO</w:t>
            </w:r>
            <w:r>
              <w:rPr>
                <w:rFonts w:ascii="Times New Roman" w:cs="Times New Roman"/>
                <w:b/>
                <w:kern w:val="2"/>
                <w:sz w:val="21"/>
                <w:szCs w:val="21"/>
                <w:vertAlign w:val="subscript"/>
              </w:rPr>
              <w:t>2</w:t>
            </w:r>
          </w:p>
        </w:tc>
        <w:tc>
          <w:tcPr>
            <w:tcW w:w="1077"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NO</w:t>
            </w:r>
            <w:r>
              <w:rPr>
                <w:rFonts w:ascii="Times New Roman" w:cs="Times New Roman"/>
                <w:b/>
                <w:kern w:val="2"/>
                <w:sz w:val="21"/>
                <w:szCs w:val="21"/>
                <w:vertAlign w:val="subscript"/>
              </w:rPr>
              <w:t>x</w:t>
            </w:r>
          </w:p>
        </w:tc>
        <w:tc>
          <w:tcPr>
            <w:tcW w:w="1738"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颗粒物</w:t>
            </w:r>
          </w:p>
        </w:tc>
        <w:tc>
          <w:tcPr>
            <w:tcW w:w="1241" w:type="dxa"/>
            <w:vAlign w:val="center"/>
          </w:tcPr>
          <w:p>
            <w:pPr>
              <w:widowControl/>
              <w:topLinePunct w:val="0"/>
              <w:snapToGrid w:val="0"/>
              <w:spacing w:line="240" w:lineRule="auto"/>
              <w:ind w:left="152" w:hanging="152" w:hangingChars="72"/>
              <w:jc w:val="center"/>
              <w:rPr>
                <w:rFonts w:ascii="Times New Roman" w:cs="Times New Roman"/>
                <w:b/>
                <w:kern w:val="2"/>
                <w:sz w:val="21"/>
                <w:szCs w:val="21"/>
              </w:rPr>
            </w:pPr>
            <w:r>
              <w:rPr>
                <w:rFonts w:ascii="Times New Roman" w:cs="Times New Roman"/>
                <w:b/>
                <w:kern w:val="2"/>
                <w:sz w:val="21"/>
                <w:szCs w:val="21"/>
              </w:rPr>
              <w:t>硫化氢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3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大气污染物综合排放标准</w:t>
            </w:r>
          </w:p>
        </w:tc>
        <w:tc>
          <w:tcPr>
            <w:tcW w:w="163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周界外浓度最高点</w:t>
            </w:r>
          </w:p>
        </w:tc>
        <w:tc>
          <w:tcPr>
            <w:tcW w:w="1103"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0.40</w:t>
            </w:r>
          </w:p>
        </w:tc>
        <w:tc>
          <w:tcPr>
            <w:tcW w:w="107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0.12</w:t>
            </w:r>
          </w:p>
        </w:tc>
        <w:tc>
          <w:tcPr>
            <w:tcW w:w="173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1.0</w:t>
            </w:r>
          </w:p>
        </w:tc>
        <w:tc>
          <w:tcPr>
            <w:tcW w:w="124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r>
    </w:tbl>
    <w:p>
      <w:pPr>
        <w:pStyle w:val="114"/>
        <w:ind w:firstLine="480"/>
        <w:rPr>
          <w:szCs w:val="24"/>
        </w:rPr>
      </w:pPr>
      <w:r>
        <w:t>试采期非甲烷总烃执行《陆上石油天然气开采工业大气污染物排放标准》（GB39728-2020）。</w:t>
      </w:r>
      <w:r>
        <w:rPr>
          <w:szCs w:val="24"/>
        </w:rPr>
        <w:t>具体执行标准详见下表。</w:t>
      </w:r>
    </w:p>
    <w:p>
      <w:pPr>
        <w:topLinePunct w:val="0"/>
        <w:snapToGrid w:val="0"/>
        <w:spacing w:before="156" w:beforeLines="50"/>
        <w:ind w:firstLine="480" w:firstLineChars="0"/>
        <w:jc w:val="center"/>
        <w:rPr>
          <w:rFonts w:ascii="Times New Roman" w:cs="Times New Roman"/>
          <w:b/>
          <w:kern w:val="2"/>
          <w:sz w:val="21"/>
          <w:szCs w:val="20"/>
        </w:rPr>
      </w:pPr>
      <w:r>
        <w:rPr>
          <w:rFonts w:ascii="Times New Roman" w:cs="Times New Roman"/>
          <w:b/>
          <w:kern w:val="2"/>
          <w:sz w:val="21"/>
          <w:szCs w:val="20"/>
        </w:rPr>
        <w:t>表1.5-9 陆上石油天然气开采工业大气污染物排放标准  单位：mg/m</w:t>
      </w:r>
      <w:r>
        <w:rPr>
          <w:rFonts w:ascii="Times New Roman" w:cs="Times New Roman"/>
          <w:b/>
          <w:kern w:val="2"/>
          <w:sz w:val="21"/>
          <w:szCs w:val="20"/>
          <w:vertAlign w:val="superscript"/>
        </w:rPr>
        <w:t>3</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47"/>
        <w:gridCol w:w="52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63"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项目</w:t>
            </w:r>
          </w:p>
        </w:tc>
        <w:tc>
          <w:tcPr>
            <w:tcW w:w="5159" w:type="dxa"/>
            <w:vAlign w:val="center"/>
          </w:tcPr>
          <w:p>
            <w:pPr>
              <w:widowControl/>
              <w:topLinePunct w:val="0"/>
              <w:snapToGrid w:val="0"/>
              <w:spacing w:line="240" w:lineRule="auto"/>
              <w:ind w:left="152" w:hanging="152" w:hangingChars="72"/>
              <w:jc w:val="center"/>
              <w:rPr>
                <w:rFonts w:ascii="Times New Roman" w:cs="Times New Roman"/>
                <w:b/>
                <w:kern w:val="2"/>
                <w:sz w:val="21"/>
                <w:szCs w:val="21"/>
              </w:rPr>
            </w:pPr>
            <w:r>
              <w:rPr>
                <w:rFonts w:ascii="Times New Roman" w:cs="Times New Roman"/>
                <w:b/>
                <w:kern w:val="2"/>
                <w:sz w:val="21"/>
                <w:szCs w:val="21"/>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63"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企业边界污染物控制要求</w:t>
            </w:r>
          </w:p>
        </w:tc>
        <w:tc>
          <w:tcPr>
            <w:tcW w:w="515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4.0</w:t>
            </w:r>
          </w:p>
        </w:tc>
      </w:tr>
    </w:tbl>
    <w:p>
      <w:pPr>
        <w:pStyle w:val="114"/>
        <w:ind w:firstLine="482"/>
        <w:rPr>
          <w:b/>
          <w:bCs/>
        </w:rPr>
      </w:pPr>
      <w:r>
        <w:rPr>
          <w:b/>
          <w:bCs/>
        </w:rPr>
        <w:t>2、废水</w:t>
      </w:r>
    </w:p>
    <w:p>
      <w:pPr>
        <w:pStyle w:val="114"/>
        <w:ind w:firstLine="480"/>
      </w:pPr>
      <w:r>
        <w:t>本项目</w:t>
      </w:r>
      <w:r>
        <w:rPr>
          <w:spacing w:val="-8"/>
          <w:szCs w:val="21"/>
        </w:rPr>
        <w:t>施工期井场施工</w:t>
      </w:r>
      <w:bookmarkStart w:id="71" w:name="OLE_LINK7"/>
      <w:bookmarkStart w:id="72" w:name="OLE_LINK6"/>
      <w:r>
        <w:rPr>
          <w:rFonts w:hint="eastAsia"/>
          <w:spacing w:val="-8"/>
          <w:szCs w:val="21"/>
          <w:lang w:eastAsia="zh-CN"/>
        </w:rPr>
        <w:t>人员</w:t>
      </w:r>
      <w:r>
        <w:rPr>
          <w:spacing w:val="-8"/>
          <w:szCs w:val="21"/>
        </w:rPr>
        <w:t>生活污水</w:t>
      </w:r>
      <w:bookmarkEnd w:id="71"/>
      <w:bookmarkEnd w:id="72"/>
      <w:r>
        <w:rPr>
          <w:spacing w:val="-8"/>
          <w:szCs w:val="21"/>
        </w:rPr>
        <w:t>依托经</w:t>
      </w:r>
      <w:r>
        <w:rPr>
          <w:bCs/>
          <w:spacing w:val="-8"/>
          <w:szCs w:val="21"/>
        </w:rPr>
        <w:t>生态环保厕所收集处理</w:t>
      </w:r>
      <w:r>
        <w:t>后，用作周边农肥，不外排；员工洗澡、食堂废水经单独收集后拉运至普光镇场镇污水处理厂处理，执行《城镇污水处理厂污染物排放标准》一级B标准</w:t>
      </w:r>
      <w:r>
        <w:rPr>
          <w:spacing w:val="-8"/>
          <w:szCs w:val="21"/>
        </w:rPr>
        <w:t>；</w:t>
      </w:r>
      <w:r>
        <w:rPr>
          <w:rFonts w:hint="eastAsia"/>
          <w:spacing w:val="-8"/>
          <w:szCs w:val="21"/>
        </w:rPr>
        <w:t>场内</w:t>
      </w:r>
      <w:r>
        <w:rPr>
          <w:spacing w:val="-8"/>
          <w:szCs w:val="21"/>
        </w:rPr>
        <w:t>初期雨水和钻井废水经清洁化操作平台预处理后装车拉运至毛开1井回注站回注；</w:t>
      </w:r>
      <w:r>
        <w:rPr>
          <w:rFonts w:hint="eastAsia"/>
          <w:spacing w:val="-8"/>
          <w:szCs w:val="21"/>
        </w:rPr>
        <w:t>完井工程产生的</w:t>
      </w:r>
      <w:r>
        <w:rPr>
          <w:spacing w:val="-8"/>
          <w:szCs w:val="21"/>
        </w:rPr>
        <w:t>压裂废水和洗井废水</w:t>
      </w:r>
      <w:r>
        <w:rPr>
          <w:rFonts w:hint="eastAsia"/>
          <w:spacing w:val="-8"/>
          <w:szCs w:val="21"/>
        </w:rPr>
        <w:t>收集后</w:t>
      </w:r>
      <w:r>
        <w:rPr>
          <w:spacing w:val="-8"/>
          <w:szCs w:val="21"/>
        </w:rPr>
        <w:t>暂存于</w:t>
      </w:r>
      <w:r>
        <w:rPr>
          <w:rFonts w:hint="eastAsia"/>
          <w:spacing w:val="-8"/>
          <w:szCs w:val="21"/>
        </w:rPr>
        <w:t>废水池</w:t>
      </w:r>
      <w:r>
        <w:rPr>
          <w:spacing w:val="-8"/>
          <w:szCs w:val="21"/>
        </w:rPr>
        <w:t>，</w:t>
      </w:r>
      <w:r>
        <w:rPr>
          <w:rFonts w:hint="eastAsia"/>
          <w:spacing w:val="-8"/>
          <w:szCs w:val="21"/>
        </w:rPr>
        <w:t>定期</w:t>
      </w:r>
      <w:r>
        <w:rPr>
          <w:spacing w:val="-8"/>
          <w:szCs w:val="21"/>
        </w:rPr>
        <w:t>装车拉运至大湾403污水站处理达标后管输至毛开1井回注站回注</w:t>
      </w:r>
      <w:r>
        <w:t>。</w:t>
      </w:r>
      <w:bookmarkStart w:id="73" w:name="_Hlk80470696"/>
      <w:r>
        <w:t>本项目试采期产生的气田水经酸液缓冲罐收集，然后通过密闭罐车拉运至大湾403污水站处理达到《气田水回注方法》（SY/T 6596-2016）中注入水基本要求后管输至毛开1井回注站回注处理，不外排。</w:t>
      </w:r>
    </w:p>
    <w:bookmarkEnd w:id="73"/>
    <w:p>
      <w:pPr>
        <w:pStyle w:val="114"/>
        <w:ind w:firstLine="482"/>
        <w:rPr>
          <w:b/>
          <w:bCs/>
        </w:rPr>
      </w:pPr>
      <w:r>
        <w:rPr>
          <w:b/>
          <w:bCs/>
        </w:rPr>
        <w:t>3、噪声</w:t>
      </w:r>
    </w:p>
    <w:p>
      <w:pPr>
        <w:pStyle w:val="114"/>
        <w:ind w:firstLine="480"/>
      </w:pPr>
      <w:r>
        <w:t>试采期噪声执行《工业企业厂界环境噪声排放标准》（GB12348-2008）中的2类标准。</w:t>
      </w:r>
    </w:p>
    <w:p>
      <w:pPr>
        <w:pStyle w:val="39"/>
        <w:rPr>
          <w:rFonts w:cs="Times New Roman"/>
        </w:rPr>
      </w:pPr>
      <w:r>
        <w:rPr>
          <w:rFonts w:cs="Times New Roman"/>
        </w:rPr>
        <w:t>表1.5-10</w:t>
      </w:r>
      <w:r>
        <w:rPr>
          <w:rStyle w:val="135"/>
        </w:rPr>
        <w:t xml:space="preserve">  </w:t>
      </w:r>
      <w:r>
        <w:rPr>
          <w:rFonts w:cs="Times New Roman"/>
        </w:rPr>
        <w:t>工业企业厂界环境噪声排放标准   单位：dB(A)</w:t>
      </w:r>
    </w:p>
    <w:tbl>
      <w:tblPr>
        <w:tblStyle w:val="59"/>
        <w:tblW w:w="5000" w:type="pct"/>
        <w:jc w:val="center"/>
        <w:tblLayout w:type="autofit"/>
        <w:tblCellMar>
          <w:top w:w="0" w:type="dxa"/>
          <w:left w:w="0" w:type="dxa"/>
          <w:bottom w:w="0" w:type="dxa"/>
          <w:right w:w="0" w:type="dxa"/>
        </w:tblCellMar>
      </w:tblPr>
      <w:tblGrid>
        <w:gridCol w:w="3264"/>
        <w:gridCol w:w="2763"/>
        <w:gridCol w:w="2761"/>
      </w:tblGrid>
      <w:tr>
        <w:trPr>
          <w:trHeight w:val="311" w:hRule="exact"/>
          <w:jc w:val="center"/>
        </w:trPr>
        <w:tc>
          <w:tcPr>
            <w:tcW w:w="1857" w:type="pct"/>
            <w:tcBorders>
              <w:top w:val="single" w:color="000000" w:sz="12" w:space="0"/>
              <w:left w:val="nil"/>
              <w:bottom w:val="single" w:color="000000" w:sz="4" w:space="0"/>
              <w:right w:val="single" w:color="000000" w:sz="4" w:space="0"/>
            </w:tcBorders>
            <w:vAlign w:val="center"/>
          </w:tcPr>
          <w:p>
            <w:pPr>
              <w:pStyle w:val="134"/>
              <w:rPr>
                <w:b/>
                <w:bCs/>
              </w:rPr>
            </w:pPr>
            <w:r>
              <w:rPr>
                <w:b/>
                <w:bCs/>
              </w:rPr>
              <w:t>类别</w:t>
            </w:r>
          </w:p>
        </w:tc>
        <w:tc>
          <w:tcPr>
            <w:tcW w:w="1572" w:type="pct"/>
            <w:tcBorders>
              <w:top w:val="single" w:color="000000" w:sz="12" w:space="0"/>
              <w:left w:val="single" w:color="000000" w:sz="4" w:space="0"/>
              <w:bottom w:val="single" w:color="000000" w:sz="4" w:space="0"/>
              <w:right w:val="single" w:color="000000" w:sz="4" w:space="0"/>
            </w:tcBorders>
            <w:vAlign w:val="center"/>
          </w:tcPr>
          <w:p>
            <w:pPr>
              <w:pStyle w:val="134"/>
              <w:rPr>
                <w:b/>
                <w:bCs/>
              </w:rPr>
            </w:pPr>
            <w:r>
              <w:rPr>
                <w:b/>
                <w:bCs/>
              </w:rPr>
              <w:t>昼间</w:t>
            </w:r>
          </w:p>
        </w:tc>
        <w:tc>
          <w:tcPr>
            <w:tcW w:w="1571" w:type="pct"/>
            <w:tcBorders>
              <w:top w:val="single" w:color="000000" w:sz="12" w:space="0"/>
              <w:left w:val="single" w:color="000000" w:sz="4" w:space="0"/>
              <w:bottom w:val="single" w:color="000000" w:sz="4" w:space="0"/>
              <w:right w:val="nil"/>
            </w:tcBorders>
            <w:vAlign w:val="center"/>
          </w:tcPr>
          <w:p>
            <w:pPr>
              <w:pStyle w:val="134"/>
              <w:rPr>
                <w:b/>
                <w:bCs/>
              </w:rPr>
            </w:pPr>
            <w:r>
              <w:rPr>
                <w:b/>
                <w:bCs/>
              </w:rPr>
              <w:t>夜间</w:t>
            </w:r>
          </w:p>
        </w:tc>
      </w:tr>
      <w:tr>
        <w:tblPrEx>
          <w:tblCellMar>
            <w:top w:w="0" w:type="dxa"/>
            <w:left w:w="0" w:type="dxa"/>
            <w:bottom w:w="0" w:type="dxa"/>
            <w:right w:w="0" w:type="dxa"/>
          </w:tblCellMar>
        </w:tblPrEx>
        <w:trPr>
          <w:trHeight w:val="344" w:hRule="exact"/>
          <w:jc w:val="center"/>
        </w:trPr>
        <w:tc>
          <w:tcPr>
            <w:tcW w:w="1857" w:type="pct"/>
            <w:tcBorders>
              <w:top w:val="single" w:color="000000" w:sz="4" w:space="0"/>
              <w:left w:val="nil"/>
              <w:bottom w:val="single" w:color="000000" w:sz="12" w:space="0"/>
              <w:right w:val="single" w:color="000000" w:sz="4" w:space="0"/>
            </w:tcBorders>
            <w:vAlign w:val="center"/>
          </w:tcPr>
          <w:p>
            <w:pPr>
              <w:pStyle w:val="134"/>
            </w:pPr>
            <w:r>
              <w:t>2类</w:t>
            </w:r>
          </w:p>
        </w:tc>
        <w:tc>
          <w:tcPr>
            <w:tcW w:w="1572" w:type="pct"/>
            <w:tcBorders>
              <w:top w:val="single" w:color="000000" w:sz="4" w:space="0"/>
              <w:left w:val="single" w:color="000000" w:sz="4" w:space="0"/>
              <w:bottom w:val="single" w:color="000000" w:sz="12" w:space="0"/>
              <w:right w:val="single" w:color="000000" w:sz="4" w:space="0"/>
            </w:tcBorders>
            <w:vAlign w:val="center"/>
          </w:tcPr>
          <w:p>
            <w:pPr>
              <w:pStyle w:val="134"/>
            </w:pPr>
            <w:r>
              <w:t>60</w:t>
            </w:r>
          </w:p>
        </w:tc>
        <w:tc>
          <w:tcPr>
            <w:tcW w:w="1571" w:type="pct"/>
            <w:tcBorders>
              <w:top w:val="single" w:color="000000" w:sz="4" w:space="0"/>
              <w:left w:val="single" w:color="000000" w:sz="4" w:space="0"/>
              <w:bottom w:val="single" w:color="000000" w:sz="12" w:space="0"/>
              <w:right w:val="nil"/>
            </w:tcBorders>
            <w:vAlign w:val="center"/>
          </w:tcPr>
          <w:p>
            <w:pPr>
              <w:pStyle w:val="134"/>
            </w:pPr>
            <w:r>
              <w:t>50</w:t>
            </w:r>
          </w:p>
        </w:tc>
      </w:tr>
    </w:tbl>
    <w:p>
      <w:pPr>
        <w:pStyle w:val="114"/>
        <w:ind w:firstLine="480"/>
      </w:pPr>
      <w:r>
        <w:t>施工期噪声采用《建筑施工场界环境噪声排放标准》（GB12523-2011）标准。</w:t>
      </w:r>
    </w:p>
    <w:p>
      <w:pPr>
        <w:pStyle w:val="39"/>
        <w:rPr>
          <w:rFonts w:cs="Times New Roman"/>
        </w:rPr>
      </w:pPr>
      <w:r>
        <w:rPr>
          <w:rFonts w:cs="Times New Roman"/>
        </w:rPr>
        <w:t>表1.5-11  建筑施工场界噪声限值  单位：dB(A)</w:t>
      </w:r>
    </w:p>
    <w:tbl>
      <w:tblPr>
        <w:tblStyle w:val="59"/>
        <w:tblW w:w="5000" w:type="pct"/>
        <w:jc w:val="center"/>
        <w:tblLayout w:type="autofit"/>
        <w:tblCellMar>
          <w:top w:w="0" w:type="dxa"/>
          <w:left w:w="0" w:type="dxa"/>
          <w:bottom w:w="0" w:type="dxa"/>
          <w:right w:w="0" w:type="dxa"/>
        </w:tblCellMar>
      </w:tblPr>
      <w:tblGrid>
        <w:gridCol w:w="5555"/>
        <w:gridCol w:w="1651"/>
        <w:gridCol w:w="1582"/>
      </w:tblGrid>
      <w:tr>
        <w:tblPrEx>
          <w:tblCellMar>
            <w:top w:w="0" w:type="dxa"/>
            <w:left w:w="0" w:type="dxa"/>
            <w:bottom w:w="0" w:type="dxa"/>
            <w:right w:w="0" w:type="dxa"/>
          </w:tblCellMar>
        </w:tblPrEx>
        <w:trPr>
          <w:trHeight w:val="352" w:hRule="atLeast"/>
          <w:jc w:val="center"/>
        </w:trPr>
        <w:tc>
          <w:tcPr>
            <w:tcW w:w="5499" w:type="dxa"/>
            <w:tcBorders>
              <w:top w:val="single" w:color="000000" w:sz="12" w:space="0"/>
              <w:left w:val="nil"/>
              <w:bottom w:val="single" w:color="000000" w:sz="2" w:space="0"/>
              <w:right w:val="single" w:color="000000" w:sz="2" w:space="0"/>
            </w:tcBorders>
            <w:vAlign w:val="center"/>
          </w:tcPr>
          <w:p>
            <w:pPr>
              <w:pStyle w:val="134"/>
              <w:rPr>
                <w:b/>
                <w:bCs/>
              </w:rPr>
            </w:pPr>
            <w:r>
              <w:rPr>
                <w:b/>
                <w:bCs/>
              </w:rPr>
              <w:t>执行标准</w:t>
            </w:r>
          </w:p>
        </w:tc>
        <w:tc>
          <w:tcPr>
            <w:tcW w:w="1634" w:type="dxa"/>
            <w:tcBorders>
              <w:top w:val="single" w:color="000000" w:sz="12" w:space="0"/>
              <w:left w:val="nil"/>
              <w:bottom w:val="single" w:color="000000" w:sz="2" w:space="0"/>
              <w:right w:val="single" w:color="000000" w:sz="2" w:space="0"/>
            </w:tcBorders>
            <w:vAlign w:val="center"/>
          </w:tcPr>
          <w:p>
            <w:pPr>
              <w:pStyle w:val="134"/>
              <w:rPr>
                <w:b/>
                <w:bCs/>
              </w:rPr>
            </w:pPr>
            <w:r>
              <w:rPr>
                <w:b/>
                <w:bCs/>
              </w:rPr>
              <w:t>昼间</w:t>
            </w:r>
          </w:p>
        </w:tc>
        <w:tc>
          <w:tcPr>
            <w:tcW w:w="1566" w:type="dxa"/>
            <w:tcBorders>
              <w:top w:val="single" w:color="000000" w:sz="12" w:space="0"/>
              <w:left w:val="single" w:color="000000" w:sz="2" w:space="0"/>
              <w:bottom w:val="single" w:color="000000" w:sz="2" w:space="0"/>
              <w:right w:val="nil"/>
            </w:tcBorders>
            <w:vAlign w:val="center"/>
          </w:tcPr>
          <w:p>
            <w:pPr>
              <w:pStyle w:val="134"/>
              <w:rPr>
                <w:b/>
                <w:bCs/>
              </w:rPr>
            </w:pPr>
            <w:r>
              <w:rPr>
                <w:b/>
                <w:bCs/>
              </w:rPr>
              <w:t>夜间</w:t>
            </w:r>
          </w:p>
        </w:tc>
      </w:tr>
      <w:tr>
        <w:tblPrEx>
          <w:tblCellMar>
            <w:top w:w="0" w:type="dxa"/>
            <w:left w:w="0" w:type="dxa"/>
            <w:bottom w:w="0" w:type="dxa"/>
            <w:right w:w="0" w:type="dxa"/>
          </w:tblCellMar>
        </w:tblPrEx>
        <w:trPr>
          <w:trHeight w:val="397" w:hRule="atLeast"/>
          <w:jc w:val="center"/>
        </w:trPr>
        <w:tc>
          <w:tcPr>
            <w:tcW w:w="5499" w:type="dxa"/>
            <w:tcBorders>
              <w:top w:val="single" w:color="000000" w:sz="2" w:space="0"/>
              <w:left w:val="nil"/>
              <w:bottom w:val="single" w:color="000000" w:sz="12" w:space="0"/>
              <w:right w:val="single" w:color="000000" w:sz="2" w:space="0"/>
            </w:tcBorders>
            <w:vAlign w:val="center"/>
          </w:tcPr>
          <w:p>
            <w:pPr>
              <w:pStyle w:val="134"/>
            </w:pPr>
            <w:r>
              <w:t>《建筑施工场界环境噪声排放标准》（GB12523-2011）</w:t>
            </w:r>
          </w:p>
        </w:tc>
        <w:tc>
          <w:tcPr>
            <w:tcW w:w="1634" w:type="dxa"/>
            <w:tcBorders>
              <w:top w:val="single" w:color="000000" w:sz="2" w:space="0"/>
              <w:left w:val="nil"/>
              <w:bottom w:val="single" w:color="000000" w:sz="12" w:space="0"/>
              <w:right w:val="single" w:color="000000" w:sz="2" w:space="0"/>
            </w:tcBorders>
            <w:vAlign w:val="center"/>
          </w:tcPr>
          <w:p>
            <w:pPr>
              <w:pStyle w:val="134"/>
            </w:pPr>
            <w:r>
              <w:t>70</w:t>
            </w:r>
          </w:p>
        </w:tc>
        <w:tc>
          <w:tcPr>
            <w:tcW w:w="1566" w:type="dxa"/>
            <w:tcBorders>
              <w:top w:val="single" w:color="000000" w:sz="2" w:space="0"/>
              <w:left w:val="single" w:color="000000" w:sz="2" w:space="0"/>
              <w:bottom w:val="single" w:color="000000" w:sz="12" w:space="0"/>
              <w:right w:val="nil"/>
            </w:tcBorders>
            <w:vAlign w:val="center"/>
          </w:tcPr>
          <w:p>
            <w:pPr>
              <w:pStyle w:val="134"/>
            </w:pPr>
            <w:r>
              <w:t>55</w:t>
            </w:r>
          </w:p>
        </w:tc>
      </w:tr>
    </w:tbl>
    <w:p>
      <w:pPr>
        <w:pStyle w:val="114"/>
        <w:ind w:firstLine="482"/>
        <w:rPr>
          <w:b/>
          <w:bCs/>
        </w:rPr>
      </w:pPr>
      <w:r>
        <w:rPr>
          <w:b/>
          <w:bCs/>
        </w:rPr>
        <w:t>4、固体废物</w:t>
      </w:r>
    </w:p>
    <w:p>
      <w:pPr>
        <w:pStyle w:val="114"/>
        <w:ind w:firstLine="480"/>
        <w:rPr>
          <w:kern w:val="2"/>
          <w:szCs w:val="22"/>
        </w:rPr>
      </w:pPr>
      <w:r>
        <w:rPr>
          <w:kern w:val="2"/>
          <w:szCs w:val="22"/>
        </w:rPr>
        <w:t>（1）一般工业固体废物：按《一般工业固体废物贮存和填埋污染控制标准》（GB18599-2020）进行</w:t>
      </w:r>
      <w:r>
        <w:t>贮存和管理</w:t>
      </w:r>
      <w:r>
        <w:rPr>
          <w:kern w:val="2"/>
          <w:szCs w:val="22"/>
        </w:rPr>
        <w:t>；</w:t>
      </w:r>
    </w:p>
    <w:p>
      <w:pPr>
        <w:pStyle w:val="114"/>
        <w:ind w:firstLine="480"/>
      </w:pPr>
      <w:r>
        <w:rPr>
          <w:kern w:val="2"/>
          <w:szCs w:val="22"/>
        </w:rPr>
        <w:t>（2）</w:t>
      </w:r>
      <w:r>
        <w:rPr>
          <w:szCs w:val="24"/>
        </w:rPr>
        <w:t>危险废物：</w:t>
      </w:r>
      <w:r>
        <w:t>按《国家危险废物名录》（2021年版）、《危险废物鉴别标准》（GB5085-2007）、《危险废物贮存污染控制标准》（GB18597-2023）和《危险化学品安全管理条例》进行识别、贮存和管理。</w:t>
      </w:r>
    </w:p>
    <w:p>
      <w:pPr>
        <w:keepNext/>
        <w:keepLines/>
        <w:spacing w:before="120"/>
        <w:ind w:firstLine="0" w:firstLineChars="0"/>
        <w:outlineLvl w:val="1"/>
        <w:rPr>
          <w:rFonts w:ascii="Times New Roman" w:cs="Times New Roman"/>
          <w:b/>
          <w:bCs/>
          <w:sz w:val="28"/>
          <w:szCs w:val="32"/>
        </w:rPr>
      </w:pPr>
      <w:bookmarkStart w:id="74" w:name="_Toc9948"/>
      <w:r>
        <w:rPr>
          <w:rFonts w:ascii="Times New Roman" w:cs="Times New Roman"/>
          <w:b/>
          <w:bCs/>
          <w:sz w:val="28"/>
          <w:szCs w:val="32"/>
        </w:rPr>
        <w:t>1.6 评价等级</w:t>
      </w:r>
      <w:bookmarkEnd w:id="67"/>
      <w:r>
        <w:rPr>
          <w:rFonts w:ascii="Times New Roman" w:cs="Times New Roman"/>
          <w:b/>
          <w:bCs/>
          <w:sz w:val="28"/>
          <w:szCs w:val="32"/>
        </w:rPr>
        <w:t>及评价范围</w:t>
      </w:r>
      <w:bookmarkEnd w:id="74"/>
    </w:p>
    <w:p>
      <w:pPr>
        <w:keepNext/>
        <w:keepLines/>
        <w:ind w:firstLine="0" w:firstLineChars="0"/>
        <w:outlineLvl w:val="2"/>
        <w:rPr>
          <w:rFonts w:ascii="Times New Roman" w:cs="Times New Roman"/>
          <w:b/>
          <w:szCs w:val="32"/>
        </w:rPr>
      </w:pPr>
      <w:r>
        <w:rPr>
          <w:rFonts w:ascii="Times New Roman" w:cs="Times New Roman"/>
          <w:b/>
          <w:szCs w:val="32"/>
        </w:rPr>
        <w:t>1.6.1 生态环境</w:t>
      </w:r>
    </w:p>
    <w:p>
      <w:pPr>
        <w:pStyle w:val="114"/>
        <w:ind w:firstLine="482"/>
        <w:rPr>
          <w:b/>
          <w:bCs/>
        </w:rPr>
      </w:pPr>
      <w:r>
        <w:rPr>
          <w:b/>
          <w:bCs/>
        </w:rPr>
        <w:t>1、评价等级</w:t>
      </w:r>
    </w:p>
    <w:p>
      <w:pPr>
        <w:pStyle w:val="114"/>
        <w:ind w:firstLine="480"/>
      </w:pPr>
      <w:bookmarkStart w:id="75" w:name="_Hlk81147998"/>
      <w:bookmarkStart w:id="76" w:name="OLE_LINK174"/>
      <w:r>
        <w:t>根据《环境影响评价技术导则</w:t>
      </w:r>
      <w:r>
        <w:rPr>
          <w:spacing w:val="-8"/>
        </w:rPr>
        <w:t xml:space="preserve"> </w:t>
      </w:r>
      <w:r>
        <w:t>生态影响》（HJ19-2022），本项目生态环境评价工作等级判定原则及判定结果详见表1.6-1。</w:t>
      </w:r>
    </w:p>
    <w:p>
      <w:pPr>
        <w:pStyle w:val="127"/>
        <w:ind w:firstLine="480"/>
        <w:rPr>
          <w:rFonts w:eastAsia="宋体"/>
        </w:rPr>
      </w:pPr>
      <w:r>
        <w:rPr>
          <w:rFonts w:eastAsia="宋体"/>
        </w:rPr>
        <w:t>表1.6-1  生态影响评价工作等级判定表</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5751"/>
        <w:gridCol w:w="20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34" w:type="dxa"/>
            <w:vAlign w:val="center"/>
          </w:tcPr>
          <w:p>
            <w:pPr>
              <w:topLinePunct w:val="0"/>
              <w:snapToGrid w:val="0"/>
              <w:spacing w:line="240" w:lineRule="auto"/>
              <w:ind w:firstLine="0" w:firstLineChars="0"/>
              <w:jc w:val="center"/>
              <w:rPr>
                <w:rFonts w:ascii="Times New Roman" w:cs="Times New Roman"/>
                <w:b/>
                <w:bCs/>
                <w:kern w:val="2"/>
                <w:sz w:val="21"/>
                <w:szCs w:val="18"/>
              </w:rPr>
            </w:pPr>
            <w:r>
              <w:rPr>
                <w:rFonts w:ascii="Times New Roman" w:cs="Times New Roman"/>
                <w:b/>
                <w:bCs/>
                <w:kern w:val="2"/>
                <w:sz w:val="21"/>
                <w:szCs w:val="18"/>
              </w:rPr>
              <w:t>序号</w:t>
            </w:r>
          </w:p>
        </w:tc>
        <w:tc>
          <w:tcPr>
            <w:tcW w:w="5921" w:type="dxa"/>
            <w:vAlign w:val="center"/>
          </w:tcPr>
          <w:p>
            <w:pPr>
              <w:topLinePunct w:val="0"/>
              <w:snapToGrid w:val="0"/>
              <w:spacing w:line="240" w:lineRule="auto"/>
              <w:ind w:firstLine="0" w:firstLineChars="0"/>
              <w:jc w:val="center"/>
              <w:rPr>
                <w:rFonts w:ascii="Times New Roman" w:cs="Times New Roman"/>
                <w:b/>
                <w:bCs/>
                <w:kern w:val="2"/>
                <w:sz w:val="21"/>
                <w:szCs w:val="18"/>
              </w:rPr>
            </w:pPr>
            <w:r>
              <w:rPr>
                <w:rFonts w:ascii="Times New Roman" w:cs="Times New Roman"/>
                <w:b/>
                <w:bCs/>
                <w:kern w:val="2"/>
                <w:sz w:val="21"/>
                <w:szCs w:val="18"/>
              </w:rPr>
              <w:t>导则规定</w:t>
            </w:r>
          </w:p>
        </w:tc>
        <w:tc>
          <w:tcPr>
            <w:tcW w:w="2118" w:type="dxa"/>
            <w:vAlign w:val="center"/>
          </w:tcPr>
          <w:p>
            <w:pPr>
              <w:topLinePunct w:val="0"/>
              <w:snapToGrid w:val="0"/>
              <w:spacing w:line="240" w:lineRule="auto"/>
              <w:ind w:firstLine="0" w:firstLineChars="0"/>
              <w:jc w:val="center"/>
              <w:rPr>
                <w:rFonts w:ascii="Times New Roman" w:cs="Times New Roman"/>
                <w:b/>
                <w:bCs/>
                <w:kern w:val="2"/>
                <w:sz w:val="21"/>
                <w:szCs w:val="18"/>
              </w:rPr>
            </w:pPr>
            <w:r>
              <w:rPr>
                <w:rFonts w:ascii="Times New Roman" w:cs="Times New Roman"/>
                <w:b/>
                <w:bCs/>
                <w:kern w:val="2"/>
                <w:sz w:val="21"/>
                <w:szCs w:val="18"/>
              </w:rPr>
              <w:t>本项目情况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34"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1</w:t>
            </w:r>
          </w:p>
        </w:tc>
        <w:tc>
          <w:tcPr>
            <w:tcW w:w="5921"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a）涉及国家公园、自然保护区、世界自然遗产、重要生境时，评价等级为一级</w:t>
            </w:r>
          </w:p>
        </w:tc>
        <w:tc>
          <w:tcPr>
            <w:tcW w:w="2118"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34"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2</w:t>
            </w:r>
          </w:p>
        </w:tc>
        <w:tc>
          <w:tcPr>
            <w:tcW w:w="5921"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b）涉及自然公园时，评价等级为二级</w:t>
            </w:r>
          </w:p>
        </w:tc>
        <w:tc>
          <w:tcPr>
            <w:tcW w:w="2118"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34"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3</w:t>
            </w:r>
          </w:p>
        </w:tc>
        <w:tc>
          <w:tcPr>
            <w:tcW w:w="5921"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c）涉及生态保护红线时，评价等级不低于二级</w:t>
            </w:r>
          </w:p>
        </w:tc>
        <w:tc>
          <w:tcPr>
            <w:tcW w:w="2118"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34"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4</w:t>
            </w:r>
          </w:p>
        </w:tc>
        <w:tc>
          <w:tcPr>
            <w:tcW w:w="5921"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d）根据HJ2.3判断属于水文要素影响型且地表水评价等级不低于二级的建设项目，生态影响评价等级不低于二级</w:t>
            </w:r>
          </w:p>
        </w:tc>
        <w:tc>
          <w:tcPr>
            <w:tcW w:w="2118"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34"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5</w:t>
            </w:r>
          </w:p>
        </w:tc>
        <w:tc>
          <w:tcPr>
            <w:tcW w:w="5921"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e）根据HJ610、HJ964判断地下水水位或土壤影响范围内分布有天然林、公益林、湿地等生态保护目标的建设项目，生态影响评价等级不低于二级</w:t>
            </w:r>
          </w:p>
        </w:tc>
        <w:tc>
          <w:tcPr>
            <w:tcW w:w="2118"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本项目土壤影响范围内涉及天然林、公益林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34"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6</w:t>
            </w:r>
          </w:p>
        </w:tc>
        <w:tc>
          <w:tcPr>
            <w:tcW w:w="5921"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f）当工程占地规模大于20km</w:t>
            </w:r>
            <w:r>
              <w:rPr>
                <w:rFonts w:ascii="Times New Roman" w:cs="Times New Roman"/>
                <w:bCs/>
                <w:kern w:val="2"/>
                <w:sz w:val="21"/>
                <w:szCs w:val="18"/>
                <w:vertAlign w:val="superscript"/>
              </w:rPr>
              <w:t>2</w:t>
            </w:r>
            <w:r>
              <w:rPr>
                <w:rFonts w:ascii="Times New Roman" w:cs="Times New Roman"/>
                <w:bCs/>
                <w:kern w:val="2"/>
                <w:sz w:val="21"/>
                <w:szCs w:val="18"/>
              </w:rPr>
              <w:t>时（包括永久和临时占用陆域和水域），评价等级不低于二级；改扩建项目的占地范围以新增占地（包括陆域和水域）确定</w:t>
            </w:r>
          </w:p>
        </w:tc>
        <w:tc>
          <w:tcPr>
            <w:tcW w:w="2118"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34"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7</w:t>
            </w:r>
          </w:p>
        </w:tc>
        <w:tc>
          <w:tcPr>
            <w:tcW w:w="5921"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g）除本条a）、b）、c）、d）、e）、f）外的情况，评价等级为三级</w:t>
            </w:r>
          </w:p>
        </w:tc>
        <w:tc>
          <w:tcPr>
            <w:tcW w:w="2118"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34"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8</w:t>
            </w:r>
          </w:p>
        </w:tc>
        <w:tc>
          <w:tcPr>
            <w:tcW w:w="5921"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h）当评价等级判断同时符合上述多种情况时，应采用其中最高的评价等级</w:t>
            </w:r>
          </w:p>
        </w:tc>
        <w:tc>
          <w:tcPr>
            <w:tcW w:w="2118" w:type="dxa"/>
            <w:vAlign w:val="center"/>
          </w:tcPr>
          <w:p>
            <w:pPr>
              <w:topLinePunct w:val="0"/>
              <w:snapToGrid w:val="0"/>
              <w:spacing w:line="240" w:lineRule="auto"/>
              <w:ind w:firstLine="0" w:firstLineChars="0"/>
              <w:jc w:val="center"/>
              <w:rPr>
                <w:rFonts w:ascii="Times New Roman" w:cs="Times New Roman"/>
                <w:bCs/>
                <w:kern w:val="2"/>
                <w:sz w:val="21"/>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34"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9</w:t>
            </w:r>
          </w:p>
        </w:tc>
        <w:tc>
          <w:tcPr>
            <w:tcW w:w="5921"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建设项目涉及经论证对保护生物多样性具有重要意义的区域时，可适当上调评价等级</w:t>
            </w:r>
          </w:p>
        </w:tc>
        <w:tc>
          <w:tcPr>
            <w:tcW w:w="2118"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34"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10</w:t>
            </w:r>
          </w:p>
        </w:tc>
        <w:tc>
          <w:tcPr>
            <w:tcW w:w="5921"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建设项目同时涉及陆生、水生生态影响时，可针对陆生生态、水生生态分别判定评价等级</w:t>
            </w:r>
          </w:p>
        </w:tc>
        <w:tc>
          <w:tcPr>
            <w:tcW w:w="2118"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项目不涉及水生生态影响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34"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11</w:t>
            </w:r>
          </w:p>
        </w:tc>
        <w:tc>
          <w:tcPr>
            <w:tcW w:w="5921"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在矿山开采可能导致矿区土地利用类型明显改变，或拦河闸坝建设可能明显改变水文情势等情况下，评价等级应上调一级</w:t>
            </w:r>
          </w:p>
        </w:tc>
        <w:tc>
          <w:tcPr>
            <w:tcW w:w="2118"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34"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12</w:t>
            </w:r>
          </w:p>
        </w:tc>
        <w:tc>
          <w:tcPr>
            <w:tcW w:w="5921"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线性工程可分段确定评价等级。线性工程地下穿越或地表跨越生态敏感区，在生态敏感区范围内无永久、临时占地时，评价等级可下调一级</w:t>
            </w:r>
          </w:p>
        </w:tc>
        <w:tc>
          <w:tcPr>
            <w:tcW w:w="2118"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不涉及</w:t>
            </w:r>
          </w:p>
        </w:tc>
      </w:tr>
      <w:bookmarkEnd w:id="75"/>
      <w:bookmarkEnd w:id="76"/>
    </w:tbl>
    <w:p>
      <w:pPr>
        <w:pStyle w:val="114"/>
        <w:ind w:firstLine="480"/>
      </w:pPr>
      <w:r>
        <w:t>项目所在地为农村生态环境，项目不涉及风景名胜区、森林公园、地质公园、重要湿地、原始天然林、珍稀濒危野生动植物天然集中分布区、重要水生生物的自然产卵场、越冬场和洄游通道、天然渔场等其他重要生态敏感区。根据项目类型，钻井工程实施不会对地下水水位造成影响。根据宣汉林地一张图叠图比对分析（区位关系详见附图），本项目</w:t>
      </w:r>
      <w:r>
        <w:rPr>
          <w:rFonts w:hint="eastAsia"/>
        </w:rPr>
        <w:t>新增占地均为</w:t>
      </w:r>
      <w:r>
        <w:t>临时占地，不涉及占用公益林、生态林等敏感目标</w:t>
      </w:r>
      <w:r>
        <w:rPr>
          <w:rFonts w:hint="eastAsia"/>
        </w:rPr>
        <w:t>，</w:t>
      </w:r>
      <w:r>
        <w:t>根据分析本项目土壤影响范围内分布有国家二级公益林生态保护目标（距离约</w:t>
      </w:r>
      <w:r>
        <w:rPr>
          <w:rFonts w:hint="eastAsia"/>
        </w:rPr>
        <w:t>45</w:t>
      </w:r>
      <w:r>
        <w:t>m）</w:t>
      </w:r>
      <w:r>
        <w:rPr>
          <w:rFonts w:hint="eastAsia"/>
        </w:rPr>
        <w:t>，因此</w:t>
      </w:r>
      <w:r>
        <w:t>本次评价生态环境评价等级定位二级。</w:t>
      </w:r>
    </w:p>
    <w:p>
      <w:pPr>
        <w:topLinePunct w:val="0"/>
        <w:adjustRightInd/>
        <w:ind w:firstLine="490"/>
        <w:rPr>
          <w:rFonts w:ascii="Times New Roman" w:cs="Times New Roman"/>
          <w:b/>
          <w:bCs/>
          <w:spacing w:val="2"/>
          <w:kern w:val="2"/>
          <w:position w:val="2"/>
          <w:szCs w:val="22"/>
        </w:rPr>
      </w:pPr>
      <w:r>
        <w:rPr>
          <w:rFonts w:ascii="Times New Roman" w:cs="Times New Roman"/>
          <w:b/>
          <w:bCs/>
          <w:spacing w:val="2"/>
          <w:kern w:val="2"/>
          <w:position w:val="2"/>
          <w:szCs w:val="22"/>
        </w:rPr>
        <w:t>2、评价范围</w:t>
      </w:r>
    </w:p>
    <w:p>
      <w:pPr>
        <w:pStyle w:val="114"/>
        <w:ind w:firstLine="480"/>
      </w:pPr>
      <w:r>
        <w:t>根据《环境影响评价技术导则 生态影响》（HJ19-2022）、《环境影响评价技术导则 陆地石油天然气开发建设项目》（HJ349-2023）中关于评价范围的划分原则，生态影响评价等级和评价范围依据《环境影响评价技术导则 生态影响》（HJ19-2022）的相关原则确定，并符合下列要求：“井场、站场（含净化厂）等工程</w:t>
      </w:r>
      <w:r>
        <w:rPr>
          <w:rFonts w:hint="eastAsia"/>
        </w:rPr>
        <w:t>以</w:t>
      </w:r>
      <w:r>
        <w:t>场界周围50米范围、集输管道等线性工程两侧外延300米为评价范围。通过大气、地表水、噪声等环境要素简介影响生态保护目标的项目，其评价范围应涵盖污染物排放产生的间接生态影响区域”。综上所述</w:t>
      </w:r>
      <w:r>
        <w:rPr>
          <w:rFonts w:hint="eastAsia"/>
        </w:rPr>
        <w:t>，</w:t>
      </w:r>
      <w:r>
        <w:t>本项目</w:t>
      </w:r>
      <w:r>
        <w:rPr>
          <w:rFonts w:hint="eastAsia"/>
        </w:rPr>
        <w:t>根据</w:t>
      </w:r>
      <w:r>
        <w:t>现</w:t>
      </w:r>
      <w:r>
        <w:rPr>
          <w:rFonts w:hint="eastAsia"/>
        </w:rPr>
        <w:t>土壤影响范围</w:t>
      </w:r>
      <w:r>
        <w:t>确定本评价范围为：站场周边200m范围。</w:t>
      </w:r>
    </w:p>
    <w:p>
      <w:pPr>
        <w:keepNext/>
        <w:keepLines/>
        <w:ind w:firstLine="0" w:firstLineChars="0"/>
        <w:outlineLvl w:val="2"/>
        <w:rPr>
          <w:rFonts w:ascii="Times New Roman" w:cs="Times New Roman"/>
          <w:b/>
          <w:szCs w:val="32"/>
        </w:rPr>
      </w:pPr>
      <w:r>
        <w:rPr>
          <w:rFonts w:ascii="Times New Roman" w:cs="Times New Roman"/>
          <w:b/>
          <w:szCs w:val="32"/>
        </w:rPr>
        <w:t>1.6.2 大气环境</w:t>
      </w:r>
    </w:p>
    <w:p>
      <w:pPr>
        <w:ind w:firstLine="490"/>
        <w:rPr>
          <w:rFonts w:ascii="Times New Roman" w:cs="Times New Roman"/>
          <w:b/>
          <w:bCs/>
          <w:spacing w:val="2"/>
          <w:kern w:val="2"/>
          <w:position w:val="2"/>
          <w:szCs w:val="22"/>
        </w:rPr>
      </w:pPr>
      <w:r>
        <w:rPr>
          <w:rFonts w:ascii="Times New Roman" w:cs="Times New Roman"/>
          <w:b/>
          <w:bCs/>
          <w:spacing w:val="2"/>
          <w:kern w:val="2"/>
          <w:position w:val="2"/>
          <w:szCs w:val="22"/>
        </w:rPr>
        <w:t>1、评价等级</w:t>
      </w:r>
    </w:p>
    <w:p>
      <w:pPr>
        <w:pStyle w:val="114"/>
        <w:ind w:firstLine="480"/>
      </w:pPr>
      <w:r>
        <w:t>本项目施工期大气环境影响为施工机械、车辆的尾气、施工扬尘、气体钻粉尘以及测试放喷废气；试采期天然气加热水套炉依托</w:t>
      </w:r>
      <w:r>
        <w:rPr>
          <w:kern w:val="2"/>
          <w:szCs w:val="22"/>
        </w:rPr>
        <w:t>P108集气站</w:t>
      </w:r>
      <w:r>
        <w:t>已建</w:t>
      </w:r>
      <w:r>
        <w:rPr>
          <w:rFonts w:hint="eastAsia"/>
        </w:rPr>
        <w:t>设施</w:t>
      </w:r>
      <w:r>
        <w:t>，不进行新增</w:t>
      </w:r>
      <w:r>
        <w:rPr>
          <w:rFonts w:hint="eastAsia"/>
        </w:rPr>
        <w:t>水套炉</w:t>
      </w:r>
      <w:r>
        <w:t>，</w:t>
      </w:r>
      <w:r>
        <w:rPr>
          <w:rFonts w:hint="eastAsia"/>
        </w:rPr>
        <w:t>因此</w:t>
      </w:r>
      <w:r>
        <w:rPr>
          <w:kern w:val="2"/>
          <w:szCs w:val="22"/>
        </w:rPr>
        <w:t>P108集气站</w:t>
      </w:r>
      <w:r>
        <w:t>废气产生量无变化</w:t>
      </w:r>
      <w:r>
        <w:rPr>
          <w:kern w:val="2"/>
          <w:szCs w:val="22"/>
        </w:rPr>
        <w:t>，项目试采期正常情况下不对大气环境排放污染物，在非正常生产时有超压和检修时依托P108</w:t>
      </w:r>
      <w:r>
        <w:t>集气站</w:t>
      </w:r>
      <w:r>
        <w:rPr>
          <w:kern w:val="2"/>
          <w:szCs w:val="22"/>
        </w:rPr>
        <w:t>已建点火放空系统排放点火放空燃烧废气</w:t>
      </w:r>
      <w:r>
        <w:t>。</w:t>
      </w:r>
      <w:r>
        <w:rPr>
          <w:kern w:val="2"/>
          <w:szCs w:val="22"/>
        </w:rPr>
        <w:t>根据《环境影响评价技术导则</w:t>
      </w:r>
      <w:r>
        <w:rPr>
          <w:rFonts w:hint="eastAsia"/>
          <w:kern w:val="2"/>
          <w:szCs w:val="22"/>
        </w:rPr>
        <w:t xml:space="preserve"> </w:t>
      </w:r>
      <w:r>
        <w:rPr>
          <w:kern w:val="2"/>
          <w:szCs w:val="22"/>
        </w:rPr>
        <w:t>大气环境》（HJ2.2-2018）：选择正常排放的主要污染物及排放参数，采用估算模式计算各污染物的最大影响程度和最远影响范围，然后按评价工作分级判据进行分级。由于本项目试采期正常情况下不对大气环境排放污染物。因此，项目大气环境评价等级为三级。</w:t>
      </w:r>
    </w:p>
    <w:p>
      <w:pPr>
        <w:ind w:firstLine="490"/>
        <w:rPr>
          <w:rFonts w:ascii="Times New Roman" w:cs="Times New Roman"/>
          <w:b/>
          <w:bCs/>
          <w:spacing w:val="2"/>
          <w:kern w:val="2"/>
          <w:position w:val="2"/>
          <w:szCs w:val="22"/>
        </w:rPr>
      </w:pPr>
      <w:r>
        <w:rPr>
          <w:rFonts w:ascii="Times New Roman" w:cs="Times New Roman"/>
          <w:b/>
          <w:bCs/>
          <w:spacing w:val="2"/>
          <w:kern w:val="2"/>
          <w:position w:val="2"/>
          <w:szCs w:val="22"/>
        </w:rPr>
        <w:t>2、评价范围</w:t>
      </w:r>
    </w:p>
    <w:p>
      <w:pPr>
        <w:ind w:firstLine="480"/>
        <w:rPr>
          <w:rFonts w:ascii="Times New Roman" w:cs="Times New Roman"/>
        </w:rPr>
      </w:pPr>
      <w:r>
        <w:rPr>
          <w:rFonts w:ascii="Times New Roman" w:cs="Times New Roman"/>
        </w:rPr>
        <w:t>本项目大气评价范围：本项目三级评价，不需设置大气环境影响评价范围。</w:t>
      </w:r>
    </w:p>
    <w:p>
      <w:pPr>
        <w:keepNext/>
        <w:keepLines/>
        <w:ind w:firstLine="0" w:firstLineChars="0"/>
        <w:outlineLvl w:val="2"/>
        <w:rPr>
          <w:rFonts w:ascii="Times New Roman" w:cs="Times New Roman"/>
          <w:b/>
          <w:szCs w:val="32"/>
        </w:rPr>
      </w:pPr>
      <w:r>
        <w:rPr>
          <w:rFonts w:ascii="Times New Roman" w:cs="Times New Roman"/>
          <w:b/>
          <w:szCs w:val="32"/>
        </w:rPr>
        <w:t>1.6.3 地表水环境</w:t>
      </w:r>
    </w:p>
    <w:p>
      <w:pPr>
        <w:ind w:firstLine="487" w:firstLineChars="199"/>
        <w:rPr>
          <w:rFonts w:ascii="Times New Roman" w:cs="Times New Roman"/>
          <w:b/>
          <w:bCs/>
          <w:spacing w:val="2"/>
          <w:kern w:val="2"/>
          <w:position w:val="2"/>
          <w:szCs w:val="22"/>
        </w:rPr>
      </w:pPr>
      <w:r>
        <w:rPr>
          <w:rFonts w:ascii="Times New Roman" w:cs="Times New Roman"/>
          <w:b/>
          <w:bCs/>
          <w:spacing w:val="2"/>
          <w:kern w:val="2"/>
          <w:position w:val="2"/>
          <w:szCs w:val="22"/>
        </w:rPr>
        <w:t>1、评价等级</w:t>
      </w:r>
    </w:p>
    <w:p>
      <w:pPr>
        <w:pStyle w:val="114"/>
        <w:ind w:firstLine="480"/>
      </w:pPr>
      <w:r>
        <w:t>根据《环境影响评价技术导则 地表水环境》（HJ2.3-2018）中关于项目评价等级与评价范围的规定及工程分析，</w:t>
      </w:r>
      <w:r>
        <w:rPr>
          <w:spacing w:val="-8"/>
          <w:szCs w:val="21"/>
        </w:rPr>
        <w:t>施工期井场施工</w:t>
      </w:r>
      <w:r>
        <w:rPr>
          <w:rFonts w:hint="eastAsia"/>
          <w:spacing w:val="-8"/>
          <w:szCs w:val="21"/>
          <w:lang w:val="en-US" w:eastAsia="zh-CN"/>
        </w:rPr>
        <w:t>人员</w:t>
      </w:r>
      <w:r>
        <w:rPr>
          <w:spacing w:val="-8"/>
          <w:szCs w:val="21"/>
        </w:rPr>
        <w:t>生活污水依托经</w:t>
      </w:r>
      <w:r>
        <w:rPr>
          <w:bCs/>
          <w:spacing w:val="-8"/>
          <w:szCs w:val="21"/>
        </w:rPr>
        <w:t>生态环保厕所收集处理</w:t>
      </w:r>
      <w:r>
        <w:t>后，用作周边农肥，不外排；员工洗澡、食堂废水经单独收集后拉运至普光镇场镇污水处理厂处理</w:t>
      </w:r>
      <w:r>
        <w:rPr>
          <w:spacing w:val="-8"/>
          <w:szCs w:val="21"/>
        </w:rPr>
        <w:t>；初期雨水和钻井废水经清洁化操作平台预处理后装车拉运至毛开1井回注站回注；压裂废水和洗井废水暂存于</w:t>
      </w:r>
      <w:r>
        <w:rPr>
          <w:rFonts w:hint="eastAsia"/>
          <w:spacing w:val="-8"/>
          <w:szCs w:val="21"/>
        </w:rPr>
        <w:t>废水池</w:t>
      </w:r>
      <w:r>
        <w:rPr>
          <w:spacing w:val="-8"/>
          <w:szCs w:val="21"/>
        </w:rPr>
        <w:t>，</w:t>
      </w:r>
      <w:r>
        <w:rPr>
          <w:rFonts w:hint="eastAsia"/>
          <w:spacing w:val="-8"/>
          <w:szCs w:val="21"/>
        </w:rPr>
        <w:t>定期</w:t>
      </w:r>
      <w:r>
        <w:rPr>
          <w:spacing w:val="-8"/>
          <w:szCs w:val="21"/>
        </w:rPr>
        <w:t>装车拉运至大湾403污水站处理达标后管输至毛开1井回注站回注</w:t>
      </w:r>
      <w:r>
        <w:t>。</w:t>
      </w:r>
      <w:bookmarkStart w:id="77" w:name="_Hlk81048370"/>
      <w:r>
        <w:t>本项目试采期产生的气田水经酸液缓冲罐收集，然后通过密闭罐车拉运至大湾403污水站处理达到《气田水回注方法》（SY/T 6596-2016）中注入水基本要求后管输至毛开1井回注站回注处理，不外排。</w:t>
      </w:r>
      <w:bookmarkEnd w:id="77"/>
      <w:r>
        <w:t>因此，本项目地表水环境影响评价等级定为水污染影响型三级B。根据建设项目水文要素影响分析，项目不涉及水文要素影响。</w:t>
      </w:r>
    </w:p>
    <w:p>
      <w:pPr>
        <w:ind w:firstLine="490"/>
        <w:rPr>
          <w:rFonts w:ascii="Times New Roman" w:cs="Times New Roman"/>
          <w:b/>
          <w:bCs/>
          <w:spacing w:val="2"/>
          <w:kern w:val="2"/>
          <w:position w:val="2"/>
          <w:szCs w:val="22"/>
        </w:rPr>
      </w:pPr>
      <w:r>
        <w:rPr>
          <w:rFonts w:ascii="Times New Roman" w:cs="Times New Roman"/>
          <w:b/>
          <w:bCs/>
          <w:spacing w:val="2"/>
          <w:kern w:val="2"/>
          <w:position w:val="2"/>
          <w:szCs w:val="22"/>
        </w:rPr>
        <w:t>2、评价范围</w:t>
      </w:r>
    </w:p>
    <w:p>
      <w:pPr>
        <w:ind w:firstLine="480"/>
        <w:rPr>
          <w:rFonts w:ascii="Times New Roman" w:cs="Times New Roman"/>
        </w:rPr>
      </w:pPr>
      <w:r>
        <w:rPr>
          <w:rFonts w:ascii="Times New Roman" w:cs="Times New Roman"/>
        </w:rPr>
        <w:t>根据《环境影响评价技术导则 地表水环境》（HJ2.3-2018）中第5.3.2.2条规定，并结合项目实际情况，本次环评地表水环境影响评价不作预测评价，仅对污、废水的产生</w:t>
      </w:r>
      <w:r>
        <w:rPr>
          <w:rFonts w:hint="eastAsia" w:ascii="Times New Roman" w:cs="Times New Roman"/>
        </w:rPr>
        <w:t>及处理情况</w:t>
      </w:r>
      <w:r>
        <w:rPr>
          <w:rFonts w:ascii="Times New Roman" w:cs="Times New Roman"/>
        </w:rPr>
        <w:t>等进行说明，并进行简单的环境影响分析。</w:t>
      </w:r>
    </w:p>
    <w:p>
      <w:pPr>
        <w:ind w:firstLine="480"/>
        <w:rPr>
          <w:rFonts w:ascii="Times New Roman" w:cs="Times New Roman"/>
        </w:rPr>
      </w:pPr>
      <w:r>
        <w:rPr>
          <w:rFonts w:ascii="Times New Roman" w:cs="Times New Roman"/>
        </w:rPr>
        <w:t>因此，本项目不设地表水评价范围。</w:t>
      </w:r>
    </w:p>
    <w:p>
      <w:pPr>
        <w:keepNext/>
        <w:keepLines/>
        <w:ind w:firstLine="0" w:firstLineChars="0"/>
        <w:outlineLvl w:val="2"/>
        <w:rPr>
          <w:rFonts w:ascii="Times New Roman" w:cs="Times New Roman"/>
          <w:b/>
          <w:szCs w:val="32"/>
        </w:rPr>
      </w:pPr>
      <w:r>
        <w:rPr>
          <w:rFonts w:ascii="Times New Roman" w:cs="Times New Roman"/>
          <w:b/>
          <w:szCs w:val="32"/>
        </w:rPr>
        <w:t>1.6.4 地下水环境</w:t>
      </w:r>
    </w:p>
    <w:p>
      <w:pPr>
        <w:ind w:firstLine="490"/>
        <w:rPr>
          <w:rFonts w:ascii="Times New Roman" w:cs="Times New Roman"/>
          <w:b/>
          <w:bCs/>
          <w:spacing w:val="2"/>
          <w:kern w:val="2"/>
          <w:position w:val="2"/>
          <w:szCs w:val="22"/>
        </w:rPr>
      </w:pPr>
      <w:r>
        <w:rPr>
          <w:rFonts w:ascii="Times New Roman" w:cs="Times New Roman"/>
          <w:b/>
          <w:bCs/>
          <w:spacing w:val="2"/>
          <w:kern w:val="2"/>
          <w:position w:val="2"/>
          <w:szCs w:val="22"/>
        </w:rPr>
        <w:t>1、评价等级</w:t>
      </w:r>
    </w:p>
    <w:p>
      <w:pPr>
        <w:pStyle w:val="114"/>
        <w:ind w:firstLine="480"/>
      </w:pPr>
      <w:r>
        <w:t>根据《环境影响评价技术导则 地下水环境》（HJ610-2016）附录A，本项目属于“F石油、天然气第38项天然气、页岩气开采（含净化）”，编制环评报告书的Ⅱ类建设项目，其地下水环境影响评价工作等级的划分依据II类建设项目特征分别进行地下水环境影响评价等级划分。</w:t>
      </w:r>
    </w:p>
    <w:p>
      <w:pPr>
        <w:pStyle w:val="114"/>
        <w:ind w:firstLine="480"/>
      </w:pPr>
      <w:r>
        <w:t>根据《环境影响评价技术导则 地下水环境》（HJ610-2016）中地下水环境影响评价工作等级划分原则，地下水评价工作等级应依据建设项目行业类别和地下水环境敏感程度分级进行判定。</w:t>
      </w:r>
    </w:p>
    <w:p>
      <w:pPr>
        <w:pStyle w:val="114"/>
        <w:ind w:firstLine="480"/>
      </w:pPr>
      <w:r>
        <w:t>根据现场调查和资料收集，评价区范围内有居民分布，井场周围分散居民主要以浅层地下水（山泉出露水为主）作为生活饮用水源，属于</w:t>
      </w:r>
      <w:r>
        <w:rPr>
          <w:bCs/>
        </w:rPr>
        <w:t>分散式饮用水水源地</w:t>
      </w:r>
      <w:r>
        <w:t>。因此，评价区地下水环境敏感程度定为“较敏感”。地下水环境敏感程度识别详见表1.6-2。</w:t>
      </w:r>
    </w:p>
    <w:p>
      <w:pPr>
        <w:pStyle w:val="39"/>
        <w:rPr>
          <w:rFonts w:cs="Times New Roman"/>
        </w:rPr>
      </w:pPr>
      <w:r>
        <w:rPr>
          <w:rFonts w:cs="Times New Roman"/>
        </w:rPr>
        <w:t>表1.6-2  地下水环境敏感程度分级表</w:t>
      </w:r>
    </w:p>
    <w:tbl>
      <w:tblPr>
        <w:tblStyle w:val="59"/>
        <w:tblW w:w="5000" w:type="pct"/>
        <w:jc w:val="center"/>
        <w:tblLayout w:type="autofit"/>
        <w:tblCellMar>
          <w:top w:w="0" w:type="dxa"/>
          <w:left w:w="0" w:type="dxa"/>
          <w:bottom w:w="0" w:type="dxa"/>
          <w:right w:w="0" w:type="dxa"/>
        </w:tblCellMar>
      </w:tblPr>
      <w:tblGrid>
        <w:gridCol w:w="1299"/>
        <w:gridCol w:w="7489"/>
      </w:tblGrid>
      <w:tr>
        <w:tblPrEx>
          <w:tblCellMar>
            <w:top w:w="0" w:type="dxa"/>
            <w:left w:w="0" w:type="dxa"/>
            <w:bottom w:w="0" w:type="dxa"/>
            <w:right w:w="0" w:type="dxa"/>
          </w:tblCellMar>
        </w:tblPrEx>
        <w:trPr>
          <w:trHeight w:val="19" w:hRule="atLeast"/>
          <w:jc w:val="center"/>
        </w:trPr>
        <w:tc>
          <w:tcPr>
            <w:tcW w:w="739" w:type="pct"/>
            <w:tcBorders>
              <w:top w:val="single" w:color="000000" w:sz="12"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分级</w:t>
            </w:r>
          </w:p>
        </w:tc>
        <w:tc>
          <w:tcPr>
            <w:tcW w:w="4261" w:type="pct"/>
            <w:tcBorders>
              <w:top w:val="single" w:color="000000" w:sz="12"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地下水环境敏感特征</w:t>
            </w:r>
          </w:p>
        </w:tc>
      </w:tr>
      <w:tr>
        <w:tblPrEx>
          <w:tblCellMar>
            <w:top w:w="0" w:type="dxa"/>
            <w:left w:w="0" w:type="dxa"/>
            <w:bottom w:w="0" w:type="dxa"/>
            <w:right w:w="0" w:type="dxa"/>
          </w:tblCellMar>
        </w:tblPrEx>
        <w:trPr>
          <w:trHeight w:val="19" w:hRule="atLeast"/>
          <w:jc w:val="center"/>
        </w:trPr>
        <w:tc>
          <w:tcPr>
            <w:tcW w:w="739" w:type="pct"/>
            <w:tcBorders>
              <w:top w:val="single" w:color="000000" w:sz="4"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敏感</w:t>
            </w:r>
          </w:p>
        </w:tc>
        <w:tc>
          <w:tcPr>
            <w:tcW w:w="4261" w:type="pct"/>
            <w:tcBorders>
              <w:top w:val="single" w:color="000000" w:sz="4" w:space="0"/>
              <w:left w:val="single" w:color="000000" w:sz="4" w:space="0"/>
              <w:bottom w:val="single" w:color="000000" w:sz="4" w:space="0"/>
              <w:right w:val="nil"/>
            </w:tcBorders>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集中式饮用水水源（包括已建成的在用、备用、应急水源地，在建和规划的水源地）准保护区；除集中式饮用水水源地以外的国家或地方政府设定的与地下水环境相关的其它保护区，如热水、矿泉水、温泉等特殊地下水资源保护区。</w:t>
            </w:r>
          </w:p>
        </w:tc>
      </w:tr>
      <w:tr>
        <w:tblPrEx>
          <w:tblCellMar>
            <w:top w:w="0" w:type="dxa"/>
            <w:left w:w="0" w:type="dxa"/>
            <w:bottom w:w="0" w:type="dxa"/>
            <w:right w:w="0" w:type="dxa"/>
          </w:tblCellMar>
        </w:tblPrEx>
        <w:trPr>
          <w:trHeight w:val="19" w:hRule="atLeast"/>
          <w:jc w:val="center"/>
        </w:trPr>
        <w:tc>
          <w:tcPr>
            <w:tcW w:w="739" w:type="pct"/>
            <w:tcBorders>
              <w:top w:val="single" w:color="000000" w:sz="4"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较敏感（√）</w:t>
            </w:r>
          </w:p>
        </w:tc>
        <w:tc>
          <w:tcPr>
            <w:tcW w:w="4261" w:type="pct"/>
            <w:tcBorders>
              <w:top w:val="single" w:color="000000" w:sz="4" w:space="0"/>
              <w:left w:val="single" w:color="000000" w:sz="4" w:space="0"/>
              <w:bottom w:val="single" w:color="000000" w:sz="4" w:space="0"/>
              <w:right w:val="nil"/>
            </w:tcBorders>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集中式饮用水水源（包括已建成的在用、备用、应急水源，在建和规划的饮用水水源）准保护区以外的补给径流区；未划定准保护区的集中水式饮用水水源，其保护区以外的补给径流区；</w:t>
            </w:r>
            <w:r>
              <w:rPr>
                <w:rFonts w:ascii="Times New Roman" w:cs="Times New Roman"/>
                <w:bCs/>
                <w:kern w:val="2"/>
                <w:sz w:val="21"/>
              </w:rPr>
              <w:t>分散式饮用水水源地；</w:t>
            </w:r>
            <w:r>
              <w:rPr>
                <w:rFonts w:ascii="Times New Roman" w:cs="Times New Roman"/>
                <w:kern w:val="2"/>
                <w:sz w:val="21"/>
              </w:rPr>
              <w:t>特殊地下水资源（如矿泉水、温泉等）保护区以外的分布区等其他未列入上述敏感分级的环境敏感区。</w:t>
            </w:r>
          </w:p>
        </w:tc>
      </w:tr>
      <w:tr>
        <w:tblPrEx>
          <w:tblCellMar>
            <w:top w:w="0" w:type="dxa"/>
            <w:left w:w="0" w:type="dxa"/>
            <w:bottom w:w="0" w:type="dxa"/>
            <w:right w:w="0" w:type="dxa"/>
          </w:tblCellMar>
        </w:tblPrEx>
        <w:trPr>
          <w:trHeight w:val="19" w:hRule="atLeast"/>
          <w:jc w:val="center"/>
        </w:trPr>
        <w:tc>
          <w:tcPr>
            <w:tcW w:w="739" w:type="pct"/>
            <w:tcBorders>
              <w:top w:val="single" w:color="000000" w:sz="4" w:space="0"/>
              <w:left w:val="nil"/>
              <w:bottom w:val="single" w:color="000000" w:sz="1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不敏感</w:t>
            </w:r>
          </w:p>
        </w:tc>
        <w:tc>
          <w:tcPr>
            <w:tcW w:w="4261" w:type="pct"/>
            <w:tcBorders>
              <w:top w:val="single" w:color="000000" w:sz="4" w:space="0"/>
              <w:left w:val="single" w:color="000000" w:sz="4" w:space="0"/>
              <w:bottom w:val="single" w:color="000000" w:sz="12" w:space="0"/>
              <w:right w:val="nil"/>
            </w:tcBorders>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上述地区之外的其它地区。</w:t>
            </w:r>
          </w:p>
        </w:tc>
      </w:tr>
    </w:tbl>
    <w:p>
      <w:pPr>
        <w:pStyle w:val="114"/>
        <w:ind w:firstLine="480"/>
      </w:pPr>
      <w:r>
        <w:t>根据《环境影响评价技术导则地下水环境》（HJ610-2016）建设项目地下水环境影响评价工作等级划分见表1.6-3。</w:t>
      </w:r>
    </w:p>
    <w:p>
      <w:pPr>
        <w:pStyle w:val="39"/>
        <w:rPr>
          <w:rFonts w:cs="Times New Roman"/>
        </w:rPr>
      </w:pPr>
      <w:r>
        <w:rPr>
          <w:rFonts w:cs="Times New Roman"/>
        </w:rPr>
        <w:t>表1.6-3  地下水环境影响评价工作等级分级表</w:t>
      </w:r>
    </w:p>
    <w:tbl>
      <w:tblPr>
        <w:tblStyle w:val="59"/>
        <w:tblW w:w="5000" w:type="pct"/>
        <w:jc w:val="center"/>
        <w:tblLayout w:type="autofit"/>
        <w:tblCellMar>
          <w:top w:w="0" w:type="dxa"/>
          <w:left w:w="0" w:type="dxa"/>
          <w:bottom w:w="0" w:type="dxa"/>
          <w:right w:w="0" w:type="dxa"/>
        </w:tblCellMar>
      </w:tblPr>
      <w:tblGrid>
        <w:gridCol w:w="3208"/>
        <w:gridCol w:w="1882"/>
        <w:gridCol w:w="1888"/>
        <w:gridCol w:w="1810"/>
      </w:tblGrid>
      <w:tr>
        <w:tblPrEx>
          <w:tblCellMar>
            <w:top w:w="0" w:type="dxa"/>
            <w:left w:w="0" w:type="dxa"/>
            <w:bottom w:w="0" w:type="dxa"/>
            <w:right w:w="0" w:type="dxa"/>
          </w:tblCellMar>
        </w:tblPrEx>
        <w:trPr>
          <w:trHeight w:val="19" w:hRule="atLeast"/>
          <w:jc w:val="center"/>
        </w:trPr>
        <w:tc>
          <w:tcPr>
            <w:tcW w:w="1825" w:type="pct"/>
            <w:tcBorders>
              <w:top w:val="single" w:color="000000" w:sz="12" w:space="0"/>
              <w:left w:val="nil"/>
              <w:bottom w:val="single" w:color="000000" w:sz="4" w:space="0"/>
              <w:right w:val="single" w:color="000000" w:sz="4" w:space="0"/>
              <w:tl2br w:val="single" w:color="auto" w:sz="4" w:space="0"/>
            </w:tcBorders>
          </w:tcPr>
          <w:p>
            <w:pPr>
              <w:topLinePunct w:val="0"/>
              <w:adjustRightInd/>
              <w:spacing w:line="240" w:lineRule="auto"/>
              <w:ind w:firstLine="0" w:firstLineChars="0"/>
              <w:jc w:val="right"/>
              <w:rPr>
                <w:rFonts w:ascii="Times New Roman" w:cs="Times New Roman"/>
                <w:b/>
                <w:bCs/>
                <w:kern w:val="2"/>
                <w:sz w:val="21"/>
              </w:rPr>
            </w:pPr>
            <w:r>
              <w:rPr>
                <w:rFonts w:ascii="Times New Roman" w:cs="Times New Roman"/>
                <w:b/>
                <w:bCs/>
                <w:kern w:val="2"/>
                <w:sz w:val="21"/>
              </w:rPr>
              <w:t>类别</w:t>
            </w:r>
          </w:p>
          <w:p>
            <w:pPr>
              <w:topLinePunct w:val="0"/>
              <w:adjustRightInd/>
              <w:spacing w:line="240" w:lineRule="auto"/>
              <w:ind w:firstLine="0" w:firstLineChars="0"/>
              <w:rPr>
                <w:rFonts w:ascii="Times New Roman" w:cs="Times New Roman"/>
                <w:b/>
                <w:bCs/>
                <w:kern w:val="2"/>
                <w:sz w:val="21"/>
              </w:rPr>
            </w:pPr>
            <w:r>
              <w:rPr>
                <w:rFonts w:ascii="Times New Roman" w:cs="Times New Roman"/>
                <w:b/>
                <w:bCs/>
                <w:kern w:val="2"/>
                <w:sz w:val="21"/>
              </w:rPr>
              <w:t>环境敏感程度</w:t>
            </w:r>
          </w:p>
        </w:tc>
        <w:tc>
          <w:tcPr>
            <w:tcW w:w="1071" w:type="pct"/>
            <w:tcBorders>
              <w:top w:val="single" w:color="000000" w:sz="12"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Ⅰ类项目</w:t>
            </w:r>
          </w:p>
        </w:tc>
        <w:tc>
          <w:tcPr>
            <w:tcW w:w="1074" w:type="pct"/>
            <w:tcBorders>
              <w:top w:val="single" w:color="000000" w:sz="12"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Ⅱ类项目</w:t>
            </w:r>
          </w:p>
        </w:tc>
        <w:tc>
          <w:tcPr>
            <w:tcW w:w="1030" w:type="pct"/>
            <w:tcBorders>
              <w:top w:val="single" w:color="000000" w:sz="12"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Ⅲ类项目</w:t>
            </w:r>
          </w:p>
        </w:tc>
      </w:tr>
      <w:tr>
        <w:tblPrEx>
          <w:tblCellMar>
            <w:top w:w="0" w:type="dxa"/>
            <w:left w:w="0" w:type="dxa"/>
            <w:bottom w:w="0" w:type="dxa"/>
            <w:right w:w="0" w:type="dxa"/>
          </w:tblCellMar>
        </w:tblPrEx>
        <w:trPr>
          <w:trHeight w:val="19" w:hRule="atLeast"/>
          <w:jc w:val="center"/>
        </w:trPr>
        <w:tc>
          <w:tcPr>
            <w:tcW w:w="1825" w:type="pct"/>
            <w:tcBorders>
              <w:top w:val="single" w:color="000000" w:sz="4"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敏感</w:t>
            </w:r>
          </w:p>
        </w:tc>
        <w:tc>
          <w:tcPr>
            <w:tcW w:w="1071"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一</w:t>
            </w:r>
          </w:p>
        </w:tc>
        <w:tc>
          <w:tcPr>
            <w:tcW w:w="1074"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一</w:t>
            </w:r>
          </w:p>
        </w:tc>
        <w:tc>
          <w:tcPr>
            <w:tcW w:w="1030" w:type="pct"/>
            <w:tcBorders>
              <w:top w:val="single" w:color="000000" w:sz="4"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二</w:t>
            </w:r>
          </w:p>
        </w:tc>
      </w:tr>
      <w:tr>
        <w:tblPrEx>
          <w:tblCellMar>
            <w:top w:w="0" w:type="dxa"/>
            <w:left w:w="0" w:type="dxa"/>
            <w:bottom w:w="0" w:type="dxa"/>
            <w:right w:w="0" w:type="dxa"/>
          </w:tblCellMar>
        </w:tblPrEx>
        <w:trPr>
          <w:trHeight w:val="19" w:hRule="atLeast"/>
          <w:jc w:val="center"/>
        </w:trPr>
        <w:tc>
          <w:tcPr>
            <w:tcW w:w="1825" w:type="pct"/>
            <w:tcBorders>
              <w:top w:val="single" w:color="000000" w:sz="4"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较敏感</w:t>
            </w:r>
          </w:p>
        </w:tc>
        <w:tc>
          <w:tcPr>
            <w:tcW w:w="1071"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一</w:t>
            </w:r>
          </w:p>
        </w:tc>
        <w:tc>
          <w:tcPr>
            <w:tcW w:w="1074"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二</w:t>
            </w:r>
            <w:r>
              <w:rPr>
                <w:rFonts w:ascii="Times New Roman" w:cs="Times New Roman"/>
                <w:bCs/>
                <w:kern w:val="2"/>
                <w:sz w:val="21"/>
              </w:rPr>
              <w:t>（√）</w:t>
            </w:r>
          </w:p>
        </w:tc>
        <w:tc>
          <w:tcPr>
            <w:tcW w:w="1030" w:type="pct"/>
            <w:tcBorders>
              <w:top w:val="single" w:color="000000" w:sz="4"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ascii="Times New Roman" w:cs="Times New Roman"/>
                <w:bCs/>
                <w:kern w:val="2"/>
                <w:sz w:val="21"/>
              </w:rPr>
            </w:pPr>
            <w:r>
              <w:rPr>
                <w:rFonts w:ascii="Times New Roman" w:cs="Times New Roman"/>
                <w:bCs/>
                <w:kern w:val="2"/>
                <w:sz w:val="21"/>
              </w:rPr>
              <w:t>三</w:t>
            </w:r>
          </w:p>
        </w:tc>
      </w:tr>
      <w:tr>
        <w:tblPrEx>
          <w:tblCellMar>
            <w:top w:w="0" w:type="dxa"/>
            <w:left w:w="0" w:type="dxa"/>
            <w:bottom w:w="0" w:type="dxa"/>
            <w:right w:w="0" w:type="dxa"/>
          </w:tblCellMar>
        </w:tblPrEx>
        <w:trPr>
          <w:trHeight w:val="19" w:hRule="atLeast"/>
          <w:jc w:val="center"/>
        </w:trPr>
        <w:tc>
          <w:tcPr>
            <w:tcW w:w="1825" w:type="pct"/>
            <w:tcBorders>
              <w:top w:val="single" w:color="000000" w:sz="4" w:space="0"/>
              <w:left w:val="nil"/>
              <w:bottom w:val="single" w:color="000000" w:sz="1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不敏感</w:t>
            </w:r>
          </w:p>
        </w:tc>
        <w:tc>
          <w:tcPr>
            <w:tcW w:w="1071" w:type="pct"/>
            <w:tcBorders>
              <w:top w:val="single" w:color="000000" w:sz="4" w:space="0"/>
              <w:left w:val="single" w:color="000000" w:sz="4" w:space="0"/>
              <w:bottom w:val="single" w:color="000000" w:sz="1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二</w:t>
            </w:r>
          </w:p>
        </w:tc>
        <w:tc>
          <w:tcPr>
            <w:tcW w:w="1074" w:type="pct"/>
            <w:tcBorders>
              <w:top w:val="single" w:color="000000" w:sz="4" w:space="0"/>
              <w:left w:val="single" w:color="000000" w:sz="4" w:space="0"/>
              <w:bottom w:val="single" w:color="000000" w:sz="1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三</w:t>
            </w:r>
          </w:p>
        </w:tc>
        <w:tc>
          <w:tcPr>
            <w:tcW w:w="1030" w:type="pct"/>
            <w:tcBorders>
              <w:top w:val="single" w:color="000000" w:sz="4" w:space="0"/>
              <w:left w:val="single" w:color="000000" w:sz="4" w:space="0"/>
              <w:bottom w:val="single" w:color="000000" w:sz="12" w:space="0"/>
              <w:right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三</w:t>
            </w:r>
          </w:p>
        </w:tc>
      </w:tr>
    </w:tbl>
    <w:p>
      <w:pPr>
        <w:ind w:firstLine="477" w:firstLineChars="199"/>
        <w:rPr>
          <w:rFonts w:ascii="Times New Roman" w:cs="Times New Roman"/>
        </w:rPr>
      </w:pPr>
      <w:r>
        <w:rPr>
          <w:rFonts w:ascii="Times New Roman" w:cs="Times New Roman"/>
        </w:rPr>
        <w:t>综合以上“项目类别”和“地下水环境敏感程度分级”结果，查询《环境影响评价技术导则 地下水环境》（HJ610-2016）建设项目评价工作等级分级表，确定本次建设项目评价工作等级为“二级”。</w:t>
      </w:r>
    </w:p>
    <w:p>
      <w:pPr>
        <w:ind w:firstLine="482"/>
        <w:rPr>
          <w:rFonts w:ascii="Times New Roman" w:cs="Times New Roman"/>
          <w:b/>
          <w:bCs/>
        </w:rPr>
      </w:pPr>
      <w:r>
        <w:rPr>
          <w:rFonts w:ascii="Times New Roman" w:cs="Times New Roman"/>
          <w:b/>
          <w:bCs/>
        </w:rPr>
        <w:t>2、评价范围</w:t>
      </w:r>
    </w:p>
    <w:p>
      <w:pPr>
        <w:pStyle w:val="114"/>
        <w:ind w:firstLine="480"/>
      </w:pPr>
      <w:r>
        <w:t>①公式计算法</w:t>
      </w:r>
    </w:p>
    <w:p>
      <w:pPr>
        <w:pStyle w:val="114"/>
        <w:ind w:firstLine="480"/>
      </w:pPr>
      <w:r>
        <w:t>根据《环境影响评价技术导则 地下水环境》（HJ610-2016）2016），当建设项目所在地水文地质条件相对简单，且所掌握的资料能够满足公式计算法的要求时，应采用公式计算法确定：</w:t>
      </w:r>
    </w:p>
    <w:p>
      <w:pPr>
        <w:ind w:firstLine="0" w:firstLineChars="0"/>
        <w:jc w:val="center"/>
        <w:rPr>
          <w:rFonts w:ascii="Times New Roman" w:cs="Times New Roman"/>
        </w:rPr>
      </w:pPr>
      <w:r>
        <w:rPr>
          <w:rFonts w:ascii="Times New Roman" w:cs="Times New Roman"/>
        </w:rPr>
        <w:t>L=α×K×I×T/n</w:t>
      </w:r>
      <w:r>
        <w:rPr>
          <w:rFonts w:ascii="Times New Roman" w:cs="Times New Roman"/>
          <w:vertAlign w:val="subscript"/>
        </w:rPr>
        <w:t>e</w:t>
      </w:r>
    </w:p>
    <w:p>
      <w:pPr>
        <w:ind w:firstLine="480"/>
        <w:rPr>
          <w:rFonts w:ascii="Times New Roman" w:cs="Times New Roman"/>
        </w:rPr>
      </w:pPr>
      <w:r>
        <w:rPr>
          <w:rFonts w:ascii="Times New Roman" w:cs="Times New Roman"/>
        </w:rPr>
        <w:t>式中：L—下游迁移距离，m；</w:t>
      </w:r>
    </w:p>
    <w:p>
      <w:pPr>
        <w:ind w:firstLine="480"/>
        <w:rPr>
          <w:rFonts w:ascii="Times New Roman" w:cs="Times New Roman"/>
        </w:rPr>
      </w:pPr>
      <w:r>
        <w:rPr>
          <w:rFonts w:ascii="Times New Roman" w:cs="Times New Roman"/>
        </w:rPr>
        <w:t xml:space="preserve">      α—变化系数，α≥1，一般取2；</w:t>
      </w:r>
    </w:p>
    <w:p>
      <w:pPr>
        <w:ind w:firstLine="480"/>
        <w:rPr>
          <w:rFonts w:ascii="Times New Roman" w:cs="Times New Roman"/>
        </w:rPr>
      </w:pPr>
      <w:r>
        <w:rPr>
          <w:rFonts w:ascii="Times New Roman" w:cs="Times New Roman"/>
        </w:rPr>
        <w:t xml:space="preserve">      K—渗透系数；</w:t>
      </w:r>
    </w:p>
    <w:p>
      <w:pPr>
        <w:ind w:firstLine="480"/>
        <w:rPr>
          <w:rFonts w:ascii="Times New Roman" w:cs="Times New Roman"/>
        </w:rPr>
      </w:pPr>
      <w:r>
        <w:rPr>
          <w:rFonts w:ascii="Times New Roman" w:cs="Times New Roman"/>
        </w:rPr>
        <w:t xml:space="preserve">      I—水力坡度；</w:t>
      </w:r>
    </w:p>
    <w:p>
      <w:pPr>
        <w:ind w:firstLine="480"/>
        <w:rPr>
          <w:rFonts w:ascii="Times New Roman" w:cs="Times New Roman"/>
        </w:rPr>
      </w:pPr>
      <w:r>
        <w:rPr>
          <w:rFonts w:ascii="Times New Roman" w:cs="Times New Roman"/>
        </w:rPr>
        <w:t xml:space="preserve">      T—质点迁移天数；</w:t>
      </w:r>
    </w:p>
    <w:p>
      <w:pPr>
        <w:ind w:firstLine="480"/>
        <w:rPr>
          <w:rFonts w:ascii="Times New Roman" w:cs="Times New Roman"/>
        </w:rPr>
      </w:pPr>
      <w:r>
        <w:rPr>
          <w:rFonts w:ascii="Times New Roman" w:cs="Times New Roman"/>
        </w:rPr>
        <w:t xml:space="preserve">      Ne—有效孔隙度，无量纲。</w:t>
      </w:r>
    </w:p>
    <w:p>
      <w:pPr>
        <w:pStyle w:val="114"/>
        <w:ind w:firstLine="480"/>
      </w:pPr>
      <w:r>
        <w:t>②查表法</w:t>
      </w:r>
    </w:p>
    <w:p>
      <w:pPr>
        <w:pStyle w:val="114"/>
        <w:ind w:firstLine="480"/>
      </w:pPr>
      <w:r>
        <w:t>当不满足公式计算法要求时，可采用查表法确定。</w:t>
      </w:r>
    </w:p>
    <w:p>
      <w:pPr>
        <w:pStyle w:val="39"/>
        <w:rPr>
          <w:rFonts w:cs="Times New Roman"/>
        </w:rPr>
      </w:pPr>
      <w:r>
        <w:rPr>
          <w:rFonts w:cs="Times New Roman"/>
        </w:rPr>
        <w:t>表1.6-4  地下水环境现状调查评价范围参照表</w:t>
      </w:r>
    </w:p>
    <w:tbl>
      <w:tblPr>
        <w:tblStyle w:val="59"/>
        <w:tblW w:w="5000" w:type="pct"/>
        <w:jc w:val="center"/>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211"/>
        <w:gridCol w:w="3146"/>
        <w:gridCol w:w="3647"/>
      </w:tblGrid>
      <w:tr>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PrEx>
        <w:trPr>
          <w:trHeight w:val="278" w:hRule="atLeast"/>
          <w:jc w:val="center"/>
        </w:trPr>
        <w:tc>
          <w:tcPr>
            <w:tcW w:w="1228" w:type="pct"/>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评价等级</w:t>
            </w:r>
          </w:p>
        </w:tc>
        <w:tc>
          <w:tcPr>
            <w:tcW w:w="1747" w:type="pct"/>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调查评价面积（km</w:t>
            </w:r>
            <w:r>
              <w:rPr>
                <w:rFonts w:ascii="Times New Roman" w:cs="Times New Roman"/>
                <w:b/>
                <w:bCs/>
                <w:kern w:val="2"/>
                <w:sz w:val="21"/>
                <w:vertAlign w:val="superscript"/>
              </w:rPr>
              <w:t>2</w:t>
            </w:r>
            <w:r>
              <w:rPr>
                <w:rFonts w:ascii="Times New Roman" w:cs="Times New Roman"/>
                <w:b/>
                <w:bCs/>
                <w:kern w:val="2"/>
                <w:sz w:val="21"/>
              </w:rPr>
              <w:t>）</w:t>
            </w:r>
          </w:p>
        </w:tc>
        <w:tc>
          <w:tcPr>
            <w:tcW w:w="2025" w:type="pct"/>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备注</w:t>
            </w:r>
          </w:p>
        </w:tc>
      </w:tr>
      <w:tr>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8" w:hRule="atLeast"/>
          <w:jc w:val="center"/>
        </w:trPr>
        <w:tc>
          <w:tcPr>
            <w:tcW w:w="1228" w:type="pct"/>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一级</w:t>
            </w:r>
          </w:p>
        </w:tc>
        <w:tc>
          <w:tcPr>
            <w:tcW w:w="1747" w:type="pct"/>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≥20</w:t>
            </w:r>
          </w:p>
        </w:tc>
        <w:tc>
          <w:tcPr>
            <w:tcW w:w="2025" w:type="pct"/>
            <w:vMerge w:val="restart"/>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应包括重要的地下水环境保护目标，必要时适当扩大范围</w:t>
            </w:r>
          </w:p>
        </w:tc>
      </w:tr>
      <w:tr>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8" w:hRule="atLeast"/>
          <w:jc w:val="center"/>
        </w:trPr>
        <w:tc>
          <w:tcPr>
            <w:tcW w:w="1228" w:type="pct"/>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二级</w:t>
            </w:r>
          </w:p>
        </w:tc>
        <w:tc>
          <w:tcPr>
            <w:tcW w:w="1747" w:type="pct"/>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6-20</w:t>
            </w:r>
          </w:p>
        </w:tc>
        <w:tc>
          <w:tcPr>
            <w:tcW w:w="2025" w:type="pct"/>
            <w:vMerge w:val="continue"/>
          </w:tcPr>
          <w:p>
            <w:pPr>
              <w:topLinePunct w:val="0"/>
              <w:adjustRightInd/>
              <w:spacing w:line="240" w:lineRule="auto"/>
              <w:ind w:firstLine="0" w:firstLineChars="0"/>
              <w:jc w:val="center"/>
              <w:rPr>
                <w:rFonts w:ascii="Times New Roman" w:cs="Times New Roman"/>
                <w:kern w:val="2"/>
                <w:sz w:val="21"/>
              </w:rPr>
            </w:pPr>
          </w:p>
        </w:tc>
      </w:tr>
      <w:tr>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8" w:hRule="atLeast"/>
          <w:jc w:val="center"/>
        </w:trPr>
        <w:tc>
          <w:tcPr>
            <w:tcW w:w="1228" w:type="pct"/>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三级</w:t>
            </w:r>
          </w:p>
        </w:tc>
        <w:tc>
          <w:tcPr>
            <w:tcW w:w="1747" w:type="pct"/>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≤6</w:t>
            </w:r>
          </w:p>
        </w:tc>
        <w:tc>
          <w:tcPr>
            <w:tcW w:w="2025" w:type="pct"/>
            <w:vMerge w:val="continue"/>
          </w:tcPr>
          <w:p>
            <w:pPr>
              <w:topLinePunct w:val="0"/>
              <w:adjustRightInd/>
              <w:spacing w:line="240" w:lineRule="auto"/>
              <w:ind w:firstLine="0" w:firstLineChars="0"/>
              <w:jc w:val="center"/>
              <w:rPr>
                <w:rFonts w:ascii="Times New Roman" w:cs="Times New Roman"/>
                <w:kern w:val="2"/>
                <w:sz w:val="21"/>
              </w:rPr>
            </w:pPr>
          </w:p>
        </w:tc>
      </w:tr>
    </w:tbl>
    <w:p>
      <w:pPr>
        <w:pStyle w:val="114"/>
        <w:ind w:firstLine="480"/>
      </w:pPr>
      <w:r>
        <w:t>③自定义法</w:t>
      </w:r>
    </w:p>
    <w:p>
      <w:pPr>
        <w:pStyle w:val="114"/>
        <w:ind w:firstLine="480"/>
      </w:pPr>
      <w:r>
        <w:t>当计算或查表范围超出所处水文地质单元边界时，应以所处水文地质单元边界为宜，可根据建设项目所在区域水文地质条件确定，本项目采用自定义法确定，以本项目</w:t>
      </w:r>
      <w:r>
        <w:rPr>
          <w:bCs/>
        </w:rPr>
        <w:t>所在地的分水岭和周边地表水为界，确定本项目</w:t>
      </w:r>
      <w:r>
        <w:t>地下水评价范围为</w:t>
      </w:r>
      <w:r>
        <w:rPr>
          <w:rFonts w:hint="eastAsia"/>
        </w:rPr>
        <w:t>9.33</w:t>
      </w:r>
      <w:r>
        <w:t>km</w:t>
      </w:r>
      <w:r>
        <w:rPr>
          <w:vertAlign w:val="superscript"/>
        </w:rPr>
        <w:t>2</w:t>
      </w:r>
      <w:r>
        <w:t>，四至范围为：东至大田湾，南至后河，西至后河，北至</w:t>
      </w:r>
      <w:r>
        <w:rPr>
          <w:rFonts w:hint="eastAsia"/>
        </w:rPr>
        <w:t>塔娅村</w:t>
      </w:r>
      <w:r>
        <w:t>北侧区域。</w:t>
      </w:r>
    </w:p>
    <w:p>
      <w:pPr>
        <w:pStyle w:val="114"/>
        <w:ind w:firstLine="480"/>
      </w:pPr>
      <w:r>
        <w:t>综上，根据自定义法结果及项目所在地的水文地质特点同时考虑项目周边地下水环境保护目标，最终确定本项目的地下水环境影响评价范围为见下表，项目地下水环境影响评价范围见附图。</w:t>
      </w:r>
    </w:p>
    <w:p>
      <w:pPr>
        <w:pStyle w:val="39"/>
        <w:rPr>
          <w:rFonts w:cs="Times New Roman"/>
        </w:rPr>
      </w:pPr>
      <w:r>
        <w:rPr>
          <w:rFonts w:cs="Times New Roman"/>
        </w:rPr>
        <w:t>表1.6-5  项目地下水环境影响评价范围一览表</w:t>
      </w:r>
    </w:p>
    <w:tbl>
      <w:tblPr>
        <w:tblStyle w:val="59"/>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3600"/>
        <w:gridCol w:w="540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999" w:type="pct"/>
            <w:vAlign w:val="center"/>
          </w:tcPr>
          <w:p>
            <w:pPr>
              <w:topLinePunct w:val="0"/>
              <w:adjustRightInd/>
              <w:spacing w:line="240" w:lineRule="auto"/>
              <w:ind w:firstLine="0" w:firstLineChars="0"/>
              <w:jc w:val="center"/>
              <w:rPr>
                <w:rFonts w:ascii="Times New Roman" w:cs="Times New Roman"/>
                <w:b/>
                <w:kern w:val="2"/>
                <w:sz w:val="21"/>
                <w:szCs w:val="20"/>
              </w:rPr>
            </w:pPr>
            <w:r>
              <w:rPr>
                <w:rFonts w:ascii="Times New Roman" w:cs="Times New Roman"/>
                <w:b/>
                <w:kern w:val="2"/>
                <w:sz w:val="21"/>
                <w:szCs w:val="20"/>
              </w:rPr>
              <w:t>站场名称</w:t>
            </w:r>
          </w:p>
        </w:tc>
        <w:tc>
          <w:tcPr>
            <w:tcW w:w="3001" w:type="pct"/>
            <w:vAlign w:val="center"/>
          </w:tcPr>
          <w:p>
            <w:pPr>
              <w:topLinePunct w:val="0"/>
              <w:adjustRightInd/>
              <w:spacing w:line="240" w:lineRule="auto"/>
              <w:ind w:firstLine="0" w:firstLineChars="0"/>
              <w:jc w:val="center"/>
              <w:rPr>
                <w:rFonts w:ascii="Times New Roman" w:cs="Times New Roman"/>
                <w:b/>
                <w:kern w:val="2"/>
                <w:sz w:val="21"/>
                <w:szCs w:val="20"/>
              </w:rPr>
            </w:pPr>
            <w:r>
              <w:rPr>
                <w:rFonts w:ascii="Times New Roman" w:cs="Times New Roman"/>
                <w:b/>
                <w:kern w:val="2"/>
                <w:sz w:val="21"/>
                <w:szCs w:val="20"/>
              </w:rPr>
              <w:t>评价范围面S（km</w:t>
            </w:r>
            <w:r>
              <w:rPr>
                <w:rFonts w:ascii="Times New Roman" w:cs="Times New Roman"/>
                <w:b/>
                <w:kern w:val="2"/>
                <w:sz w:val="21"/>
                <w:szCs w:val="20"/>
                <w:vertAlign w:val="superscript"/>
              </w:rPr>
              <w:t>2</w:t>
            </w:r>
            <w:r>
              <w:rPr>
                <w:rFonts w:ascii="Times New Roman" w:cs="Times New Roman"/>
                <w:b/>
                <w:kern w:val="2"/>
                <w:sz w:val="21"/>
                <w:szCs w:val="20"/>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1999" w:type="pct"/>
            <w:vAlign w:val="center"/>
          </w:tcPr>
          <w:p>
            <w:pPr>
              <w:topLinePunct w:val="0"/>
              <w:adjustRightInd/>
              <w:spacing w:line="240" w:lineRule="auto"/>
              <w:ind w:firstLine="0" w:firstLineChars="0"/>
              <w:jc w:val="center"/>
              <w:rPr>
                <w:rFonts w:ascii="Times New Roman" w:cs="Times New Roman"/>
                <w:bCs/>
                <w:kern w:val="2"/>
                <w:sz w:val="21"/>
                <w:szCs w:val="20"/>
              </w:rPr>
            </w:pPr>
            <w:r>
              <w:rPr>
                <w:rFonts w:ascii="Times New Roman" w:cs="Times New Roman"/>
                <w:bCs/>
                <w:kern w:val="2"/>
                <w:sz w:val="21"/>
                <w:szCs w:val="20"/>
              </w:rPr>
              <w:t>本项目站场</w:t>
            </w:r>
          </w:p>
        </w:tc>
        <w:tc>
          <w:tcPr>
            <w:tcW w:w="3001" w:type="pct"/>
            <w:vAlign w:val="center"/>
          </w:tcPr>
          <w:p>
            <w:pPr>
              <w:topLinePunct w:val="0"/>
              <w:adjustRightInd/>
              <w:spacing w:line="240" w:lineRule="auto"/>
              <w:ind w:firstLine="0" w:firstLineChars="0"/>
              <w:jc w:val="center"/>
              <w:rPr>
                <w:rFonts w:ascii="Times New Roman" w:cs="Times New Roman"/>
                <w:bCs/>
                <w:kern w:val="2"/>
                <w:sz w:val="21"/>
                <w:szCs w:val="20"/>
              </w:rPr>
            </w:pPr>
            <w:r>
              <w:rPr>
                <w:rFonts w:ascii="Times New Roman" w:cs="Times New Roman"/>
                <w:bCs/>
                <w:kern w:val="2"/>
                <w:sz w:val="21"/>
                <w:szCs w:val="20"/>
              </w:rPr>
              <w:t>9.33</w:t>
            </w:r>
          </w:p>
        </w:tc>
      </w:tr>
    </w:tbl>
    <w:p>
      <w:pPr>
        <w:keepNext/>
        <w:keepLines/>
        <w:ind w:firstLine="0" w:firstLineChars="0"/>
        <w:outlineLvl w:val="2"/>
        <w:rPr>
          <w:rFonts w:ascii="Times New Roman" w:cs="Times New Roman"/>
          <w:b/>
          <w:szCs w:val="32"/>
        </w:rPr>
      </w:pPr>
      <w:r>
        <w:rPr>
          <w:rFonts w:ascii="Times New Roman" w:cs="Times New Roman"/>
          <w:b/>
          <w:szCs w:val="32"/>
        </w:rPr>
        <w:t>1.6.5 声环境</w:t>
      </w:r>
    </w:p>
    <w:p>
      <w:pPr>
        <w:ind w:firstLine="487" w:firstLineChars="199"/>
        <w:rPr>
          <w:rFonts w:ascii="Times New Roman" w:cs="Times New Roman"/>
          <w:b/>
          <w:bCs/>
          <w:spacing w:val="2"/>
          <w:kern w:val="2"/>
          <w:position w:val="2"/>
          <w:szCs w:val="22"/>
        </w:rPr>
      </w:pPr>
      <w:r>
        <w:rPr>
          <w:rFonts w:ascii="Times New Roman" w:cs="Times New Roman"/>
          <w:b/>
          <w:bCs/>
          <w:spacing w:val="2"/>
          <w:kern w:val="2"/>
          <w:position w:val="2"/>
          <w:szCs w:val="22"/>
        </w:rPr>
        <w:t>1、评价等级</w:t>
      </w:r>
    </w:p>
    <w:p>
      <w:pPr>
        <w:pStyle w:val="114"/>
        <w:ind w:firstLine="480"/>
      </w:pPr>
      <w:r>
        <w:t>根据《环境影响评价技术导则 声环境》（HJ2.4-2021）中声环境影响评价工作等级划分的基本原则及工程设计资料确定本项目声环境影响评价工作等级。本项目施工期噪声主要来自施工作业机械，试采期噪声主要为管输设备高压输气产生的气流噪声；根据现场调查，本项目所在地声环境质量较好，环境功能区为《声环境质量标准》（GB3096-2008）规定的2类地区。因此，按照《环境影响评价技术导则 声环境》（HJ2.4-2021）中推荐的声学环境评价工作等级划分方法，本项目属“建设项目所处的声环境功能区为GB3096规定的1类、2——类地区，或建设项目建设前后评价范围内声环境保护目标噪声级增量达3dB（A）～5dB（A），或受噪声影响人口数量增加较多时，按二级评价”。因此，本次声环境影响评价级别定为二级评价。</w:t>
      </w:r>
    </w:p>
    <w:p>
      <w:pPr>
        <w:ind w:firstLine="490"/>
        <w:rPr>
          <w:rFonts w:ascii="Times New Roman" w:cs="Times New Roman"/>
          <w:b/>
          <w:bCs/>
          <w:spacing w:val="2"/>
          <w:kern w:val="2"/>
          <w:position w:val="2"/>
          <w:szCs w:val="22"/>
        </w:rPr>
      </w:pPr>
      <w:r>
        <w:rPr>
          <w:rFonts w:ascii="Times New Roman" w:cs="Times New Roman"/>
          <w:b/>
          <w:bCs/>
          <w:spacing w:val="2"/>
          <w:kern w:val="2"/>
          <w:position w:val="2"/>
          <w:szCs w:val="22"/>
        </w:rPr>
        <w:t>2、评价范围</w:t>
      </w:r>
    </w:p>
    <w:p>
      <w:pPr>
        <w:pStyle w:val="114"/>
        <w:ind w:firstLine="480"/>
      </w:pPr>
      <w:r>
        <w:t>本项目噪声环境影响评价工作等级为二级评价，根据《环境影响评价技术导则 声环境》（HJ2.4-2021）中有关规定及站场周边环境特征。施工期声环境评价范围确定为场站厂界200m范围内的村庄或居民区，试采期的声环境评价范围确定为场站厂界200m范围内的村庄或居民区。</w:t>
      </w:r>
    </w:p>
    <w:p>
      <w:pPr>
        <w:keepNext/>
        <w:keepLines/>
        <w:ind w:firstLine="0" w:firstLineChars="0"/>
        <w:outlineLvl w:val="2"/>
        <w:rPr>
          <w:rFonts w:ascii="Times New Roman" w:cs="Times New Roman"/>
          <w:b/>
          <w:szCs w:val="32"/>
        </w:rPr>
      </w:pPr>
      <w:r>
        <w:rPr>
          <w:rFonts w:ascii="Times New Roman" w:cs="Times New Roman"/>
          <w:b/>
          <w:szCs w:val="32"/>
        </w:rPr>
        <w:t>1.6.6 土壤环境影响</w:t>
      </w:r>
    </w:p>
    <w:p>
      <w:pPr>
        <w:ind w:firstLine="487" w:firstLineChars="199"/>
        <w:rPr>
          <w:rFonts w:ascii="Times New Roman" w:cs="Times New Roman"/>
          <w:b/>
          <w:bCs/>
          <w:spacing w:val="2"/>
          <w:kern w:val="2"/>
          <w:position w:val="2"/>
          <w:szCs w:val="22"/>
        </w:rPr>
      </w:pPr>
      <w:r>
        <w:rPr>
          <w:rFonts w:ascii="Times New Roman" w:cs="Times New Roman"/>
          <w:b/>
          <w:bCs/>
          <w:spacing w:val="2"/>
          <w:kern w:val="2"/>
          <w:position w:val="2"/>
          <w:szCs w:val="22"/>
        </w:rPr>
        <w:t>1、评价等级</w:t>
      </w:r>
    </w:p>
    <w:p>
      <w:pPr>
        <w:pStyle w:val="114"/>
        <w:ind w:firstLine="480"/>
      </w:pPr>
      <w:r>
        <w:t>根据《环境影响评价技术导则 土壤环境（试行）》（HJ964-2018）附录A，本项目属于“采矿业化学矿采选；石棉矿采选；煤矿采选、天然气开采、页岩气开采、砂岩气开采、煤层气开采（含净化、液化）”，为Ⅱ类建设项目。</w:t>
      </w:r>
    </w:p>
    <w:p>
      <w:pPr>
        <w:pStyle w:val="114"/>
        <w:ind w:firstLine="480"/>
      </w:pPr>
      <w:r>
        <w:t>本项目新增占地面积约为</w:t>
      </w:r>
      <w:r>
        <w:rPr>
          <w:rFonts w:hint="eastAsia"/>
        </w:rPr>
        <w:t>9568</w:t>
      </w:r>
      <w:r>
        <w:rPr>
          <w:bCs/>
        </w:rPr>
        <w:t>m</w:t>
      </w:r>
      <w:r>
        <w:rPr>
          <w:bCs/>
          <w:vertAlign w:val="superscript"/>
        </w:rPr>
        <w:t>2</w:t>
      </w:r>
      <w:r>
        <w:t>，占地规模为小型，周边存在耕地，土壤环境敏感程度为敏感。</w:t>
      </w:r>
    </w:p>
    <w:p>
      <w:pPr>
        <w:pStyle w:val="39"/>
        <w:rPr>
          <w:rFonts w:cs="Times New Roman"/>
        </w:rPr>
      </w:pPr>
      <w:r>
        <w:rPr>
          <w:rFonts w:cs="Times New Roman"/>
        </w:rPr>
        <w:t>表1.6-8  污染影响型评价工作等级划分表</w:t>
      </w:r>
    </w:p>
    <w:tbl>
      <w:tblPr>
        <w:tblStyle w:val="59"/>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80"/>
        <w:gridCol w:w="749"/>
        <w:gridCol w:w="820"/>
        <w:gridCol w:w="822"/>
        <w:gridCol w:w="822"/>
        <w:gridCol w:w="822"/>
        <w:gridCol w:w="822"/>
        <w:gridCol w:w="822"/>
        <w:gridCol w:w="822"/>
        <w:gridCol w:w="82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20" w:type="dxa"/>
            <w:vMerge w:val="restart"/>
            <w:vAlign w:val="center"/>
          </w:tcPr>
          <w:p>
            <w:pPr>
              <w:snapToGrid w:val="0"/>
              <w:spacing w:line="240" w:lineRule="auto"/>
              <w:ind w:firstLine="422"/>
              <w:rPr>
                <w:rFonts w:ascii="Times New Roman" w:cs="Times New Roman"/>
                <w:b/>
                <w:bCs/>
                <w:kern w:val="2"/>
                <w:sz w:val="21"/>
                <w:szCs w:val="21"/>
              </w:rPr>
            </w:pPr>
            <w:r>
              <w:rPr>
                <w:rFonts w:ascii="Times New Roman" w:cs="Times New Roman"/>
                <w:b/>
                <w:bCs/>
                <w:kern w:val="2"/>
                <w:sz w:val="21"/>
                <w:szCs w:val="21"/>
              </w:rPr>
              <mc:AlternateContent>
                <mc:Choice Requires="wps">
                  <w:drawing>
                    <wp:anchor distT="0" distB="0" distL="114300" distR="114300" simplePos="0" relativeHeight="251660288" behindDoc="0" locked="0" layoutInCell="1" allowOverlap="1">
                      <wp:simplePos x="0" y="0"/>
                      <wp:positionH relativeFrom="column">
                        <wp:posOffset>-67310</wp:posOffset>
                      </wp:positionH>
                      <wp:positionV relativeFrom="paragraph">
                        <wp:posOffset>-4445</wp:posOffset>
                      </wp:positionV>
                      <wp:extent cx="998855" cy="694690"/>
                      <wp:effectExtent l="2540" t="3810" r="8255" b="6350"/>
                      <wp:wrapNone/>
                      <wp:docPr id="1" name="直接连接符 57"/>
                      <wp:cNvGraphicFramePr/>
                      <a:graphic xmlns:a="http://schemas.openxmlformats.org/drawingml/2006/main">
                        <a:graphicData uri="http://schemas.microsoft.com/office/word/2010/wordprocessingShape">
                          <wps:wsp>
                            <wps:cNvCnPr/>
                            <wps:spPr>
                              <a:xfrm>
                                <a:off x="0" y="0"/>
                                <a:ext cx="998855" cy="69469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接连接符 57" o:spid="_x0000_s1026" o:spt="20" style="position:absolute;left:0pt;margin-left:-5.3pt;margin-top:-0.35pt;height:54.7pt;width:78.65pt;z-index:251660288;mso-width-relative:page;mso-height-relative:page;" filled="f" stroked="t" coordsize="21600,21600" o:gfxdata="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TuemdYAAAAJAQAADwAAAAAAAAABACAAAAAiAAAAZHJzL2Rvd25yZXYueG1sUEsBAhQAFAAA&#10;AAgAh07iQAi28wHxAQAA3QMAAA4AAAAAAAAAAQAgAAAAJQEAAGRycy9lMm9Eb2MueG1sUEsFBgAA&#10;AAAGAAYAWQEAAIgFAAAAAA==&#10;">
                      <v:fill on="f" focussize="0,0"/>
                      <v:stroke color="#000000" joinstyle="round"/>
                      <v:imagedata o:title=""/>
                      <o:lock v:ext="edit" aspectratio="f"/>
                    </v:line>
                  </w:pict>
                </mc:Fallback>
              </mc:AlternateContent>
            </w:r>
            <w:r>
              <w:rPr>
                <w:rFonts w:ascii="Times New Roman" w:cs="Times New Roman"/>
                <w:b/>
                <w:bCs/>
                <w:kern w:val="2"/>
                <w:sz w:val="21"/>
                <w:szCs w:val="21"/>
              </w:rPr>
              <w:t>项目类别</w:t>
            </w:r>
          </w:p>
          <w:p>
            <w:pPr>
              <w:snapToGrid w:val="0"/>
              <w:spacing w:line="240" w:lineRule="auto"/>
              <w:ind w:firstLine="0" w:firstLineChars="0"/>
              <w:rPr>
                <w:rFonts w:ascii="Times New Roman" w:cs="Times New Roman"/>
                <w:b/>
                <w:bCs/>
                <w:kern w:val="2"/>
                <w:sz w:val="21"/>
                <w:szCs w:val="21"/>
              </w:rPr>
            </w:pPr>
            <w:r>
              <w:rPr>
                <w:rFonts w:ascii="Times New Roman" w:cs="Times New Roman"/>
                <w:b/>
                <w:bCs/>
                <w:kern w:val="2"/>
                <w:sz w:val="21"/>
                <w:szCs w:val="21"/>
              </w:rPr>
              <w:t>评价工</w:t>
            </w:r>
          </w:p>
          <w:p>
            <w:pPr>
              <w:snapToGrid w:val="0"/>
              <w:spacing w:line="240" w:lineRule="auto"/>
              <w:ind w:firstLine="0" w:firstLineChars="0"/>
              <w:rPr>
                <w:rFonts w:ascii="Times New Roman" w:cs="Times New Roman"/>
                <w:b/>
                <w:bCs/>
                <w:kern w:val="2"/>
                <w:sz w:val="21"/>
                <w:szCs w:val="21"/>
              </w:rPr>
            </w:pPr>
            <w:r>
              <w:rPr>
                <w:rFonts w:ascii="Times New Roman" w:cs="Times New Roman"/>
                <w:b/>
                <w:bCs/>
                <w:kern w:val="2"/>
                <w:sz w:val="21"/>
                <w:szCs w:val="21"/>
              </w:rPr>
              <mc:AlternateContent>
                <mc:Choice Requires="wps">
                  <w:drawing>
                    <wp:anchor distT="0" distB="0" distL="114300" distR="114300" simplePos="0" relativeHeight="251661312" behindDoc="0" locked="0" layoutInCell="1" allowOverlap="1">
                      <wp:simplePos x="0" y="0"/>
                      <wp:positionH relativeFrom="column">
                        <wp:posOffset>-67310</wp:posOffset>
                      </wp:positionH>
                      <wp:positionV relativeFrom="paragraph">
                        <wp:posOffset>120015</wp:posOffset>
                      </wp:positionV>
                      <wp:extent cx="994410" cy="219710"/>
                      <wp:effectExtent l="1270" t="4445" r="13970" b="23495"/>
                      <wp:wrapNone/>
                      <wp:docPr id="15" name="直接连接符 58"/>
                      <wp:cNvGraphicFramePr/>
                      <a:graphic xmlns:a="http://schemas.openxmlformats.org/drawingml/2006/main">
                        <a:graphicData uri="http://schemas.microsoft.com/office/word/2010/wordprocessingShape">
                          <wps:wsp>
                            <wps:cNvCnPr/>
                            <wps:spPr>
                              <a:xfrm>
                                <a:off x="0" y="0"/>
                                <a:ext cx="994410" cy="21971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接连接符 58" o:spid="_x0000_s1026" o:spt="20" style="position:absolute;left:0pt;margin-left:-5.3pt;margin-top:9.45pt;height:17.3pt;width:78.3pt;z-index:251661312;mso-width-relative:page;mso-height-relative:page;" filled="f" stroked="t" coordsize="21600,21600" o:gfxdata="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Gv7nE1wAAAAkBAAAPAAAAAAAAAAEAIAAAACIAAABkcnMvZG93bnJldi54bWxQSwECFAAUAAAA&#10;CACHTuJAq8Q44u8BAADeAwAADgAAAAAAAAABACAAAAAmAQAAZHJzL2Uyb0RvYy54bWxQSwUGAAAA&#10;AAYABgBZAQAAhwUAAAAA&#10;">
                      <v:fill on="f" focussize="0,0"/>
                      <v:stroke color="#000000" joinstyle="round"/>
                      <v:imagedata o:title=""/>
                      <o:lock v:ext="edit" aspectratio="f"/>
                    </v:line>
                  </w:pict>
                </mc:Fallback>
              </mc:AlternateContent>
            </w:r>
            <w:r>
              <w:rPr>
                <w:rFonts w:ascii="Times New Roman" w:cs="Times New Roman"/>
                <w:b/>
                <w:bCs/>
                <w:kern w:val="2"/>
                <w:sz w:val="21"/>
                <w:szCs w:val="21"/>
              </w:rPr>
              <w:t>作等级</w:t>
            </w:r>
          </w:p>
          <w:p>
            <w:pPr>
              <w:snapToGrid w:val="0"/>
              <w:spacing w:line="240" w:lineRule="auto"/>
              <w:ind w:firstLine="0" w:firstLineChars="0"/>
              <w:rPr>
                <w:rFonts w:ascii="Times New Roman" w:cs="Times New Roman"/>
                <w:b/>
                <w:bCs/>
                <w:kern w:val="2"/>
                <w:sz w:val="21"/>
                <w:szCs w:val="21"/>
              </w:rPr>
            </w:pPr>
            <w:r>
              <w:rPr>
                <w:rFonts w:ascii="Times New Roman" w:cs="Times New Roman"/>
                <w:b/>
                <w:bCs/>
                <w:kern w:val="2"/>
                <w:sz w:val="21"/>
                <w:szCs w:val="21"/>
              </w:rPr>
              <w:t>敏感程度</w:t>
            </w:r>
          </w:p>
        </w:tc>
        <w:tc>
          <w:tcPr>
            <w:tcW w:w="2306" w:type="dxa"/>
            <w:gridSpan w:val="3"/>
            <w:vAlign w:val="center"/>
          </w:tcPr>
          <w:p>
            <w:pPr>
              <w:snapToGrid w:val="0"/>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fldChar w:fldCharType="begin"/>
            </w:r>
            <w:r>
              <w:rPr>
                <w:rFonts w:ascii="Times New Roman" w:cs="Times New Roman"/>
                <w:b/>
                <w:bCs/>
                <w:kern w:val="2"/>
                <w:sz w:val="21"/>
                <w:szCs w:val="21"/>
              </w:rPr>
              <w:instrText xml:space="preserve"> = 1 \* ROMAN </w:instrText>
            </w:r>
            <w:r>
              <w:rPr>
                <w:rFonts w:ascii="Times New Roman" w:cs="Times New Roman"/>
                <w:b/>
                <w:bCs/>
                <w:kern w:val="2"/>
                <w:sz w:val="21"/>
                <w:szCs w:val="21"/>
              </w:rPr>
              <w:fldChar w:fldCharType="separate"/>
            </w:r>
            <w:r>
              <w:rPr>
                <w:rFonts w:ascii="Times New Roman" w:cs="Times New Roman"/>
                <w:b/>
                <w:bCs/>
                <w:kern w:val="2"/>
                <w:sz w:val="21"/>
                <w:szCs w:val="21"/>
              </w:rPr>
              <w:t>I</w:t>
            </w:r>
            <w:r>
              <w:rPr>
                <w:rFonts w:ascii="Times New Roman" w:cs="Times New Roman"/>
                <w:b/>
                <w:bCs/>
                <w:kern w:val="2"/>
                <w:sz w:val="21"/>
                <w:szCs w:val="21"/>
              </w:rPr>
              <w:fldChar w:fldCharType="end"/>
            </w:r>
            <w:r>
              <w:rPr>
                <w:rFonts w:ascii="Times New Roman" w:cs="Times New Roman"/>
                <w:b/>
                <w:bCs/>
                <w:kern w:val="2"/>
                <w:sz w:val="21"/>
                <w:szCs w:val="21"/>
              </w:rPr>
              <w:t>类</w:t>
            </w:r>
          </w:p>
        </w:tc>
        <w:tc>
          <w:tcPr>
            <w:tcW w:w="2376" w:type="dxa"/>
            <w:gridSpan w:val="3"/>
            <w:vAlign w:val="center"/>
          </w:tcPr>
          <w:p>
            <w:pPr>
              <w:snapToGrid w:val="0"/>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fldChar w:fldCharType="begin"/>
            </w:r>
            <w:r>
              <w:rPr>
                <w:rFonts w:ascii="Times New Roman" w:cs="Times New Roman"/>
                <w:b/>
                <w:bCs/>
                <w:kern w:val="2"/>
                <w:sz w:val="21"/>
                <w:szCs w:val="21"/>
              </w:rPr>
              <w:instrText xml:space="preserve"> = 2 \* ROMAN </w:instrText>
            </w:r>
            <w:r>
              <w:rPr>
                <w:rFonts w:ascii="Times New Roman" w:cs="Times New Roman"/>
                <w:b/>
                <w:bCs/>
                <w:kern w:val="2"/>
                <w:sz w:val="21"/>
                <w:szCs w:val="21"/>
              </w:rPr>
              <w:fldChar w:fldCharType="separate"/>
            </w:r>
            <w:r>
              <w:rPr>
                <w:rFonts w:ascii="Times New Roman" w:cs="Times New Roman"/>
                <w:b/>
                <w:bCs/>
                <w:kern w:val="2"/>
                <w:sz w:val="21"/>
                <w:szCs w:val="21"/>
              </w:rPr>
              <w:t>II</w:t>
            </w:r>
            <w:r>
              <w:rPr>
                <w:rFonts w:ascii="Times New Roman" w:cs="Times New Roman"/>
                <w:b/>
                <w:bCs/>
                <w:kern w:val="2"/>
                <w:sz w:val="21"/>
                <w:szCs w:val="21"/>
              </w:rPr>
              <w:fldChar w:fldCharType="end"/>
            </w:r>
            <w:r>
              <w:rPr>
                <w:rFonts w:ascii="Times New Roman" w:cs="Times New Roman"/>
                <w:b/>
                <w:bCs/>
                <w:kern w:val="2"/>
                <w:sz w:val="21"/>
                <w:szCs w:val="21"/>
              </w:rPr>
              <w:t>类</w:t>
            </w:r>
          </w:p>
        </w:tc>
        <w:tc>
          <w:tcPr>
            <w:tcW w:w="2377" w:type="dxa"/>
            <w:gridSpan w:val="3"/>
            <w:vAlign w:val="center"/>
          </w:tcPr>
          <w:p>
            <w:pPr>
              <w:snapToGrid w:val="0"/>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fldChar w:fldCharType="begin"/>
            </w:r>
            <w:r>
              <w:rPr>
                <w:rFonts w:ascii="Times New Roman" w:cs="Times New Roman"/>
                <w:b/>
                <w:bCs/>
                <w:kern w:val="2"/>
                <w:sz w:val="21"/>
                <w:szCs w:val="21"/>
              </w:rPr>
              <w:instrText xml:space="preserve"> = 3 \* ROMAN </w:instrText>
            </w:r>
            <w:r>
              <w:rPr>
                <w:rFonts w:ascii="Times New Roman" w:cs="Times New Roman"/>
                <w:b/>
                <w:bCs/>
                <w:kern w:val="2"/>
                <w:sz w:val="21"/>
                <w:szCs w:val="21"/>
              </w:rPr>
              <w:fldChar w:fldCharType="separate"/>
            </w:r>
            <w:r>
              <w:rPr>
                <w:rFonts w:ascii="Times New Roman" w:cs="Times New Roman"/>
                <w:b/>
                <w:bCs/>
                <w:kern w:val="2"/>
                <w:sz w:val="21"/>
                <w:szCs w:val="21"/>
              </w:rPr>
              <w:t>III</w:t>
            </w:r>
            <w:r>
              <w:rPr>
                <w:rFonts w:ascii="Times New Roman" w:cs="Times New Roman"/>
                <w:b/>
                <w:bCs/>
                <w:kern w:val="2"/>
                <w:sz w:val="21"/>
                <w:szCs w:val="21"/>
              </w:rPr>
              <w:fldChar w:fldCharType="end"/>
            </w:r>
            <w:r>
              <w:rPr>
                <w:rFonts w:ascii="Times New Roman" w:cs="Times New Roman"/>
                <w:b/>
                <w:bCs/>
                <w:kern w:val="2"/>
                <w:sz w:val="21"/>
                <w:szCs w:val="21"/>
              </w:rPr>
              <w:t>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1620" w:type="dxa"/>
            <w:vMerge w:val="continue"/>
            <w:vAlign w:val="center"/>
          </w:tcPr>
          <w:p>
            <w:pPr>
              <w:snapToGrid w:val="0"/>
              <w:spacing w:line="240" w:lineRule="auto"/>
              <w:ind w:firstLine="0" w:firstLineChars="0"/>
              <w:jc w:val="center"/>
              <w:rPr>
                <w:rFonts w:ascii="Times New Roman" w:cs="Times New Roman"/>
                <w:b/>
                <w:bCs/>
                <w:kern w:val="2"/>
                <w:sz w:val="21"/>
                <w:szCs w:val="21"/>
              </w:rPr>
            </w:pPr>
          </w:p>
        </w:tc>
        <w:tc>
          <w:tcPr>
            <w:tcW w:w="723" w:type="dxa"/>
            <w:vAlign w:val="center"/>
          </w:tcPr>
          <w:p>
            <w:pPr>
              <w:snapToGrid w:val="0"/>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大</w:t>
            </w:r>
          </w:p>
        </w:tc>
        <w:tc>
          <w:tcPr>
            <w:tcW w:w="791" w:type="dxa"/>
            <w:vAlign w:val="center"/>
          </w:tcPr>
          <w:p>
            <w:pPr>
              <w:snapToGrid w:val="0"/>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中</w:t>
            </w:r>
          </w:p>
        </w:tc>
        <w:tc>
          <w:tcPr>
            <w:tcW w:w="792" w:type="dxa"/>
            <w:vAlign w:val="center"/>
          </w:tcPr>
          <w:p>
            <w:pPr>
              <w:snapToGrid w:val="0"/>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小</w:t>
            </w:r>
          </w:p>
        </w:tc>
        <w:tc>
          <w:tcPr>
            <w:tcW w:w="792" w:type="dxa"/>
            <w:vAlign w:val="center"/>
          </w:tcPr>
          <w:p>
            <w:pPr>
              <w:snapToGrid w:val="0"/>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大</w:t>
            </w:r>
          </w:p>
        </w:tc>
        <w:tc>
          <w:tcPr>
            <w:tcW w:w="792" w:type="dxa"/>
            <w:vAlign w:val="center"/>
          </w:tcPr>
          <w:p>
            <w:pPr>
              <w:snapToGrid w:val="0"/>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中</w:t>
            </w:r>
          </w:p>
        </w:tc>
        <w:tc>
          <w:tcPr>
            <w:tcW w:w="792" w:type="dxa"/>
            <w:vAlign w:val="center"/>
          </w:tcPr>
          <w:p>
            <w:pPr>
              <w:snapToGrid w:val="0"/>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小</w:t>
            </w:r>
          </w:p>
        </w:tc>
        <w:tc>
          <w:tcPr>
            <w:tcW w:w="792" w:type="dxa"/>
            <w:vAlign w:val="center"/>
          </w:tcPr>
          <w:p>
            <w:pPr>
              <w:snapToGrid w:val="0"/>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大</w:t>
            </w:r>
          </w:p>
        </w:tc>
        <w:tc>
          <w:tcPr>
            <w:tcW w:w="792" w:type="dxa"/>
            <w:vAlign w:val="center"/>
          </w:tcPr>
          <w:p>
            <w:pPr>
              <w:snapToGrid w:val="0"/>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中</w:t>
            </w:r>
          </w:p>
        </w:tc>
        <w:tc>
          <w:tcPr>
            <w:tcW w:w="793" w:type="dxa"/>
            <w:vAlign w:val="center"/>
          </w:tcPr>
          <w:p>
            <w:pPr>
              <w:snapToGrid w:val="0"/>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20" w:type="dxa"/>
            <w:vAlign w:val="center"/>
          </w:tcPr>
          <w:p>
            <w:pPr>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敏感</w:t>
            </w:r>
          </w:p>
        </w:tc>
        <w:tc>
          <w:tcPr>
            <w:tcW w:w="723" w:type="dxa"/>
            <w:vAlign w:val="center"/>
          </w:tcPr>
          <w:p>
            <w:pPr>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一级</w:t>
            </w:r>
          </w:p>
        </w:tc>
        <w:tc>
          <w:tcPr>
            <w:tcW w:w="791" w:type="dxa"/>
            <w:vAlign w:val="center"/>
          </w:tcPr>
          <w:p>
            <w:pPr>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一级</w:t>
            </w:r>
          </w:p>
        </w:tc>
        <w:tc>
          <w:tcPr>
            <w:tcW w:w="792" w:type="dxa"/>
            <w:vAlign w:val="center"/>
          </w:tcPr>
          <w:p>
            <w:pPr>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一级</w:t>
            </w:r>
          </w:p>
        </w:tc>
        <w:tc>
          <w:tcPr>
            <w:tcW w:w="792" w:type="dxa"/>
            <w:vAlign w:val="center"/>
          </w:tcPr>
          <w:p>
            <w:pPr>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二级</w:t>
            </w:r>
          </w:p>
        </w:tc>
        <w:tc>
          <w:tcPr>
            <w:tcW w:w="792" w:type="dxa"/>
            <w:vAlign w:val="center"/>
          </w:tcPr>
          <w:p>
            <w:pPr>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二级</w:t>
            </w:r>
          </w:p>
        </w:tc>
        <w:tc>
          <w:tcPr>
            <w:tcW w:w="792" w:type="dxa"/>
            <w:vAlign w:val="center"/>
          </w:tcPr>
          <w:p>
            <w:pPr>
              <w:snapToGrid w:val="0"/>
              <w:spacing w:line="240" w:lineRule="auto"/>
              <w:ind w:firstLine="0" w:firstLineChars="0"/>
              <w:jc w:val="center"/>
              <w:rPr>
                <w:rFonts w:ascii="Times New Roman" w:cs="Times New Roman"/>
                <w:kern w:val="2"/>
                <w:sz w:val="21"/>
                <w:szCs w:val="21"/>
              </w:rPr>
            </w:pPr>
            <w:r>
              <w:rPr>
                <w:rFonts w:ascii="Times New Roman" w:cs="Times New Roman"/>
                <w:b/>
                <w:bCs/>
                <w:kern w:val="2"/>
                <w:sz w:val="21"/>
                <w:szCs w:val="21"/>
              </w:rPr>
              <w:t>二级（√）</w:t>
            </w:r>
          </w:p>
        </w:tc>
        <w:tc>
          <w:tcPr>
            <w:tcW w:w="792" w:type="dxa"/>
            <w:shd w:val="clear" w:color="auto" w:fill="FFFFFF"/>
            <w:vAlign w:val="center"/>
          </w:tcPr>
          <w:p>
            <w:pPr>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三级</w:t>
            </w:r>
          </w:p>
        </w:tc>
        <w:tc>
          <w:tcPr>
            <w:tcW w:w="792" w:type="dxa"/>
            <w:shd w:val="clear" w:color="auto" w:fill="FFFFFF"/>
            <w:vAlign w:val="center"/>
          </w:tcPr>
          <w:p>
            <w:pPr>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三级</w:t>
            </w:r>
          </w:p>
        </w:tc>
        <w:tc>
          <w:tcPr>
            <w:tcW w:w="793" w:type="dxa"/>
            <w:shd w:val="clear" w:color="auto" w:fill="FFFFFF"/>
            <w:vAlign w:val="center"/>
          </w:tcPr>
          <w:p>
            <w:pPr>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三级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20" w:type="dxa"/>
            <w:vAlign w:val="center"/>
          </w:tcPr>
          <w:p>
            <w:pPr>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较敏感</w:t>
            </w:r>
          </w:p>
        </w:tc>
        <w:tc>
          <w:tcPr>
            <w:tcW w:w="723" w:type="dxa"/>
            <w:vAlign w:val="center"/>
          </w:tcPr>
          <w:p>
            <w:pPr>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一级</w:t>
            </w:r>
          </w:p>
        </w:tc>
        <w:tc>
          <w:tcPr>
            <w:tcW w:w="791" w:type="dxa"/>
            <w:vAlign w:val="center"/>
          </w:tcPr>
          <w:p>
            <w:pPr>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一级</w:t>
            </w:r>
          </w:p>
        </w:tc>
        <w:tc>
          <w:tcPr>
            <w:tcW w:w="792" w:type="dxa"/>
            <w:vAlign w:val="center"/>
          </w:tcPr>
          <w:p>
            <w:pPr>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二级</w:t>
            </w:r>
          </w:p>
        </w:tc>
        <w:tc>
          <w:tcPr>
            <w:tcW w:w="792" w:type="dxa"/>
            <w:vAlign w:val="center"/>
          </w:tcPr>
          <w:p>
            <w:pPr>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二级</w:t>
            </w:r>
          </w:p>
        </w:tc>
        <w:tc>
          <w:tcPr>
            <w:tcW w:w="792" w:type="dxa"/>
            <w:vAlign w:val="center"/>
          </w:tcPr>
          <w:p>
            <w:pPr>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二级</w:t>
            </w:r>
          </w:p>
        </w:tc>
        <w:tc>
          <w:tcPr>
            <w:tcW w:w="792" w:type="dxa"/>
            <w:vAlign w:val="center"/>
          </w:tcPr>
          <w:p>
            <w:pPr>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三级</w:t>
            </w:r>
          </w:p>
        </w:tc>
        <w:tc>
          <w:tcPr>
            <w:tcW w:w="792" w:type="dxa"/>
            <w:vAlign w:val="center"/>
          </w:tcPr>
          <w:p>
            <w:pPr>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三级</w:t>
            </w:r>
          </w:p>
        </w:tc>
        <w:tc>
          <w:tcPr>
            <w:tcW w:w="792" w:type="dxa"/>
            <w:vAlign w:val="center"/>
          </w:tcPr>
          <w:p>
            <w:pPr>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三级</w:t>
            </w:r>
          </w:p>
        </w:tc>
        <w:tc>
          <w:tcPr>
            <w:tcW w:w="793" w:type="dxa"/>
            <w:vAlign w:val="center"/>
          </w:tcPr>
          <w:p>
            <w:pPr>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20" w:type="dxa"/>
            <w:vAlign w:val="center"/>
          </w:tcPr>
          <w:p>
            <w:pPr>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不敏感</w:t>
            </w:r>
          </w:p>
        </w:tc>
        <w:tc>
          <w:tcPr>
            <w:tcW w:w="723" w:type="dxa"/>
            <w:vAlign w:val="center"/>
          </w:tcPr>
          <w:p>
            <w:pPr>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一级</w:t>
            </w:r>
          </w:p>
        </w:tc>
        <w:tc>
          <w:tcPr>
            <w:tcW w:w="791" w:type="dxa"/>
            <w:vAlign w:val="center"/>
          </w:tcPr>
          <w:p>
            <w:pPr>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二级</w:t>
            </w:r>
          </w:p>
        </w:tc>
        <w:tc>
          <w:tcPr>
            <w:tcW w:w="792" w:type="dxa"/>
            <w:vAlign w:val="center"/>
          </w:tcPr>
          <w:p>
            <w:pPr>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二级</w:t>
            </w:r>
          </w:p>
        </w:tc>
        <w:tc>
          <w:tcPr>
            <w:tcW w:w="792" w:type="dxa"/>
            <w:vAlign w:val="center"/>
          </w:tcPr>
          <w:p>
            <w:pPr>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二级</w:t>
            </w:r>
          </w:p>
        </w:tc>
        <w:tc>
          <w:tcPr>
            <w:tcW w:w="792" w:type="dxa"/>
            <w:vAlign w:val="center"/>
          </w:tcPr>
          <w:p>
            <w:pPr>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三级</w:t>
            </w:r>
          </w:p>
        </w:tc>
        <w:tc>
          <w:tcPr>
            <w:tcW w:w="792" w:type="dxa"/>
            <w:vAlign w:val="center"/>
          </w:tcPr>
          <w:p>
            <w:pPr>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三级</w:t>
            </w:r>
          </w:p>
        </w:tc>
        <w:tc>
          <w:tcPr>
            <w:tcW w:w="792" w:type="dxa"/>
            <w:vAlign w:val="center"/>
          </w:tcPr>
          <w:p>
            <w:pPr>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三级</w:t>
            </w:r>
          </w:p>
        </w:tc>
        <w:tc>
          <w:tcPr>
            <w:tcW w:w="792" w:type="dxa"/>
            <w:vAlign w:val="center"/>
          </w:tcPr>
          <w:p>
            <w:pPr>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793" w:type="dxa"/>
            <w:vAlign w:val="center"/>
          </w:tcPr>
          <w:p>
            <w:pPr>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679" w:type="dxa"/>
            <w:gridSpan w:val="10"/>
            <w:vAlign w:val="center"/>
          </w:tcPr>
          <w:p>
            <w:pPr>
              <w:snapToGrid w:val="0"/>
              <w:spacing w:line="240" w:lineRule="auto"/>
              <w:ind w:firstLine="0" w:firstLineChars="0"/>
              <w:rPr>
                <w:rFonts w:ascii="Times New Roman" w:cs="Times New Roman"/>
                <w:kern w:val="2"/>
                <w:sz w:val="21"/>
                <w:szCs w:val="21"/>
              </w:rPr>
            </w:pPr>
            <w:r>
              <w:rPr>
                <w:rFonts w:ascii="Times New Roman" w:cs="Times New Roman"/>
                <w:kern w:val="2"/>
                <w:sz w:val="21"/>
                <w:szCs w:val="21"/>
              </w:rPr>
              <w:t>注：“-”表示可不开展土壤环境影响评价工作</w:t>
            </w:r>
          </w:p>
        </w:tc>
      </w:tr>
    </w:tbl>
    <w:p>
      <w:pPr>
        <w:pStyle w:val="114"/>
        <w:ind w:firstLine="480"/>
      </w:pPr>
      <w:r>
        <w:t>根据《环境影响评价技术导则 土壤环境（试行）》（HJ964-2018）第6.2.2.3条规定，本项目土壤环境评价工作等级为二级。</w:t>
      </w:r>
    </w:p>
    <w:p>
      <w:pPr>
        <w:ind w:firstLine="487" w:firstLineChars="199"/>
        <w:rPr>
          <w:rFonts w:ascii="Times New Roman" w:cs="Times New Roman"/>
          <w:b/>
          <w:bCs/>
          <w:spacing w:val="2"/>
          <w:kern w:val="2"/>
          <w:position w:val="2"/>
          <w:szCs w:val="22"/>
        </w:rPr>
      </w:pPr>
      <w:r>
        <w:rPr>
          <w:rFonts w:ascii="Times New Roman" w:cs="Times New Roman"/>
          <w:b/>
          <w:bCs/>
          <w:spacing w:val="2"/>
          <w:kern w:val="2"/>
          <w:position w:val="2"/>
          <w:szCs w:val="22"/>
        </w:rPr>
        <w:t>2、评价范围</w:t>
      </w:r>
    </w:p>
    <w:p>
      <w:pPr>
        <w:pStyle w:val="114"/>
        <w:ind w:firstLine="480"/>
      </w:pPr>
      <w:r>
        <w:t>本项目为土壤二级评价，重点针对站场进行评价，因此评价范围为站场外200m。</w:t>
      </w:r>
    </w:p>
    <w:p>
      <w:pPr>
        <w:keepNext/>
        <w:keepLines/>
        <w:ind w:firstLine="0" w:firstLineChars="0"/>
        <w:outlineLvl w:val="2"/>
        <w:rPr>
          <w:rFonts w:ascii="Times New Roman" w:cs="Times New Roman"/>
          <w:b/>
          <w:szCs w:val="32"/>
        </w:rPr>
      </w:pPr>
      <w:r>
        <w:rPr>
          <w:rFonts w:ascii="Times New Roman" w:cs="Times New Roman"/>
          <w:b/>
          <w:szCs w:val="32"/>
        </w:rPr>
        <w:t>1.6.7 环境风险</w:t>
      </w:r>
    </w:p>
    <w:p>
      <w:pPr>
        <w:ind w:firstLine="490"/>
        <w:rPr>
          <w:rFonts w:ascii="Times New Roman" w:cs="Times New Roman"/>
          <w:b/>
          <w:bCs/>
          <w:spacing w:val="2"/>
          <w:kern w:val="2"/>
          <w:position w:val="2"/>
          <w:szCs w:val="22"/>
        </w:rPr>
      </w:pPr>
      <w:bookmarkStart w:id="78" w:name="_Hlk53171179"/>
      <w:r>
        <w:rPr>
          <w:rFonts w:ascii="Times New Roman" w:cs="Times New Roman"/>
          <w:b/>
          <w:bCs/>
          <w:spacing w:val="2"/>
          <w:kern w:val="2"/>
          <w:position w:val="2"/>
          <w:szCs w:val="22"/>
        </w:rPr>
        <w:t>1、评价等级</w:t>
      </w:r>
    </w:p>
    <w:p>
      <w:pPr>
        <w:pStyle w:val="114"/>
        <w:ind w:firstLine="480"/>
      </w:pPr>
      <w:r>
        <w:t>根据《建设项目环境风险评价技术导则》（HJ169-2018）中关于环境风险评价工作等级的划分方法，本项目输送的介质为含硫天然气，同时本项目涉及柴油储存，项目涉及的主要危险有害物质为甲烷、硫化氢、柴油。由于压裂、洗井废水不属于《建设项目环境风险评价技术导则》（HJ169-2018）附录B中重点关注的危险物质，根据分析压裂、洗井废水属于危害水环境物质，但不属于急性毒性类别1中物质。故不作为环境风险等级判定物质，本次评价仅对其在储存过程中的风险提出措施。</w:t>
      </w:r>
    </w:p>
    <w:p>
      <w:pPr>
        <w:pStyle w:val="114"/>
        <w:ind w:firstLine="480"/>
      </w:pPr>
      <w:r>
        <w:t>根据地7章环境风险分析，本项目危险物质最大存在量Q=</w:t>
      </w:r>
      <w:r>
        <w:rPr>
          <w:rFonts w:hint="eastAsia"/>
        </w:rPr>
        <w:t>0.96</w:t>
      </w:r>
      <w:r>
        <w:t>，Q值划分为（1）</w:t>
      </w:r>
      <w:r>
        <w:rPr>
          <w:rFonts w:hint="eastAsia"/>
        </w:rPr>
        <w:t>Q＜</w:t>
      </w:r>
      <w:r>
        <w:t>1</w:t>
      </w:r>
      <w:r>
        <w:rPr>
          <w:kern w:val="2"/>
        </w:rPr>
        <w:t>；根据《建设项目环境风险评价技术导则》（HJ169-2018）中关于环境风险评价工作等级的划分方法，确定本项目环境风险</w:t>
      </w:r>
      <w:r>
        <w:rPr>
          <w:rFonts w:hint="eastAsia"/>
          <w:kern w:val="2"/>
        </w:rPr>
        <w:t>为简单分析</w:t>
      </w:r>
      <w:r>
        <w:rPr>
          <w:kern w:val="2"/>
        </w:rPr>
        <w:t>。</w:t>
      </w:r>
      <w:r>
        <w:rPr>
          <w:b/>
          <w:bCs/>
          <w:kern w:val="2"/>
        </w:rPr>
        <w:t>考虑到本项目涉及高含硫天然气，硫化氢毒性较大，一旦发生井喷事故后对外环境影响较大，因此本次评价重点针对井喷事故风险情景预测分析，并提出严格的环境风险管理及应急措施。</w:t>
      </w:r>
    </w:p>
    <w:p>
      <w:pPr>
        <w:ind w:firstLine="490"/>
        <w:rPr>
          <w:rFonts w:ascii="Times New Roman" w:cs="Times New Roman"/>
          <w:b/>
          <w:bCs/>
          <w:spacing w:val="2"/>
          <w:kern w:val="2"/>
          <w:position w:val="2"/>
          <w:szCs w:val="22"/>
        </w:rPr>
      </w:pPr>
      <w:bookmarkStart w:id="79" w:name="_Hlk53176163"/>
      <w:r>
        <w:rPr>
          <w:rFonts w:ascii="Times New Roman" w:cs="Times New Roman"/>
          <w:b/>
          <w:bCs/>
          <w:spacing w:val="2"/>
          <w:kern w:val="2"/>
          <w:position w:val="2"/>
          <w:szCs w:val="22"/>
        </w:rPr>
        <w:t>2、评价范围</w:t>
      </w:r>
    </w:p>
    <w:bookmarkEnd w:id="78"/>
    <w:p>
      <w:pPr>
        <w:pStyle w:val="114"/>
        <w:ind w:firstLine="480"/>
      </w:pPr>
      <w:r>
        <w:rPr>
          <w:rFonts w:hint="eastAsia"/>
        </w:rPr>
        <w:t>考虑</w:t>
      </w:r>
      <w:r>
        <w:t>本项目涉及高含硫天然气，硫化氢毒性较大</w:t>
      </w:r>
      <w:r>
        <w:rPr>
          <w:rFonts w:hint="eastAsia"/>
        </w:rPr>
        <w:t>，因此</w:t>
      </w:r>
      <w:r>
        <w:t>风险评价范围</w:t>
      </w:r>
      <w:r>
        <w:rPr>
          <w:rFonts w:hint="eastAsia"/>
        </w:rPr>
        <w:t>参照风险评价等级二级评价，</w:t>
      </w:r>
      <w:r>
        <w:t>为站场周边5km区域。</w:t>
      </w:r>
    </w:p>
    <w:bookmarkEnd w:id="79"/>
    <w:p>
      <w:pPr>
        <w:keepNext/>
        <w:keepLines/>
        <w:ind w:firstLine="0" w:firstLineChars="0"/>
        <w:outlineLvl w:val="2"/>
        <w:rPr>
          <w:rFonts w:ascii="Times New Roman" w:cs="Times New Roman"/>
          <w:b/>
          <w:szCs w:val="32"/>
        </w:rPr>
      </w:pPr>
      <w:r>
        <w:rPr>
          <w:rFonts w:ascii="Times New Roman" w:cs="Times New Roman"/>
          <w:b/>
          <w:szCs w:val="32"/>
        </w:rPr>
        <w:t>1.6.8 工作等级的评价范围表</w:t>
      </w:r>
    </w:p>
    <w:p>
      <w:pPr>
        <w:pStyle w:val="39"/>
        <w:rPr>
          <w:rFonts w:cs="Times New Roman"/>
        </w:rPr>
      </w:pPr>
      <w:r>
        <w:rPr>
          <w:rFonts w:cs="Times New Roman"/>
        </w:rPr>
        <w:t>表1.6-9  项目的工作等级和范围</w:t>
      </w:r>
    </w:p>
    <w:tbl>
      <w:tblPr>
        <w:tblStyle w:val="59"/>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824"/>
        <w:gridCol w:w="1442"/>
        <w:gridCol w:w="5522"/>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38" w:type="pct"/>
            <w:tcBorders>
              <w:tl2br w:val="nil"/>
              <w:tr2bl w:val="nil"/>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评价内容</w:t>
            </w:r>
          </w:p>
        </w:tc>
        <w:tc>
          <w:tcPr>
            <w:tcW w:w="820" w:type="pct"/>
            <w:tcBorders>
              <w:tl2br w:val="nil"/>
              <w:tr2bl w:val="nil"/>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工作等级</w:t>
            </w:r>
          </w:p>
        </w:tc>
        <w:tc>
          <w:tcPr>
            <w:tcW w:w="3141" w:type="pct"/>
            <w:tcBorders>
              <w:tl2br w:val="nil"/>
              <w:tr2bl w:val="nil"/>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评价范围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38"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生态环境</w:t>
            </w:r>
          </w:p>
        </w:tc>
        <w:tc>
          <w:tcPr>
            <w:tcW w:w="820"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二级</w:t>
            </w:r>
          </w:p>
        </w:tc>
        <w:tc>
          <w:tcPr>
            <w:tcW w:w="3141"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本项站场周边200m范围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38"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环境空气</w:t>
            </w:r>
          </w:p>
        </w:tc>
        <w:tc>
          <w:tcPr>
            <w:tcW w:w="820"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三级</w:t>
            </w:r>
          </w:p>
        </w:tc>
        <w:tc>
          <w:tcPr>
            <w:tcW w:w="3141"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本项目不设大气评价范围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38"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地表水</w:t>
            </w:r>
          </w:p>
        </w:tc>
        <w:tc>
          <w:tcPr>
            <w:tcW w:w="820"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三级B</w:t>
            </w:r>
          </w:p>
        </w:tc>
        <w:tc>
          <w:tcPr>
            <w:tcW w:w="3141"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本项目不设地表水评价范围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38"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地下水</w:t>
            </w:r>
          </w:p>
        </w:tc>
        <w:tc>
          <w:tcPr>
            <w:tcW w:w="820"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二</w:t>
            </w:r>
            <w:r>
              <w:rPr>
                <w:rFonts w:ascii="Times New Roman" w:cs="Times New Roman"/>
                <w:kern w:val="2"/>
                <w:sz w:val="21"/>
              </w:rPr>
              <w:t>级</w:t>
            </w:r>
          </w:p>
        </w:tc>
        <w:tc>
          <w:tcPr>
            <w:tcW w:w="3141"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本项目站场周边9.33km</w:t>
            </w:r>
            <w:r>
              <w:rPr>
                <w:rFonts w:ascii="Times New Roman" w:cs="Times New Roman"/>
                <w:kern w:val="2"/>
                <w:sz w:val="21"/>
                <w:vertAlign w:val="superscript"/>
              </w:rPr>
              <w:t>2</w:t>
            </w:r>
            <w:r>
              <w:rPr>
                <w:rFonts w:ascii="Times New Roman" w:cs="Times New Roman"/>
                <w:kern w:val="2"/>
                <w:sz w:val="21"/>
                <w:szCs w:val="21"/>
              </w:rPr>
              <w:t>，四至范围为：东至大田湾，南至后河，西至后河，北至</w:t>
            </w:r>
            <w:r>
              <w:rPr>
                <w:rFonts w:hint="eastAsia" w:ascii="Times New Roman" w:cs="Times New Roman"/>
                <w:kern w:val="2"/>
                <w:sz w:val="21"/>
                <w:szCs w:val="21"/>
              </w:rPr>
              <w:t>塔娅村</w:t>
            </w:r>
            <w:r>
              <w:rPr>
                <w:rFonts w:ascii="Times New Roman" w:cs="Times New Roman"/>
                <w:kern w:val="2"/>
                <w:sz w:val="21"/>
                <w:szCs w:val="21"/>
              </w:rPr>
              <w:t>北侧区域</w:t>
            </w:r>
            <w:r>
              <w:rPr>
                <w:rFonts w:ascii="Times New Roman" w:cs="Times New Roman"/>
                <w:kern w:val="2"/>
                <w:sz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38"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噪声</w:t>
            </w:r>
          </w:p>
        </w:tc>
        <w:tc>
          <w:tcPr>
            <w:tcW w:w="820"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二级</w:t>
            </w:r>
          </w:p>
        </w:tc>
        <w:tc>
          <w:tcPr>
            <w:tcW w:w="3141"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施工期：站场周边200m范围内的村庄或居民区。</w:t>
            </w:r>
          </w:p>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试采期：站场周边200m范围内的村庄或居民区。</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38"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土壤</w:t>
            </w:r>
          </w:p>
        </w:tc>
        <w:tc>
          <w:tcPr>
            <w:tcW w:w="820"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二级</w:t>
            </w:r>
          </w:p>
        </w:tc>
        <w:tc>
          <w:tcPr>
            <w:tcW w:w="3141"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本项目站场外200m范围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38"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环境风险</w:t>
            </w:r>
          </w:p>
        </w:tc>
        <w:tc>
          <w:tcPr>
            <w:tcW w:w="820"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二级</w:t>
            </w:r>
          </w:p>
        </w:tc>
        <w:tc>
          <w:tcPr>
            <w:tcW w:w="3141"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本项目站场周边5km区域</w:t>
            </w:r>
          </w:p>
        </w:tc>
      </w:tr>
    </w:tbl>
    <w:p>
      <w:pPr>
        <w:keepNext/>
        <w:keepLines/>
        <w:spacing w:before="120"/>
        <w:ind w:firstLine="0" w:firstLineChars="0"/>
        <w:outlineLvl w:val="1"/>
        <w:rPr>
          <w:rFonts w:ascii="Times New Roman" w:cs="Times New Roman"/>
          <w:b/>
          <w:bCs/>
          <w:sz w:val="28"/>
          <w:szCs w:val="32"/>
        </w:rPr>
      </w:pPr>
      <w:bookmarkStart w:id="80" w:name="bookmark6"/>
      <w:bookmarkEnd w:id="80"/>
      <w:bookmarkStart w:id="81" w:name="bookmark8"/>
      <w:bookmarkEnd w:id="81"/>
      <w:bookmarkStart w:id="82" w:name="_Toc30480"/>
      <w:bookmarkStart w:id="83" w:name="_Toc12288391"/>
      <w:bookmarkStart w:id="84" w:name="_Toc19815944"/>
      <w:r>
        <w:rPr>
          <w:rFonts w:ascii="Times New Roman" w:cs="Times New Roman"/>
          <w:b/>
          <w:bCs/>
          <w:sz w:val="28"/>
          <w:szCs w:val="32"/>
        </w:rPr>
        <w:t>1.7 选址符合性分析</w:t>
      </w:r>
      <w:bookmarkEnd w:id="82"/>
    </w:p>
    <w:p>
      <w:pPr>
        <w:keepNext/>
        <w:keepLines/>
        <w:ind w:firstLine="0" w:firstLineChars="0"/>
        <w:outlineLvl w:val="2"/>
        <w:rPr>
          <w:rFonts w:ascii="Times New Roman" w:cs="Times New Roman"/>
          <w:b/>
          <w:szCs w:val="32"/>
        </w:rPr>
      </w:pPr>
      <w:bookmarkStart w:id="85" w:name="bookmark30"/>
      <w:bookmarkEnd w:id="85"/>
      <w:bookmarkStart w:id="86" w:name="_Toc12288602"/>
      <w:r>
        <w:rPr>
          <w:rFonts w:ascii="Times New Roman" w:cs="Times New Roman"/>
          <w:b/>
          <w:szCs w:val="32"/>
        </w:rPr>
        <w:t>1.7.1 项目井场选址符合性分析</w:t>
      </w:r>
    </w:p>
    <w:p>
      <w:pPr>
        <w:pStyle w:val="114"/>
        <w:ind w:firstLine="480"/>
      </w:pPr>
      <w:r>
        <w:t>根据《钻前工程及井场布置技术要求》（SY/T5466-2013）、《石油天然气钻井控技术规范》（GB/T 31033-2014）、《钻井井控技术规程》（SY/T6426-2005）等规定：油气井井口距高压线及其他永久性设施不小于75m，距民宅不小于100m，距铁路、高速公路不小于200m，距学校、医院和大型油库等人口密集性、高危性场所不小于500m。根据现场调查，项目井口与各设施的距离及符合性分析见下表。</w:t>
      </w:r>
    </w:p>
    <w:p>
      <w:pPr>
        <w:pStyle w:val="114"/>
        <w:ind w:firstLine="0" w:firstLineChars="0"/>
        <w:jc w:val="center"/>
        <w:rPr>
          <w:b/>
          <w:bCs/>
        </w:rPr>
      </w:pPr>
      <w:r>
        <w:rPr>
          <w:b/>
          <w:bCs/>
        </w:rPr>
        <w:t>表1.7-1  本项目井口与各设施距离</w:t>
      </w:r>
    </w:p>
    <w:tbl>
      <w:tblPr>
        <w:tblStyle w:val="5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50"/>
        <w:gridCol w:w="1661"/>
        <w:gridCol w:w="2772"/>
        <w:gridCol w:w="23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251" w:type="dxa"/>
            <w:tcBorders>
              <w:left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名称</w:t>
            </w:r>
          </w:p>
        </w:tc>
        <w:tc>
          <w:tcPr>
            <w:tcW w:w="1661" w:type="dxa"/>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钻前工程井场技术要求</w:t>
            </w:r>
          </w:p>
        </w:tc>
        <w:tc>
          <w:tcPr>
            <w:tcW w:w="2772" w:type="dxa"/>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是否涉及居民区、铁路等</w:t>
            </w:r>
          </w:p>
        </w:tc>
        <w:tc>
          <w:tcPr>
            <w:tcW w:w="2321" w:type="dxa"/>
            <w:tcBorders>
              <w:right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是否满足钻前技术要求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251" w:type="dxa"/>
            <w:tcBorders>
              <w:left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高压线及其他永久设施</w:t>
            </w:r>
          </w:p>
        </w:tc>
        <w:tc>
          <w:tcPr>
            <w:tcW w:w="1661" w:type="dxa"/>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≥75m</w:t>
            </w:r>
          </w:p>
        </w:tc>
        <w:tc>
          <w:tcPr>
            <w:tcW w:w="2772" w:type="dxa"/>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不涉及</w:t>
            </w:r>
          </w:p>
        </w:tc>
        <w:tc>
          <w:tcPr>
            <w:tcW w:w="2321" w:type="dxa"/>
            <w:tcBorders>
              <w:right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251" w:type="dxa"/>
            <w:tcBorders>
              <w:left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民宅</w:t>
            </w:r>
          </w:p>
        </w:tc>
        <w:tc>
          <w:tcPr>
            <w:tcW w:w="1661" w:type="dxa"/>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≥100m</w:t>
            </w:r>
          </w:p>
        </w:tc>
        <w:tc>
          <w:tcPr>
            <w:tcW w:w="2772" w:type="dxa"/>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井口100m范围内无民房</w:t>
            </w:r>
          </w:p>
        </w:tc>
        <w:tc>
          <w:tcPr>
            <w:tcW w:w="2321" w:type="dxa"/>
            <w:tcBorders>
              <w:right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251" w:type="dxa"/>
            <w:tcBorders>
              <w:left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铁路</w:t>
            </w:r>
          </w:p>
        </w:tc>
        <w:tc>
          <w:tcPr>
            <w:tcW w:w="1661" w:type="dxa"/>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≥200m</w:t>
            </w:r>
          </w:p>
        </w:tc>
        <w:tc>
          <w:tcPr>
            <w:tcW w:w="2772" w:type="dxa"/>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不涉及</w:t>
            </w:r>
          </w:p>
        </w:tc>
        <w:tc>
          <w:tcPr>
            <w:tcW w:w="2321" w:type="dxa"/>
            <w:tcBorders>
              <w:right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251" w:type="dxa"/>
            <w:tcBorders>
              <w:left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高速公路</w:t>
            </w:r>
          </w:p>
        </w:tc>
        <w:tc>
          <w:tcPr>
            <w:tcW w:w="1661" w:type="dxa"/>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≥200m</w:t>
            </w:r>
          </w:p>
        </w:tc>
        <w:tc>
          <w:tcPr>
            <w:tcW w:w="2772" w:type="dxa"/>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不涉及</w:t>
            </w:r>
          </w:p>
        </w:tc>
        <w:tc>
          <w:tcPr>
            <w:tcW w:w="2321" w:type="dxa"/>
            <w:tcBorders>
              <w:right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251" w:type="dxa"/>
            <w:tcBorders>
              <w:left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学校</w:t>
            </w:r>
          </w:p>
        </w:tc>
        <w:tc>
          <w:tcPr>
            <w:tcW w:w="1661" w:type="dxa"/>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≥500m</w:t>
            </w:r>
          </w:p>
        </w:tc>
        <w:tc>
          <w:tcPr>
            <w:tcW w:w="2772" w:type="dxa"/>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500m范围内不涉及</w:t>
            </w:r>
          </w:p>
        </w:tc>
        <w:tc>
          <w:tcPr>
            <w:tcW w:w="2321" w:type="dxa"/>
            <w:tcBorders>
              <w:right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251" w:type="dxa"/>
            <w:tcBorders>
              <w:left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医院</w:t>
            </w:r>
          </w:p>
        </w:tc>
        <w:tc>
          <w:tcPr>
            <w:tcW w:w="1661" w:type="dxa"/>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≥500m</w:t>
            </w:r>
          </w:p>
        </w:tc>
        <w:tc>
          <w:tcPr>
            <w:tcW w:w="2772" w:type="dxa"/>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500m范围内不涉及</w:t>
            </w:r>
          </w:p>
        </w:tc>
        <w:tc>
          <w:tcPr>
            <w:tcW w:w="2321" w:type="dxa"/>
            <w:tcBorders>
              <w:right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251" w:type="dxa"/>
            <w:tcBorders>
              <w:left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油库等高危险场所</w:t>
            </w:r>
          </w:p>
        </w:tc>
        <w:tc>
          <w:tcPr>
            <w:tcW w:w="1661" w:type="dxa"/>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≥500m</w:t>
            </w:r>
          </w:p>
        </w:tc>
        <w:tc>
          <w:tcPr>
            <w:tcW w:w="2772" w:type="dxa"/>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500m范围内不涉及</w:t>
            </w:r>
          </w:p>
        </w:tc>
        <w:tc>
          <w:tcPr>
            <w:tcW w:w="2321" w:type="dxa"/>
            <w:tcBorders>
              <w:right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251" w:type="dxa"/>
            <w:tcBorders>
              <w:left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集中居住地、人员密集区</w:t>
            </w:r>
          </w:p>
        </w:tc>
        <w:tc>
          <w:tcPr>
            <w:tcW w:w="1661" w:type="dxa"/>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≥500m</w:t>
            </w:r>
          </w:p>
        </w:tc>
        <w:tc>
          <w:tcPr>
            <w:tcW w:w="2772" w:type="dxa"/>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500m范围内不涉及</w:t>
            </w:r>
          </w:p>
        </w:tc>
        <w:tc>
          <w:tcPr>
            <w:tcW w:w="2321" w:type="dxa"/>
            <w:tcBorders>
              <w:right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251" w:type="dxa"/>
            <w:tcBorders>
              <w:left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地下矿产采掘坑、矿井坑道</w:t>
            </w:r>
          </w:p>
        </w:tc>
        <w:tc>
          <w:tcPr>
            <w:tcW w:w="1661" w:type="dxa"/>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≥100m</w:t>
            </w:r>
          </w:p>
        </w:tc>
        <w:tc>
          <w:tcPr>
            <w:tcW w:w="2772" w:type="dxa"/>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不涉及</w:t>
            </w:r>
          </w:p>
        </w:tc>
        <w:tc>
          <w:tcPr>
            <w:tcW w:w="2321" w:type="dxa"/>
            <w:tcBorders>
              <w:right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满足要求</w:t>
            </w:r>
          </w:p>
        </w:tc>
      </w:tr>
    </w:tbl>
    <w:p>
      <w:pPr>
        <w:pStyle w:val="114"/>
        <w:ind w:firstLine="480"/>
      </w:pPr>
      <w:r>
        <w:t>由上表可知，项目井口与各项设施的距离均满足《钻前工程及井场布置技术要求》（SY/T5466-2013）、《石油天然气钻井井控技术规范》（GB/T31033-2014）、《钻井井控技术规程》（SY/T6426-2005）等中规定的要求。</w:t>
      </w:r>
    </w:p>
    <w:p>
      <w:pPr>
        <w:pStyle w:val="114"/>
        <w:ind w:firstLine="480"/>
      </w:pPr>
      <w:r>
        <w:t>根据现场调查，本项目处于农村环境，周围50m范围内无民房、居住区、厂矿企业、35kV及以上独立变电所、无林地、无高速公路和铁路、无架空电力线路，300m范围内无爆炸作业场地，满足《石油天然气工程设计防火规范》（GB50183-2004）等要求。</w:t>
      </w:r>
    </w:p>
    <w:p>
      <w:pPr>
        <w:pStyle w:val="114"/>
        <w:ind w:firstLine="480"/>
      </w:pPr>
      <w:r>
        <w:t>拟建项目选址内无泉眼、地下暗河等控制性水点分布，不涉及各类保护区即境敏感区，符合规划和国土管理方面的规定，其选址比较理想。本项目在原普光108集气站基础上进行建设，</w:t>
      </w:r>
      <w:r>
        <w:rPr>
          <w:rFonts w:hint="eastAsia"/>
          <w:lang w:val="en-US" w:eastAsia="zh-CN"/>
        </w:rPr>
        <w:t>减小临时占地带来的生态影响，因此不涉及站场环境方案比选，</w:t>
      </w:r>
      <w:r>
        <w:rPr>
          <w:rFonts w:hint="eastAsia"/>
        </w:rPr>
        <w:t>扩建井场及表土堆放区、新建废水池区域等均</w:t>
      </w:r>
      <w:r>
        <w:t>为临时占地，在采取补偿等措施后，对失地农民的生活影响较小。项目</w:t>
      </w:r>
      <w:r>
        <w:rPr>
          <w:rFonts w:hint="eastAsia"/>
        </w:rPr>
        <w:t>扩建井场</w:t>
      </w:r>
      <w:r>
        <w:t>选址位于当地城镇规划区外，不涉及环境敏感区，符合“三线一单”管控要求，因此项目选址合理。</w:t>
      </w:r>
    </w:p>
    <w:p>
      <w:pPr>
        <w:keepNext/>
        <w:keepLines/>
        <w:ind w:firstLine="0" w:firstLineChars="0"/>
        <w:outlineLvl w:val="2"/>
        <w:rPr>
          <w:rFonts w:ascii="Times New Roman" w:cs="Times New Roman"/>
          <w:b/>
          <w:szCs w:val="32"/>
        </w:rPr>
      </w:pPr>
      <w:r>
        <w:rPr>
          <w:rFonts w:ascii="Times New Roman" w:cs="Times New Roman"/>
          <w:b/>
          <w:szCs w:val="32"/>
        </w:rPr>
        <w:t>1.7.2 井场平面布置合理性分析</w:t>
      </w:r>
    </w:p>
    <w:p>
      <w:pPr>
        <w:pStyle w:val="114"/>
        <w:ind w:firstLine="480"/>
      </w:pPr>
      <w:r>
        <w:rPr>
          <w:rFonts w:hint="eastAsia"/>
        </w:rPr>
        <w:t>本项目主要依托现有P108集气站建设，扩建井场东侧区域，采用外购土方填埋废水池区域作为井场用地。井场南侧新建废水池1座，容积为1000m</w:t>
      </w:r>
      <w:r>
        <w:rPr>
          <w:rFonts w:hint="eastAsia"/>
          <w:vertAlign w:val="superscript"/>
        </w:rPr>
        <w:t>3</w:t>
      </w:r>
      <w:r>
        <w:rPr>
          <w:rFonts w:hint="eastAsia"/>
        </w:rPr>
        <w:t>，表土堆放区位于项目东南侧。P108-1T井位于原井场中央，集气站位于井场北侧，本项目建成后P108-2H、P108-3井位于扩建后井场东南侧，钻井期间拆除集气站内相关设备，待钻井完成后再实施恢复建设，集气站建设位置不发生变化，新建部分试采设备。项目详细平面布置情况见附图2。</w:t>
      </w:r>
      <w:r>
        <w:t>本次评价从井口、噪声源、放喷池、排污池及柴油储罐布置等方面分析本项目井场平面布置的合理性。</w:t>
      </w:r>
    </w:p>
    <w:p>
      <w:pPr>
        <w:pStyle w:val="114"/>
        <w:ind w:firstLine="480"/>
      </w:pPr>
      <w:r>
        <w:t>（1）井口布置合理性分析</w:t>
      </w:r>
    </w:p>
    <w:p>
      <w:pPr>
        <w:pStyle w:val="114"/>
        <w:ind w:firstLine="480"/>
      </w:pPr>
      <w:r>
        <w:rPr>
          <w:kern w:val="2"/>
        </w:rPr>
        <w:t>根据现场调查，本项目周围50m范围内无民房、居住区、厂矿企业、35kV及以上独立变电所、无高速公路和铁路、无架空电力线路，300m范围内无爆炸作业场地，满足《石油天然气工程设计防火规范》（GB50183-2004）等要求</w:t>
      </w:r>
      <w:r>
        <w:t>。</w:t>
      </w:r>
    </w:p>
    <w:p>
      <w:pPr>
        <w:pStyle w:val="114"/>
        <w:ind w:firstLine="480"/>
      </w:pPr>
      <w:r>
        <w:t>（2）噪声源布置合理性分析</w:t>
      </w:r>
    </w:p>
    <w:p>
      <w:pPr>
        <w:pStyle w:val="114"/>
        <w:ind w:firstLine="480"/>
      </w:pPr>
      <w:r>
        <w:t>本项目钻机采用网电，备用柴油发电机。根据《钻前工程及井场布置技术要求》（SY/T 5466-2013）规定，发电机房位于井场后场右方，结合平面布置图和外环境关系图可知，本项目住户主要分布于井口东西两侧，将发电机布设于井场中部，尽量远离住户布设，对住户的噪声影响可接受，噪声源布置合理。</w:t>
      </w:r>
    </w:p>
    <w:p>
      <w:pPr>
        <w:pStyle w:val="114"/>
        <w:ind w:firstLine="480"/>
      </w:pPr>
      <w:r>
        <w:t>（3）放喷池布置合理性分析</w:t>
      </w:r>
    </w:p>
    <w:p>
      <w:pPr>
        <w:pStyle w:val="114"/>
        <w:ind w:firstLine="480"/>
      </w:pPr>
      <w:r>
        <w:t>根据《石油天然气钻井、开发、储运防火防爆安全生产技术规程》（SY/T 5225-2012）及相关规定：放喷管线出口距井口应不小于75m，并远离居民密集区。根据项目井场平面布置图可知，项目的放喷管线出口分别位于井场东侧和南侧，距离井口距离分为120m和100m。</w:t>
      </w:r>
    </w:p>
    <w:p>
      <w:pPr>
        <w:pStyle w:val="114"/>
        <w:ind w:firstLine="480"/>
      </w:pPr>
      <w:r>
        <w:t>根据《硫化氢环境钻井场所作业安全规范》（SY/T 5087-2017）中“放喷管线应至少接两条，其夹角为90°～180°，保证当风向改变时至少有一条能安全使用；管线转弯处的弯头夹角不应小于120°；管线出口应接至距井口100m以上的安全地带”，P108-2H井设有2条放喷管线，夹角约160°，符合《硫化氢环境钻井场所作业安全规范》（SY/T 5087-2017）规定。</w:t>
      </w:r>
    </w:p>
    <w:p>
      <w:pPr>
        <w:pStyle w:val="114"/>
        <w:ind w:firstLine="480"/>
      </w:pPr>
      <w:r>
        <w:t>本项目放喷池周围的住户很少，同时由于气井测试放喷持续时间较短（4h～6h），属于短期排放，住户受测试放喷SO</w:t>
      </w:r>
      <w:r>
        <w:rPr>
          <w:vertAlign w:val="subscript"/>
        </w:rPr>
        <w:t>2</w:t>
      </w:r>
      <w:r>
        <w:t>的影响持续时间短，影响小。此外，建设方在测试放喷期间采取临时撤离措施后，可避免测试放喷对住户的不利影响。本项目放喷池布置合理。</w:t>
      </w:r>
    </w:p>
    <w:p>
      <w:pPr>
        <w:pStyle w:val="114"/>
        <w:ind w:firstLine="480"/>
      </w:pPr>
      <w:r>
        <w:t>（4）排污池布置合理性分析</w:t>
      </w:r>
    </w:p>
    <w:p>
      <w:pPr>
        <w:pStyle w:val="114"/>
        <w:ind w:firstLine="480"/>
      </w:pPr>
      <w:r>
        <w:t>P108-2H井排污池位于</w:t>
      </w:r>
      <w:r>
        <w:rPr>
          <w:rFonts w:hint="eastAsia"/>
        </w:rPr>
        <w:t>井场</w:t>
      </w:r>
      <w:r>
        <w:t>东侧，排污池采用半地下式结构，经过地质勘察，地质结构良好，不在崩塌、滑坡、沉陷和不稳定边坡、泥石流流道区域。</w:t>
      </w:r>
    </w:p>
    <w:p>
      <w:pPr>
        <w:pStyle w:val="114"/>
        <w:ind w:firstLine="480"/>
      </w:pPr>
      <w:r>
        <w:t>排污池布设于井场东侧，从总体布局来说，排污池地势相对较低，排污池往东地势相对井场较平缓。排污池不会对居民饮用水带来影响，排污池布局合理。</w:t>
      </w:r>
    </w:p>
    <w:p>
      <w:pPr>
        <w:pStyle w:val="114"/>
        <w:ind w:firstLine="480"/>
      </w:pPr>
      <w:r>
        <w:t>（5）柴油储罐布置合理性分析</w:t>
      </w:r>
    </w:p>
    <w:p>
      <w:pPr>
        <w:pStyle w:val="114"/>
        <w:ind w:firstLine="480"/>
      </w:pPr>
      <w:r>
        <w:t>根据《石油天然气钻井、开发、储运防火防爆安全生产技术规程》（SY/T 5225-2012）中3.1.3的规定，油罐区距井口应不小于30m。根据平面布置图可知，P108-2H井柴油储罐位于井口东北侧75m，满足防火间距的要求。</w:t>
      </w:r>
    </w:p>
    <w:p>
      <w:pPr>
        <w:pStyle w:val="114"/>
        <w:ind w:firstLine="480"/>
      </w:pPr>
      <w:r>
        <w:t>综上所述，本项目井场总平面布置图综合考虑了周边环境及地势分布情况，同时满足《钻前工程及井场布置技术要求》（SY/T 5466-2013）、《石油天然气钻井、开发、储运防火防爆安全生产技术规程》（SY/T 5225-2012）等规定的相关要求布置，总平面布置合理。</w:t>
      </w:r>
    </w:p>
    <w:bookmarkEnd w:id="86"/>
    <w:p>
      <w:pPr>
        <w:keepNext/>
        <w:keepLines/>
        <w:spacing w:before="120"/>
        <w:ind w:firstLine="0" w:firstLineChars="0"/>
        <w:outlineLvl w:val="1"/>
        <w:rPr>
          <w:rFonts w:ascii="Times New Roman" w:cs="Times New Roman"/>
          <w:b/>
          <w:bCs/>
          <w:sz w:val="28"/>
          <w:szCs w:val="32"/>
        </w:rPr>
      </w:pPr>
      <w:bookmarkStart w:id="87" w:name="_Toc7677"/>
      <w:r>
        <w:rPr>
          <w:rFonts w:ascii="Times New Roman" w:cs="Times New Roman"/>
          <w:b/>
          <w:bCs/>
          <w:sz w:val="28"/>
          <w:szCs w:val="32"/>
        </w:rPr>
        <w:t>1.8 项目与相关符合性分析</w:t>
      </w:r>
      <w:bookmarkEnd w:id="87"/>
    </w:p>
    <w:p>
      <w:pPr>
        <w:keepNext/>
        <w:keepLines/>
        <w:ind w:firstLine="0" w:firstLineChars="0"/>
        <w:outlineLvl w:val="2"/>
        <w:rPr>
          <w:rFonts w:ascii="Times New Roman" w:cs="Times New Roman"/>
          <w:b/>
          <w:szCs w:val="32"/>
        </w:rPr>
      </w:pPr>
      <w:r>
        <w:rPr>
          <w:rFonts w:ascii="Times New Roman" w:cs="Times New Roman"/>
          <w:b/>
          <w:szCs w:val="32"/>
        </w:rPr>
        <w:t>1.8.1 产业政策符合性分析</w:t>
      </w:r>
    </w:p>
    <w:p>
      <w:pPr>
        <w:ind w:firstLine="480"/>
        <w:rPr>
          <w:rFonts w:ascii="Times New Roman" w:cs="Times New Roman"/>
        </w:rPr>
      </w:pPr>
      <w:r>
        <w:rPr>
          <w:rFonts w:ascii="Times New Roman" w:cs="Times New Roman"/>
        </w:rPr>
        <w:t>根据《产业结构调整指导目录（2019年本）》（2021年修订），本项目属于《产业结构调整指导目录（2019年本）》（2021年修订）鼓励类中第七条“石油、天然气”中的第一款“常规石油、天然气勘探与开发”。</w:t>
      </w:r>
    </w:p>
    <w:p>
      <w:pPr>
        <w:ind w:firstLine="480"/>
        <w:rPr>
          <w:rFonts w:ascii="Times New Roman" w:cs="Times New Roman"/>
        </w:rPr>
      </w:pPr>
      <w:r>
        <w:rPr>
          <w:rFonts w:ascii="Times New Roman" w:cs="Times New Roman"/>
        </w:rPr>
        <w:t>因此本项目建设符合国家产业政策。</w:t>
      </w:r>
    </w:p>
    <w:p>
      <w:pPr>
        <w:keepNext/>
        <w:keepLines/>
        <w:ind w:firstLine="0" w:firstLineChars="0"/>
        <w:outlineLvl w:val="2"/>
        <w:rPr>
          <w:rFonts w:ascii="Times New Roman" w:cs="Times New Roman"/>
          <w:b/>
          <w:szCs w:val="32"/>
        </w:rPr>
      </w:pPr>
      <w:r>
        <w:rPr>
          <w:rFonts w:ascii="Times New Roman" w:cs="Times New Roman"/>
          <w:b/>
          <w:szCs w:val="32"/>
        </w:rPr>
        <w:t>1.8.2 与城乡规划的符合性分析</w:t>
      </w:r>
    </w:p>
    <w:p>
      <w:pPr>
        <w:pStyle w:val="114"/>
        <w:ind w:firstLine="480"/>
      </w:pPr>
      <w:bookmarkStart w:id="88" w:name="_Hlk58750719"/>
      <w:r>
        <w:t>本工程位于四川省达州市宣汉县普光镇</w:t>
      </w:r>
      <w:r>
        <w:rPr>
          <w:rFonts w:hint="eastAsia"/>
        </w:rPr>
        <w:t>塔娅村</w:t>
      </w:r>
      <w:r>
        <w:t>，项目利用原P108</w:t>
      </w:r>
      <w:r>
        <w:rPr>
          <w:rFonts w:hint="eastAsia"/>
        </w:rPr>
        <w:t>集气站</w:t>
      </w:r>
      <w:r>
        <w:t>建设，区域属于农村地区，根据宣汉县住房和城乡规划建设局《关于普光分公司P108-1T产能建设项目工程意向性选址意见的复函》，项目选址不在普光镇场镇规划建设用地范围内，因此项目实施不影响城乡建设。</w:t>
      </w:r>
    </w:p>
    <w:bookmarkEnd w:id="88"/>
    <w:p>
      <w:pPr>
        <w:keepNext/>
        <w:keepLines/>
        <w:ind w:firstLine="0" w:firstLineChars="0"/>
        <w:outlineLvl w:val="2"/>
        <w:rPr>
          <w:rFonts w:ascii="Times New Roman" w:cs="Times New Roman"/>
          <w:b/>
          <w:szCs w:val="32"/>
        </w:rPr>
      </w:pPr>
      <w:r>
        <w:rPr>
          <w:rFonts w:ascii="Times New Roman" w:cs="Times New Roman"/>
          <w:b/>
          <w:szCs w:val="32"/>
        </w:rPr>
        <w:t>1.8.3 与四川省主体功能区规划的符合性分析</w:t>
      </w:r>
    </w:p>
    <w:p>
      <w:pPr>
        <w:pStyle w:val="114"/>
        <w:ind w:firstLine="482"/>
        <w:rPr>
          <w:b/>
          <w:bCs/>
        </w:rPr>
      </w:pPr>
      <w:r>
        <w:rPr>
          <w:b/>
          <w:bCs/>
        </w:rPr>
        <w:t>1、四川省主体功能区规划概述</w:t>
      </w:r>
    </w:p>
    <w:p>
      <w:pPr>
        <w:pStyle w:val="114"/>
        <w:ind w:firstLine="480"/>
      </w:pPr>
      <w:r>
        <w:t>根据《四川省主体功能区规划》（川府发〔2013〕16号文）（以下简称《规划》），全省主体功能区分为以下四个大类：</w:t>
      </w:r>
    </w:p>
    <w:p>
      <w:pPr>
        <w:pStyle w:val="114"/>
        <w:ind w:firstLine="480"/>
      </w:pPr>
      <w:r>
        <w:t>（1）重点开发区域</w:t>
      </w:r>
    </w:p>
    <w:p>
      <w:pPr>
        <w:pStyle w:val="114"/>
        <w:ind w:firstLine="480"/>
      </w:pPr>
      <w:r>
        <w:t>主要包括成都平原、川南、川东北和攀西地区19市（州）中的89个县（市、区），以及与之相连的50个点状开发城镇，该区域面积10.3万平方公里，占全省幅员面积21.2%；分为国家层面重点开发区域和省级层面重点开发区域。</w:t>
      </w:r>
    </w:p>
    <w:p>
      <w:pPr>
        <w:pStyle w:val="114"/>
        <w:ind w:firstLine="480"/>
      </w:pPr>
      <w:r>
        <w:t>该功能区是全省经济增长的重要支撑区，实施加快推进新型工业化新型城镇化的主要承载区，是全省经济和人口密集区。</w:t>
      </w:r>
    </w:p>
    <w:p>
      <w:pPr>
        <w:pStyle w:val="114"/>
        <w:ind w:firstLine="480"/>
      </w:pPr>
      <w:r>
        <w:t>（2）限制开发区域（农产品主产区）</w:t>
      </w:r>
    </w:p>
    <w:p>
      <w:pPr>
        <w:pStyle w:val="114"/>
        <w:ind w:firstLine="480"/>
      </w:pPr>
      <w:r>
        <w:t>限制开发的农产品主产区是指具备较好的农业生产条件，以提供农产品为主体功能，以提供生态产品、服务产品和工业品为其他功能，需要在国土空间开发中限制进行大规模高强度工业化城镇化开发，以保持并提高农产品生产能力的区域。</w:t>
      </w:r>
    </w:p>
    <w:p>
      <w:pPr>
        <w:pStyle w:val="114"/>
        <w:ind w:firstLine="480"/>
      </w:pPr>
      <w:r>
        <w:t>全省农产品主产区包括盆地中部平原浅丘区、川南低中山区和盆地东部丘陵低山区、盆地西缘山区和安宁河流域5大农产品主产区，共35个县（市），面积6.7万平方公里，扣除其中重点开发的县城镇及重点镇规划面积1750平方公里，占全省幅员面积13.4%。</w:t>
      </w:r>
    </w:p>
    <w:p>
      <w:pPr>
        <w:pStyle w:val="114"/>
        <w:ind w:firstLine="480"/>
      </w:pPr>
      <w:r>
        <w:t>该功能区是国家优质商品猪战略保障基地，现代农业示范区，现代林业产业基地，优势特色农产品加工业发展的重点区域，农民安居乐业的美好家园。区域应着力保护耕地，加强农业基础设施建设，稳定粮食生产，发展现代农业，增强农业综合生产能力，保障全省主要农产品有效供给，增加农民收入，加快社会主义新农村建设。</w:t>
      </w:r>
    </w:p>
    <w:p>
      <w:pPr>
        <w:pStyle w:val="114"/>
        <w:ind w:firstLine="480"/>
      </w:pPr>
      <w:r>
        <w:t>（3）限制开发区域（重点生态功能区）</w:t>
      </w:r>
    </w:p>
    <w:p>
      <w:pPr>
        <w:pStyle w:val="114"/>
        <w:ind w:firstLine="480"/>
      </w:pPr>
      <w:r>
        <w:t>限制开发的重点生态功能区是指生态系统十分重要，关系较大范围区域的生态安全，目前生态系统有所退化，需要在国土空间开发中限制进行大规模高强度工业化城镇化开发，以保持并提高生态产品供给能力的区域。</w:t>
      </w:r>
    </w:p>
    <w:p>
      <w:pPr>
        <w:pStyle w:val="114"/>
        <w:ind w:firstLine="480"/>
      </w:pPr>
      <w:r>
        <w:t>重点生态功能区共57个县（市），总面积31.8万平方公里，扣除其中省级重点生态功能区中重点开发的县城镇及重点镇规划面积，占全省幅员面积65.4%；分为国家层面的重点生态功能区和省级层面的重点生态功能区。</w:t>
      </w:r>
    </w:p>
    <w:p>
      <w:pPr>
        <w:pStyle w:val="114"/>
        <w:ind w:firstLine="480"/>
      </w:pPr>
      <w:r>
        <w:t>国家青藏高原生态屏障和长江上游生态屏障的重要组成部分，国家重要的水源涵养、水土保持与生物多样性保护区域，全省提供生态产品的主体区域与生态财富富集区，保障国家生态安全的重要区域，生态文明建设、人与自然和谐相处的示范区。</w:t>
      </w:r>
    </w:p>
    <w:p>
      <w:pPr>
        <w:pStyle w:val="114"/>
        <w:ind w:firstLine="480"/>
      </w:pPr>
      <w:r>
        <w:t>（4）禁止开发区域</w:t>
      </w:r>
    </w:p>
    <w:p>
      <w:pPr>
        <w:pStyle w:val="114"/>
        <w:ind w:firstLine="480"/>
      </w:pPr>
      <w:r>
        <w:t>禁止开发区域是指依法设立的各级各类自然文化资源保护区域，以及其他禁止进行工业化城镇化开发、需要特殊保护的重点生态功能区。主要包括国家级自然保护区、世界文化自然遗产、国家级风景名胜区、国家森林公园、国家重要湿地、国家湿地公园和国家地质公园；省级及以下各级各类自然文化资源保护区域、重要饮用水水源地以及其他省级人民政府根据需要确定的禁止开发区域。</w:t>
      </w:r>
    </w:p>
    <w:p>
      <w:pPr>
        <w:pStyle w:val="114"/>
        <w:ind w:firstLine="480"/>
      </w:pPr>
      <w:r>
        <w:t>该区域是四川省自然文化资源的重要区域，森林、湿地生态、生物多样性和珍稀动植物基因资源保护地，重要水土保持区域与重要饮用水水源保护地。</w:t>
      </w:r>
    </w:p>
    <w:p>
      <w:pPr>
        <w:pStyle w:val="114"/>
        <w:ind w:firstLine="480"/>
      </w:pPr>
      <w:r>
        <w:t>禁止开发区域要严格控制人为因素对自然生态的干扰，严禁不符合主体功能区定位的开发活动，引导人口逐步有序转移，实现污染物“零排放”，提高环境质量，提高可持续发展能力。自然保护区、文化自然遗产、风景名胜区、森林公园、湿地公园、地质公园，要逐步达到各类区域规定执行标准。</w:t>
      </w:r>
    </w:p>
    <w:p>
      <w:pPr>
        <w:pStyle w:val="114"/>
        <w:ind w:firstLine="482"/>
        <w:rPr>
          <w:b/>
          <w:bCs/>
        </w:rPr>
      </w:pPr>
      <w:r>
        <w:rPr>
          <w:b/>
          <w:bCs/>
        </w:rPr>
        <w:t>2、与四川省主体功能区规划的符合性分析</w:t>
      </w:r>
    </w:p>
    <w:p>
      <w:pPr>
        <w:pStyle w:val="114"/>
        <w:ind w:firstLine="480"/>
      </w:pPr>
      <w:r>
        <w:t>根据《四川省人民政府关于印发四川省主体功能区规划的通知》（川府发〔2013〕16号），本项目所在地属国家重点开发区域，不属于重点生态功能区，该地区无国家级自然保护区、世界文化遗产、国家风景名胜区、国家森林公园和国家地质公园。项目不在禁止开发区，不在重点保护区内，符合《四川省主体功能区规划》要求。</w:t>
      </w:r>
    </w:p>
    <w:p>
      <w:pPr>
        <w:keepNext/>
        <w:keepLines/>
        <w:ind w:firstLine="0" w:firstLineChars="0"/>
        <w:outlineLvl w:val="2"/>
        <w:rPr>
          <w:rFonts w:ascii="Times New Roman" w:cs="Times New Roman"/>
          <w:b/>
          <w:szCs w:val="32"/>
        </w:rPr>
      </w:pPr>
      <w:r>
        <w:rPr>
          <w:rFonts w:ascii="Times New Roman" w:cs="Times New Roman"/>
          <w:b/>
          <w:szCs w:val="32"/>
        </w:rPr>
        <w:t>1.8.4 与《四川省嘉陵江流域生态环境保护条例》符合性分析</w:t>
      </w:r>
    </w:p>
    <w:p>
      <w:pPr>
        <w:pStyle w:val="114"/>
        <w:ind w:firstLine="480"/>
        <w:rPr>
          <w:snapToGrid w:val="0"/>
        </w:rPr>
      </w:pPr>
      <w:r>
        <w:rPr>
          <w:snapToGrid w:val="0"/>
        </w:rPr>
        <w:t>本次评价根据《四川省嘉陵江流域生态环境保护条例》（2021年11月25日四川省第十三届人民代表大会常务委员会第三十一次会议通过）要求进行了合理性分析，具体如下。</w:t>
      </w:r>
    </w:p>
    <w:p>
      <w:pPr>
        <w:pStyle w:val="39"/>
        <w:rPr>
          <w:rFonts w:cs="Times New Roman"/>
        </w:rPr>
      </w:pPr>
      <w:r>
        <w:rPr>
          <w:rFonts w:cs="Times New Roman"/>
        </w:rPr>
        <w:t>表1.8-2  项目与《四川省嘉陵江流域生态环境保护条例》符合性分析</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47"/>
        <w:gridCol w:w="3328"/>
        <w:gridCol w:w="3973"/>
        <w:gridCol w:w="7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5" w:hRule="atLeast"/>
          <w:tblHeader/>
          <w:jc w:val="center"/>
        </w:trPr>
        <w:tc>
          <w:tcPr>
            <w:tcW w:w="318" w:type="pct"/>
            <w:vAlign w:val="center"/>
          </w:tcPr>
          <w:p>
            <w:pPr>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序号</w:t>
            </w:r>
          </w:p>
        </w:tc>
        <w:tc>
          <w:tcPr>
            <w:tcW w:w="1939" w:type="pct"/>
            <w:vAlign w:val="center"/>
          </w:tcPr>
          <w:p>
            <w:pPr>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条例管理要求</w:t>
            </w:r>
          </w:p>
        </w:tc>
        <w:tc>
          <w:tcPr>
            <w:tcW w:w="2315" w:type="pct"/>
            <w:vAlign w:val="center"/>
          </w:tcPr>
          <w:p>
            <w:pPr>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项目内容</w:t>
            </w:r>
          </w:p>
        </w:tc>
        <w:tc>
          <w:tcPr>
            <w:tcW w:w="426" w:type="pct"/>
            <w:vAlign w:val="center"/>
          </w:tcPr>
          <w:p>
            <w:pPr>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8" w:hRule="atLeast"/>
          <w:jc w:val="center"/>
        </w:trPr>
        <w:tc>
          <w:tcPr>
            <w:tcW w:w="318" w:type="pct"/>
            <w:vAlign w:val="center"/>
          </w:tcPr>
          <w:p>
            <w:pPr>
              <w:pStyle w:val="555"/>
            </w:pPr>
            <w:r>
              <w:t>第十七条</w:t>
            </w:r>
          </w:p>
        </w:tc>
        <w:tc>
          <w:tcPr>
            <w:tcW w:w="1939" w:type="pct"/>
            <w:vAlign w:val="center"/>
          </w:tcPr>
          <w:p>
            <w:pPr>
              <w:pStyle w:val="555"/>
            </w:pPr>
            <w:r>
              <w:t>编制嘉陵江流域生态环境保护规划应当遵守生态保护红线、环境质量底线、资源利用上线和生态环境准入清单，符合国土空间规划、生态环境保护规划、岸线保护和开发利用规划等相关规划。编制其他有关专项规划或者方案，应当与国土空间规划和流域生态环境保护规划相衔接。</w:t>
            </w:r>
          </w:p>
          <w:p>
            <w:pPr>
              <w:pStyle w:val="555"/>
            </w:pPr>
            <w:r>
              <w:t>禁止在嘉陵江干支流岸线一公里范围内新建、扩建化工园区和化工项目。</w:t>
            </w:r>
          </w:p>
        </w:tc>
        <w:tc>
          <w:tcPr>
            <w:tcW w:w="2315" w:type="pct"/>
            <w:vAlign w:val="center"/>
          </w:tcPr>
          <w:p>
            <w:pPr>
              <w:pStyle w:val="555"/>
            </w:pPr>
            <w:r>
              <w:t>本项目为天然气钻井及试采工程，不属于禁建项目。</w:t>
            </w:r>
          </w:p>
        </w:tc>
        <w:tc>
          <w:tcPr>
            <w:tcW w:w="426" w:type="pct"/>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8" w:hRule="atLeast"/>
          <w:jc w:val="center"/>
        </w:trPr>
        <w:tc>
          <w:tcPr>
            <w:tcW w:w="318" w:type="pct"/>
            <w:vAlign w:val="center"/>
          </w:tcPr>
          <w:p>
            <w:pPr>
              <w:pStyle w:val="555"/>
            </w:pPr>
            <w:r>
              <w:t>第二十一条</w:t>
            </w:r>
          </w:p>
        </w:tc>
        <w:tc>
          <w:tcPr>
            <w:tcW w:w="1939" w:type="pct"/>
            <w:vAlign w:val="center"/>
          </w:tcPr>
          <w:p>
            <w:pPr>
              <w:pStyle w:val="555"/>
            </w:pPr>
            <w:r>
              <w:t>排污单位排放污染物不得超过国家和省污染物排放标准，不得超过重点水污染物排放总量控制指标。</w:t>
            </w:r>
          </w:p>
        </w:tc>
        <w:tc>
          <w:tcPr>
            <w:tcW w:w="2315" w:type="pct"/>
            <w:vAlign w:val="center"/>
          </w:tcPr>
          <w:p>
            <w:pPr>
              <w:pStyle w:val="555"/>
            </w:pPr>
            <w:r>
              <w:t>本项目施工期井场</w:t>
            </w:r>
            <w:r>
              <w:rPr>
                <w:spacing w:val="-8"/>
                <w:szCs w:val="21"/>
              </w:rPr>
              <w:t>施工</w:t>
            </w:r>
            <w:r>
              <w:rPr>
                <w:rFonts w:hint="eastAsia"/>
                <w:spacing w:val="-8"/>
                <w:szCs w:val="21"/>
                <w:lang w:eastAsia="zh-CN"/>
              </w:rPr>
              <w:t>人员</w:t>
            </w:r>
            <w:r>
              <w:rPr>
                <w:spacing w:val="-8"/>
                <w:szCs w:val="21"/>
              </w:rPr>
              <w:t>生活污水依托经生态环保厕所收集处理</w:t>
            </w:r>
            <w:r>
              <w:t>后，用作周边农肥，不外排；员工洗澡、食堂废水经单独收集后拉运至普光镇场镇污水处理厂处理；钻井废水</w:t>
            </w:r>
            <w:r>
              <w:rPr>
                <w:spacing w:val="-8"/>
                <w:szCs w:val="21"/>
              </w:rPr>
              <w:t>经清洁化操作平台预处理后装车拉运至毛开1井回注站回注</w:t>
            </w:r>
            <w:r>
              <w:t>；</w:t>
            </w:r>
            <w:r>
              <w:rPr>
                <w:spacing w:val="-8"/>
                <w:szCs w:val="21"/>
              </w:rPr>
              <w:t>压裂废水和洗井废水暂存于</w:t>
            </w:r>
            <w:r>
              <w:rPr>
                <w:rFonts w:hint="eastAsia"/>
                <w:spacing w:val="-8"/>
                <w:szCs w:val="21"/>
              </w:rPr>
              <w:t>废水池</w:t>
            </w:r>
            <w:r>
              <w:rPr>
                <w:spacing w:val="-8"/>
                <w:szCs w:val="21"/>
              </w:rPr>
              <w:t>，</w:t>
            </w:r>
            <w:r>
              <w:rPr>
                <w:rFonts w:hint="eastAsia"/>
                <w:spacing w:val="-8"/>
                <w:szCs w:val="21"/>
              </w:rPr>
              <w:t>定期</w:t>
            </w:r>
            <w:r>
              <w:rPr>
                <w:spacing w:val="-8"/>
                <w:szCs w:val="21"/>
              </w:rPr>
              <w:t>装车拉运至大湾403污水站处理达标后管输至毛开1井回注站回注</w:t>
            </w:r>
            <w:r>
              <w:t>。</w:t>
            </w:r>
          </w:p>
          <w:p>
            <w:pPr>
              <w:pStyle w:val="555"/>
            </w:pPr>
            <w:r>
              <w:t>本项目产生的气田水经酸液缓冲罐收集，然后通过密闭罐车拉运至大湾403污水站处理达到《气田水回注方法》（SY/T 6596-2016）中注入水基本要求后管输至毛开1井回注站回注处理，不外排。本项目不新增劳烦定员，试采期不涉及生活污水。</w:t>
            </w:r>
          </w:p>
        </w:tc>
        <w:tc>
          <w:tcPr>
            <w:tcW w:w="426" w:type="pct"/>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符合</w:t>
            </w:r>
          </w:p>
        </w:tc>
      </w:tr>
    </w:tbl>
    <w:p>
      <w:pPr>
        <w:ind w:firstLine="480"/>
        <w:rPr>
          <w:rFonts w:ascii="Times New Roman" w:cs="Times New Roman"/>
          <w:b/>
          <w:szCs w:val="32"/>
        </w:rPr>
      </w:pPr>
      <w:r>
        <w:rPr>
          <w:rFonts w:ascii="Times New Roman" w:cs="Times New Roman"/>
          <w:szCs w:val="20"/>
        </w:rPr>
        <w:t>因此，本项目的建设符合《四川省嘉陵江流域生态环境保护条例》要求。</w:t>
      </w:r>
    </w:p>
    <w:p>
      <w:pPr>
        <w:keepNext/>
        <w:keepLines/>
        <w:ind w:firstLine="0" w:firstLineChars="0"/>
        <w:outlineLvl w:val="2"/>
        <w:rPr>
          <w:rFonts w:ascii="Times New Roman" w:cs="Times New Roman"/>
          <w:b/>
          <w:szCs w:val="32"/>
        </w:rPr>
      </w:pPr>
      <w:r>
        <w:rPr>
          <w:rFonts w:ascii="Times New Roman" w:cs="Times New Roman"/>
          <w:b/>
          <w:szCs w:val="32"/>
        </w:rPr>
        <w:t>1.8.5 与《四川省、重庆市长江经济带发展负面清单实施细则（试行，2022年版）》符合性</w:t>
      </w:r>
    </w:p>
    <w:p>
      <w:pPr>
        <w:pStyle w:val="114"/>
        <w:ind w:firstLine="480"/>
      </w:pPr>
      <w:r>
        <w:t>本项目与《四川省、重庆市长江经济带发展负面清单实施细则（试行，2022年版）》的符合性分析如下：</w:t>
      </w:r>
    </w:p>
    <w:p>
      <w:pPr>
        <w:pStyle w:val="39"/>
        <w:rPr>
          <w:rFonts w:cs="Times New Roman"/>
        </w:rPr>
      </w:pPr>
      <w:r>
        <w:rPr>
          <w:rFonts w:cs="Times New Roman"/>
        </w:rPr>
        <w:t>表1.8-3  与《四川省、重庆市长江经济带发展负面清单实施细则（试行，2022年版）》符合性分析</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72"/>
        <w:gridCol w:w="5402"/>
        <w:gridCol w:w="1831"/>
        <w:gridCol w:w="7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blHeader/>
          <w:jc w:val="center"/>
        </w:trPr>
        <w:tc>
          <w:tcPr>
            <w:tcW w:w="584" w:type="dxa"/>
            <w:vAlign w:val="center"/>
          </w:tcPr>
          <w:p>
            <w:pPr>
              <w:autoSpaceDE w:val="0"/>
              <w:autoSpaceDN w:val="0"/>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序号</w:t>
            </w:r>
          </w:p>
        </w:tc>
        <w:tc>
          <w:tcPr>
            <w:tcW w:w="5535" w:type="dxa"/>
            <w:vAlign w:val="center"/>
          </w:tcPr>
          <w:p>
            <w:pPr>
              <w:autoSpaceDE w:val="0"/>
              <w:autoSpaceDN w:val="0"/>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污染防治技术政策要求</w:t>
            </w:r>
          </w:p>
        </w:tc>
        <w:tc>
          <w:tcPr>
            <w:tcW w:w="1875" w:type="dxa"/>
            <w:vAlign w:val="center"/>
          </w:tcPr>
          <w:p>
            <w:pPr>
              <w:autoSpaceDE w:val="0"/>
              <w:autoSpaceDN w:val="0"/>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本项目内容</w:t>
            </w:r>
          </w:p>
        </w:tc>
        <w:tc>
          <w:tcPr>
            <w:tcW w:w="791" w:type="dxa"/>
            <w:vAlign w:val="center"/>
          </w:tcPr>
          <w:p>
            <w:pPr>
              <w:autoSpaceDE w:val="0"/>
              <w:autoSpaceDN w:val="0"/>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第五条</w:t>
            </w:r>
          </w:p>
        </w:tc>
        <w:tc>
          <w:tcPr>
            <w:tcW w:w="5535"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禁止新建、改建和扩建不符合《全国内河航道与港</w:t>
            </w:r>
          </w:p>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口布局规划》等全国港口规划，以及《四川省内河水运发展规划》《泸州—宜宾—乐山</w:t>
            </w:r>
            <w:r>
              <w:rPr>
                <w:rFonts w:hint="eastAsia" w:ascii="Times New Roman" w:cs="Times New Roman"/>
                <w:kern w:val="2"/>
                <w:sz w:val="21"/>
                <w:szCs w:val="21"/>
                <w:lang w:val="en-US" w:eastAsia="zh-CN"/>
              </w:rPr>
              <w:t xml:space="preserve"> </w:t>
            </w:r>
            <w:r>
              <w:rPr>
                <w:rFonts w:ascii="Times New Roman" w:cs="Times New Roman"/>
                <w:kern w:val="2"/>
                <w:sz w:val="21"/>
                <w:szCs w:val="21"/>
              </w:rPr>
              <w:t>港口群布局规划》《重庆港总体规划（2035年）》等省级港口布局规划及市级港口总体规划的码头项目。</w:t>
            </w:r>
          </w:p>
        </w:tc>
        <w:tc>
          <w:tcPr>
            <w:tcW w:w="1875"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本项目不属于该类项目。</w:t>
            </w:r>
          </w:p>
        </w:tc>
        <w:tc>
          <w:tcPr>
            <w:tcW w:w="791"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第六条</w:t>
            </w:r>
          </w:p>
        </w:tc>
        <w:tc>
          <w:tcPr>
            <w:tcW w:w="5535"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禁止新建、改建和扩建不符合《长江干线过江通道</w:t>
            </w:r>
          </w:p>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布局规划（2020—2035 年）》的过长江通道项目（含桥梁、隧道），国家发展改革委同意过长江通道线位调整的除外。</w:t>
            </w:r>
          </w:p>
        </w:tc>
        <w:tc>
          <w:tcPr>
            <w:tcW w:w="1875"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本项目不属于该类项目。</w:t>
            </w:r>
          </w:p>
        </w:tc>
        <w:tc>
          <w:tcPr>
            <w:tcW w:w="791"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第七条</w:t>
            </w:r>
          </w:p>
        </w:tc>
        <w:tc>
          <w:tcPr>
            <w:tcW w:w="5535"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禁止在自然保护区核心区、缓冲区的岸线和河段范</w:t>
            </w:r>
          </w:p>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围内投资建设旅游和生产经营项目。自然保护区的内部未分区的，依照本实施细则核心区和缓冲区的规定管控。</w:t>
            </w:r>
          </w:p>
        </w:tc>
        <w:tc>
          <w:tcPr>
            <w:tcW w:w="1875"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本项目不在当地自然保护区范围内。</w:t>
            </w:r>
          </w:p>
        </w:tc>
        <w:tc>
          <w:tcPr>
            <w:tcW w:w="791"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第八条</w:t>
            </w:r>
          </w:p>
        </w:tc>
        <w:tc>
          <w:tcPr>
            <w:tcW w:w="5535"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禁止违反风景名胜区规划，在风景名胜区内设立各类开发区。禁止在风景名胜区核心景区的岸线和河段范围内建设宾馆、招待所、培训中心、疗养院以及与风景名胜资源保护无关的项目。</w:t>
            </w:r>
          </w:p>
        </w:tc>
        <w:tc>
          <w:tcPr>
            <w:tcW w:w="1875"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本项目不在当地风景名胜区范围内。</w:t>
            </w:r>
          </w:p>
        </w:tc>
        <w:tc>
          <w:tcPr>
            <w:tcW w:w="791"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第九条、第十条、第十一条</w:t>
            </w:r>
          </w:p>
        </w:tc>
        <w:tc>
          <w:tcPr>
            <w:tcW w:w="5535"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禁止在饮用水水源准保护区的岸线和河段范围内新建、扩建对水体污染严重的建设项目，禁止改建增加排污量的建设项目。</w:t>
            </w:r>
          </w:p>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饮用水水源二级保护区的岸线和河段范围内，除应遵守准保护区规定外，禁止新建、改建、扩建排放污染物的投资建设项目；禁止从事采石（砂）、对水体有污染的水产养殖等活动。</w:t>
            </w:r>
          </w:p>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饮用水水源一级保护区的岸线和河段范围内，除应遵守二级保护区规定外，禁止新建、改建、扩建与供（取）水设施和保护水源无关的项目，以及网箱养殖、畜禽养殖、旅游等可能污染饮用水水体的投资建设项目。</w:t>
            </w:r>
          </w:p>
        </w:tc>
        <w:tc>
          <w:tcPr>
            <w:tcW w:w="1875"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本项目不在当地集中式饮用水源保护区范围内。</w:t>
            </w:r>
          </w:p>
        </w:tc>
        <w:tc>
          <w:tcPr>
            <w:tcW w:w="791"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第十二条、第十三条</w:t>
            </w:r>
          </w:p>
        </w:tc>
        <w:tc>
          <w:tcPr>
            <w:tcW w:w="5535"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禁止在水产种质资源保护区岸线和河段范围内</w:t>
            </w:r>
          </w:p>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新建围湖造田、围湖造地或挖沙采石等投资建设项目。</w:t>
            </w:r>
          </w:p>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875"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本项目不在当地水产种质资源保护区和国家湿地公园的岸线和河段范围内。</w:t>
            </w:r>
          </w:p>
        </w:tc>
        <w:tc>
          <w:tcPr>
            <w:tcW w:w="791"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第十四条、第十五条</w:t>
            </w:r>
          </w:p>
        </w:tc>
        <w:tc>
          <w:tcPr>
            <w:tcW w:w="5535"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禁止在《全国重要江河湖泊水功能区划》划定的河段及湖泊保护区、保留区内投资建设不利于水资源及自然生态保护的项目。</w:t>
            </w:r>
          </w:p>
        </w:tc>
        <w:tc>
          <w:tcPr>
            <w:tcW w:w="1875"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本项目不在《长江岸线保护和开发利用总体规划》划定的岸线保护区范围内，不在《全国重要江河湖泊水功能区划》划定的河段保护区、保留区范围内。</w:t>
            </w:r>
          </w:p>
        </w:tc>
        <w:tc>
          <w:tcPr>
            <w:tcW w:w="791"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第十六条</w:t>
            </w:r>
          </w:p>
        </w:tc>
        <w:tc>
          <w:tcPr>
            <w:tcW w:w="5535"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禁止在长江流域江河、湖泊新设、改设或者扩大排污口，经有管辖权的生态环境主管部门或者长江流域生态环境监督管理机构同意的除外。</w:t>
            </w:r>
          </w:p>
        </w:tc>
        <w:tc>
          <w:tcPr>
            <w:tcW w:w="1875"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本项目不涉及在长江流域江河、湖泊新设、改设或者扩大排污口。</w:t>
            </w:r>
          </w:p>
        </w:tc>
        <w:tc>
          <w:tcPr>
            <w:tcW w:w="791"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第十七条</w:t>
            </w:r>
          </w:p>
        </w:tc>
        <w:tc>
          <w:tcPr>
            <w:tcW w:w="5535"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禁止在长江、大渡河、岷江、赤水河、沱江、嘉陵江、乌江、汉江和51个（四川省45个、重庆市6个）水生生物保护区开展生产性捕捞。</w:t>
            </w:r>
          </w:p>
        </w:tc>
        <w:tc>
          <w:tcPr>
            <w:tcW w:w="1875"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本项目不涉及生产性捕捞</w:t>
            </w:r>
          </w:p>
        </w:tc>
        <w:tc>
          <w:tcPr>
            <w:tcW w:w="791"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第十八条、第十九条、第二十条</w:t>
            </w:r>
          </w:p>
        </w:tc>
        <w:tc>
          <w:tcPr>
            <w:tcW w:w="5535"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禁止在长江干支流、重要湖泊岸线一公里范围内</w:t>
            </w:r>
          </w:p>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新建、扩建化工园区和化工项目。</w:t>
            </w:r>
          </w:p>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禁止在长江干流岸线三公里范围内和重要支流岸线一公里范围内新建、改建、扩建尾矿库、冶炼渣库、磷石膏库，以提升安全、生态环境保护水平为目的的改建除外。</w:t>
            </w:r>
          </w:p>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禁止在生态保护红线区域、永久基本农田集中区域和其他需要特别保护的区域内选址建设尾矿库、冶炼渣库、磷石膏库。</w:t>
            </w:r>
          </w:p>
        </w:tc>
        <w:tc>
          <w:tcPr>
            <w:tcW w:w="1875"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本项目不属于化工项目，不属于尾矿库、冶炼渣库、磷石膏库。</w:t>
            </w:r>
          </w:p>
        </w:tc>
        <w:tc>
          <w:tcPr>
            <w:tcW w:w="791"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第二十一条</w:t>
            </w:r>
          </w:p>
        </w:tc>
        <w:tc>
          <w:tcPr>
            <w:tcW w:w="5535"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禁止在合规园区外新建、扩建钢铁、石化、化工、焦化、建材、有色、制浆造纸等高污染项目。</w:t>
            </w:r>
          </w:p>
        </w:tc>
        <w:tc>
          <w:tcPr>
            <w:tcW w:w="1875"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本项目不属于钢铁、石化、化</w:t>
            </w:r>
          </w:p>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工、焦化、建材、有色、制浆造纸等高污染项目。</w:t>
            </w:r>
          </w:p>
        </w:tc>
        <w:tc>
          <w:tcPr>
            <w:tcW w:w="791"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第二十二条</w:t>
            </w:r>
          </w:p>
        </w:tc>
        <w:tc>
          <w:tcPr>
            <w:tcW w:w="5535"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禁止新建、扩建不符合国家石化、现代煤化工等产业布局规划的项目。</w:t>
            </w:r>
          </w:p>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（一）严格控制新增炼油项目，未列入《石化产业规划布局</w:t>
            </w:r>
          </w:p>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方案（修订版）》的新增炼油产能一律不得建设。</w:t>
            </w:r>
          </w:p>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（二）新建煤制烯烃、煤制芳烃项目必须列入《现代煤化工产业创新发展布局方案》，必须符合《现代煤化工建设项目环境准入条件（试行）》要求。</w:t>
            </w:r>
          </w:p>
        </w:tc>
        <w:tc>
          <w:tcPr>
            <w:tcW w:w="1875"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本项目不属于石化、现代煤化工等项目。</w:t>
            </w:r>
          </w:p>
        </w:tc>
        <w:tc>
          <w:tcPr>
            <w:tcW w:w="791"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第二十三条</w:t>
            </w:r>
          </w:p>
        </w:tc>
        <w:tc>
          <w:tcPr>
            <w:tcW w:w="5535"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875"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本项目不属于《产业结构调整指导目录》中淘汰类项目</w:t>
            </w:r>
          </w:p>
        </w:tc>
        <w:tc>
          <w:tcPr>
            <w:tcW w:w="791"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第二十四条</w:t>
            </w:r>
          </w:p>
        </w:tc>
        <w:tc>
          <w:tcPr>
            <w:tcW w:w="5535"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禁止新建、扩建不符合国家产能置换要求的严重过剩产能行业的项目。对于不符合国家产能置换要求的严重过剩产能行业，不得以其他任何名义、任何方式备案新增产能项目。</w:t>
            </w:r>
          </w:p>
        </w:tc>
        <w:tc>
          <w:tcPr>
            <w:tcW w:w="1875"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本项目不属于不符合国家产能置换要求的严重过剩产能行业</w:t>
            </w:r>
          </w:p>
        </w:tc>
        <w:tc>
          <w:tcPr>
            <w:tcW w:w="791"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第二十五条</w:t>
            </w:r>
          </w:p>
        </w:tc>
        <w:tc>
          <w:tcPr>
            <w:tcW w:w="5535"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禁止建设以下燃油汽车投资项目（不在中国境内销售产品的投资项目除外）：</w:t>
            </w:r>
          </w:p>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（一）新建独立燃油汽车企业；</w:t>
            </w:r>
          </w:p>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（二）现有汽车企业跨乘用车、商用车类别建设燃油汽车生产能力；</w:t>
            </w:r>
          </w:p>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（三）外省现有燃油汽车企业整体搬迁至本省（列入国家级区域发展规划或不改变企业股权结构的项目除外）；</w:t>
            </w:r>
          </w:p>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（四）对行业管理部门特别公示的燃油汽车企业进行投资</w:t>
            </w:r>
          </w:p>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（企业原有股东投资或将该企业转为非独立法人的投资项目除外）。</w:t>
            </w:r>
          </w:p>
        </w:tc>
        <w:tc>
          <w:tcPr>
            <w:tcW w:w="1875"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本项目不属于燃油汽车投资项目</w:t>
            </w:r>
          </w:p>
        </w:tc>
        <w:tc>
          <w:tcPr>
            <w:tcW w:w="791"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第二十六条</w:t>
            </w:r>
          </w:p>
        </w:tc>
        <w:tc>
          <w:tcPr>
            <w:tcW w:w="5535"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禁止新建、扩建不符合要求的高耗能、高排放、低水平项目。</w:t>
            </w:r>
          </w:p>
        </w:tc>
        <w:tc>
          <w:tcPr>
            <w:tcW w:w="1875"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本项目不属于高耗能、高排放、低水平项目</w:t>
            </w:r>
          </w:p>
        </w:tc>
        <w:tc>
          <w:tcPr>
            <w:tcW w:w="791" w:type="dxa"/>
            <w:vAlign w:val="center"/>
          </w:tcPr>
          <w:p>
            <w:pPr>
              <w:autoSpaceDE w:val="0"/>
              <w:autoSpaceDN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符合</w:t>
            </w:r>
          </w:p>
        </w:tc>
      </w:tr>
    </w:tbl>
    <w:p>
      <w:pPr>
        <w:ind w:firstLine="480"/>
        <w:rPr>
          <w:rFonts w:ascii="Times New Roman" w:cs="Times New Roman"/>
          <w:b/>
          <w:szCs w:val="32"/>
        </w:rPr>
      </w:pPr>
      <w:r>
        <w:rPr>
          <w:rFonts w:ascii="Times New Roman" w:cs="Times New Roman"/>
          <w:szCs w:val="20"/>
        </w:rPr>
        <w:t>因此，本项目建设符合《四川省、重庆市长江经济带发展负面清单实施细则（试行，2022年版）》要求。</w:t>
      </w:r>
    </w:p>
    <w:p>
      <w:pPr>
        <w:keepNext/>
        <w:keepLines/>
        <w:ind w:firstLine="0" w:firstLineChars="0"/>
        <w:outlineLvl w:val="2"/>
        <w:rPr>
          <w:rFonts w:ascii="Times New Roman" w:cs="Times New Roman"/>
          <w:b/>
          <w:szCs w:val="32"/>
        </w:rPr>
      </w:pPr>
      <w:r>
        <w:rPr>
          <w:rFonts w:ascii="Times New Roman" w:cs="Times New Roman"/>
          <w:b/>
          <w:szCs w:val="32"/>
        </w:rPr>
        <w:t>1.8.6 与《石油天然气开采业污染防治技术政策》符合性</w:t>
      </w:r>
    </w:p>
    <w:p>
      <w:pPr>
        <w:pStyle w:val="114"/>
        <w:ind w:firstLine="480"/>
      </w:pPr>
      <w:r>
        <w:t>项目与《石油天然气开采业污染防治技术政策》符合性如下：</w:t>
      </w:r>
    </w:p>
    <w:p>
      <w:pPr>
        <w:pStyle w:val="39"/>
        <w:rPr>
          <w:rFonts w:cs="Times New Roman"/>
        </w:rPr>
      </w:pPr>
      <w:r>
        <w:rPr>
          <w:rFonts w:cs="Times New Roman"/>
        </w:rPr>
        <w:t>表1.8-4  与《石油天然气开采业污染防治技术政策》符合性</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5"/>
        <w:gridCol w:w="4137"/>
        <w:gridCol w:w="3001"/>
        <w:gridCol w:w="9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tcBorders>
              <w:tl2br w:val="nil"/>
              <w:tr2bl w:val="nil"/>
            </w:tcBorders>
            <w:shd w:val="clear" w:color="auto" w:fill="auto"/>
            <w:vAlign w:val="center"/>
          </w:tcPr>
          <w:p>
            <w:pPr>
              <w:spacing w:line="240" w:lineRule="auto"/>
              <w:ind w:right="-82" w:rightChars="-34" w:firstLine="0" w:firstLineChars="0"/>
              <w:jc w:val="center"/>
              <w:rPr>
                <w:rFonts w:ascii="Times New Roman" w:cs="Times New Roman"/>
              </w:rPr>
            </w:pPr>
            <w:r>
              <w:rPr>
                <w:rFonts w:ascii="Times New Roman" w:cs="Times New Roman"/>
                <w:kern w:val="2"/>
                <w:sz w:val="21"/>
              </w:rPr>
              <w:t>序号</w:t>
            </w:r>
          </w:p>
        </w:tc>
        <w:tc>
          <w:tcPr>
            <w:tcW w:w="3118" w:type="dxa"/>
            <w:tcBorders>
              <w:tl2br w:val="nil"/>
              <w:tr2bl w:val="nil"/>
            </w:tcBorders>
            <w:shd w:val="clear" w:color="auto" w:fill="auto"/>
            <w:vAlign w:val="center"/>
          </w:tcPr>
          <w:p>
            <w:pPr>
              <w:spacing w:line="240" w:lineRule="auto"/>
              <w:ind w:firstLine="0" w:firstLineChars="0"/>
              <w:jc w:val="center"/>
              <w:rPr>
                <w:rFonts w:ascii="Times New Roman" w:cs="Times New Roman"/>
              </w:rPr>
            </w:pPr>
            <w:r>
              <w:rPr>
                <w:rFonts w:ascii="Times New Roman" w:cs="Times New Roman"/>
                <w:kern w:val="2"/>
                <w:sz w:val="21"/>
              </w:rPr>
              <w:t>技术政策要求</w:t>
            </w:r>
          </w:p>
        </w:tc>
        <w:tc>
          <w:tcPr>
            <w:tcW w:w="2262" w:type="dxa"/>
            <w:tcBorders>
              <w:tl2br w:val="nil"/>
              <w:tr2bl w:val="nil"/>
            </w:tcBorders>
            <w:shd w:val="clear" w:color="auto" w:fill="auto"/>
            <w:vAlign w:val="center"/>
          </w:tcPr>
          <w:p>
            <w:pPr>
              <w:spacing w:line="240" w:lineRule="auto"/>
              <w:ind w:firstLine="0" w:firstLineChars="0"/>
              <w:jc w:val="center"/>
              <w:rPr>
                <w:rFonts w:ascii="Times New Roman" w:cs="Times New Roman"/>
              </w:rPr>
            </w:pPr>
            <w:r>
              <w:rPr>
                <w:rFonts w:ascii="Times New Roman" w:cs="Times New Roman"/>
                <w:kern w:val="2"/>
                <w:sz w:val="21"/>
              </w:rPr>
              <w:t>本项目内容</w:t>
            </w:r>
          </w:p>
        </w:tc>
        <w:tc>
          <w:tcPr>
            <w:tcW w:w="709" w:type="dxa"/>
            <w:tcBorders>
              <w:tl2br w:val="nil"/>
              <w:tr2bl w:val="nil"/>
            </w:tcBorders>
            <w:shd w:val="clear" w:color="auto" w:fill="auto"/>
            <w:vAlign w:val="center"/>
          </w:tcPr>
          <w:p>
            <w:pPr>
              <w:spacing w:line="240" w:lineRule="auto"/>
              <w:ind w:right="-240" w:rightChars="-100" w:firstLine="0" w:firstLineChars="0"/>
              <w:jc w:val="center"/>
              <w:rPr>
                <w:rFonts w:ascii="Times New Roman" w:cs="Times New Roman"/>
              </w:rPr>
            </w:pPr>
            <w:r>
              <w:rPr>
                <w:rFonts w:ascii="Times New Roman" w:cs="Times New Roman"/>
                <w:kern w:val="2"/>
                <w:sz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tcBorders>
              <w:tl2br w:val="nil"/>
              <w:tr2bl w:val="nil"/>
            </w:tcBorders>
            <w:shd w:val="clear" w:color="auto" w:fill="auto"/>
            <w:vAlign w:val="center"/>
          </w:tcPr>
          <w:p>
            <w:pPr>
              <w:spacing w:line="240" w:lineRule="auto"/>
              <w:ind w:firstLine="0" w:firstLineChars="0"/>
              <w:jc w:val="center"/>
              <w:rPr>
                <w:rFonts w:ascii="Times New Roman" w:cs="Times New Roman"/>
              </w:rPr>
            </w:pPr>
            <w:r>
              <w:rPr>
                <w:rFonts w:ascii="Times New Roman" w:cs="Times New Roman"/>
                <w:kern w:val="2"/>
                <w:sz w:val="21"/>
              </w:rPr>
              <w:t>一</w:t>
            </w:r>
          </w:p>
        </w:tc>
        <w:tc>
          <w:tcPr>
            <w:tcW w:w="6089" w:type="dxa"/>
            <w:gridSpan w:val="3"/>
            <w:tcBorders>
              <w:tl2br w:val="nil"/>
              <w:tr2bl w:val="nil"/>
            </w:tcBorders>
            <w:shd w:val="clear" w:color="auto" w:fill="auto"/>
            <w:vAlign w:val="center"/>
          </w:tcPr>
          <w:p>
            <w:pPr>
              <w:spacing w:line="240" w:lineRule="auto"/>
              <w:ind w:firstLine="0" w:firstLineChars="0"/>
              <w:jc w:val="center"/>
              <w:rPr>
                <w:rFonts w:ascii="Times New Roman" w:cs="Times New Roman"/>
              </w:rPr>
            </w:pPr>
            <w:r>
              <w:rPr>
                <w:rFonts w:ascii="Times New Roman" w:cs="Times New Roman"/>
                <w:bCs/>
                <w:kern w:val="2"/>
                <w:sz w:val="21"/>
              </w:rPr>
              <w:t>清洁生产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kern w:val="2"/>
              </w:rPr>
            </w:pPr>
            <w:r>
              <w:rPr>
                <w:rFonts w:ascii="Times New Roman" w:cs="Times New Roman"/>
                <w:sz w:val="21"/>
              </w:rPr>
              <w:t>1</w:t>
            </w:r>
          </w:p>
        </w:tc>
        <w:tc>
          <w:tcPr>
            <w:tcW w:w="3118"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rPr>
            </w:pPr>
            <w:r>
              <w:rPr>
                <w:rFonts w:ascii="Times New Roman" w:cs="Times New Roman"/>
                <w:sz w:val="21"/>
              </w:rPr>
              <w:t>油气田建设应总体规划，优化布局，整体开发，减少占地和油气损失，实现油气和废物的集中收集、处理处置。</w:t>
            </w:r>
          </w:p>
        </w:tc>
        <w:tc>
          <w:tcPr>
            <w:tcW w:w="2262" w:type="dxa"/>
            <w:tcBorders>
              <w:tl2br w:val="nil"/>
              <w:tr2bl w:val="nil"/>
            </w:tcBorders>
            <w:shd w:val="clear" w:color="auto" w:fill="auto"/>
            <w:vAlign w:val="center"/>
          </w:tcPr>
          <w:p>
            <w:pPr>
              <w:pStyle w:val="54"/>
              <w:spacing w:after="120"/>
              <w:jc w:val="center"/>
              <w:rPr>
                <w:sz w:val="21"/>
                <w:szCs w:val="21"/>
              </w:rPr>
            </w:pPr>
            <w:r>
              <w:rPr>
                <w:kern w:val="0"/>
                <w:sz w:val="21"/>
                <w:szCs w:val="21"/>
              </w:rPr>
              <w:t>本项目属于气田的勘探和试采，占地较少，废水收集集中处置，废物收集集中处置。</w:t>
            </w:r>
          </w:p>
        </w:tc>
        <w:tc>
          <w:tcPr>
            <w:tcW w:w="709"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kern w:val="2"/>
              </w:rPr>
            </w:pPr>
            <w:r>
              <w:rPr>
                <w:rFonts w:ascii="Times New Roman" w:cs="Times New Roman"/>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rPr>
            </w:pPr>
            <w:r>
              <w:rPr>
                <w:rFonts w:ascii="Times New Roman" w:cs="Times New Roman"/>
                <w:sz w:val="21"/>
              </w:rPr>
              <w:t>2</w:t>
            </w:r>
          </w:p>
        </w:tc>
        <w:tc>
          <w:tcPr>
            <w:tcW w:w="3118"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rPr>
            </w:pPr>
            <w:r>
              <w:rPr>
                <w:rFonts w:ascii="Times New Roman" w:cs="Times New Roman"/>
                <w:sz w:val="21"/>
              </w:rPr>
              <w:t>油气田开发不得使用含有国际公约禁用化学物质的油气田化学剂，逐步淘汰微毒及以上油气田化学剂，鼓励使用无毒油气田化学剂。</w:t>
            </w:r>
          </w:p>
        </w:tc>
        <w:tc>
          <w:tcPr>
            <w:tcW w:w="2262"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kern w:val="2"/>
              </w:rPr>
            </w:pPr>
            <w:r>
              <w:rPr>
                <w:rFonts w:ascii="Times New Roman" w:cs="Times New Roman"/>
                <w:sz w:val="21"/>
              </w:rPr>
              <w:t>本项目无国际公约禁用化学物质，符合要求。</w:t>
            </w:r>
          </w:p>
        </w:tc>
        <w:tc>
          <w:tcPr>
            <w:tcW w:w="709"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kern w:val="2"/>
              </w:rPr>
            </w:pPr>
            <w:r>
              <w:rPr>
                <w:rFonts w:ascii="Times New Roman" w:cs="Times New Roman"/>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kern w:val="2"/>
              </w:rPr>
            </w:pPr>
            <w:r>
              <w:rPr>
                <w:rFonts w:ascii="Times New Roman" w:cs="Times New Roman"/>
                <w:sz w:val="21"/>
              </w:rPr>
              <w:t>3</w:t>
            </w:r>
          </w:p>
        </w:tc>
        <w:tc>
          <w:tcPr>
            <w:tcW w:w="3118"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rPr>
            </w:pPr>
            <w:r>
              <w:rPr>
                <w:rFonts w:ascii="Times New Roman" w:cs="Times New Roman"/>
                <w:sz w:val="21"/>
              </w:rPr>
              <w:t>在油气勘探过程中，宜使用环保型炸药和可控震源，应采取防渗等措施预防燃料泄漏对环境的污染。</w:t>
            </w:r>
          </w:p>
        </w:tc>
        <w:tc>
          <w:tcPr>
            <w:tcW w:w="2262" w:type="dxa"/>
            <w:tcBorders>
              <w:tl2br w:val="nil"/>
              <w:tr2bl w:val="nil"/>
            </w:tcBorders>
            <w:shd w:val="clear" w:color="auto" w:fill="auto"/>
            <w:vAlign w:val="center"/>
          </w:tcPr>
          <w:p>
            <w:pPr>
              <w:pStyle w:val="54"/>
              <w:spacing w:after="120"/>
              <w:jc w:val="center"/>
              <w:rPr>
                <w:sz w:val="21"/>
                <w:szCs w:val="21"/>
              </w:rPr>
            </w:pPr>
            <w:r>
              <w:rPr>
                <w:kern w:val="0"/>
                <w:sz w:val="21"/>
                <w:szCs w:val="21"/>
              </w:rPr>
              <w:t>本项目无需炸药，油罐区设置地面硬化防渗和设置集油池，符合要求。</w:t>
            </w:r>
          </w:p>
        </w:tc>
        <w:tc>
          <w:tcPr>
            <w:tcW w:w="709"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kern w:val="2"/>
              </w:rPr>
            </w:pPr>
            <w:r>
              <w:rPr>
                <w:rFonts w:ascii="Times New Roman" w:cs="Times New Roman"/>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rPr>
            </w:pPr>
            <w:r>
              <w:rPr>
                <w:rFonts w:ascii="Times New Roman" w:cs="Times New Roman"/>
                <w:sz w:val="21"/>
              </w:rPr>
              <w:t>4</w:t>
            </w:r>
          </w:p>
        </w:tc>
        <w:tc>
          <w:tcPr>
            <w:tcW w:w="3118"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kern w:val="2"/>
              </w:rPr>
            </w:pPr>
            <w:r>
              <w:rPr>
                <w:rFonts w:ascii="Times New Roman" w:cs="Times New Roman"/>
                <w:sz w:val="21"/>
              </w:rPr>
              <w:t>在钻井过程中，鼓励采用环境友好的钻井液体系；配备完善的固控设备，钻井液循环率达到95%以上；钻井过程产生的废水应回用。</w:t>
            </w:r>
          </w:p>
        </w:tc>
        <w:tc>
          <w:tcPr>
            <w:tcW w:w="2262"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rPr>
            </w:pPr>
            <w:r>
              <w:rPr>
                <w:rFonts w:ascii="Times New Roman" w:cs="Times New Roman"/>
                <w:sz w:val="21"/>
              </w:rPr>
              <w:t>本项目表层采用</w:t>
            </w:r>
            <w:r>
              <w:rPr>
                <w:rFonts w:hint="eastAsia" w:ascii="Times New Roman" w:cs="Times New Roman"/>
                <w:sz w:val="21"/>
              </w:rPr>
              <w:t>空气</w:t>
            </w:r>
            <w:r>
              <w:rPr>
                <w:rFonts w:ascii="Times New Roman" w:cs="Times New Roman"/>
                <w:sz w:val="21"/>
              </w:rPr>
              <w:t>钻，减小钻井液影响。固控设备完善，钻井液循环率达到95%以上，钻井废水处理回用，符合要求。</w:t>
            </w:r>
          </w:p>
        </w:tc>
        <w:tc>
          <w:tcPr>
            <w:tcW w:w="709"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kern w:val="2"/>
              </w:rPr>
            </w:pPr>
            <w:r>
              <w:rPr>
                <w:rFonts w:ascii="Times New Roman" w:cs="Times New Roman"/>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kern w:val="2"/>
              </w:rPr>
            </w:pPr>
            <w:r>
              <w:rPr>
                <w:rFonts w:ascii="Times New Roman" w:cs="Times New Roman"/>
                <w:sz w:val="21"/>
              </w:rPr>
              <w:t>5</w:t>
            </w:r>
          </w:p>
        </w:tc>
        <w:tc>
          <w:tcPr>
            <w:tcW w:w="3118"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rPr>
            </w:pPr>
            <w:r>
              <w:rPr>
                <w:rFonts w:ascii="Times New Roman" w:cs="Times New Roman"/>
                <w:sz w:val="21"/>
              </w:rPr>
              <w:t>在井下作业过程中，酸化液和压裂液宜集中配制，酸化残液、压裂残液和返排液应回收利用或进行无害化处置，压裂放喷返排入罐率应达到100%。酸化、压裂作业和试油（气）过程应采取防喷、地面管线防刺、防漏、防溢等措施。</w:t>
            </w:r>
          </w:p>
        </w:tc>
        <w:tc>
          <w:tcPr>
            <w:tcW w:w="2262"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kern w:val="2"/>
              </w:rPr>
            </w:pPr>
            <w:r>
              <w:rPr>
                <w:rFonts w:ascii="Times New Roman" w:cs="Times New Roman"/>
                <w:sz w:val="21"/>
              </w:rPr>
              <w:t>本项目酸化残液、压裂残液和返排液全部回收利用或进行无害化处置，压裂放喷返排入罐率为100%，采取了防漏、防溢措施，全部外运处理，符合要求。</w:t>
            </w:r>
          </w:p>
        </w:tc>
        <w:tc>
          <w:tcPr>
            <w:tcW w:w="709"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kern w:val="2"/>
              </w:rPr>
            </w:pPr>
            <w:r>
              <w:rPr>
                <w:rFonts w:ascii="Times New Roman" w:cs="Times New Roman"/>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rPr>
            </w:pPr>
            <w:r>
              <w:rPr>
                <w:rFonts w:ascii="Times New Roman" w:cs="Times New Roman"/>
                <w:sz w:val="21"/>
              </w:rPr>
              <w:t>二</w:t>
            </w:r>
          </w:p>
        </w:tc>
        <w:tc>
          <w:tcPr>
            <w:tcW w:w="6089" w:type="dxa"/>
            <w:gridSpan w:val="3"/>
            <w:tcBorders>
              <w:tl2br w:val="nil"/>
              <w:tr2bl w:val="nil"/>
            </w:tcBorders>
            <w:shd w:val="clear" w:color="auto" w:fill="auto"/>
            <w:vAlign w:val="center"/>
          </w:tcPr>
          <w:p>
            <w:pPr>
              <w:widowControl/>
              <w:spacing w:line="240" w:lineRule="auto"/>
              <w:ind w:firstLine="420"/>
              <w:jc w:val="center"/>
              <w:rPr>
                <w:rFonts w:ascii="Times New Roman" w:cs="Times New Roman"/>
              </w:rPr>
            </w:pPr>
            <w:r>
              <w:rPr>
                <w:rFonts w:ascii="Times New Roman" w:cs="Times New Roman"/>
                <w:bCs/>
                <w:sz w:val="21"/>
              </w:rPr>
              <w:t>生态保护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rPr>
            </w:pPr>
            <w:r>
              <w:rPr>
                <w:rFonts w:ascii="Times New Roman" w:cs="Times New Roman"/>
                <w:sz w:val="21"/>
              </w:rPr>
              <w:t>1</w:t>
            </w:r>
          </w:p>
        </w:tc>
        <w:tc>
          <w:tcPr>
            <w:tcW w:w="3118"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rPr>
            </w:pPr>
            <w:r>
              <w:rPr>
                <w:rFonts w:ascii="Times New Roman" w:cs="Times New Roman"/>
                <w:sz w:val="21"/>
              </w:rPr>
              <w:t>在开发过程中，伴生气应回收利用，减少温室气体排放，不具备回收利用条件的，应充分燃烧，伴生气回收利用率应达到 80%以上；站场放空天然气应充分燃烧。燃烧放空设施应避开鸟类迁徙通道</w:t>
            </w:r>
          </w:p>
        </w:tc>
        <w:tc>
          <w:tcPr>
            <w:tcW w:w="2262"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rPr>
            </w:pPr>
            <w:r>
              <w:rPr>
                <w:rFonts w:ascii="Times New Roman" w:cs="Times New Roman"/>
                <w:sz w:val="21"/>
              </w:rPr>
              <w:t>放喷过程中不具备利用条件，在放喷池进行充分燃烧。放喷池不位于鸟类迁徙通道上。</w:t>
            </w:r>
          </w:p>
        </w:tc>
        <w:tc>
          <w:tcPr>
            <w:tcW w:w="709"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rPr>
            </w:pPr>
            <w:r>
              <w:rPr>
                <w:rFonts w:ascii="Times New Roman" w:cs="Times New Roman"/>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rPr>
            </w:pPr>
            <w:r>
              <w:rPr>
                <w:rFonts w:ascii="Times New Roman" w:cs="Times New Roman"/>
                <w:sz w:val="21"/>
              </w:rPr>
              <w:t>三</w:t>
            </w:r>
          </w:p>
        </w:tc>
        <w:tc>
          <w:tcPr>
            <w:tcW w:w="6089" w:type="dxa"/>
            <w:gridSpan w:val="3"/>
            <w:tcBorders>
              <w:tl2br w:val="nil"/>
              <w:tr2bl w:val="nil"/>
            </w:tcBorders>
            <w:shd w:val="clear" w:color="auto" w:fill="auto"/>
            <w:vAlign w:val="center"/>
          </w:tcPr>
          <w:p>
            <w:pPr>
              <w:widowControl/>
              <w:spacing w:line="240" w:lineRule="auto"/>
              <w:ind w:firstLine="0" w:firstLineChars="0"/>
              <w:jc w:val="center"/>
              <w:rPr>
                <w:rFonts w:ascii="Times New Roman" w:cs="Times New Roman"/>
              </w:rPr>
            </w:pPr>
            <w:r>
              <w:rPr>
                <w:rFonts w:ascii="Times New Roman" w:cs="Times New Roman"/>
                <w:bCs/>
                <w:sz w:val="21"/>
              </w:rPr>
              <w:t>污染治理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rPr>
            </w:pPr>
            <w:r>
              <w:rPr>
                <w:rFonts w:ascii="Times New Roman" w:cs="Times New Roman"/>
                <w:sz w:val="21"/>
              </w:rPr>
              <w:t>1</w:t>
            </w:r>
          </w:p>
        </w:tc>
        <w:tc>
          <w:tcPr>
            <w:tcW w:w="3118"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b/>
                <w:bCs/>
              </w:rPr>
            </w:pPr>
            <w:r>
              <w:rPr>
                <w:rFonts w:ascii="Times New Roman" w:cs="Times New Roman"/>
                <w:sz w:val="21"/>
              </w:rPr>
              <w:t>在钻井和井下作业过程中，鼓励污油、污水进入生产流程循环利用，未进入生产流程的污油、污水应采用固液分离、 废水处理一体化装置等处理后达标外排。在油气开发过程中，未回注的油气田采出水宜采用混凝气浮和生化处理相结合的方式。</w:t>
            </w:r>
          </w:p>
        </w:tc>
        <w:tc>
          <w:tcPr>
            <w:tcW w:w="2262"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b/>
                <w:bCs/>
              </w:rPr>
            </w:pPr>
            <w:r>
              <w:rPr>
                <w:rFonts w:ascii="Times New Roman" w:cs="Times New Roman"/>
                <w:sz w:val="21"/>
              </w:rPr>
              <w:t>本项目钻井废水经预处理后拉运至毛开1井回注站回注。</w:t>
            </w:r>
          </w:p>
        </w:tc>
        <w:tc>
          <w:tcPr>
            <w:tcW w:w="709"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b/>
                <w:bCs/>
              </w:rPr>
            </w:pPr>
            <w:r>
              <w:rPr>
                <w:rFonts w:ascii="Times New Roman" w:cs="Times New Roman"/>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kern w:val="2"/>
              </w:rPr>
            </w:pPr>
            <w:r>
              <w:rPr>
                <w:rFonts w:ascii="Times New Roman" w:cs="Times New Roman"/>
                <w:kern w:val="2"/>
                <w:sz w:val="21"/>
              </w:rPr>
              <w:t>2</w:t>
            </w:r>
          </w:p>
        </w:tc>
        <w:tc>
          <w:tcPr>
            <w:tcW w:w="3118"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kern w:val="2"/>
              </w:rPr>
            </w:pPr>
            <w:r>
              <w:rPr>
                <w:rFonts w:ascii="Times New Roman" w:cs="Times New Roman"/>
                <w:sz w:val="21"/>
              </w:rPr>
              <w:t>固体废物收集、贮存、处理处置设施应按照标准要求采取防渗措施。试油（气）后应立即封闭废弃钻井液贮池。</w:t>
            </w:r>
          </w:p>
        </w:tc>
        <w:tc>
          <w:tcPr>
            <w:tcW w:w="2262"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kern w:val="2"/>
              </w:rPr>
            </w:pPr>
            <w:r>
              <w:rPr>
                <w:rFonts w:ascii="Times New Roman" w:cs="Times New Roman"/>
                <w:sz w:val="21"/>
              </w:rPr>
              <w:t>钻井水基岩屑及泥浆采取资源化利用；</w:t>
            </w:r>
            <w:r>
              <w:rPr>
                <w:rFonts w:ascii="Times New Roman" w:cs="Times New Roman"/>
                <w:bCs/>
                <w:sz w:val="21"/>
              </w:rPr>
              <w:t>油基泥浆及时转运，定期交由资质单位处置</w:t>
            </w:r>
            <w:r>
              <w:rPr>
                <w:rFonts w:ascii="Times New Roman" w:cs="Times New Roman"/>
                <w:sz w:val="21"/>
              </w:rPr>
              <w:t>。完井后对泥浆不落地操作平台、污水池清理后复垦。</w:t>
            </w:r>
          </w:p>
        </w:tc>
        <w:tc>
          <w:tcPr>
            <w:tcW w:w="709"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b/>
                <w:bCs/>
              </w:rPr>
            </w:pPr>
            <w:r>
              <w:rPr>
                <w:rFonts w:ascii="Times New Roman" w:cs="Times New Roman"/>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bCs/>
              </w:rPr>
            </w:pPr>
            <w:r>
              <w:rPr>
                <w:rFonts w:ascii="Times New Roman" w:cs="Times New Roman"/>
                <w:bCs/>
                <w:sz w:val="21"/>
              </w:rPr>
              <w:t>3</w:t>
            </w:r>
          </w:p>
        </w:tc>
        <w:tc>
          <w:tcPr>
            <w:tcW w:w="3118"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bCs/>
              </w:rPr>
            </w:pPr>
            <w:r>
              <w:rPr>
                <w:rFonts w:ascii="Times New Roman" w:cs="Times New Roman"/>
                <w:sz w:val="21"/>
              </w:rPr>
              <w:t>应回收落地原油，以及原油处理、废水处理产生的油泥（砂）等中的油类物质，含油污泥资源化利用率应达到90%以上，残余固体废物应按照《国家危险废物名录》和危险废物鉴别标准识别，根据识别结果资源化利用或无害化处置。</w:t>
            </w:r>
          </w:p>
        </w:tc>
        <w:tc>
          <w:tcPr>
            <w:tcW w:w="2262"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bCs/>
              </w:rPr>
            </w:pPr>
            <w:r>
              <w:rPr>
                <w:rFonts w:ascii="Times New Roman" w:cs="Times New Roman"/>
                <w:sz w:val="21"/>
              </w:rPr>
              <w:t>不涉及原油，本工程在井口及易产生油污的生产设施底部进行防渗处理，收集可能产生的废油，完钻后统一收集交有资质单位处置。</w:t>
            </w:r>
          </w:p>
        </w:tc>
        <w:tc>
          <w:tcPr>
            <w:tcW w:w="709"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bCs/>
              </w:rPr>
            </w:pPr>
            <w:r>
              <w:rPr>
                <w:rFonts w:ascii="Times New Roman" w:cs="Times New Roman"/>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bCs/>
              </w:rPr>
            </w:pPr>
            <w:r>
              <w:rPr>
                <w:rFonts w:ascii="Times New Roman" w:cs="Times New Roman"/>
                <w:bCs/>
                <w:sz w:val="21"/>
              </w:rPr>
              <w:t>4</w:t>
            </w:r>
          </w:p>
        </w:tc>
        <w:tc>
          <w:tcPr>
            <w:tcW w:w="3118"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bCs/>
              </w:rPr>
            </w:pPr>
            <w:r>
              <w:rPr>
                <w:rFonts w:ascii="Times New Roman" w:cs="Times New Roman"/>
                <w:sz w:val="21"/>
              </w:rPr>
              <w:t>对受到油污染的土壤宜采取生物或物化方法进行修复。</w:t>
            </w:r>
          </w:p>
        </w:tc>
        <w:tc>
          <w:tcPr>
            <w:tcW w:w="2262"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bCs/>
              </w:rPr>
            </w:pPr>
            <w:r>
              <w:rPr>
                <w:rFonts w:ascii="Times New Roman" w:cs="Times New Roman"/>
                <w:sz w:val="21"/>
              </w:rPr>
              <w:t>不涉及原油，废油很少，通过采取防渗措施，总体不会造成土壤的油污染。</w:t>
            </w:r>
          </w:p>
        </w:tc>
        <w:tc>
          <w:tcPr>
            <w:tcW w:w="709"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bCs/>
              </w:rPr>
            </w:pPr>
            <w:r>
              <w:rPr>
                <w:rFonts w:ascii="Times New Roman" w:cs="Times New Roman"/>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bCs/>
              </w:rPr>
            </w:pPr>
            <w:r>
              <w:rPr>
                <w:rFonts w:ascii="Times New Roman" w:cs="Times New Roman"/>
                <w:bCs/>
                <w:sz w:val="21"/>
              </w:rPr>
              <w:t>四</w:t>
            </w:r>
          </w:p>
        </w:tc>
        <w:tc>
          <w:tcPr>
            <w:tcW w:w="6089" w:type="dxa"/>
            <w:gridSpan w:val="3"/>
            <w:tcBorders>
              <w:tl2br w:val="nil"/>
              <w:tr2bl w:val="nil"/>
            </w:tcBorders>
            <w:shd w:val="clear" w:color="auto" w:fill="auto"/>
            <w:vAlign w:val="center"/>
          </w:tcPr>
          <w:p>
            <w:pPr>
              <w:widowControl/>
              <w:spacing w:line="240" w:lineRule="auto"/>
              <w:ind w:firstLine="0" w:firstLineChars="0"/>
              <w:jc w:val="center"/>
              <w:rPr>
                <w:rFonts w:ascii="Times New Roman" w:cs="Times New Roman"/>
              </w:rPr>
            </w:pPr>
            <w:r>
              <w:rPr>
                <w:rFonts w:ascii="Times New Roman" w:cs="Times New Roman"/>
                <w:bCs/>
                <w:sz w:val="21"/>
              </w:rPr>
              <w:t>运行风险和环境管理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kern w:val="2"/>
              </w:rPr>
            </w:pPr>
            <w:r>
              <w:rPr>
                <w:rFonts w:ascii="Times New Roman" w:cs="Times New Roman"/>
                <w:kern w:val="2"/>
                <w:sz w:val="21"/>
              </w:rPr>
              <w:t>1</w:t>
            </w:r>
          </w:p>
          <w:p>
            <w:pPr>
              <w:widowControl/>
              <w:spacing w:line="240" w:lineRule="auto"/>
              <w:ind w:firstLine="480"/>
              <w:jc w:val="center"/>
              <w:rPr>
                <w:rFonts w:ascii="Times New Roman" w:cs="Times New Roman"/>
              </w:rPr>
            </w:pPr>
          </w:p>
        </w:tc>
        <w:tc>
          <w:tcPr>
            <w:tcW w:w="3118"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rPr>
            </w:pPr>
            <w:r>
              <w:rPr>
                <w:rFonts w:ascii="Times New Roman" w:cs="Times New Roman"/>
                <w:sz w:val="21"/>
              </w:rPr>
              <w:t>油气田企业应制定环境保护管理规定，建立并运行健康、安全与环境管理体系。</w:t>
            </w:r>
          </w:p>
        </w:tc>
        <w:tc>
          <w:tcPr>
            <w:tcW w:w="2262"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rPr>
            </w:pPr>
            <w:r>
              <w:rPr>
                <w:rFonts w:ascii="Times New Roman" w:cs="Times New Roman"/>
                <w:sz w:val="21"/>
              </w:rPr>
              <w:t>本项目业主制定有完善的环境保护管理规定，并建立运行健康、安全与环境管理体系。</w:t>
            </w:r>
          </w:p>
        </w:tc>
        <w:tc>
          <w:tcPr>
            <w:tcW w:w="709"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rPr>
            </w:pPr>
            <w:r>
              <w:rPr>
                <w:rFonts w:ascii="Times New Roman" w:cs="Times New Roman"/>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rPr>
            </w:pPr>
            <w:r>
              <w:rPr>
                <w:rFonts w:ascii="Times New Roman" w:cs="Times New Roman"/>
                <w:sz w:val="21"/>
              </w:rPr>
              <w:t>2</w:t>
            </w:r>
          </w:p>
        </w:tc>
        <w:tc>
          <w:tcPr>
            <w:tcW w:w="3118"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rPr>
            </w:pPr>
            <w:r>
              <w:rPr>
                <w:rFonts w:ascii="Times New Roman" w:cs="Times New Roman"/>
                <w:sz w:val="21"/>
              </w:rPr>
              <w:t>加强油气田建设、开发过程的环境监督管理。油气田建设过程应开展工程环境监理。</w:t>
            </w:r>
          </w:p>
        </w:tc>
        <w:tc>
          <w:tcPr>
            <w:tcW w:w="2262"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rPr>
            </w:pPr>
            <w:r>
              <w:rPr>
                <w:rFonts w:ascii="Times New Roman" w:cs="Times New Roman"/>
                <w:sz w:val="21"/>
              </w:rPr>
              <w:t>本项目制定有环境监理计划 。</w:t>
            </w:r>
          </w:p>
        </w:tc>
        <w:tc>
          <w:tcPr>
            <w:tcW w:w="709"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rPr>
            </w:pPr>
            <w:r>
              <w:rPr>
                <w:rFonts w:ascii="Times New Roman" w:cs="Times New Roman"/>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rPr>
            </w:pPr>
            <w:r>
              <w:rPr>
                <w:rFonts w:ascii="Times New Roman" w:cs="Times New Roman"/>
                <w:sz w:val="21"/>
              </w:rPr>
              <w:t>3</w:t>
            </w:r>
          </w:p>
        </w:tc>
        <w:tc>
          <w:tcPr>
            <w:tcW w:w="3118"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rPr>
            </w:pPr>
            <w:r>
              <w:rPr>
                <w:rFonts w:ascii="Times New Roman" w:cs="Times New Roman"/>
                <w:sz w:val="21"/>
              </w:rPr>
              <w:t>在开发过程中，企业应加强油气井套管的检测和维护，防止油气泄漏污染地下水。</w:t>
            </w:r>
          </w:p>
        </w:tc>
        <w:tc>
          <w:tcPr>
            <w:tcW w:w="2262"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rPr>
            </w:pPr>
            <w:r>
              <w:rPr>
                <w:rFonts w:ascii="Times New Roman" w:cs="Times New Roman"/>
                <w:sz w:val="21"/>
              </w:rPr>
              <w:t>本项目制定了套管检测和维护计划和制度，防止天然气泄露污染地下水。</w:t>
            </w:r>
          </w:p>
        </w:tc>
        <w:tc>
          <w:tcPr>
            <w:tcW w:w="709"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rPr>
            </w:pPr>
            <w:r>
              <w:rPr>
                <w:rFonts w:ascii="Times New Roman" w:cs="Times New Roman"/>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rPr>
            </w:pPr>
            <w:r>
              <w:rPr>
                <w:rFonts w:ascii="Times New Roman" w:cs="Times New Roman"/>
                <w:sz w:val="21"/>
              </w:rPr>
              <w:t>4</w:t>
            </w:r>
          </w:p>
        </w:tc>
        <w:tc>
          <w:tcPr>
            <w:tcW w:w="3118"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rPr>
            </w:pPr>
            <w:r>
              <w:rPr>
                <w:rFonts w:ascii="Times New Roman" w:cs="Times New Roman"/>
                <w:sz w:val="21"/>
              </w:rPr>
              <w:t>油气田企业应建立环境保护人员培训制度，环境监测人员、统计人员、污染治理设施操作人员应经培训合格后上岗。</w:t>
            </w:r>
          </w:p>
        </w:tc>
        <w:tc>
          <w:tcPr>
            <w:tcW w:w="2262"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rPr>
            </w:pPr>
            <w:r>
              <w:rPr>
                <w:rFonts w:ascii="Times New Roman" w:cs="Times New Roman"/>
                <w:sz w:val="21"/>
              </w:rPr>
              <w:t>本项目业主单位设置有专门的环境管理部门，并制定有完善的环境管理制度和培训制度。</w:t>
            </w:r>
          </w:p>
        </w:tc>
        <w:tc>
          <w:tcPr>
            <w:tcW w:w="709"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rPr>
            </w:pPr>
            <w:r>
              <w:rPr>
                <w:rFonts w:ascii="Times New Roman" w:cs="Times New Roman"/>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rPr>
            </w:pPr>
            <w:r>
              <w:rPr>
                <w:rFonts w:ascii="Times New Roman" w:cs="Times New Roman"/>
                <w:sz w:val="21"/>
              </w:rPr>
              <w:t>5</w:t>
            </w:r>
          </w:p>
        </w:tc>
        <w:tc>
          <w:tcPr>
            <w:tcW w:w="3118"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rPr>
            </w:pPr>
            <w:r>
              <w:rPr>
                <w:rFonts w:ascii="Times New Roman" w:cs="Times New Roman"/>
                <w:sz w:val="21"/>
              </w:rPr>
              <w:t>油气田企业应对开发过程进行环境风险因素识别，制定突发环境事件应急预案并定期进行演练。应开展特征污染物监测工作，采取环境风险防范和应急措施，防止发生由突发性油气泄漏产生的环境事故。</w:t>
            </w:r>
          </w:p>
        </w:tc>
        <w:tc>
          <w:tcPr>
            <w:tcW w:w="2262"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rPr>
            </w:pPr>
            <w:r>
              <w:rPr>
                <w:rFonts w:ascii="Times New Roman" w:cs="Times New Roman"/>
                <w:sz w:val="21"/>
              </w:rPr>
              <w:t>本项目业主对钻井工程设置有突发环境事件应急预案，并定期举行演练。在井场周边设置有事故监测点，实时监测危险因子。</w:t>
            </w:r>
          </w:p>
        </w:tc>
        <w:tc>
          <w:tcPr>
            <w:tcW w:w="709" w:type="dxa"/>
            <w:tcBorders>
              <w:tl2br w:val="nil"/>
              <w:tr2bl w:val="nil"/>
            </w:tcBorders>
            <w:shd w:val="clear" w:color="auto" w:fill="auto"/>
            <w:vAlign w:val="center"/>
          </w:tcPr>
          <w:p>
            <w:pPr>
              <w:widowControl/>
              <w:spacing w:line="240" w:lineRule="auto"/>
              <w:ind w:firstLine="0" w:firstLineChars="0"/>
              <w:jc w:val="center"/>
              <w:rPr>
                <w:rFonts w:ascii="Times New Roman" w:cs="Times New Roman"/>
              </w:rPr>
            </w:pPr>
            <w:r>
              <w:rPr>
                <w:rFonts w:ascii="Times New Roman" w:cs="Times New Roman"/>
                <w:sz w:val="21"/>
              </w:rPr>
              <w:t>符合</w:t>
            </w:r>
          </w:p>
        </w:tc>
      </w:tr>
    </w:tbl>
    <w:p>
      <w:pPr>
        <w:pStyle w:val="114"/>
        <w:ind w:firstLine="480"/>
      </w:pPr>
      <w:r>
        <w:t>经上表分析，项目建设与《石油天然气开采业污染防治技术政策》相符。</w:t>
      </w:r>
    </w:p>
    <w:p>
      <w:pPr>
        <w:keepNext/>
        <w:keepLines/>
        <w:ind w:firstLine="0" w:firstLineChars="0"/>
        <w:outlineLvl w:val="2"/>
        <w:rPr>
          <w:rFonts w:ascii="Times New Roman" w:cs="Times New Roman"/>
          <w:b/>
          <w:szCs w:val="32"/>
        </w:rPr>
      </w:pPr>
      <w:r>
        <w:rPr>
          <w:rFonts w:ascii="Times New Roman" w:cs="Times New Roman"/>
          <w:b/>
          <w:szCs w:val="32"/>
        </w:rPr>
        <w:t>1.8.7 与《关于进一步加强石油天然气行业环境影响评价管理的通知》（环办环评函〔2019〕910号）符合性分析</w:t>
      </w:r>
    </w:p>
    <w:p>
      <w:pPr>
        <w:pStyle w:val="114"/>
        <w:ind w:firstLine="480"/>
      </w:pPr>
      <w:r>
        <w:t>本项目与《关于进一步加强石油天然气行业环境影响评价管理的通知》（环办环评函〔2019〕910号）对比分析详见表1.8-5。</w:t>
      </w:r>
    </w:p>
    <w:p>
      <w:pPr>
        <w:ind w:firstLine="480" w:firstLineChars="0"/>
        <w:jc w:val="center"/>
        <w:rPr>
          <w:rFonts w:ascii="Times New Roman" w:cs="Times New Roman"/>
          <w:b/>
          <w:sz w:val="21"/>
        </w:rPr>
      </w:pPr>
      <w:r>
        <w:rPr>
          <w:rFonts w:ascii="Times New Roman" w:cs="Times New Roman"/>
          <w:b/>
          <w:sz w:val="21"/>
        </w:rPr>
        <w:t>表1.8-5  与关于进一步加强石油天然气行业环境影响评价管理的通知符合性</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73"/>
        <w:gridCol w:w="4127"/>
        <w:gridCol w:w="2488"/>
        <w:gridCol w:w="10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3" w:hRule="atLeast"/>
          <w:tblHeader/>
          <w:jc w:val="center"/>
        </w:trPr>
        <w:tc>
          <w:tcPr>
            <w:tcW w:w="508" w:type="pct"/>
            <w:vAlign w:val="center"/>
          </w:tcPr>
          <w:p>
            <w:pPr>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序号</w:t>
            </w:r>
          </w:p>
        </w:tc>
        <w:tc>
          <w:tcPr>
            <w:tcW w:w="2405" w:type="pct"/>
            <w:vAlign w:val="center"/>
          </w:tcPr>
          <w:p>
            <w:pPr>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技术政策要求</w:t>
            </w:r>
          </w:p>
        </w:tc>
        <w:tc>
          <w:tcPr>
            <w:tcW w:w="1450" w:type="pct"/>
            <w:vAlign w:val="center"/>
          </w:tcPr>
          <w:p>
            <w:pPr>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项目内容</w:t>
            </w:r>
          </w:p>
        </w:tc>
        <w:tc>
          <w:tcPr>
            <w:tcW w:w="635" w:type="pct"/>
            <w:vAlign w:val="center"/>
          </w:tcPr>
          <w:p>
            <w:pPr>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508" w:type="pct"/>
            <w:vAlign w:val="center"/>
          </w:tcPr>
          <w:p>
            <w:pPr>
              <w:pStyle w:val="555"/>
            </w:pPr>
            <w:r>
              <w:t>一</w:t>
            </w:r>
          </w:p>
        </w:tc>
        <w:tc>
          <w:tcPr>
            <w:tcW w:w="4491" w:type="pct"/>
            <w:gridSpan w:val="3"/>
            <w:vAlign w:val="center"/>
          </w:tcPr>
          <w:p>
            <w:pPr>
              <w:pStyle w:val="555"/>
            </w:pPr>
            <w:r>
              <w:t>推进规划环境影响评价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508" w:type="pct"/>
            <w:vAlign w:val="center"/>
          </w:tcPr>
          <w:p>
            <w:pPr>
              <w:pStyle w:val="555"/>
            </w:pPr>
            <w:r>
              <w:t>（2）</w:t>
            </w:r>
          </w:p>
        </w:tc>
        <w:tc>
          <w:tcPr>
            <w:tcW w:w="2405" w:type="pct"/>
            <w:vAlign w:val="center"/>
          </w:tcPr>
          <w:p>
            <w:pPr>
              <w:pStyle w:val="555"/>
            </w:pPr>
            <w:r>
              <w:t>油气企业在编制内部相关油气开发专项规划时，鼓励同步编制规划环境影响报告书。</w:t>
            </w:r>
          </w:p>
        </w:tc>
        <w:tc>
          <w:tcPr>
            <w:tcW w:w="1450" w:type="pct"/>
            <w:vAlign w:val="center"/>
          </w:tcPr>
          <w:p>
            <w:pPr>
              <w:pStyle w:val="555"/>
            </w:pPr>
            <w:r>
              <w:t>未编制相油气开发专项规划环境影响报告书。</w:t>
            </w:r>
          </w:p>
        </w:tc>
        <w:tc>
          <w:tcPr>
            <w:tcW w:w="635" w:type="pct"/>
            <w:vAlign w:val="center"/>
          </w:tcPr>
          <w:p>
            <w:pPr>
              <w:pStyle w:val="555"/>
            </w:pPr>
            <w:r>
              <w:t>非强制性要求，不违背。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508" w:type="pct"/>
            <w:vAlign w:val="center"/>
          </w:tcPr>
          <w:p>
            <w:pPr>
              <w:pStyle w:val="555"/>
            </w:pPr>
            <w:r>
              <w:t>二</w:t>
            </w:r>
          </w:p>
        </w:tc>
        <w:tc>
          <w:tcPr>
            <w:tcW w:w="4491" w:type="pct"/>
            <w:gridSpan w:val="3"/>
            <w:vAlign w:val="center"/>
          </w:tcPr>
          <w:p>
            <w:pPr>
              <w:pStyle w:val="555"/>
            </w:pPr>
            <w:r>
              <w:t>深化项目环评“放管服”改革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508" w:type="pct"/>
            <w:vAlign w:val="center"/>
          </w:tcPr>
          <w:p>
            <w:pPr>
              <w:pStyle w:val="555"/>
            </w:pPr>
            <w:r>
              <w:t>（4）</w:t>
            </w:r>
          </w:p>
        </w:tc>
        <w:tc>
          <w:tcPr>
            <w:tcW w:w="2405" w:type="pct"/>
            <w:vAlign w:val="center"/>
          </w:tcPr>
          <w:p>
            <w:pPr>
              <w:pStyle w:val="555"/>
            </w:pPr>
            <w:r>
              <w:t>油气开采项目（含新开发和滚动开发项目）原则上应当以区块为单位开展环评（以下简称区块环评），一般包括区块内拟建的新井、加密井、调整井、站场、设备、管道和电缆及其更换工程、弃置工程及配套工程等。项目环评应当深入评价项目建设、运营带来的环境影响和环境风险，提出有效的生态环境保护和环境风险防范措施。滚动开发区块产能建设项目环评文件中还应对现有工程环境影响进行回顾性评价，对存在的生态环境问题和环境风险隐患提出有效防治措施。依托其他防治设施的或者委托第三方处置的，应当论证其可行性和有效性。</w:t>
            </w:r>
          </w:p>
        </w:tc>
        <w:tc>
          <w:tcPr>
            <w:tcW w:w="1450" w:type="pct"/>
            <w:vAlign w:val="center"/>
          </w:tcPr>
          <w:p>
            <w:pPr>
              <w:pStyle w:val="555"/>
            </w:pPr>
            <w:r>
              <w:rPr>
                <w:szCs w:val="21"/>
              </w:rPr>
              <w:t>2007年，《中国石化普光气田开发及川气东送管道工程环境影响报告书》经原环保部审批，</w:t>
            </w:r>
            <w:r>
              <w:rPr>
                <w:rFonts w:hint="eastAsia"/>
                <w:szCs w:val="21"/>
              </w:rPr>
              <w:t>2012年完成《中国石化普光气田开发及川气东送管道工程环境影响补充报告书》并经原环保部审批</w:t>
            </w:r>
            <w:r>
              <w:rPr>
                <w:szCs w:val="21"/>
              </w:rPr>
              <w:t>。2018年6月，中原油田普光分公司组织开展了普光气田开发工程环境影响后评价，明确了普光气田普光区块的建设内容和建设进度，后评价报告在生态环境部进行备案，</w:t>
            </w:r>
            <w:r>
              <w:rPr>
                <w:rFonts w:hint="eastAsia"/>
                <w:szCs w:val="21"/>
              </w:rPr>
              <w:t>本项目不属于该普光气田开发工程环境影响后评价内容，且不属于新区块</w:t>
            </w:r>
            <w:r>
              <w:rPr>
                <w:szCs w:val="21"/>
              </w:rPr>
              <w:t>开发和滚动开发项目。本项目为气藏勘探井，目的为勘探地层储气情况。同时普光气田属于高含硫气田，其地质结构较为复杂，且目前对普光区块产能储量仍未探明，暂不具备区块开发条件。并且本次评价提出了有效的生态环境保护和环境风险防范措施。充分论证了施工期和试采期各污染物处置的可行性。</w:t>
            </w:r>
          </w:p>
        </w:tc>
        <w:tc>
          <w:tcPr>
            <w:tcW w:w="635" w:type="pct"/>
            <w:vAlign w:val="center"/>
          </w:tcPr>
          <w:p>
            <w:pPr>
              <w:pStyle w:val="555"/>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508" w:type="pct"/>
            <w:vAlign w:val="center"/>
          </w:tcPr>
          <w:p>
            <w:pPr>
              <w:pStyle w:val="555"/>
            </w:pPr>
            <w:r>
              <w:t>三</w:t>
            </w:r>
          </w:p>
        </w:tc>
        <w:tc>
          <w:tcPr>
            <w:tcW w:w="4491" w:type="pct"/>
            <w:gridSpan w:val="3"/>
            <w:vAlign w:val="center"/>
          </w:tcPr>
          <w:p>
            <w:pPr>
              <w:pStyle w:val="555"/>
            </w:pPr>
            <w:r>
              <w:t>强化生态环境保护措施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508" w:type="pct"/>
            <w:vAlign w:val="center"/>
          </w:tcPr>
          <w:p>
            <w:pPr>
              <w:pStyle w:val="555"/>
            </w:pPr>
            <w:r>
              <w:t>（7）</w:t>
            </w:r>
          </w:p>
        </w:tc>
        <w:tc>
          <w:tcPr>
            <w:tcW w:w="2405" w:type="pct"/>
            <w:vAlign w:val="center"/>
          </w:tcPr>
          <w:p>
            <w:pPr>
              <w:pStyle w:val="555"/>
            </w:pPr>
            <w:r>
              <w:t>涉及向地表水体排放污染物的陆地油气开采项目，应当符合国家和地方污染物排放标准，满足重点污染物排放总量控制要求。</w:t>
            </w:r>
          </w:p>
        </w:tc>
        <w:tc>
          <w:tcPr>
            <w:tcW w:w="1450" w:type="pct"/>
            <w:vAlign w:val="center"/>
          </w:tcPr>
          <w:p>
            <w:pPr>
              <w:pStyle w:val="555"/>
            </w:pPr>
            <w:r>
              <w:t>本项目涉及施工期和试采期废水均回注处理，无废水外排。</w:t>
            </w:r>
          </w:p>
        </w:tc>
        <w:tc>
          <w:tcPr>
            <w:tcW w:w="635" w:type="pct"/>
            <w:vAlign w:val="center"/>
          </w:tcPr>
          <w:p>
            <w:pPr>
              <w:pStyle w:val="555"/>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508" w:type="pct"/>
            <w:vAlign w:val="center"/>
          </w:tcPr>
          <w:p>
            <w:pPr>
              <w:pStyle w:val="555"/>
            </w:pPr>
            <w:r>
              <w:t>（8）</w:t>
            </w:r>
          </w:p>
        </w:tc>
        <w:tc>
          <w:tcPr>
            <w:tcW w:w="2405" w:type="pct"/>
            <w:vAlign w:val="center"/>
          </w:tcPr>
          <w:p>
            <w:pPr>
              <w:pStyle w:val="555"/>
            </w:pPr>
            <w:r>
              <w:t>涉及废水回注的，应当论证回注的环境可行性，采取切实可行的地下水污染防治和监控措施，不得回注与油气开采无关的废水，严禁造成地下水污染。在相关行业污染控制标准发布前，回注的开采废水应当经处理并符合《碎屑岩油藏注水水质推荐指标及分析方法》（SY/T5329）等相关标准要求后回注，同步采取切实可行措施防治污染。回注目的层应当为地质构造封闭地层，一般应当回注到现役油气藏或枯竭废弃油气藏。</w:t>
            </w:r>
          </w:p>
        </w:tc>
        <w:tc>
          <w:tcPr>
            <w:tcW w:w="1450" w:type="pct"/>
            <w:vAlign w:val="center"/>
          </w:tcPr>
          <w:p>
            <w:pPr>
              <w:pStyle w:val="555"/>
            </w:pPr>
            <w:r>
              <w:t>本项目属于天然气钻井及试采工程，不涉及天然气开采。</w:t>
            </w:r>
            <w:r>
              <w:rPr>
                <w:spacing w:val="-8"/>
                <w:szCs w:val="21"/>
              </w:rPr>
              <w:t>钻井废水经清洁化操作平台预处理后装车拉运至毛开1井回注站回注</w:t>
            </w:r>
            <w:r>
              <w:t>；</w:t>
            </w:r>
            <w:r>
              <w:rPr>
                <w:spacing w:val="-8"/>
                <w:szCs w:val="21"/>
              </w:rPr>
              <w:t>压裂废水和洗井废水暂存于</w:t>
            </w:r>
            <w:r>
              <w:rPr>
                <w:rFonts w:hint="eastAsia"/>
                <w:spacing w:val="-8"/>
                <w:szCs w:val="21"/>
              </w:rPr>
              <w:t>废水池</w:t>
            </w:r>
            <w:r>
              <w:rPr>
                <w:spacing w:val="-8"/>
                <w:szCs w:val="21"/>
              </w:rPr>
              <w:t>，</w:t>
            </w:r>
            <w:r>
              <w:rPr>
                <w:rFonts w:hint="eastAsia"/>
                <w:spacing w:val="-8"/>
                <w:szCs w:val="21"/>
              </w:rPr>
              <w:t>定期</w:t>
            </w:r>
            <w:r>
              <w:rPr>
                <w:spacing w:val="-8"/>
                <w:szCs w:val="21"/>
              </w:rPr>
              <w:t>装车拉运至大湾403污水站处理达标后管输至毛开1井回注站回注</w:t>
            </w:r>
            <w:r>
              <w:t>。</w:t>
            </w:r>
            <w:r>
              <w:rPr>
                <w:spacing w:val="-8"/>
                <w:szCs w:val="21"/>
              </w:rPr>
              <w:t>大湾403污水站</w:t>
            </w:r>
            <w:r>
              <w:t>和</w:t>
            </w:r>
            <w:r>
              <w:rPr>
                <w:spacing w:val="-8"/>
                <w:szCs w:val="21"/>
              </w:rPr>
              <w:t>毛开1井回注站</w:t>
            </w:r>
            <w:r>
              <w:t>已取得环评批复，并已开展竣工环保验收。</w:t>
            </w:r>
          </w:p>
        </w:tc>
        <w:tc>
          <w:tcPr>
            <w:tcW w:w="635" w:type="pct"/>
            <w:vAlign w:val="center"/>
          </w:tcPr>
          <w:p>
            <w:pPr>
              <w:pStyle w:val="555"/>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508" w:type="pct"/>
            <w:vAlign w:val="center"/>
          </w:tcPr>
          <w:p>
            <w:pPr>
              <w:pStyle w:val="555"/>
            </w:pPr>
            <w:r>
              <w:t>（9）</w:t>
            </w:r>
          </w:p>
        </w:tc>
        <w:tc>
          <w:tcPr>
            <w:tcW w:w="2405" w:type="pct"/>
            <w:vAlign w:val="center"/>
          </w:tcPr>
          <w:p>
            <w:pPr>
              <w:pStyle w:val="555"/>
            </w:pPr>
            <w:r>
              <w:t>油气开采产生的废弃油基泥浆、含油钻屑及其他固体废物，应当遵循减量化、资源化、无害化原则，按照国家和地方有关固体废物的管理规定进行处置。鼓励企业自建含油污泥集中式处理和综合利用设施，提高废弃油基泥浆和含油钻屑及其处理产物的综合利用率。油气开采项目产生的危险废物，应当按照《建设项目危险废物环境影响评价指南》要求评价。</w:t>
            </w:r>
          </w:p>
        </w:tc>
        <w:tc>
          <w:tcPr>
            <w:tcW w:w="1450" w:type="pct"/>
            <w:vAlign w:val="center"/>
          </w:tcPr>
          <w:p>
            <w:pPr>
              <w:pStyle w:val="555"/>
            </w:pPr>
            <w:r>
              <w:rPr>
                <w:szCs w:val="21"/>
              </w:rPr>
              <w:t>一~三开井段均采用水基钻井液：采用清洁化操作平台，并采取泥浆不落地措施，空气钻岩屑及时拉运填埋处理，项目产生的废弃泥浆与常规钻产生的废岩屑采用清洁化操作平台，并采取泥浆不落地措施，按照相关要求进行资源化利用；三开井段采用白油基钻井液：采用清洁化操作平台，并采取泥浆不落地措施，水基岩屑、水基泥浆按照相关要求进行资源化利用，废油基岩屑、废油基泥浆袋装后暂存于危废暂存间，面积约</w:t>
            </w:r>
            <w:r>
              <w:rPr>
                <w:rFonts w:hint="eastAsia"/>
                <w:szCs w:val="21"/>
              </w:rPr>
              <w:t>2</w:t>
            </w:r>
            <w:r>
              <w:rPr>
                <w:szCs w:val="21"/>
              </w:rPr>
              <w:t>5m</w:t>
            </w:r>
            <w:r>
              <w:rPr>
                <w:szCs w:val="21"/>
                <w:vertAlign w:val="superscript"/>
              </w:rPr>
              <w:t>2</w:t>
            </w:r>
            <w:r>
              <w:rPr>
                <w:szCs w:val="21"/>
              </w:rPr>
              <w:t>，暂存间地面采取必要的防护措施（防风、防雨、防晒、防渗、防漏、防腐）及其他环境污染防护措施，委托有资质单位处理。完井</w:t>
            </w:r>
            <w:r>
              <w:t>后对临时占地进行复垦。</w:t>
            </w:r>
          </w:p>
        </w:tc>
        <w:tc>
          <w:tcPr>
            <w:tcW w:w="635" w:type="pct"/>
            <w:vAlign w:val="center"/>
          </w:tcPr>
          <w:p>
            <w:pPr>
              <w:pStyle w:val="555"/>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508" w:type="pct"/>
            <w:vAlign w:val="center"/>
          </w:tcPr>
          <w:p>
            <w:pPr>
              <w:pStyle w:val="555"/>
            </w:pPr>
            <w:r>
              <w:t>（10）</w:t>
            </w:r>
          </w:p>
        </w:tc>
        <w:tc>
          <w:tcPr>
            <w:tcW w:w="2405" w:type="pct"/>
            <w:vAlign w:val="center"/>
          </w:tcPr>
          <w:p>
            <w:pPr>
              <w:pStyle w:val="555"/>
            </w:pPr>
            <w:r>
              <w:t>陆地油气开采项目的建设单位应当对挥发性有机物液体储存和装载损失、废水液面逸散、设备与管线组件泄漏、非正常工况等挥发性有机物无组织排放源进行有效管控，通过采取设备密闭、废气有效收集及配套高效末端处理设施等措施，有效控制挥发性有机物和恶臭气体无组织排放。涉及高含硫天然气开采的，应当强化钻井、输送、净化等环节环境风险防范措施。含硫气田回注采出水，应当采取有效措施减少废水处理站和回注井场硫化氢的无组织排放。高含硫天然气净化厂应当采用先进高效硫磺回收工艺，减少二氧化硫排放。井场加热炉、锅炉、压缩机等排放大气污染物的设备，应当优先使用清洁燃料，废气排放应当满足国家和地方大气污染物排放标准要求。</w:t>
            </w:r>
          </w:p>
        </w:tc>
        <w:tc>
          <w:tcPr>
            <w:tcW w:w="1450" w:type="pct"/>
            <w:vAlign w:val="center"/>
          </w:tcPr>
          <w:p>
            <w:pPr>
              <w:pStyle w:val="555"/>
            </w:pPr>
            <w:r>
              <w:t>本项目设计钻井液体系时，充分考虑防H</w:t>
            </w:r>
            <w:r>
              <w:rPr>
                <w:vertAlign w:val="subscript"/>
              </w:rPr>
              <w:t>2</w:t>
            </w:r>
            <w:r>
              <w:t>S措施，同时加强钻井期间钻井、试采等环节环境风险防范措施。</w:t>
            </w:r>
          </w:p>
        </w:tc>
        <w:tc>
          <w:tcPr>
            <w:tcW w:w="635" w:type="pct"/>
            <w:vAlign w:val="center"/>
          </w:tcPr>
          <w:p>
            <w:pPr>
              <w:pStyle w:val="555"/>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37" w:hRule="atLeast"/>
          <w:jc w:val="center"/>
        </w:trPr>
        <w:tc>
          <w:tcPr>
            <w:tcW w:w="508" w:type="pct"/>
            <w:vAlign w:val="center"/>
          </w:tcPr>
          <w:p>
            <w:pPr>
              <w:pStyle w:val="555"/>
            </w:pPr>
            <w:r>
              <w:t>（11）</w:t>
            </w:r>
          </w:p>
        </w:tc>
        <w:tc>
          <w:tcPr>
            <w:tcW w:w="2405" w:type="pct"/>
            <w:vAlign w:val="center"/>
          </w:tcPr>
          <w:p>
            <w:pPr>
              <w:pStyle w:val="555"/>
            </w:pPr>
            <w:r>
              <w:t>施工期应当尽量减少施工占地、缩短施工时间、选择合理施工方式、落实环境敏感区管控要求以及其他生态环境保护措施，降低生态环境影响。钻井和压裂设备应当优先使用网电、高标准清洁燃油，减少废气排放。选用低噪声设备，避免噪声扰民。施工结束后，应当及时落实环评提出的生态保护措施。</w:t>
            </w:r>
          </w:p>
        </w:tc>
        <w:tc>
          <w:tcPr>
            <w:tcW w:w="1450" w:type="pct"/>
            <w:vAlign w:val="center"/>
          </w:tcPr>
          <w:p>
            <w:pPr>
              <w:pStyle w:val="555"/>
            </w:pPr>
            <w:r>
              <w:t>本项目钻井和压裂设备使用网电、备用柴油发电机，减少废气排放。选用低噪声设备，避免噪声扰民。施工结束后，及时落实环评提出的生态保护措施。</w:t>
            </w:r>
          </w:p>
        </w:tc>
        <w:tc>
          <w:tcPr>
            <w:tcW w:w="635" w:type="pct"/>
            <w:vAlign w:val="center"/>
          </w:tcPr>
          <w:p>
            <w:pPr>
              <w:pStyle w:val="555"/>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508" w:type="pct"/>
            <w:vAlign w:val="center"/>
          </w:tcPr>
          <w:p>
            <w:pPr>
              <w:pStyle w:val="555"/>
            </w:pPr>
            <w:r>
              <w:t>（12）</w:t>
            </w:r>
          </w:p>
        </w:tc>
        <w:tc>
          <w:tcPr>
            <w:tcW w:w="2405" w:type="pct"/>
            <w:vAlign w:val="center"/>
          </w:tcPr>
          <w:p>
            <w:pPr>
              <w:pStyle w:val="555"/>
            </w:pPr>
            <w:r>
              <w:t>陆地油气长输管道项目，原则上应当单独编制环评文件。</w:t>
            </w:r>
          </w:p>
        </w:tc>
        <w:tc>
          <w:tcPr>
            <w:tcW w:w="1450" w:type="pct"/>
            <w:vAlign w:val="center"/>
          </w:tcPr>
          <w:p>
            <w:pPr>
              <w:pStyle w:val="555"/>
            </w:pPr>
            <w:r>
              <w:t>本项目属于天然气钻井及试采工程，本项目暂不涉及油气长输管道。</w:t>
            </w:r>
          </w:p>
        </w:tc>
        <w:tc>
          <w:tcPr>
            <w:tcW w:w="635" w:type="pct"/>
            <w:vAlign w:val="center"/>
          </w:tcPr>
          <w:p>
            <w:pPr>
              <w:pStyle w:val="555"/>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508" w:type="pct"/>
            <w:vAlign w:val="center"/>
          </w:tcPr>
          <w:p>
            <w:pPr>
              <w:pStyle w:val="555"/>
            </w:pPr>
            <w:r>
              <w:t>（13）</w:t>
            </w:r>
          </w:p>
        </w:tc>
        <w:tc>
          <w:tcPr>
            <w:tcW w:w="2405" w:type="pct"/>
            <w:vAlign w:val="center"/>
          </w:tcPr>
          <w:p>
            <w:pPr>
              <w:pStyle w:val="555"/>
            </w:pPr>
            <w:r>
              <w:t>油气储存项目，选址尽量远离环境敏感区。加强甲烷及挥发性有机物的泄漏检测，落实地下水污染防治和跟踪监测要求，采取有效措施做好环境风险防范与环境应急管理；盐穴储气库项目还应当严格落实采卤造腔期和管道施工期的生态环境保护措施，妥善处理采出水。</w:t>
            </w:r>
          </w:p>
        </w:tc>
        <w:tc>
          <w:tcPr>
            <w:tcW w:w="1450" w:type="pct"/>
            <w:vAlign w:val="center"/>
          </w:tcPr>
          <w:p>
            <w:pPr>
              <w:pStyle w:val="555"/>
            </w:pPr>
            <w:r>
              <w:t>本项目属于天然气钻井及试采工程，不属于油气储存项目。</w:t>
            </w:r>
          </w:p>
        </w:tc>
        <w:tc>
          <w:tcPr>
            <w:tcW w:w="635" w:type="pct"/>
            <w:vAlign w:val="center"/>
          </w:tcPr>
          <w:p>
            <w:pPr>
              <w:pStyle w:val="555"/>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3" w:hRule="atLeast"/>
          <w:jc w:val="center"/>
        </w:trPr>
        <w:tc>
          <w:tcPr>
            <w:tcW w:w="508" w:type="pct"/>
            <w:vAlign w:val="center"/>
          </w:tcPr>
          <w:p>
            <w:pPr>
              <w:pStyle w:val="555"/>
            </w:pPr>
            <w:r>
              <w:t>（14）</w:t>
            </w:r>
          </w:p>
        </w:tc>
        <w:tc>
          <w:tcPr>
            <w:tcW w:w="2405" w:type="pct"/>
            <w:vAlign w:val="center"/>
          </w:tcPr>
          <w:p>
            <w:pPr>
              <w:pStyle w:val="555"/>
            </w:pPr>
            <w:r>
              <w:t>油气企业应当加强风险防控，按规定编制突发环境事件应急预案，报所在地生态环境主管部门备案。海洋油气勘探开发溢油应急计划报相关海域生态环境监督管理局备案。</w:t>
            </w:r>
          </w:p>
        </w:tc>
        <w:tc>
          <w:tcPr>
            <w:tcW w:w="1450" w:type="pct"/>
            <w:vAlign w:val="center"/>
          </w:tcPr>
          <w:p>
            <w:pPr>
              <w:pStyle w:val="555"/>
            </w:pPr>
            <w:r>
              <w:t>建设单位严格按照相关要求编制突发环境事件应急预案，并报所在地生态环境主管部门备案。</w:t>
            </w:r>
          </w:p>
        </w:tc>
        <w:tc>
          <w:tcPr>
            <w:tcW w:w="635" w:type="pct"/>
            <w:vAlign w:val="center"/>
          </w:tcPr>
          <w:p>
            <w:pPr>
              <w:pStyle w:val="555"/>
            </w:pPr>
            <w:r>
              <w:t>符合</w:t>
            </w:r>
          </w:p>
        </w:tc>
      </w:tr>
    </w:tbl>
    <w:p>
      <w:pPr>
        <w:pStyle w:val="114"/>
        <w:ind w:firstLine="480"/>
      </w:pPr>
      <w:r>
        <w:t>因此，本项目符合《关于进一步加强石油天然气行业环境影响评价管理的通知》（环办环评函〔2019〕910号）要求。</w:t>
      </w:r>
    </w:p>
    <w:p>
      <w:pPr>
        <w:keepNext/>
        <w:keepLines/>
        <w:ind w:firstLine="0" w:firstLineChars="0"/>
        <w:outlineLvl w:val="2"/>
        <w:rPr>
          <w:rFonts w:ascii="Times New Roman" w:cs="Times New Roman"/>
          <w:b/>
          <w:szCs w:val="32"/>
        </w:rPr>
      </w:pPr>
      <w:r>
        <w:rPr>
          <w:rFonts w:ascii="Times New Roman" w:cs="Times New Roman"/>
          <w:b/>
          <w:szCs w:val="32"/>
        </w:rPr>
        <w:t>1.8.8 用地政策的符合性分析</w:t>
      </w:r>
    </w:p>
    <w:p>
      <w:pPr>
        <w:widowControl/>
        <w:topLinePunct w:val="0"/>
        <w:adjustRightInd/>
        <w:ind w:firstLine="480"/>
        <w:rPr>
          <w:rFonts w:ascii="Times New Roman" w:cs="Times New Roman"/>
          <w:kern w:val="2"/>
          <w:szCs w:val="20"/>
        </w:rPr>
      </w:pPr>
      <w:r>
        <w:rPr>
          <w:rFonts w:ascii="Times New Roman" w:cs="Times New Roman"/>
          <w:kern w:val="2"/>
          <w:szCs w:val="20"/>
        </w:rPr>
        <w:t>本项目新增临时占地约</w:t>
      </w:r>
      <w:r>
        <w:rPr>
          <w:rFonts w:hint="eastAsia" w:ascii="Times New Roman" w:cs="Times New Roman"/>
          <w:kern w:val="2"/>
          <w:szCs w:val="20"/>
        </w:rPr>
        <w:t>9568m</w:t>
      </w:r>
      <w:r>
        <w:rPr>
          <w:rFonts w:hint="eastAsia" w:ascii="Times New Roman" w:cs="Times New Roman"/>
          <w:kern w:val="2"/>
          <w:szCs w:val="20"/>
          <w:vertAlign w:val="superscript"/>
        </w:rPr>
        <w:t>2</w:t>
      </w:r>
      <w:r>
        <w:rPr>
          <w:rFonts w:hint="eastAsia" w:ascii="Times New Roman" w:cs="Times New Roman"/>
          <w:kern w:val="2"/>
          <w:szCs w:val="20"/>
        </w:rPr>
        <w:t>，经与达州市三区三线核实，新增临时占地区域不涉及基本农田</w:t>
      </w:r>
      <w:r>
        <w:rPr>
          <w:rFonts w:ascii="Times New Roman" w:cs="Times New Roman"/>
          <w:kern w:val="2"/>
          <w:szCs w:val="20"/>
        </w:rPr>
        <w:t>，钻井设备安装主要利用P108集气站已建井场</w:t>
      </w:r>
      <w:r>
        <w:rPr>
          <w:rFonts w:hint="eastAsia" w:ascii="Times New Roman" w:cs="Times New Roman"/>
          <w:kern w:val="2"/>
          <w:szCs w:val="20"/>
        </w:rPr>
        <w:t>及扩建区域</w:t>
      </w:r>
      <w:r>
        <w:rPr>
          <w:rFonts w:ascii="Times New Roman" w:cs="Times New Roman"/>
          <w:kern w:val="2"/>
          <w:szCs w:val="20"/>
        </w:rPr>
        <w:t>内建设，环评单位要求建设单位按照自然资规〔2021〕2号、川自然资规〔2022〕3号文件要求办理临时用地手续。</w:t>
      </w:r>
    </w:p>
    <w:p>
      <w:pPr>
        <w:pStyle w:val="114"/>
        <w:ind w:firstLine="480"/>
        <w:rPr>
          <w:kern w:val="2"/>
        </w:rPr>
      </w:pPr>
      <w:r>
        <w:rPr>
          <w:kern w:val="2"/>
        </w:rPr>
        <w:t>本项目与《自然资源部关于规范临时用地管理的通知》（自然资规〔2021〕2号）、《四川省自然资源厅关于进一步明确临时用地管理有关事项的通知》（川自然资规〔2022〕3号）的符合性见下表：</w:t>
      </w:r>
    </w:p>
    <w:p>
      <w:pPr>
        <w:widowControl/>
        <w:topLinePunct w:val="0"/>
        <w:adjustRightInd/>
        <w:ind w:firstLine="0" w:firstLineChars="0"/>
        <w:jc w:val="center"/>
        <w:rPr>
          <w:rFonts w:ascii="Times New Roman" w:cs="Times New Roman"/>
          <w:b/>
          <w:bCs/>
          <w:sz w:val="21"/>
          <w:szCs w:val="28"/>
        </w:rPr>
      </w:pPr>
      <w:r>
        <w:rPr>
          <w:rFonts w:ascii="Times New Roman" w:cs="Times New Roman"/>
          <w:b/>
          <w:bCs/>
          <w:sz w:val="21"/>
          <w:szCs w:val="28"/>
        </w:rPr>
        <w:t>表1.8-6  与《自然资源部关于规范临时用地管理的通知》和《四川省自然资源厅关于进一步明确临时用地管理有关事项的通知》的符合性分析</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89"/>
        <w:gridCol w:w="4464"/>
        <w:gridCol w:w="2646"/>
        <w:gridCol w:w="8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1" w:hRule="atLeast"/>
          <w:tblHeader/>
          <w:jc w:val="center"/>
        </w:trPr>
        <w:tc>
          <w:tcPr>
            <w:tcW w:w="343" w:type="pct"/>
            <w:vAlign w:val="center"/>
          </w:tcPr>
          <w:p>
            <w:pPr>
              <w:widowControl/>
              <w:topLinePunct w:val="0"/>
              <w:adjustRightInd/>
              <w:spacing w:line="240" w:lineRule="auto"/>
              <w:ind w:firstLine="0" w:firstLineChars="0"/>
              <w:jc w:val="center"/>
              <w:rPr>
                <w:rFonts w:ascii="Times New Roman" w:cs="Times New Roman"/>
                <w:b/>
                <w:bCs/>
                <w:kern w:val="2"/>
                <w:sz w:val="21"/>
                <w:szCs w:val="21"/>
                <w:lang w:eastAsia="en-US"/>
              </w:rPr>
            </w:pPr>
            <w:r>
              <w:rPr>
                <w:rFonts w:ascii="Times New Roman" w:cs="Times New Roman"/>
                <w:b/>
                <w:bCs/>
                <w:kern w:val="2"/>
                <w:sz w:val="21"/>
                <w:szCs w:val="21"/>
              </w:rPr>
              <w:t>序号</w:t>
            </w:r>
          </w:p>
        </w:tc>
        <w:tc>
          <w:tcPr>
            <w:tcW w:w="2601" w:type="pct"/>
            <w:vAlign w:val="center"/>
          </w:tcPr>
          <w:p>
            <w:pPr>
              <w:widowControl/>
              <w:topLinePunct w:val="0"/>
              <w:adjustRightInd/>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自然资源部关于规范临时用地管理的通知要求</w:t>
            </w:r>
          </w:p>
        </w:tc>
        <w:tc>
          <w:tcPr>
            <w:tcW w:w="1542" w:type="pct"/>
            <w:vAlign w:val="center"/>
          </w:tcPr>
          <w:p>
            <w:pPr>
              <w:widowControl/>
              <w:topLinePunct w:val="0"/>
              <w:adjustRightInd/>
              <w:spacing w:line="240" w:lineRule="auto"/>
              <w:ind w:firstLine="0" w:firstLineChars="0"/>
              <w:jc w:val="center"/>
              <w:rPr>
                <w:rFonts w:ascii="Times New Roman" w:cs="Times New Roman"/>
                <w:b/>
                <w:bCs/>
                <w:kern w:val="2"/>
                <w:sz w:val="21"/>
                <w:szCs w:val="21"/>
                <w:lang w:eastAsia="en-US"/>
              </w:rPr>
            </w:pPr>
            <w:r>
              <w:rPr>
                <w:rFonts w:ascii="Times New Roman" w:cs="Times New Roman"/>
                <w:b/>
                <w:bCs/>
                <w:kern w:val="2"/>
                <w:sz w:val="21"/>
                <w:szCs w:val="21"/>
                <w:lang w:eastAsia="en-US"/>
              </w:rPr>
              <w:t>本项目</w:t>
            </w:r>
          </w:p>
        </w:tc>
        <w:tc>
          <w:tcPr>
            <w:tcW w:w="513" w:type="pct"/>
            <w:vAlign w:val="center"/>
          </w:tcPr>
          <w:p>
            <w:pPr>
              <w:widowControl/>
              <w:topLinePunct w:val="0"/>
              <w:adjustRightInd/>
              <w:spacing w:line="240" w:lineRule="auto"/>
              <w:ind w:firstLine="0" w:firstLineChars="0"/>
              <w:jc w:val="center"/>
              <w:rPr>
                <w:rFonts w:ascii="Times New Roman" w:cs="Times New Roman"/>
                <w:b/>
                <w:bCs/>
                <w:kern w:val="2"/>
                <w:sz w:val="21"/>
                <w:szCs w:val="21"/>
                <w:lang w:eastAsia="en-US"/>
              </w:rPr>
            </w:pPr>
            <w:r>
              <w:rPr>
                <w:rFonts w:ascii="Times New Roman" w:cs="Times New Roman"/>
                <w:b/>
                <w:bCs/>
                <w:kern w:val="2"/>
                <w:sz w:val="21"/>
                <w:szCs w:val="21"/>
                <w:lang w:eastAsia="en-US"/>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1" w:hRule="atLeast"/>
          <w:jc w:val="center"/>
        </w:trPr>
        <w:tc>
          <w:tcPr>
            <w:tcW w:w="343" w:type="pct"/>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2601" w:type="pct"/>
            <w:vAlign w:val="center"/>
          </w:tcPr>
          <w:p>
            <w:pPr>
              <w:widowControl/>
              <w:topLinePunct w:val="0"/>
              <w:autoSpaceDE w:val="0"/>
              <w:autoSpaceDN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临时用地的范围包括：（二）矿产资源勘查、工程地质勘查、水文地质勘查等，在勘查期间临时生活用房、临时工棚、勘查作业及其辅助工程、施工便道、运输便道等使用的土地，包括油气资源勘查中钻井井场、配套管线、电力设施、进场道路等钻井及配套设施使用的土地。（三）符合法律、法规规定的其他需要临时使用的土地。</w:t>
            </w:r>
          </w:p>
        </w:tc>
        <w:tc>
          <w:tcPr>
            <w:tcW w:w="1542" w:type="pct"/>
            <w:vAlign w:val="center"/>
          </w:tcPr>
          <w:p>
            <w:pPr>
              <w:widowControl/>
              <w:topLinePunct w:val="0"/>
              <w:autoSpaceDE w:val="0"/>
              <w:autoSpaceDN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本项目既有井场、进场道路、清废水池、放喷池等原已取得临时用地手续；本项目新增占地属于临时用地。</w:t>
            </w:r>
          </w:p>
        </w:tc>
        <w:tc>
          <w:tcPr>
            <w:tcW w:w="513" w:type="pct"/>
            <w:vAlign w:val="center"/>
          </w:tcPr>
          <w:p>
            <w:pPr>
              <w:widowControl/>
              <w:topLinePunct w:val="0"/>
              <w:autoSpaceDE w:val="0"/>
              <w:autoSpaceDN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1" w:hRule="atLeast"/>
          <w:jc w:val="center"/>
        </w:trPr>
        <w:tc>
          <w:tcPr>
            <w:tcW w:w="343" w:type="pct"/>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2601" w:type="pct"/>
            <w:vAlign w:val="center"/>
          </w:tcPr>
          <w:p>
            <w:pPr>
              <w:widowControl/>
              <w:topLinePunct w:val="0"/>
              <w:autoSpaceDE w:val="0"/>
              <w:autoSpaceDN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建设项目施工、地质勘查使用临时用地时应坚持“用多少、批多少、占多少、恢复多少”，尽量不占或者少占耕地。临时用地使用期限一般不超过两年。建设周期较长的能源、交通、水利等基础设施建设项目施工使用的临时用地，期限不超过四年。</w:t>
            </w:r>
          </w:p>
        </w:tc>
        <w:tc>
          <w:tcPr>
            <w:tcW w:w="1542" w:type="pct"/>
            <w:vAlign w:val="center"/>
          </w:tcPr>
          <w:p>
            <w:pPr>
              <w:widowControl/>
              <w:topLinePunct w:val="0"/>
              <w:autoSpaceDE w:val="0"/>
              <w:autoSpaceDN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本项目新增占地属于临时用地，建设单位将依法办理相关用地手续。</w:t>
            </w:r>
          </w:p>
        </w:tc>
        <w:tc>
          <w:tcPr>
            <w:tcW w:w="513" w:type="pct"/>
            <w:vAlign w:val="center"/>
          </w:tcPr>
          <w:p>
            <w:pPr>
              <w:widowControl/>
              <w:topLinePunct w:val="0"/>
              <w:autoSpaceDE w:val="0"/>
              <w:autoSpaceDN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1" w:hRule="atLeast"/>
          <w:jc w:val="center"/>
        </w:trPr>
        <w:tc>
          <w:tcPr>
            <w:tcW w:w="343" w:type="pct"/>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w:t>
            </w:r>
          </w:p>
        </w:tc>
        <w:tc>
          <w:tcPr>
            <w:tcW w:w="2601" w:type="pct"/>
            <w:vAlign w:val="center"/>
          </w:tcPr>
          <w:p>
            <w:pPr>
              <w:widowControl/>
              <w:topLinePunct w:val="0"/>
              <w:autoSpaceDE w:val="0"/>
              <w:autoSpaceDN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县（市）自然资源主管部门负责临时用地审批，其中涉及占用耕地和永久基本农田的，由市级或者市级以上自然资源主管部门负责审批。油气资源探采合一开发涉及的钻井及配套设施建设用地，可先以临时用地方式批准使用，勘探结束转入生产使用的，办理建设用地审批手续；不转入生产的，油气企业应当完成土地复垦，按期归还。</w:t>
            </w:r>
          </w:p>
        </w:tc>
        <w:tc>
          <w:tcPr>
            <w:tcW w:w="1542" w:type="pct"/>
            <w:vAlign w:val="center"/>
          </w:tcPr>
          <w:p>
            <w:pPr>
              <w:widowControl/>
              <w:topLinePunct w:val="0"/>
              <w:autoSpaceDE w:val="0"/>
              <w:autoSpaceDN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本项目新增用地不涉及基本农田，新增占地除井场占地外，钻井结束后进行复垦。</w:t>
            </w:r>
          </w:p>
        </w:tc>
        <w:tc>
          <w:tcPr>
            <w:tcW w:w="513" w:type="pct"/>
            <w:vAlign w:val="center"/>
          </w:tcPr>
          <w:p>
            <w:pPr>
              <w:widowControl/>
              <w:topLinePunct w:val="0"/>
              <w:autoSpaceDE w:val="0"/>
              <w:autoSpaceDN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1" w:hRule="atLeast"/>
          <w:jc w:val="center"/>
        </w:trPr>
        <w:tc>
          <w:tcPr>
            <w:tcW w:w="343" w:type="pct"/>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w:t>
            </w:r>
          </w:p>
        </w:tc>
        <w:tc>
          <w:tcPr>
            <w:tcW w:w="2601" w:type="pct"/>
            <w:vAlign w:val="center"/>
          </w:tcPr>
          <w:p>
            <w:pPr>
              <w:widowControl/>
              <w:topLinePunct w:val="0"/>
              <w:autoSpaceDE w:val="0"/>
              <w:autoSpaceDN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临时用地使用人应当按照批准的用途使用土地，不得转让、出租、抵押临时用地。临时用地使用人应当自临时用地期满之日起一年内完成土地复垦，因气候、灾害等不可抗力因素影响复垦的，经批准可以适当延长复垦期限。</w:t>
            </w:r>
          </w:p>
          <w:p>
            <w:pPr>
              <w:widowControl/>
              <w:topLinePunct w:val="0"/>
              <w:autoSpaceDE w:val="0"/>
              <w:autoSpaceDN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严格落实临时用地恢复责任，临时用地期满后应当拆除临时建（构）筑物，使用耕地的应当复垦为耕地，确保耕地面积不减少、质量不降低；使用耕地以外的其他农用地的应当恢复为农用地；使用未利用地的，对于符合条件的鼓励复垦为耕地。</w:t>
            </w:r>
          </w:p>
        </w:tc>
        <w:tc>
          <w:tcPr>
            <w:tcW w:w="1542" w:type="pct"/>
            <w:vAlign w:val="center"/>
          </w:tcPr>
          <w:p>
            <w:pPr>
              <w:widowControl/>
              <w:topLinePunct w:val="0"/>
              <w:autoSpaceDE w:val="0"/>
              <w:autoSpaceDN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建设单位不会转让、出租、抵押临时用地。若临时用地期满且后续不在利用，建设单位将在用地期满之日起一年内完成土地复垦。并按照当地主管部门恢复用地性质。</w:t>
            </w:r>
          </w:p>
        </w:tc>
        <w:tc>
          <w:tcPr>
            <w:tcW w:w="513" w:type="pct"/>
            <w:vAlign w:val="center"/>
          </w:tcPr>
          <w:p>
            <w:pPr>
              <w:widowControl/>
              <w:topLinePunct w:val="0"/>
              <w:autoSpaceDE w:val="0"/>
              <w:autoSpaceDN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符合</w:t>
            </w:r>
          </w:p>
        </w:tc>
      </w:tr>
    </w:tbl>
    <w:p>
      <w:pPr>
        <w:pStyle w:val="114"/>
        <w:ind w:firstLine="480"/>
        <w:rPr>
          <w:kern w:val="2"/>
        </w:rPr>
      </w:pPr>
      <w:r>
        <w:rPr>
          <w:kern w:val="2"/>
        </w:rPr>
        <w:t>综上所述，本项目新增占地属于临时用地，与《自然资源部关于规范临时用地管理的通知》（自然资规〔2021〕2号）、《四川省自然资源厅关于进一步明确临时用地管理有关事项的通知》（川自然资规〔2022〕3号）中相关要求相符。</w:t>
      </w:r>
    </w:p>
    <w:p>
      <w:pPr>
        <w:keepNext/>
        <w:keepLines/>
        <w:ind w:firstLine="0" w:firstLineChars="0"/>
        <w:outlineLvl w:val="2"/>
        <w:rPr>
          <w:rFonts w:ascii="Times New Roman" w:cs="Times New Roman"/>
          <w:b/>
          <w:szCs w:val="32"/>
        </w:rPr>
      </w:pPr>
      <w:r>
        <w:rPr>
          <w:rFonts w:ascii="Times New Roman" w:cs="Times New Roman"/>
          <w:b/>
          <w:szCs w:val="32"/>
        </w:rPr>
        <w:t>1.8.9 《四川省“十四五”能源发展规划》（川府发〔2022〕8号）符合性分析</w:t>
      </w:r>
    </w:p>
    <w:p>
      <w:pPr>
        <w:ind w:firstLine="480"/>
        <w:rPr>
          <w:rFonts w:ascii="Times New Roman" w:cs="Times New Roman" w:eastAsiaTheme="minorEastAsia"/>
        </w:rPr>
      </w:pPr>
      <w:r>
        <w:rPr>
          <w:rFonts w:ascii="Times New Roman" w:cs="Times New Roman" w:eastAsiaTheme="minorEastAsia"/>
        </w:rPr>
        <w:t>根据《四川省“十四五”能源发展规划》（川府发〔2022〕8号）中“第五章加快天然气勘探开发利用”中“第一节建设千亿立方米级产能基地大力推进天然气(页岩气)勘探开发,实施国家天然气(页岩气)千亿立方米级产能基地建设行动方案,建成全国最大的现代化天然气(页岩气)生产基地。加大德阳—安岳古裂陷周缘、川中下古生界—震旦系、下二叠统、川西雷口坡组、川南五峰组—龙马溪组层系勘探力度。加快川中下古生界—震旦系气藏、川西和川中致密气藏、川东北高含硫气田、川西致密气田以及长宁、威远、泸州等区块产能建设,稳定主产区产量,开发接续区块。到2025年,天然气(页岩气)年产量达到630亿立方米”。“第二节大力推进油气基础设施建设按照适度超前的原则,加快省内油气输送管网建设,围绕主要产气区、消费区和薄弱区,统筹优化管网布局,构建供应稳定、运行高效、安全可靠的输配系统。推进川气东送二线(四川段)、威远和泸州</w:t>
      </w:r>
      <w:r>
        <w:rPr>
          <w:rFonts w:hint="eastAsia" w:ascii="Times New Roman" w:cs="Times New Roman" w:eastAsiaTheme="minorEastAsia"/>
          <w:lang w:val="en-US" w:eastAsia="zh-CN"/>
        </w:rPr>
        <w:t xml:space="preserve"> </w:t>
      </w:r>
      <w:r>
        <w:rPr>
          <w:rFonts w:ascii="Times New Roman" w:cs="Times New Roman" w:eastAsiaTheme="minorEastAsia"/>
        </w:rPr>
        <w:t>区块页岩气集输干线工程、攀枝花—凉山等天然气管道建设,进一步完善达州、雅安、乐山、泸州、巴中等末端区域供气管网,布局南向管道并适时建设。规划新增成品油入川管道。到2025年,形成输气能力700亿立方米/年。”</w:t>
      </w:r>
    </w:p>
    <w:p>
      <w:pPr>
        <w:ind w:firstLine="480"/>
        <w:rPr>
          <w:rFonts w:ascii="Times New Roman" w:cs="Times New Roman"/>
        </w:rPr>
      </w:pPr>
      <w:r>
        <w:rPr>
          <w:rFonts w:ascii="Times New Roman" w:cs="Times New Roman"/>
        </w:rPr>
        <w:t>本项目为普光气田天然气钻井及试采工程，符合《四川省“十四五”能源发展规划》要求。</w:t>
      </w:r>
    </w:p>
    <w:p>
      <w:pPr>
        <w:keepNext/>
        <w:keepLines/>
        <w:ind w:firstLine="0" w:firstLineChars="0"/>
        <w:outlineLvl w:val="2"/>
        <w:rPr>
          <w:rFonts w:ascii="Times New Roman" w:cs="Times New Roman"/>
          <w:b/>
          <w:szCs w:val="32"/>
        </w:rPr>
      </w:pPr>
      <w:r>
        <w:rPr>
          <w:rFonts w:ascii="Times New Roman" w:cs="Times New Roman"/>
          <w:b/>
          <w:szCs w:val="32"/>
        </w:rPr>
        <w:t>1.8.10 本项目与水源地合理性分析</w:t>
      </w:r>
    </w:p>
    <w:p>
      <w:pPr>
        <w:pStyle w:val="114"/>
        <w:ind w:firstLine="480"/>
      </w:pPr>
      <w:r>
        <w:t>根据达州市人民政府《关于划定万源市、宣汉县和大竹县乡镇及以下集中式饮用水水源地保护区的批复》（达市府发</w:t>
      </w:r>
      <w:r>
        <w:rPr>
          <w:kern w:val="2"/>
        </w:rPr>
        <w:t>〔2020〕</w:t>
      </w:r>
      <w:r>
        <w:t>124号）结合现场调查，项目所在地不涉及乡镇水源地保护区。</w:t>
      </w:r>
    </w:p>
    <w:p>
      <w:pPr>
        <w:keepNext/>
        <w:keepLines/>
        <w:ind w:firstLine="0" w:firstLineChars="0"/>
        <w:outlineLvl w:val="2"/>
        <w:rPr>
          <w:rFonts w:ascii="Times New Roman" w:cs="Times New Roman"/>
          <w:b/>
          <w:szCs w:val="32"/>
        </w:rPr>
      </w:pPr>
      <w:r>
        <w:rPr>
          <w:rFonts w:ascii="Times New Roman" w:cs="Times New Roman"/>
          <w:b/>
          <w:szCs w:val="32"/>
        </w:rPr>
        <w:t>1.8.11 本项目与“三线一单”符合性分析</w:t>
      </w:r>
    </w:p>
    <w:p>
      <w:pPr>
        <w:pStyle w:val="114"/>
        <w:ind w:firstLine="480"/>
      </w:pPr>
      <w:r>
        <w:t>根据环保部发布的《关于以改善环境质量为核心加强环境影响评价管理的通知》要求：切实加强环境影响评价管理，落实“生态保护红线、环境质量底线、资源利用上线和环境准入负面清单”约束，更好地发挥环评制度从源头防范环境污染和生态破坏的作用，加快推进改善环境质量。</w:t>
      </w:r>
    </w:p>
    <w:p>
      <w:pPr>
        <w:ind w:firstLine="482"/>
        <w:rPr>
          <w:rFonts w:ascii="Times New Roman" w:cs="Times New Roman"/>
          <w:b/>
          <w:bCs/>
        </w:rPr>
      </w:pPr>
      <w:r>
        <w:rPr>
          <w:rFonts w:ascii="Times New Roman" w:cs="Times New Roman"/>
          <w:b/>
          <w:bCs/>
        </w:rPr>
        <w:t>1、生态保护红线</w:t>
      </w:r>
    </w:p>
    <w:p>
      <w:pPr>
        <w:ind w:firstLine="480"/>
        <w:rPr>
          <w:rFonts w:ascii="Times New Roman" w:cs="Times New Roman"/>
        </w:rPr>
      </w:pPr>
      <w:r>
        <w:rPr>
          <w:rFonts w:ascii="Times New Roman" w:cs="Times New Roman"/>
        </w:rPr>
        <w:t>2017年2月，中共中央办公厅国务院办公厅印发了《关于划定并严守生态保护红线的若干意见》，意见中关于红线管控要求如下：</w:t>
      </w:r>
    </w:p>
    <w:p>
      <w:pPr>
        <w:ind w:firstLine="480"/>
        <w:rPr>
          <w:rFonts w:ascii="Times New Roman" w:cs="Times New Roman"/>
        </w:rPr>
      </w:pPr>
      <w:r>
        <w:rPr>
          <w:rFonts w:ascii="Times New Roman" w:cs="Times New Roman"/>
        </w:rPr>
        <w:t>实行严格管控。生态保护红线原则上按禁止开发区域的要求进行管理。严禁不符合主体功能定位的各类开发活动，严禁任意改变用途。生态保护红线划定后，只能增加、不能减少，因国家重大基础设施、重大民生保障项目建设等需要调整的，由省级政府组织论证，提出调整方案，经环境保护部、国家发展改革委会同有关部门提出审核意见后，报国务院批准。因国家重大战略资源勘查需要，在不影响主体功能定位的前提下，经依法批准后予以安排勘查项目。</w:t>
      </w:r>
    </w:p>
    <w:p>
      <w:pPr>
        <w:ind w:firstLine="480"/>
        <w:rPr>
          <w:rFonts w:ascii="Times New Roman" w:cs="Times New Roman"/>
        </w:rPr>
      </w:pPr>
      <w:r>
        <w:rPr>
          <w:rFonts w:ascii="Times New Roman" w:cs="Times New Roman"/>
        </w:rPr>
        <w:t>四川省人民政府《关于印发四川省生态保护红线方案的通知》（川府发〔2018〕24号）中指出：“四川省生态保护红线总面积14.80万平方公里，占全省幅员面积的30.45%，主要分布于川西高山高原、川西南山地和盆周山地，分布格局为“四轴九核”。“四轴”指大巴山、金沙江下游干热河谷、川东南山地以及盆中丘陵区，呈带状分布；“九核”指若尔盖湿地（黄河源）雅砻江源、大渡河源以及大雪山、沙鲁里山、岷山、邛崃山、凉山—相岭、锦屏山，以水系、山系为骨架集中成片分布。</w:t>
      </w:r>
    </w:p>
    <w:p>
      <w:pPr>
        <w:ind w:firstLine="480"/>
        <w:rPr>
          <w:rFonts w:ascii="Times New Roman" w:cs="Times New Roman"/>
        </w:rPr>
      </w:pPr>
      <w:r>
        <w:rPr>
          <w:rFonts w:ascii="Times New Roman" w:cs="Times New Roman"/>
        </w:rPr>
        <w:t>根据该《通知》，达州市宣汉县、万源市的部分地区涉及“大巴山生物多样性维护—水源涵养生态保护红线”；大竹县的部分地区涉及“川东南石漠化敏感生态保护红线”；达州市及其区县的城市饮用水源保护区和零散分布于四川盆地的自然保护区、风景名胜区、湿地公园、地质公园等各类生态保护重要区域为“盆中城市饮用水源—水土保持生态保护红线”。</w:t>
      </w:r>
    </w:p>
    <w:p>
      <w:pPr>
        <w:ind w:firstLine="480"/>
        <w:rPr>
          <w:rFonts w:ascii="Times New Roman" w:cs="Times New Roman"/>
        </w:rPr>
      </w:pPr>
      <w:r>
        <w:rPr>
          <w:rFonts w:ascii="Times New Roman" w:cs="Times New Roman"/>
        </w:rPr>
        <w:t>本项目位于四川省达州市宣汉县普光镇</w:t>
      </w:r>
      <w:r>
        <w:rPr>
          <w:rFonts w:hint="eastAsia" w:ascii="Times New Roman" w:cs="Times New Roman"/>
        </w:rPr>
        <w:t>塔娅村</w:t>
      </w:r>
      <w:r>
        <w:rPr>
          <w:rFonts w:ascii="Times New Roman" w:cs="Times New Roman"/>
        </w:rPr>
        <w:t>，不在饮用水源保护区、自然保护区、风景名胜区、湿地公园、地质公园等各类生态保护重要区域。结合《四川省生态保护红线分布图》和《达州市生态保护红线分布图》分析，项目选址与《四川省生态保护红线方案》及达州市生态保护红线保护要求是相协调的。</w:t>
      </w:r>
    </w:p>
    <w:p>
      <w:pPr>
        <w:pStyle w:val="114"/>
        <w:ind w:firstLine="225" w:firstLineChars="83"/>
        <w:jc w:val="center"/>
      </w:pPr>
      <w:r>
        <w:rPr>
          <w:rFonts w:eastAsia="仿宋_GB2312"/>
          <w:spacing w:val="-4"/>
          <w:sz w:val="28"/>
          <w:szCs w:val="28"/>
        </w:rPr>
        <mc:AlternateContent>
          <mc:Choice Requires="wps">
            <w:drawing>
              <wp:anchor distT="0" distB="0" distL="114300" distR="114300" simplePos="0" relativeHeight="251662336" behindDoc="0" locked="0" layoutInCell="1" allowOverlap="1">
                <wp:simplePos x="0" y="0"/>
                <wp:positionH relativeFrom="column">
                  <wp:posOffset>1234440</wp:posOffset>
                </wp:positionH>
                <wp:positionV relativeFrom="paragraph">
                  <wp:posOffset>973455</wp:posOffset>
                </wp:positionV>
                <wp:extent cx="1155065" cy="317500"/>
                <wp:effectExtent l="4445" t="4445" r="97790" b="478155"/>
                <wp:wrapNone/>
                <wp:docPr id="16" name="自选图形 21"/>
                <wp:cNvGraphicFramePr/>
                <a:graphic xmlns:a="http://schemas.openxmlformats.org/drawingml/2006/main">
                  <a:graphicData uri="http://schemas.microsoft.com/office/word/2010/wordprocessingShape">
                    <wps:wsp>
                      <wps:cNvSpPr/>
                      <wps:spPr>
                        <a:xfrm>
                          <a:off x="0" y="0"/>
                          <a:ext cx="1155065" cy="317500"/>
                        </a:xfrm>
                        <a:prstGeom prst="wedgeRectCallout">
                          <a:avLst>
                            <a:gd name="adj1" fmla="val 55662"/>
                            <a:gd name="adj2" fmla="val 191000"/>
                          </a:avLst>
                        </a:prstGeom>
                        <a:noFill/>
                        <a:ln w="9525" cap="flat" cmpd="sng">
                          <a:solidFill>
                            <a:srgbClr val="000000"/>
                          </a:solidFill>
                          <a:prstDash val="solid"/>
                          <a:miter/>
                          <a:headEnd type="none" w="med" len="med"/>
                          <a:tailEnd type="none" w="med" len="med"/>
                        </a:ln>
                      </wps:spPr>
                      <wps:txbx>
                        <w:txbxContent>
                          <w:p>
                            <w:pPr>
                              <w:spacing w:line="240" w:lineRule="auto"/>
                              <w:ind w:firstLine="0" w:firstLineChars="0"/>
                              <w:rPr>
                                <w:sz w:val="21"/>
                                <w:szCs w:val="21"/>
                              </w:rPr>
                            </w:pPr>
                            <w:r>
                              <w:rPr>
                                <w:rFonts w:hint="eastAsia"/>
                                <w:sz w:val="21"/>
                                <w:szCs w:val="21"/>
                              </w:rPr>
                              <w:t>本项目所在位置</w:t>
                            </w:r>
                          </w:p>
                        </w:txbxContent>
                      </wps:txbx>
                      <wps:bodyPr upright="1"/>
                    </wps:wsp>
                  </a:graphicData>
                </a:graphic>
              </wp:anchor>
            </w:drawing>
          </mc:Choice>
          <mc:Fallback>
            <w:pict>
              <v:shape id="自选图形 21" o:spid="_x0000_s1026" o:spt="61" type="#_x0000_t61" style="position:absolute;left:0pt;margin-left:97.2pt;margin-top:76.65pt;height:25pt;width:90.95pt;z-index:251662336;mso-width-relative:page;mso-height-relative:page;" filled="f" stroked="t" coordsize="21600,21600" o:gfxdata="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84cEtNsAAAALAQAADwAAAAAAAAABACAAAAAiAAAAZHJzL2Rvd25y&#10;ZXYueG1sUEsBAhQAFAAAAAgAh07iQJyKZuk0AgAAZgQAAA4AAAAAAAAAAQAgAAAAKgEAAGRycy9l&#10;Mm9Eb2MueG1sUEsFBgAAAAAGAAYAWQEAANAFAAAAAA==&#10;" adj="22823,52056">
                <v:fill on="f" focussize="0,0"/>
                <v:stroke color="#000000" joinstyle="miter"/>
                <v:imagedata o:title=""/>
                <o:lock v:ext="edit" aspectratio="f"/>
                <v:textbox>
                  <w:txbxContent>
                    <w:p>
                      <w:pPr>
                        <w:spacing w:line="240" w:lineRule="auto"/>
                        <w:ind w:firstLine="0" w:firstLineChars="0"/>
                        <w:rPr>
                          <w:sz w:val="21"/>
                          <w:szCs w:val="21"/>
                        </w:rPr>
                      </w:pPr>
                      <w:r>
                        <w:rPr>
                          <w:rFonts w:hint="eastAsia"/>
                          <w:sz w:val="21"/>
                          <w:szCs w:val="21"/>
                        </w:rPr>
                        <w:t>本项目所在位置</w:t>
                      </w:r>
                    </w:p>
                  </w:txbxContent>
                </v:textbox>
              </v:shape>
            </w:pict>
          </mc:Fallback>
        </mc:AlternateContent>
      </w:r>
      <w:r>
        <w:rPr>
          <w:rFonts w:eastAsia="仿宋_GB2312"/>
          <w:spacing w:val="-4"/>
          <w:sz w:val="28"/>
          <w:szCs w:val="28"/>
        </w:rPr>
        <mc:AlternateContent>
          <mc:Choice Requires="wps">
            <w:drawing>
              <wp:anchor distT="0" distB="0" distL="114300" distR="114300" simplePos="0" relativeHeight="251663360" behindDoc="0" locked="0" layoutInCell="1" allowOverlap="1">
                <wp:simplePos x="0" y="0"/>
                <wp:positionH relativeFrom="column">
                  <wp:posOffset>2435225</wp:posOffset>
                </wp:positionH>
                <wp:positionV relativeFrom="paragraph">
                  <wp:posOffset>1758950</wp:posOffset>
                </wp:positionV>
                <wp:extent cx="53975" cy="53975"/>
                <wp:effectExtent l="4445" t="4445" r="17780" b="17780"/>
                <wp:wrapNone/>
                <wp:docPr id="42" name="椭圆 53"/>
                <wp:cNvGraphicFramePr/>
                <a:graphic xmlns:a="http://schemas.openxmlformats.org/drawingml/2006/main">
                  <a:graphicData uri="http://schemas.microsoft.com/office/word/2010/wordprocessingShape">
                    <wps:wsp>
                      <wps:cNvSpPr/>
                      <wps:spPr>
                        <a:xfrm>
                          <a:off x="0" y="0"/>
                          <a:ext cx="53975" cy="53975"/>
                        </a:xfrm>
                        <a:prstGeom prst="ellipse">
                          <a:avLst/>
                        </a:prstGeom>
                        <a:solidFill>
                          <a:srgbClr val="FF0000"/>
                        </a:solidFill>
                        <a:ln w="9525" cap="flat" cmpd="sng">
                          <a:solidFill>
                            <a:srgbClr val="FF0000"/>
                          </a:solidFill>
                          <a:prstDash val="solid"/>
                          <a:headEnd type="none" w="med" len="med"/>
                          <a:tailEnd type="none" w="med" len="med"/>
                        </a:ln>
                      </wps:spPr>
                      <wps:bodyPr upright="1"/>
                    </wps:wsp>
                  </a:graphicData>
                </a:graphic>
              </wp:anchor>
            </w:drawing>
          </mc:Choice>
          <mc:Fallback>
            <w:pict>
              <v:shape id="椭圆 53" o:spid="_x0000_s1026" o:spt="3" type="#_x0000_t3" style="position:absolute;left:0pt;margin-left:191.75pt;margin-top:138.5pt;height:4.25pt;width:4.25pt;z-index:251663360;mso-width-relative:page;mso-height-relative:page;" fillcolor="#FF0000" filled="t" stroked="t" coordsize="21600,21600" o:gfxdata="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H9R0/ZAAAACwEAAA8AAAAAAAAAAQAgAAAAIgAAAGRycy9kb3ducmV2LnhtbFBLAQIU&#10;ABQAAAAIAIdO4kABwuA68gEAABYEAAAOAAAAAAAAAAEAIAAAACgBAABkcnMvZTJvRG9jLnhtbFBL&#10;BQYAAAAABgAGAFkBAACMBQAAAAA=&#10;">
                <v:fill on="t" focussize="0,0"/>
                <v:stroke color="#FF0000" joinstyle="round"/>
                <v:imagedata o:title=""/>
                <o:lock v:ext="edit" aspectratio="f"/>
              </v:shape>
            </w:pict>
          </mc:Fallback>
        </mc:AlternateContent>
      </w:r>
      <w:r>
        <w:rPr>
          <w:rFonts w:eastAsia="仿宋_GB2312"/>
          <w:spacing w:val="-4"/>
          <w:sz w:val="28"/>
          <w:szCs w:val="28"/>
        </w:rPr>
        <w:drawing>
          <wp:inline distT="0" distB="0" distL="0" distR="0">
            <wp:extent cx="5273675" cy="3722370"/>
            <wp:effectExtent l="19050" t="0" r="3175" b="0"/>
            <wp:docPr id="4" name="图片 10326" descr="G:\1\达州成果\现阶段成果\达州5月出图\生态保护红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326" descr="G:\1\达州成果\现阶段成果\达州5月出图\生态保护红线.jpg"/>
                    <pic:cNvPicPr>
                      <a:picLocks noChangeAspect="1" noChangeArrowheads="1"/>
                    </pic:cNvPicPr>
                  </pic:nvPicPr>
                  <pic:blipFill>
                    <a:blip r:embed="rId45" cstate="print"/>
                    <a:srcRect/>
                    <a:stretch>
                      <a:fillRect/>
                    </a:stretch>
                  </pic:blipFill>
                  <pic:spPr>
                    <a:xfrm>
                      <a:off x="0" y="0"/>
                      <a:ext cx="5273675" cy="3722370"/>
                    </a:xfrm>
                    <a:prstGeom prst="rect">
                      <a:avLst/>
                    </a:prstGeom>
                    <a:noFill/>
                    <a:ln w="9525">
                      <a:noFill/>
                      <a:miter lim="800000"/>
                      <a:headEnd/>
                      <a:tailEnd/>
                    </a:ln>
                  </pic:spPr>
                </pic:pic>
              </a:graphicData>
            </a:graphic>
          </wp:inline>
        </w:drawing>
      </w:r>
    </w:p>
    <w:p>
      <w:pPr>
        <w:pStyle w:val="114"/>
        <w:ind w:firstLine="175" w:firstLineChars="83"/>
        <w:jc w:val="center"/>
        <w:rPr>
          <w:b/>
          <w:sz w:val="21"/>
          <w:szCs w:val="21"/>
        </w:rPr>
      </w:pPr>
      <w:r>
        <w:rPr>
          <w:b/>
          <w:sz w:val="21"/>
          <w:szCs w:val="21"/>
        </w:rPr>
        <w:t>图1.8-1  达州市生态红线分布图</w:t>
      </w:r>
    </w:p>
    <w:p>
      <w:pPr>
        <w:pStyle w:val="114"/>
        <w:ind w:firstLine="482"/>
        <w:rPr>
          <w:b/>
          <w:bCs/>
        </w:rPr>
      </w:pPr>
      <w:r>
        <w:rPr>
          <w:b/>
          <w:bCs/>
        </w:rPr>
        <w:t>2、与环境质量底线的符合性分析</w:t>
      </w:r>
    </w:p>
    <w:p>
      <w:pPr>
        <w:pStyle w:val="114"/>
        <w:ind w:firstLine="480"/>
      </w:pPr>
      <w:r>
        <w:t>项目所在区域环境空气均满足《环境空气质量标准》（GB3095-2012）二级，区域地表水环境质量满足《地表水环境质量标准》（GB3838-2002）Ⅲ类标准，地下水环境质量满足《地下水质量标准》（GB/T14848-2017）中Ⅲ类标准，声环境质量满足《声环境质量标准》（GB3096-2008）2类，环境质量较好。</w:t>
      </w:r>
    </w:p>
    <w:p>
      <w:pPr>
        <w:pStyle w:val="114"/>
        <w:ind w:firstLine="480"/>
      </w:pPr>
      <w:r>
        <w:t>经分析，目前区域环境空气、地表水及声环境质量均尚有容量。本项目水套炉加热采用返输净化天然气（不含硫化氢），依托现有11#阀室至P108集气站燃气返输管线返输使用，属于清洁能源，仅产生少量的氮氧化物；本项目试采期</w:t>
      </w:r>
      <w:r>
        <w:rPr>
          <w:rFonts w:hint="eastAsia"/>
        </w:rPr>
        <w:t>产生的气田水经酸液缓冲罐收集</w:t>
      </w:r>
      <w:r>
        <w:t>，然后通过密闭罐车拉运至大湾403污水站处理达到《气田水回注方法》（SY/T 6596-2016）中注入水基本要求后管输至毛开1井回注站回注处理，不外排。项目站场设备运行和气流噪声值较小，不会对当地的声环境容量造成较大影响。本项目严格执行设计及环评提出的相关污染防治措施后，排放的污染源不会对区域环境质量底线造成冲击。</w:t>
      </w:r>
    </w:p>
    <w:p>
      <w:pPr>
        <w:pStyle w:val="114"/>
        <w:ind w:firstLine="482"/>
        <w:rPr>
          <w:b/>
          <w:bCs/>
        </w:rPr>
      </w:pPr>
      <w:r>
        <w:rPr>
          <w:b/>
          <w:bCs/>
        </w:rPr>
        <w:t>3、与资源利用上线的符合性分析</w:t>
      </w:r>
    </w:p>
    <w:p>
      <w:pPr>
        <w:pStyle w:val="114"/>
        <w:ind w:firstLine="480"/>
      </w:pPr>
      <w:r>
        <w:t>本项目运营过程中除消耗电、气外，无其他能源消耗，项目建成运行后通过内部管理、设备选择、原辅材料的选用和管理、废物回收利用、污染治理等多方面采取合理可行的防治措施，以“节能、降耗、减污”为目标，有效地控制污染。项目资源利用不会突破区域的资源利用上线。</w:t>
      </w:r>
    </w:p>
    <w:p>
      <w:pPr>
        <w:pStyle w:val="114"/>
        <w:ind w:firstLine="482"/>
        <w:rPr>
          <w:b/>
          <w:bCs/>
        </w:rPr>
      </w:pPr>
      <w:r>
        <w:rPr>
          <w:b/>
          <w:bCs/>
        </w:rPr>
        <w:t>4、与生态环境准入清单的符合性分析</w:t>
      </w:r>
    </w:p>
    <w:p>
      <w:pPr>
        <w:pStyle w:val="114"/>
        <w:ind w:firstLine="480"/>
      </w:pPr>
      <w:r>
        <w:t>本项目选址位于达州市宣汉县，根据《四川省人民政府关于落实生态保护红线、环境质量底线、资源利用上线，制定生态环境准入清单，实施生态环境分区管控的通知》（川府发〔2020〕9号），项目所在地属于川东北经济区，该区域总体生态环境管控要求为：①控制农村面源污染，提高污水收集处理率，加快乡镇污水处理基础设施建设。②建设流域水环境风险联防联控体系。③提高大气污染治理水平。</w:t>
      </w:r>
    </w:p>
    <w:p>
      <w:pPr>
        <w:pStyle w:val="114"/>
        <w:ind w:firstLine="480"/>
      </w:pPr>
      <w:r>
        <w:t>本项目为天然气钻井及试采，不属于《四川省人民政府关于落实生态保护红线、环境质量底线、资源利用上线，制定生态环境准入清单，实施生态环境分区管控的通知》（川府发〔2020〕9号）中所列的建材、家具、电子信息、装备制造、先进材料、食品饮料、生物医药等行业，项目施工期废水不外排，试采期无废水排放，试采期正常工况下无废气排放。项目所在地生态环境良好，无突出环境问题，因此，项目的建设满足《四川省人民政府关于落实生态保护红线、环境质量底线、资源利用上线，制定生态环境准入清单，实施生态环境分区管控的通知》（川府发〔2020〕9号）中川东北经济区的生态环境管控要求。</w:t>
      </w:r>
    </w:p>
    <w:p>
      <w:pPr>
        <w:pStyle w:val="114"/>
        <w:ind w:firstLine="480"/>
      </w:pPr>
      <w:r>
        <w:t>同时根据《四川省国家重点生态功能区产业准入负面清单（第一批）（试行）</w:t>
      </w:r>
      <w:r>
        <w:rPr>
          <w:rFonts w:hint="eastAsia"/>
          <w:lang w:eastAsia="zh-CN"/>
        </w:rPr>
        <w:t>》《</w:t>
      </w:r>
      <w:r>
        <w:t>四川省重点生态功能区产业准入负面清单（第二批）（试行）》，本项目不涉及《四川省国家重点生态功能区产业准入负面清单（第一批）（试行）》42个市县、《四川省重点生态功能区产业准入负面清单（第二批）（试行）》15个县。因此，不属于区域环境准入负面清单行业内容。</w:t>
      </w:r>
    </w:p>
    <w:p>
      <w:pPr>
        <w:pStyle w:val="114"/>
        <w:ind w:firstLine="480"/>
      </w:pPr>
      <w:r>
        <w:t>根据</w:t>
      </w:r>
      <w:r>
        <w:rPr>
          <w:kern w:val="2"/>
          <w:szCs w:val="22"/>
        </w:rPr>
        <w:t>《四川省、重庆市长江经济带发展负面清单实施细则（试行，2022年版）》</w:t>
      </w:r>
      <w:r>
        <w:t>：禁止在自然保护区核心区、缓冲区的岸线和河段范围内投资建设旅游和生产经营项目。自然保护区的内部未分区的，依照本实施细则核心区和缓冲区的规定管控。禁止违反风景名胜区规划，在风景名胜区内设立各 类开发区。禁止在风景名胜区核心景区的岸线和河段范围内建设宾馆、招待所、培训中心、疗养院以及与风景名胜资源保护无关的项目。禁止在饮用水水源准保护区的岸线和河段范围内新建、扩建对水体污染严重的建设项目，禁止改建增加排污量的建设项目。饮用水水源二级保护区的岸线和河段范围内，除应遵守准保护区规定外，禁止新建、改建、扩建排放污染物的投资 建设项目；禁止从事采石（砂）、对水体有污染的水产养殖等活动。饮用水水源一级保护区的岸线和河段范围内，除应遵守二级保护区规定外，禁止新建、改建、扩建与供（取）水设施和保护水源无关的项目，以及网箱养殖、畜禽养殖、旅游等可能污染饮用水水体的投资建设项目。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生态保护红线区域、永久基本农田集中区域和其他需要特别保护的区域内选址建设尾矿库、冶炼渣库、磷石膏库。禁止在合规园区外新建、扩建钢铁、石化、化 工、焦化、建材、有色、制浆造纸等高污染项目……</w:t>
      </w:r>
    </w:p>
    <w:p>
      <w:pPr>
        <w:pStyle w:val="114"/>
        <w:ind w:firstLine="480"/>
      </w:pPr>
      <w:r>
        <w:t>根据《达州市人民政府关于落实生态保护红线、环境质量底线、资源利用上线制定生态环境准入清单实施生态分区管控的通知》（达市府发</w:t>
      </w:r>
      <w:r>
        <w:rPr>
          <w:rFonts w:hint="eastAsia"/>
          <w:lang w:eastAsia="zh-CN"/>
        </w:rPr>
        <w:t>〔2021〕</w:t>
      </w:r>
      <w:r>
        <w:t>17号），本项目不属于优先保护单元和重点管控单元，为一般管控单元，其生态环境管控要求为：执行区域生态环境保护的基本要求，重点加强农业、生活等领域污染治理，本项目施工期采取相应的生态保护措施能够满足区域生态环境保护的基本要求，满足一般管控单元的生态环境管控要求。</w:t>
      </w:r>
    </w:p>
    <w:p>
      <w:pPr>
        <w:pStyle w:val="114"/>
        <w:ind w:firstLine="480"/>
      </w:pPr>
      <w:r>
        <w:t>本项目位于达州市宣汉县普光镇境内，查阅相关资料，项目建设区域不属于自然保护区、风景名胜区、饮用水源保护区以及生态保护红线范围等，不属于优先保护单元和重点管控单元，为一般管控单元。项目为天然气输气管线项目，属于鼓励类项目。因此，项目建设满足</w:t>
      </w:r>
      <w:r>
        <w:rPr>
          <w:kern w:val="2"/>
          <w:szCs w:val="22"/>
        </w:rPr>
        <w:t>《四川省、重庆市长江经济带发展负面清单实施细则（试行，2022年版）》</w:t>
      </w:r>
      <w:r>
        <w:t>和《达州市人民政府关于落实生态保护红线、环境质量底线、资源利用上线制定生态环境准入清单实施生态分区管控的通知》（达市府发</w:t>
      </w:r>
      <w:r>
        <w:rPr>
          <w:rFonts w:hint="eastAsia"/>
          <w:lang w:eastAsia="zh-CN"/>
        </w:rPr>
        <w:t>〔2021〕</w:t>
      </w:r>
      <w:r>
        <w:t>17号）的相应要求。</w:t>
      </w:r>
    </w:p>
    <w:p>
      <w:pPr>
        <w:pStyle w:val="114"/>
        <w:ind w:firstLine="480"/>
      </w:pPr>
      <w:r>
        <w:t>本项目通过四川省生态环境厅三线一单平台进行了分析，分析结果详见附件13。</w:t>
      </w:r>
    </w:p>
    <w:p>
      <w:pPr>
        <w:pStyle w:val="114"/>
        <w:ind w:firstLine="480"/>
      </w:pPr>
      <w:r>
        <w:t>根据《长江经济带战略环境评价四川省达州市“三线一单”生态环境分区管控优化完善研究报告》（达州市生态环境局，2021年5月），本项目所在地属于</w:t>
      </w:r>
      <w:r>
        <w:rPr>
          <w:bCs/>
        </w:rPr>
        <w:t>宣汉县一般管控单元</w:t>
      </w:r>
      <w:r>
        <w:rPr>
          <w:b/>
          <w:bCs/>
        </w:rPr>
        <w:t>（</w:t>
      </w:r>
      <w:r>
        <w:rPr>
          <w:bCs/>
        </w:rPr>
        <w:t>ZH51172230001</w:t>
      </w:r>
      <w:r>
        <w:rPr>
          <w:b/>
          <w:bCs/>
        </w:rPr>
        <w:t>）</w:t>
      </w:r>
      <w:r>
        <w:t>，项目与管控单元相对位置见图1.8-2。</w:t>
      </w:r>
    </w:p>
    <w:p>
      <w:pPr>
        <w:pStyle w:val="114"/>
        <w:ind w:firstLine="199" w:firstLineChars="83"/>
        <w:jc w:val="center"/>
      </w:pPr>
      <w:r>
        <mc:AlternateContent>
          <mc:Choice Requires="wps">
            <w:drawing>
              <wp:anchor distT="0" distB="0" distL="114300" distR="114300" simplePos="0" relativeHeight="251665408" behindDoc="0" locked="0" layoutInCell="1" allowOverlap="1">
                <wp:simplePos x="0" y="0"/>
                <wp:positionH relativeFrom="column">
                  <wp:posOffset>1252855</wp:posOffset>
                </wp:positionH>
                <wp:positionV relativeFrom="paragraph">
                  <wp:posOffset>897890</wp:posOffset>
                </wp:positionV>
                <wp:extent cx="1155065" cy="317500"/>
                <wp:effectExtent l="4445" t="4445" r="97790" b="478155"/>
                <wp:wrapNone/>
                <wp:docPr id="45" name="自选图形 118"/>
                <wp:cNvGraphicFramePr/>
                <a:graphic xmlns:a="http://schemas.openxmlformats.org/drawingml/2006/main">
                  <a:graphicData uri="http://schemas.microsoft.com/office/word/2010/wordprocessingShape">
                    <wps:wsp>
                      <wps:cNvSpPr/>
                      <wps:spPr>
                        <a:xfrm>
                          <a:off x="0" y="0"/>
                          <a:ext cx="1155065" cy="317500"/>
                        </a:xfrm>
                        <a:prstGeom prst="wedgeRectCallout">
                          <a:avLst>
                            <a:gd name="adj1" fmla="val 55662"/>
                            <a:gd name="adj2" fmla="val 191000"/>
                          </a:avLst>
                        </a:prstGeom>
                        <a:noFill/>
                        <a:ln w="9525" cap="flat" cmpd="sng">
                          <a:solidFill>
                            <a:srgbClr val="000000"/>
                          </a:solidFill>
                          <a:prstDash val="solid"/>
                          <a:miter/>
                          <a:headEnd type="none" w="med" len="med"/>
                          <a:tailEnd type="none" w="med" len="med"/>
                        </a:ln>
                      </wps:spPr>
                      <wps:txbx>
                        <w:txbxContent>
                          <w:p>
                            <w:pPr>
                              <w:spacing w:line="240" w:lineRule="auto"/>
                              <w:ind w:firstLine="0" w:firstLineChars="0"/>
                              <w:rPr>
                                <w:sz w:val="21"/>
                                <w:szCs w:val="21"/>
                              </w:rPr>
                            </w:pPr>
                            <w:r>
                              <w:rPr>
                                <w:rFonts w:hint="eastAsia"/>
                                <w:sz w:val="21"/>
                                <w:szCs w:val="21"/>
                              </w:rPr>
                              <w:t>本项目所在位置</w:t>
                            </w:r>
                          </w:p>
                        </w:txbxContent>
                      </wps:txbx>
                      <wps:bodyPr upright="1"/>
                    </wps:wsp>
                  </a:graphicData>
                </a:graphic>
              </wp:anchor>
            </w:drawing>
          </mc:Choice>
          <mc:Fallback>
            <w:pict>
              <v:shape id="自选图形 118" o:spid="_x0000_s1026" o:spt="61" type="#_x0000_t61" style="position:absolute;left:0pt;margin-left:98.65pt;margin-top:70.7pt;height:25pt;width:90.95pt;z-index:251665408;mso-width-relative:page;mso-height-relative:page;" filled="f" stroked="t" coordsize="21600,21600" o:gfxdata="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oq9k/aAAAACwEAAA8AAAAAAAAAAQAgAAAAIgAAAGRycy9kb3du&#10;cmV2LnhtbFBLAQIUABQAAAAIAIdO4kA4UsCTNgIAAGcEAAAOAAAAAAAAAAEAIAAAACkBAABkcnMv&#10;ZTJvRG9jLnhtbFBLBQYAAAAABgAGAFkBAADRBQAAAAA=&#10;" adj="22823,52056">
                <v:fill on="f" focussize="0,0"/>
                <v:stroke color="#000000" joinstyle="miter"/>
                <v:imagedata o:title=""/>
                <o:lock v:ext="edit" aspectratio="f"/>
                <v:textbox>
                  <w:txbxContent>
                    <w:p>
                      <w:pPr>
                        <w:spacing w:line="240" w:lineRule="auto"/>
                        <w:ind w:firstLine="0" w:firstLineChars="0"/>
                        <w:rPr>
                          <w:sz w:val="21"/>
                          <w:szCs w:val="21"/>
                        </w:rPr>
                      </w:pPr>
                      <w:r>
                        <w:rPr>
                          <w:rFonts w:hint="eastAsia"/>
                          <w:sz w:val="21"/>
                          <w:szCs w:val="21"/>
                        </w:rPr>
                        <w:t>本项目所在位置</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2470785</wp:posOffset>
                </wp:positionH>
                <wp:positionV relativeFrom="paragraph">
                  <wp:posOffset>1630045</wp:posOffset>
                </wp:positionV>
                <wp:extent cx="53975" cy="53975"/>
                <wp:effectExtent l="4445" t="4445" r="17780" b="17780"/>
                <wp:wrapNone/>
                <wp:docPr id="44" name="椭圆 117"/>
                <wp:cNvGraphicFramePr/>
                <a:graphic xmlns:a="http://schemas.openxmlformats.org/drawingml/2006/main">
                  <a:graphicData uri="http://schemas.microsoft.com/office/word/2010/wordprocessingShape">
                    <wps:wsp>
                      <wps:cNvSpPr/>
                      <wps:spPr>
                        <a:xfrm>
                          <a:off x="0" y="0"/>
                          <a:ext cx="53975" cy="53975"/>
                        </a:xfrm>
                        <a:prstGeom prst="ellipse">
                          <a:avLst/>
                        </a:prstGeom>
                        <a:solidFill>
                          <a:srgbClr val="FF0000"/>
                        </a:solidFill>
                        <a:ln w="9525" cap="flat" cmpd="sng">
                          <a:solidFill>
                            <a:srgbClr val="FF0000"/>
                          </a:solidFill>
                          <a:prstDash val="solid"/>
                          <a:headEnd type="none" w="med" len="med"/>
                          <a:tailEnd type="none" w="med" len="med"/>
                        </a:ln>
                      </wps:spPr>
                      <wps:bodyPr upright="1"/>
                    </wps:wsp>
                  </a:graphicData>
                </a:graphic>
              </wp:anchor>
            </w:drawing>
          </mc:Choice>
          <mc:Fallback>
            <w:pict>
              <v:shape id="椭圆 117" o:spid="_x0000_s1026" o:spt="3" type="#_x0000_t3" style="position:absolute;left:0pt;margin-left:194.55pt;margin-top:128.35pt;height:4.25pt;width:4.25pt;z-index:251664384;mso-width-relative:page;mso-height-relative:page;" fillcolor="#FF0000" filled="t" stroked="t" coordsize="21600,21600" o:gfxdata="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2VEyNkAAAALAQAADwAAAAAAAAABACAAAAAiAAAAZHJzL2Rvd25yZXYueG1sUEsB&#10;AhQAFAAAAAgAh07iQPC027L0AQAAFwQAAA4AAAAAAAAAAQAgAAAAKAEAAGRycy9lMm9Eb2MueG1s&#10;UEsFBgAAAAAGAAYAWQEAAI4FAAAAAA==&#10;">
                <v:fill on="t" focussize="0,0"/>
                <v:stroke color="#FF0000" joinstyle="round"/>
                <v:imagedata o:title=""/>
                <o:lock v:ext="edit" aspectratio="f"/>
              </v:shape>
            </w:pict>
          </mc:Fallback>
        </mc:AlternateContent>
      </w:r>
      <w:r>
        <w:drawing>
          <wp:inline distT="0" distB="0" distL="0" distR="0">
            <wp:extent cx="5274310" cy="3441065"/>
            <wp:effectExtent l="19050" t="0" r="2540" b="0"/>
            <wp:docPr id="29" name="图片 23" descr="C:\Users\ADMINI~1.USE\AppData\Local\Temp\1661532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descr="C:\Users\ADMINI~1.USE\AppData\Local\Temp\1661532114(1).jpg"/>
                    <pic:cNvPicPr>
                      <a:picLocks noChangeAspect="1" noChangeArrowheads="1"/>
                    </pic:cNvPicPr>
                  </pic:nvPicPr>
                  <pic:blipFill>
                    <a:blip r:embed="rId46" cstate="print"/>
                    <a:srcRect/>
                    <a:stretch>
                      <a:fillRect/>
                    </a:stretch>
                  </pic:blipFill>
                  <pic:spPr>
                    <a:xfrm>
                      <a:off x="0" y="0"/>
                      <a:ext cx="5274310" cy="3441429"/>
                    </a:xfrm>
                    <a:prstGeom prst="rect">
                      <a:avLst/>
                    </a:prstGeom>
                    <a:noFill/>
                    <a:ln w="9525">
                      <a:noFill/>
                      <a:miter lim="800000"/>
                      <a:headEnd/>
                      <a:tailEnd/>
                    </a:ln>
                  </pic:spPr>
                </pic:pic>
              </a:graphicData>
            </a:graphic>
          </wp:inline>
        </w:drawing>
      </w:r>
    </w:p>
    <w:p>
      <w:pPr>
        <w:pStyle w:val="114"/>
        <w:ind w:firstLineChars="83"/>
        <w:jc w:val="center"/>
        <w:rPr>
          <w:b/>
        </w:rPr>
      </w:pPr>
      <w:r>
        <w:rPr>
          <w:b/>
        </w:rPr>
        <w:t>图1.8-2  项目与达州市环境管控单元位置关系图</w:t>
      </w:r>
    </w:p>
    <w:p>
      <w:pPr>
        <w:pStyle w:val="114"/>
        <w:ind w:firstLine="482"/>
        <w:rPr>
          <w:b/>
          <w:bCs/>
        </w:rPr>
      </w:pPr>
      <w:r>
        <w:rPr>
          <w:rFonts w:hint="eastAsia"/>
          <w:b/>
          <w:bCs/>
        </w:rPr>
        <w:t>5、三区三线</w:t>
      </w:r>
    </w:p>
    <w:p>
      <w:pPr>
        <w:pStyle w:val="114"/>
        <w:ind w:firstLine="480"/>
        <w:rPr>
          <w:b/>
        </w:rPr>
      </w:pPr>
      <w:r>
        <w:rPr>
          <w:rFonts w:hint="eastAsia"/>
        </w:rPr>
        <w:t>“三区三线”</w:t>
      </w:r>
      <w:r>
        <w:t>是规划核心内容，是落实最严格的耕地保护制度、生态保护制度和节约用地制度的一项重要举措，是地方经济社会发展不可逾越的红线。</w:t>
      </w:r>
      <w:r>
        <w:rPr>
          <w:rFonts w:hint="eastAsia"/>
        </w:rPr>
        <w:t>根据达州市三区三线划分成果，本项目位于农业空间内，不涉及城镇空间及生态空间。项目选址不涉及宣汉县普光镇场镇规划建设用地范围内，不涉及生态红线，本项目井场扩建区域临时占用永久基本农田。建设单位按照相关要求办理临时用地手续，因此项目建设符合三区三线的相关要求。</w:t>
      </w:r>
    </w:p>
    <w:p>
      <w:pPr>
        <w:pStyle w:val="114"/>
        <w:ind w:firstLineChars="83"/>
        <w:jc w:val="center"/>
        <w:rPr>
          <w:b/>
        </w:rPr>
      </w:pPr>
    </w:p>
    <w:p>
      <w:pPr>
        <w:pStyle w:val="114"/>
        <w:ind w:firstLine="480"/>
        <w:sectPr>
          <w:headerReference r:id="rId17" w:type="default"/>
          <w:footerReference r:id="rId18" w:type="default"/>
          <w:pgSz w:w="11906" w:h="16838"/>
          <w:pgMar w:top="1417" w:right="1417" w:bottom="1417" w:left="1701" w:header="851" w:footer="992" w:gutter="0"/>
          <w:pgBorders>
            <w:top w:val="none" w:sz="0" w:space="0"/>
            <w:left w:val="none" w:sz="0" w:space="0"/>
            <w:bottom w:val="none" w:sz="0" w:space="0"/>
            <w:right w:val="none" w:sz="0" w:space="0"/>
          </w:pgBorders>
          <w:cols w:space="425" w:num="1"/>
          <w:docGrid w:type="lines" w:linePitch="312" w:charSpace="0"/>
        </w:sectPr>
      </w:pPr>
    </w:p>
    <w:p>
      <w:pPr>
        <w:pStyle w:val="114"/>
        <w:ind w:firstLine="480"/>
      </w:pPr>
      <w:r>
        <w:t>本项目与达州市“三线一单”符合性分析见表1.8-7。</w:t>
      </w:r>
    </w:p>
    <w:p>
      <w:pPr>
        <w:pStyle w:val="39"/>
        <w:rPr>
          <w:rFonts w:cs="Times New Roman"/>
        </w:rPr>
      </w:pPr>
      <w:r>
        <w:rPr>
          <w:rFonts w:cs="Times New Roman"/>
        </w:rPr>
        <w:t>表1.8-7  与达州市“三线一单”符合性</w:t>
      </w:r>
    </w:p>
    <w:tbl>
      <w:tblPr>
        <w:tblStyle w:val="59"/>
        <w:tblW w:w="48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926"/>
        <w:gridCol w:w="1062"/>
        <w:gridCol w:w="7265"/>
        <w:gridCol w:w="2117"/>
        <w:gridCol w:w="13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0281" w:type="dxa"/>
            <w:gridSpan w:val="4"/>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“三线一单”的具体要求</w:t>
            </w:r>
          </w:p>
        </w:tc>
        <w:tc>
          <w:tcPr>
            <w:tcW w:w="2117" w:type="dxa"/>
            <w:vMerge w:val="restart"/>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项目情况</w:t>
            </w:r>
          </w:p>
        </w:tc>
        <w:tc>
          <w:tcPr>
            <w:tcW w:w="1395" w:type="dxa"/>
            <w:vMerge w:val="restart"/>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015" w:type="dxa"/>
            <w:gridSpan w:val="3"/>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类别</w:t>
            </w:r>
          </w:p>
        </w:tc>
        <w:tc>
          <w:tcPr>
            <w:tcW w:w="7266"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对应的管控要求</w:t>
            </w:r>
          </w:p>
        </w:tc>
        <w:tc>
          <w:tcPr>
            <w:tcW w:w="2117"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1395" w:type="dxa"/>
            <w:vMerge w:val="continue"/>
            <w:tcBorders>
              <w:tl2br w:val="nil"/>
              <w:tr2bl w:val="nil"/>
            </w:tcBorders>
            <w:shd w:val="clear" w:color="auto" w:fill="auto"/>
            <w:vAlign w:val="center"/>
          </w:tcPr>
          <w:p>
            <w:pPr>
              <w:pStyle w:val="39"/>
              <w:spacing w:line="240" w:lineRule="auto"/>
              <w:rPr>
                <w:rFonts w:cs="Times New Roman"/>
                <w:b w:val="0"/>
                <w:bCs/>
                <w:kern w:val="2"/>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27" w:type="dxa"/>
            <w:vMerge w:val="restart"/>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宣汉县一般管控单元ZH51172230001</w:t>
            </w:r>
          </w:p>
        </w:tc>
        <w:tc>
          <w:tcPr>
            <w:tcW w:w="926" w:type="dxa"/>
            <w:vMerge w:val="restart"/>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普适性清单管控要求</w:t>
            </w:r>
          </w:p>
        </w:tc>
        <w:tc>
          <w:tcPr>
            <w:tcW w:w="1062"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空间布局约束</w:t>
            </w:r>
          </w:p>
        </w:tc>
        <w:tc>
          <w:tcPr>
            <w:tcW w:w="7266" w:type="dxa"/>
            <w:tcBorders>
              <w:tl2br w:val="nil"/>
              <w:tr2bl w:val="nil"/>
            </w:tcBorders>
            <w:shd w:val="clear" w:color="auto" w:fill="auto"/>
            <w:vAlign w:val="center"/>
          </w:tcPr>
          <w:p>
            <w:pPr>
              <w:pStyle w:val="39"/>
              <w:spacing w:line="240" w:lineRule="auto"/>
              <w:jc w:val="both"/>
              <w:rPr>
                <w:rFonts w:cs="Times New Roman"/>
                <w:b w:val="0"/>
                <w:bCs/>
                <w:kern w:val="2"/>
              </w:rPr>
            </w:pPr>
            <w:r>
              <w:rPr>
                <w:rFonts w:cs="Times New Roman"/>
                <w:b w:val="0"/>
                <w:bCs/>
                <w:kern w:val="2"/>
              </w:rPr>
              <w:t>空间布局约束：</w:t>
            </w:r>
          </w:p>
          <w:p>
            <w:pPr>
              <w:pStyle w:val="39"/>
              <w:spacing w:line="240" w:lineRule="auto"/>
              <w:jc w:val="both"/>
              <w:rPr>
                <w:rFonts w:cs="Times New Roman"/>
                <w:b w:val="0"/>
                <w:bCs/>
                <w:kern w:val="2"/>
              </w:rPr>
            </w:pPr>
            <w:r>
              <w:rPr>
                <w:rFonts w:cs="Times New Roman"/>
                <w:b w:val="0"/>
                <w:bCs/>
                <w:kern w:val="2"/>
              </w:rPr>
              <w:t>禁止开发建设活动的要求</w:t>
            </w:r>
          </w:p>
          <w:p>
            <w:pPr>
              <w:pStyle w:val="39"/>
              <w:spacing w:line="240" w:lineRule="auto"/>
              <w:jc w:val="both"/>
              <w:rPr>
                <w:rFonts w:cs="Times New Roman"/>
                <w:b w:val="0"/>
                <w:bCs/>
                <w:kern w:val="2"/>
              </w:rPr>
            </w:pPr>
            <w:r>
              <w:rPr>
                <w:rFonts w:cs="Times New Roman"/>
                <w:b w:val="0"/>
                <w:bCs/>
                <w:kern w:val="2"/>
              </w:rPr>
              <w:t>-禁止在长江干支流1公里范围内新建、扩建化工园区和化工项目。</w:t>
            </w:r>
          </w:p>
          <w:p>
            <w:pPr>
              <w:pStyle w:val="39"/>
              <w:spacing w:line="240" w:lineRule="auto"/>
              <w:jc w:val="both"/>
              <w:rPr>
                <w:rFonts w:cs="Times New Roman"/>
                <w:b w:val="0"/>
                <w:bCs/>
                <w:kern w:val="2"/>
              </w:rPr>
            </w:pPr>
            <w:r>
              <w:rPr>
                <w:rFonts w:cs="Times New Roman"/>
                <w:b w:val="0"/>
                <w:bCs/>
                <w:kern w:val="2"/>
              </w:rPr>
              <w:t>-禁止在法律法规规定的禁采区内新建矿山；禁止土法采、选、冶严重污染环境的矿产资源。</w:t>
            </w:r>
          </w:p>
          <w:p>
            <w:pPr>
              <w:pStyle w:val="39"/>
              <w:spacing w:line="240" w:lineRule="auto"/>
              <w:jc w:val="both"/>
              <w:rPr>
                <w:rFonts w:cs="Times New Roman"/>
                <w:b w:val="0"/>
                <w:bCs/>
                <w:kern w:val="2"/>
              </w:rPr>
            </w:pPr>
            <w:r>
              <w:rPr>
                <w:rFonts w:cs="Times New Roman"/>
                <w:b w:val="0"/>
                <w:bCs/>
                <w:kern w:val="2"/>
              </w:rPr>
              <w:t>-涉及永久基本农田的区域，除法律规定的重点建设项目选址确实无法避让外，其他任何建设不得占用。</w:t>
            </w:r>
          </w:p>
          <w:p>
            <w:pPr>
              <w:pStyle w:val="39"/>
              <w:spacing w:line="240" w:lineRule="auto"/>
              <w:jc w:val="both"/>
              <w:rPr>
                <w:rFonts w:cs="Times New Roman"/>
                <w:b w:val="0"/>
                <w:bCs/>
                <w:kern w:val="2"/>
              </w:rPr>
            </w:pPr>
            <w:r>
              <w:rPr>
                <w:rFonts w:cs="Times New Roman"/>
                <w:b w:val="0"/>
                <w:bCs/>
                <w:kern w:val="2"/>
              </w:rPr>
              <w:t>-禁止在长江流域河湖管理范围内倾倒、填埋、堆放、弃置、处理固体废物。</w:t>
            </w:r>
          </w:p>
          <w:p>
            <w:pPr>
              <w:pStyle w:val="39"/>
              <w:spacing w:line="240" w:lineRule="auto"/>
              <w:jc w:val="both"/>
              <w:rPr>
                <w:rFonts w:cs="Times New Roman"/>
                <w:b w:val="0"/>
                <w:bCs/>
                <w:kern w:val="2"/>
              </w:rPr>
            </w:pPr>
            <w:r>
              <w:rPr>
                <w:rFonts w:cs="Times New Roman"/>
                <w:b w:val="0"/>
                <w:bCs/>
                <w:kern w:val="2"/>
              </w:rPr>
              <w:t>限制开发建设活动的要求</w:t>
            </w:r>
          </w:p>
          <w:p>
            <w:pPr>
              <w:pStyle w:val="39"/>
              <w:spacing w:line="240" w:lineRule="auto"/>
              <w:jc w:val="both"/>
              <w:rPr>
                <w:rFonts w:cs="Times New Roman"/>
                <w:b w:val="0"/>
                <w:bCs/>
                <w:kern w:val="2"/>
              </w:rPr>
            </w:pPr>
            <w:r>
              <w:rPr>
                <w:rFonts w:cs="Times New Roman"/>
                <w:b w:val="0"/>
                <w:bCs/>
                <w:kern w:val="2"/>
              </w:rPr>
              <w:t>-按照相关要求严控水泥新增产能。</w:t>
            </w:r>
          </w:p>
          <w:p>
            <w:pPr>
              <w:pStyle w:val="39"/>
              <w:spacing w:line="240" w:lineRule="auto"/>
              <w:jc w:val="both"/>
              <w:rPr>
                <w:rFonts w:cs="Times New Roman"/>
                <w:b w:val="0"/>
                <w:bCs/>
                <w:kern w:val="2"/>
              </w:rPr>
            </w:pPr>
            <w:r>
              <w:rPr>
                <w:rFonts w:cs="Times New Roman"/>
                <w:b w:val="0"/>
                <w:bCs/>
                <w:kern w:val="2"/>
              </w:rPr>
              <w:t>涉及法定保护地，严格按照国家及地方法律法规、管理办法等相关要求进行控制。配套旅游、基础设施等建设项目，在符合规划和相关保护要求的前提下，应实施生态避让、减缓影响及生态恢复措施。</w:t>
            </w:r>
          </w:p>
          <w:p>
            <w:pPr>
              <w:pStyle w:val="39"/>
              <w:spacing w:line="240" w:lineRule="auto"/>
              <w:jc w:val="both"/>
              <w:rPr>
                <w:rFonts w:cs="Times New Roman"/>
                <w:b w:val="0"/>
                <w:bCs/>
                <w:kern w:val="2"/>
              </w:rPr>
            </w:pPr>
            <w:r>
              <w:rPr>
                <w:rFonts w:cs="Times New Roman"/>
                <w:b w:val="0"/>
                <w:bCs/>
                <w:kern w:val="2"/>
              </w:rPr>
              <w:t>按照相关要求严控水泥新增产能。</w:t>
            </w:r>
          </w:p>
          <w:p>
            <w:pPr>
              <w:pStyle w:val="39"/>
              <w:spacing w:line="240" w:lineRule="auto"/>
              <w:jc w:val="both"/>
              <w:rPr>
                <w:rFonts w:cs="Times New Roman"/>
                <w:b w:val="0"/>
                <w:bCs/>
                <w:kern w:val="2"/>
              </w:rPr>
            </w:pPr>
            <w:r>
              <w:rPr>
                <w:rFonts w:cs="Times New Roman"/>
                <w:b w:val="0"/>
                <w:bCs/>
                <w:kern w:val="2"/>
              </w:rPr>
              <w:t>禁止在长江干流岸线三公里范围内和重要支流岸线一公里范围内新建、改建、扩建尾矿库；但是以提升安全、生态环境保护水平为目的的改建除外。</w:t>
            </w:r>
          </w:p>
          <w:p>
            <w:pPr>
              <w:pStyle w:val="39"/>
              <w:spacing w:line="240" w:lineRule="auto"/>
              <w:jc w:val="both"/>
              <w:rPr>
                <w:rFonts w:cs="Times New Roman"/>
                <w:b w:val="0"/>
                <w:bCs/>
                <w:kern w:val="2"/>
              </w:rPr>
            </w:pPr>
            <w:r>
              <w:rPr>
                <w:rFonts w:cs="Times New Roman"/>
                <w:b w:val="0"/>
                <w:bCs/>
                <w:kern w:val="2"/>
              </w:rPr>
              <w:t>不符合空间布局要求活动的退出要求</w:t>
            </w:r>
          </w:p>
          <w:p>
            <w:pPr>
              <w:pStyle w:val="39"/>
              <w:spacing w:line="240" w:lineRule="auto"/>
              <w:jc w:val="both"/>
              <w:rPr>
                <w:rFonts w:cs="Times New Roman"/>
                <w:b w:val="0"/>
                <w:bCs/>
                <w:kern w:val="2"/>
              </w:rPr>
            </w:pPr>
            <w:r>
              <w:rPr>
                <w:rFonts w:cs="Times New Roman"/>
                <w:b w:val="0"/>
                <w:bCs/>
                <w:kern w:val="2"/>
              </w:rPr>
              <w:t>针对现有水泥企业，强化污染治理和污染物减排，依法依规整治或搬迁。</w:t>
            </w:r>
          </w:p>
          <w:p>
            <w:pPr>
              <w:pStyle w:val="39"/>
              <w:spacing w:line="240" w:lineRule="auto"/>
              <w:jc w:val="both"/>
              <w:rPr>
                <w:rFonts w:cs="Times New Roman"/>
                <w:b w:val="0"/>
                <w:bCs/>
                <w:kern w:val="2"/>
              </w:rPr>
            </w:pPr>
            <w:r>
              <w:rPr>
                <w:rFonts w:cs="Times New Roman"/>
                <w:b w:val="0"/>
                <w:bCs/>
                <w:kern w:val="2"/>
              </w:rPr>
              <w:t>全面取缔禁养区内规模化畜禽养殖场。</w:t>
            </w:r>
          </w:p>
          <w:p>
            <w:pPr>
              <w:pStyle w:val="39"/>
              <w:spacing w:line="240" w:lineRule="auto"/>
              <w:jc w:val="both"/>
              <w:rPr>
                <w:rFonts w:cs="Times New Roman"/>
                <w:b w:val="0"/>
                <w:bCs/>
                <w:kern w:val="2"/>
              </w:rPr>
            </w:pPr>
            <w:r>
              <w:rPr>
                <w:rFonts w:cs="Times New Roman"/>
                <w:b w:val="0"/>
                <w:bCs/>
                <w:kern w:val="2"/>
              </w:rPr>
              <w:t>2025年基本完成全域内“散乱污”企业整治工作。</w:t>
            </w:r>
          </w:p>
          <w:p>
            <w:pPr>
              <w:pStyle w:val="39"/>
              <w:spacing w:line="240" w:lineRule="auto"/>
              <w:jc w:val="both"/>
              <w:rPr>
                <w:rFonts w:cs="Times New Roman"/>
                <w:b w:val="0"/>
                <w:bCs/>
                <w:kern w:val="2"/>
              </w:rPr>
            </w:pPr>
            <w:r>
              <w:rPr>
                <w:rFonts w:cs="Times New Roman"/>
                <w:b w:val="0"/>
                <w:bCs/>
                <w:kern w:val="2"/>
              </w:rPr>
              <w:t>在全市范围深入开展集中整治“散乱污”工业企业，对不符合产业政策和规划布局的，一律责令停产、限期搬迁或关停；</w:t>
            </w:r>
          </w:p>
          <w:p>
            <w:pPr>
              <w:pStyle w:val="39"/>
              <w:spacing w:line="240" w:lineRule="auto"/>
              <w:jc w:val="both"/>
              <w:rPr>
                <w:rFonts w:cs="Times New Roman"/>
                <w:b w:val="0"/>
                <w:bCs/>
                <w:kern w:val="2"/>
              </w:rPr>
            </w:pPr>
            <w:r>
              <w:rPr>
                <w:rFonts w:cs="Times New Roman"/>
                <w:b w:val="0"/>
                <w:bCs/>
                <w:kern w:val="2"/>
              </w:rPr>
              <w:t>其他空间布局约束要求</w:t>
            </w:r>
          </w:p>
          <w:p>
            <w:pPr>
              <w:pStyle w:val="39"/>
              <w:spacing w:line="240" w:lineRule="auto"/>
              <w:jc w:val="both"/>
              <w:rPr>
                <w:rFonts w:cs="Times New Roman"/>
                <w:b w:val="0"/>
                <w:bCs/>
                <w:kern w:val="2"/>
              </w:rPr>
            </w:pPr>
            <w:r>
              <w:rPr>
                <w:rFonts w:cs="Times New Roman"/>
                <w:b w:val="0"/>
                <w:bCs/>
                <w:kern w:val="2"/>
              </w:rPr>
              <w:t>暂无</w:t>
            </w:r>
          </w:p>
        </w:tc>
        <w:tc>
          <w:tcPr>
            <w:tcW w:w="2117"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本项目符合相关规划，本项目位于宣汉县普光镇</w:t>
            </w:r>
            <w:r>
              <w:rPr>
                <w:rFonts w:hint="eastAsia" w:cs="Times New Roman"/>
                <w:b w:val="0"/>
                <w:bCs/>
                <w:kern w:val="2"/>
              </w:rPr>
              <w:t>塔娅村</w:t>
            </w:r>
            <w:r>
              <w:rPr>
                <w:rFonts w:cs="Times New Roman"/>
                <w:b w:val="0"/>
                <w:bCs/>
                <w:kern w:val="2"/>
              </w:rPr>
              <w:t>，</w:t>
            </w:r>
            <w:r>
              <w:rPr>
                <w:rFonts w:hint="eastAsia" w:cs="Times New Roman"/>
                <w:b w:val="0"/>
                <w:bCs/>
                <w:kern w:val="2"/>
              </w:rPr>
              <w:t>新增</w:t>
            </w:r>
            <w:r>
              <w:rPr>
                <w:rFonts w:cs="Times New Roman"/>
                <w:b w:val="0"/>
                <w:bCs/>
                <w:kern w:val="2"/>
              </w:rPr>
              <w:t>占地不涉及永久基本农田，不属于禁止开发建设活动。</w:t>
            </w:r>
          </w:p>
        </w:tc>
        <w:tc>
          <w:tcPr>
            <w:tcW w:w="1395"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27"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926"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1062"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污染物排放管控</w:t>
            </w:r>
          </w:p>
        </w:tc>
        <w:tc>
          <w:tcPr>
            <w:tcW w:w="7266" w:type="dxa"/>
            <w:tcBorders>
              <w:tl2br w:val="nil"/>
              <w:tr2bl w:val="nil"/>
            </w:tcBorders>
            <w:shd w:val="clear" w:color="auto" w:fill="auto"/>
            <w:vAlign w:val="center"/>
          </w:tcPr>
          <w:p>
            <w:pPr>
              <w:pStyle w:val="39"/>
              <w:spacing w:line="240" w:lineRule="auto"/>
              <w:jc w:val="both"/>
              <w:rPr>
                <w:rFonts w:cs="Times New Roman"/>
                <w:b w:val="0"/>
                <w:bCs/>
                <w:kern w:val="2"/>
              </w:rPr>
            </w:pPr>
            <w:r>
              <w:rPr>
                <w:rFonts w:cs="Times New Roman"/>
                <w:b w:val="0"/>
                <w:bCs/>
                <w:kern w:val="2"/>
              </w:rPr>
              <w:t>污染物排放管控：</w:t>
            </w:r>
          </w:p>
          <w:p>
            <w:pPr>
              <w:pStyle w:val="39"/>
              <w:spacing w:line="240" w:lineRule="auto"/>
              <w:jc w:val="both"/>
              <w:rPr>
                <w:rFonts w:cs="Times New Roman"/>
                <w:b w:val="0"/>
                <w:bCs/>
                <w:kern w:val="2"/>
              </w:rPr>
            </w:pPr>
            <w:r>
              <w:rPr>
                <w:rFonts w:cs="Times New Roman"/>
                <w:b w:val="0"/>
                <w:bCs/>
                <w:kern w:val="2"/>
              </w:rPr>
              <w:t>允许排放量要求</w:t>
            </w:r>
          </w:p>
          <w:p>
            <w:pPr>
              <w:pStyle w:val="39"/>
              <w:spacing w:line="240" w:lineRule="auto"/>
              <w:jc w:val="both"/>
              <w:rPr>
                <w:rFonts w:cs="Times New Roman"/>
                <w:b w:val="0"/>
                <w:bCs/>
                <w:kern w:val="2"/>
              </w:rPr>
            </w:pPr>
            <w:r>
              <w:rPr>
                <w:rFonts w:cs="Times New Roman"/>
                <w:b w:val="0"/>
                <w:bCs/>
                <w:kern w:val="2"/>
              </w:rPr>
              <w:t>暂无</w:t>
            </w:r>
          </w:p>
          <w:p>
            <w:pPr>
              <w:pStyle w:val="39"/>
              <w:spacing w:line="240" w:lineRule="auto"/>
              <w:jc w:val="both"/>
              <w:rPr>
                <w:rFonts w:cs="Times New Roman"/>
                <w:b w:val="0"/>
                <w:bCs/>
                <w:kern w:val="2"/>
              </w:rPr>
            </w:pPr>
            <w:r>
              <w:rPr>
                <w:rFonts w:cs="Times New Roman"/>
                <w:b w:val="0"/>
                <w:bCs/>
                <w:kern w:val="2"/>
              </w:rPr>
              <w:t>现有源提标升级改造</w:t>
            </w:r>
          </w:p>
          <w:p>
            <w:pPr>
              <w:pStyle w:val="39"/>
              <w:spacing w:line="240" w:lineRule="auto"/>
              <w:jc w:val="both"/>
              <w:rPr>
                <w:rFonts w:cs="Times New Roman"/>
                <w:b w:val="0"/>
                <w:bCs/>
                <w:kern w:val="2"/>
              </w:rPr>
            </w:pPr>
            <w:r>
              <w:rPr>
                <w:rFonts w:cs="Times New Roman"/>
                <w:b w:val="0"/>
                <w:bCs/>
                <w:kern w:val="2"/>
              </w:rPr>
              <w:t>加快现有乡镇污水处理设施升级改造，按要求达《城镇污水处理厂污染物排放标准》一级A标后排放。</w:t>
            </w:r>
          </w:p>
          <w:p>
            <w:pPr>
              <w:pStyle w:val="39"/>
              <w:spacing w:line="240" w:lineRule="auto"/>
              <w:jc w:val="both"/>
              <w:rPr>
                <w:rFonts w:cs="Times New Roman"/>
                <w:b w:val="0"/>
                <w:bCs/>
                <w:kern w:val="2"/>
              </w:rPr>
            </w:pPr>
            <w:r>
              <w:rPr>
                <w:rFonts w:cs="Times New Roman"/>
                <w:b w:val="0"/>
                <w:bCs/>
                <w:kern w:val="2"/>
              </w:rPr>
              <w:t>在矿产资源开发活动集中区域，废水执行重金属污染物排放特别限值。</w:t>
            </w:r>
          </w:p>
          <w:p>
            <w:pPr>
              <w:pStyle w:val="39"/>
              <w:spacing w:line="240" w:lineRule="auto"/>
              <w:jc w:val="both"/>
              <w:rPr>
                <w:rFonts w:cs="Times New Roman"/>
                <w:b w:val="0"/>
                <w:bCs/>
                <w:kern w:val="2"/>
              </w:rPr>
            </w:pPr>
            <w:r>
              <w:rPr>
                <w:rFonts w:cs="Times New Roman"/>
                <w:b w:val="0"/>
                <w:bCs/>
                <w:kern w:val="2"/>
              </w:rPr>
              <w:t>火电、水泥等行业按相关要求推进大气污染物超低排放和深度治理。</w:t>
            </w:r>
          </w:p>
          <w:p>
            <w:pPr>
              <w:pStyle w:val="39"/>
              <w:spacing w:line="240" w:lineRule="auto"/>
              <w:jc w:val="both"/>
              <w:rPr>
                <w:rFonts w:cs="Times New Roman"/>
                <w:b w:val="0"/>
                <w:bCs/>
                <w:kern w:val="2"/>
              </w:rPr>
            </w:pPr>
            <w:r>
              <w:rPr>
                <w:rFonts w:cs="Times New Roman"/>
                <w:b w:val="0"/>
                <w:bCs/>
                <w:kern w:val="2"/>
              </w:rPr>
              <w:t>砖瓦行业实施脱硫、除尘升级改造，污染物排放达到《砖瓦工业大气污染物排放标准》相关要求。</w:t>
            </w:r>
          </w:p>
          <w:p>
            <w:pPr>
              <w:pStyle w:val="39"/>
              <w:spacing w:line="240" w:lineRule="auto"/>
              <w:jc w:val="both"/>
              <w:rPr>
                <w:rFonts w:cs="Times New Roman"/>
                <w:b w:val="0"/>
                <w:bCs/>
                <w:kern w:val="2"/>
              </w:rPr>
            </w:pPr>
          </w:p>
          <w:p>
            <w:pPr>
              <w:pStyle w:val="39"/>
              <w:spacing w:line="240" w:lineRule="auto"/>
              <w:jc w:val="both"/>
              <w:rPr>
                <w:rFonts w:cs="Times New Roman"/>
                <w:b w:val="0"/>
                <w:bCs/>
                <w:kern w:val="2"/>
              </w:rPr>
            </w:pPr>
            <w:r>
              <w:rPr>
                <w:rFonts w:cs="Times New Roman"/>
                <w:b w:val="0"/>
                <w:bCs/>
                <w:kern w:val="2"/>
              </w:rPr>
              <w:t>其他污染物排放管控要求</w:t>
            </w:r>
          </w:p>
          <w:p>
            <w:pPr>
              <w:pStyle w:val="39"/>
              <w:spacing w:line="240" w:lineRule="auto"/>
              <w:jc w:val="both"/>
              <w:rPr>
                <w:rFonts w:cs="Times New Roman"/>
                <w:b w:val="0"/>
                <w:bCs/>
                <w:kern w:val="2"/>
              </w:rPr>
            </w:pPr>
            <w:r>
              <w:rPr>
                <w:rFonts w:cs="Times New Roman"/>
                <w:b w:val="0"/>
                <w:bCs/>
                <w:kern w:val="2"/>
              </w:rPr>
              <w:t>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污染物排放绩效水平准入要求:屠宰项目必须配套污水处理设施或进入城市污水管网。</w:t>
            </w:r>
          </w:p>
          <w:p>
            <w:pPr>
              <w:pStyle w:val="39"/>
              <w:spacing w:line="240" w:lineRule="auto"/>
              <w:jc w:val="both"/>
              <w:rPr>
                <w:rFonts w:cs="Times New Roman"/>
                <w:b w:val="0"/>
                <w:bCs/>
                <w:kern w:val="2"/>
              </w:rPr>
            </w:pPr>
            <w:r>
              <w:rPr>
                <w:rFonts w:cs="Times New Roman"/>
                <w:b w:val="0"/>
                <w:bCs/>
                <w:kern w:val="2"/>
              </w:rPr>
              <w:t>大气环境重点管控区内加强“高架源”污染治理，深化施工扬尘监管，严格落实“六必须、六不准”管控要求，强化道路施工管控，提高道路清扫机械化和精细化作业水平。-至2022年底，基本实现乡镇污水处理设施全覆盖，配套建设污水收集管网，乡镇污水处理率达到65%。</w:t>
            </w:r>
          </w:p>
          <w:p>
            <w:pPr>
              <w:pStyle w:val="39"/>
              <w:spacing w:line="240" w:lineRule="auto"/>
              <w:jc w:val="both"/>
              <w:rPr>
                <w:rFonts w:cs="Times New Roman"/>
                <w:b w:val="0"/>
                <w:bCs/>
                <w:kern w:val="2"/>
              </w:rPr>
            </w:pPr>
            <w:r>
              <w:rPr>
                <w:rFonts w:cs="Times New Roman"/>
                <w:b w:val="0"/>
                <w:bCs/>
                <w:kern w:val="2"/>
              </w:rPr>
              <w:t>-到2023年底，力争全市生活垃圾焚烧处理能力占比达60%以上，各县（市）生活垃圾无害化处理率保持95%以上，乡镇及行政村生活垃圾收转运处置体系基本实现全覆盖。</w:t>
            </w:r>
          </w:p>
          <w:p>
            <w:pPr>
              <w:pStyle w:val="39"/>
              <w:spacing w:line="240" w:lineRule="auto"/>
              <w:jc w:val="both"/>
              <w:rPr>
                <w:rFonts w:cs="Times New Roman"/>
                <w:b w:val="0"/>
                <w:bCs/>
                <w:kern w:val="2"/>
              </w:rPr>
            </w:pPr>
            <w:r>
              <w:rPr>
                <w:rFonts w:cs="Times New Roman"/>
                <w:b w:val="0"/>
                <w:bCs/>
                <w:kern w:val="2"/>
              </w:rPr>
              <w:t>-到2025年，农药包装废弃物回收率达80%；粮油绿色高质高效示范区、茶叶主产区和现代农业园区农药包装废弃物回收率100%。</w:t>
            </w:r>
          </w:p>
          <w:p>
            <w:pPr>
              <w:pStyle w:val="39"/>
              <w:spacing w:line="240" w:lineRule="auto"/>
              <w:jc w:val="both"/>
              <w:rPr>
                <w:rFonts w:cs="Times New Roman"/>
                <w:b w:val="0"/>
                <w:bCs/>
                <w:kern w:val="2"/>
              </w:rPr>
            </w:pPr>
            <w:r>
              <w:rPr>
                <w:rFonts w:cs="Times New Roman"/>
                <w:b w:val="0"/>
                <w:bCs/>
                <w:kern w:val="2"/>
              </w:rPr>
              <w:t>-到2025年，全国主要农作物化肥、农药利用率达43%，测土配方施肥技术推广覆盖率保持在90%以上，控制农村面源污染，采取灌排分离等措施控制农田氮磷流失。</w:t>
            </w:r>
          </w:p>
          <w:p>
            <w:pPr>
              <w:pStyle w:val="39"/>
              <w:spacing w:line="240" w:lineRule="auto"/>
              <w:jc w:val="both"/>
              <w:rPr>
                <w:rFonts w:cs="Times New Roman"/>
                <w:b w:val="0"/>
                <w:bCs/>
                <w:kern w:val="2"/>
              </w:rPr>
            </w:pPr>
            <w:r>
              <w:rPr>
                <w:rFonts w:cs="Times New Roman"/>
                <w:b w:val="0"/>
                <w:bCs/>
                <w:kern w:val="2"/>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pStyle w:val="39"/>
              <w:spacing w:line="240" w:lineRule="auto"/>
              <w:jc w:val="both"/>
              <w:rPr>
                <w:rFonts w:cs="Times New Roman"/>
                <w:b w:val="0"/>
                <w:bCs/>
                <w:kern w:val="2"/>
              </w:rPr>
            </w:pPr>
            <w:r>
              <w:rPr>
                <w:rFonts w:cs="Times New Roman"/>
                <w:b w:val="0"/>
                <w:bCs/>
                <w:kern w:val="2"/>
              </w:rPr>
              <w:t>-到2025年，废旧农膜回收利用率达到85%以上。</w:t>
            </w:r>
          </w:p>
        </w:tc>
        <w:tc>
          <w:tcPr>
            <w:tcW w:w="2117"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项目属于天然气钻井及试采工程，不属于火电、水泥、砖瓦等行业。项目废水暂存于废水池，然后通过密闭罐车拉运至大湾 403 污水站处理达到《气田水回注方法》（SY/T 6596-2016）中注入水基本要求后管输至毛开 1 井回注站回注处理，不外排</w:t>
            </w:r>
          </w:p>
        </w:tc>
        <w:tc>
          <w:tcPr>
            <w:tcW w:w="1395"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27"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926"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1062"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环境风险防控</w:t>
            </w:r>
          </w:p>
        </w:tc>
        <w:tc>
          <w:tcPr>
            <w:tcW w:w="7266" w:type="dxa"/>
            <w:tcBorders>
              <w:tl2br w:val="nil"/>
              <w:tr2bl w:val="nil"/>
            </w:tcBorders>
            <w:shd w:val="clear" w:color="auto" w:fill="auto"/>
            <w:vAlign w:val="center"/>
          </w:tcPr>
          <w:p>
            <w:pPr>
              <w:pStyle w:val="39"/>
              <w:spacing w:line="240" w:lineRule="auto"/>
              <w:jc w:val="both"/>
              <w:rPr>
                <w:rFonts w:cs="Times New Roman"/>
                <w:b w:val="0"/>
                <w:bCs/>
                <w:kern w:val="2"/>
              </w:rPr>
            </w:pPr>
            <w:r>
              <w:rPr>
                <w:rFonts w:cs="Times New Roman"/>
                <w:b w:val="0"/>
                <w:bCs/>
                <w:kern w:val="2"/>
              </w:rPr>
              <w:t>环境风险防控：</w:t>
            </w:r>
          </w:p>
          <w:p>
            <w:pPr>
              <w:pStyle w:val="39"/>
              <w:spacing w:line="240" w:lineRule="auto"/>
              <w:jc w:val="both"/>
              <w:rPr>
                <w:rFonts w:cs="Times New Roman"/>
                <w:b w:val="0"/>
                <w:bCs/>
                <w:kern w:val="2"/>
              </w:rPr>
            </w:pPr>
            <w:r>
              <w:rPr>
                <w:rFonts w:cs="Times New Roman"/>
                <w:b w:val="0"/>
                <w:bCs/>
                <w:kern w:val="2"/>
              </w:rPr>
              <w:t>联防联控要求</w:t>
            </w:r>
          </w:p>
          <w:p>
            <w:pPr>
              <w:pStyle w:val="39"/>
              <w:spacing w:line="240" w:lineRule="auto"/>
              <w:jc w:val="both"/>
              <w:rPr>
                <w:rFonts w:cs="Times New Roman"/>
                <w:b w:val="0"/>
                <w:bCs/>
                <w:kern w:val="2"/>
              </w:rPr>
            </w:pPr>
            <w:r>
              <w:rPr>
                <w:rFonts w:cs="Times New Roman"/>
                <w:b w:val="0"/>
                <w:bCs/>
                <w:kern w:val="2"/>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w:t>
            </w:r>
            <w:r>
              <w:rPr>
                <w:rFonts w:hint="eastAsia" w:cs="Times New Roman"/>
                <w:b w:val="0"/>
                <w:bCs/>
                <w:kern w:val="2"/>
                <w:lang w:val="en-US" w:eastAsia="zh-CN"/>
              </w:rPr>
              <w:t>防治</w:t>
            </w:r>
            <w:r>
              <w:rPr>
                <w:rFonts w:cs="Times New Roman"/>
                <w:b w:val="0"/>
                <w:bCs/>
                <w:kern w:val="2"/>
              </w:rPr>
              <w:t>合作</w:t>
            </w:r>
          </w:p>
          <w:p>
            <w:pPr>
              <w:pStyle w:val="39"/>
              <w:spacing w:line="240" w:lineRule="auto"/>
              <w:jc w:val="both"/>
              <w:rPr>
                <w:rFonts w:cs="Times New Roman"/>
                <w:b w:val="0"/>
                <w:bCs/>
                <w:kern w:val="2"/>
              </w:rPr>
            </w:pPr>
            <w:r>
              <w:rPr>
                <w:rFonts w:cs="Times New Roman"/>
                <w:b w:val="0"/>
                <w:bCs/>
                <w:kern w:val="2"/>
              </w:rPr>
              <w:t>其他环境风险防控要求</w:t>
            </w:r>
          </w:p>
          <w:p>
            <w:pPr>
              <w:pStyle w:val="39"/>
              <w:spacing w:line="240" w:lineRule="auto"/>
              <w:jc w:val="both"/>
              <w:rPr>
                <w:rFonts w:cs="Times New Roman"/>
                <w:b w:val="0"/>
                <w:bCs/>
                <w:kern w:val="2"/>
              </w:rPr>
            </w:pPr>
            <w:r>
              <w:rPr>
                <w:rFonts w:cs="Times New Roman"/>
                <w:b w:val="0"/>
                <w:bCs/>
                <w:kern w:val="2"/>
              </w:rPr>
              <w:t>企业环境风险防控要求:工业企业退出用地，须经评估、修复满足相应用地功能后，方可改变用途。</w:t>
            </w:r>
          </w:p>
          <w:p>
            <w:pPr>
              <w:pStyle w:val="39"/>
              <w:spacing w:line="240" w:lineRule="auto"/>
              <w:jc w:val="both"/>
              <w:rPr>
                <w:rFonts w:cs="Times New Roman"/>
                <w:b w:val="0"/>
                <w:bCs/>
                <w:kern w:val="2"/>
              </w:rPr>
            </w:pPr>
            <w:r>
              <w:rPr>
                <w:rFonts w:cs="Times New Roman"/>
                <w:b w:val="0"/>
                <w:bCs/>
                <w:kern w:val="2"/>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严禁将城镇生活垃圾、污泥、工业废物直接用作肥料，禁止处理不达标的污泥进入耕地；禁止在农用地排放、倾倒、使用污泥、清淤底泥、尾矿（渣）等可能对土壤造成污染的固体废物。</w:t>
            </w:r>
          </w:p>
          <w:p>
            <w:pPr>
              <w:pStyle w:val="39"/>
              <w:spacing w:line="240" w:lineRule="auto"/>
              <w:jc w:val="both"/>
              <w:rPr>
                <w:rFonts w:cs="Times New Roman"/>
                <w:b w:val="0"/>
                <w:bCs/>
                <w:kern w:val="2"/>
              </w:rPr>
            </w:pPr>
            <w:r>
              <w:rPr>
                <w:rFonts w:cs="Times New Roman"/>
                <w:b w:val="0"/>
                <w:bCs/>
                <w:kern w:val="2"/>
              </w:rPr>
              <w:t>定期对单元内尾矿库进行风险巡查，建立监测系统和环境风险应急预案；完善各尾矿库渗滤液收集、处理、回用系统，杜绝事故排放；尾矿库闭矿后因地制宜进行植被恢复和综合利用。</w:t>
            </w:r>
          </w:p>
          <w:p>
            <w:pPr>
              <w:pStyle w:val="39"/>
              <w:spacing w:line="240" w:lineRule="auto"/>
              <w:jc w:val="both"/>
              <w:rPr>
                <w:rFonts w:cs="Times New Roman"/>
                <w:b w:val="0"/>
                <w:bCs/>
                <w:kern w:val="2"/>
              </w:rPr>
            </w:pPr>
            <w:r>
              <w:rPr>
                <w:rFonts w:cs="Times New Roman"/>
                <w:b w:val="0"/>
                <w:bCs/>
                <w:kern w:val="2"/>
              </w:rPr>
              <w:t>规范排土场、渣场等整治。禁止处理不达标的污泥进入耕地。</w:t>
            </w:r>
          </w:p>
          <w:p>
            <w:pPr>
              <w:pStyle w:val="39"/>
              <w:spacing w:line="240" w:lineRule="auto"/>
              <w:jc w:val="both"/>
              <w:rPr>
                <w:rFonts w:cs="Times New Roman"/>
                <w:b w:val="0"/>
                <w:bCs/>
                <w:kern w:val="2"/>
              </w:rPr>
            </w:pPr>
            <w:r>
              <w:rPr>
                <w:rFonts w:cs="Times New Roman"/>
                <w:b w:val="0"/>
                <w:bCs/>
                <w:kern w:val="2"/>
              </w:rPr>
              <w:t>严格控制林地、草地、园地的农药使用量，禁止使用高毒、高残留农药。</w:t>
            </w:r>
          </w:p>
          <w:p>
            <w:pPr>
              <w:pStyle w:val="39"/>
              <w:spacing w:line="240" w:lineRule="auto"/>
              <w:jc w:val="both"/>
              <w:rPr>
                <w:rFonts w:cs="Times New Roman"/>
                <w:b w:val="0"/>
                <w:bCs/>
                <w:kern w:val="2"/>
              </w:rPr>
            </w:pPr>
            <w:r>
              <w:rPr>
                <w:rFonts w:cs="Times New Roman"/>
                <w:b w:val="0"/>
                <w:bCs/>
                <w:kern w:val="2"/>
              </w:rPr>
              <w:t>到2030年，全市受污染耕地安全利用率达到95%以上，污染地块安全利用率达到95%以上。</w:t>
            </w:r>
          </w:p>
        </w:tc>
        <w:tc>
          <w:tcPr>
            <w:tcW w:w="2117"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落实本评价相关风险措施后，本项目环境风险可控</w:t>
            </w:r>
          </w:p>
        </w:tc>
        <w:tc>
          <w:tcPr>
            <w:tcW w:w="1395"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27"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926"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1062"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资源开发利用效率</w:t>
            </w:r>
          </w:p>
        </w:tc>
        <w:tc>
          <w:tcPr>
            <w:tcW w:w="7266" w:type="dxa"/>
            <w:tcBorders>
              <w:tl2br w:val="nil"/>
              <w:tr2bl w:val="nil"/>
            </w:tcBorders>
            <w:shd w:val="clear" w:color="auto" w:fill="auto"/>
            <w:vAlign w:val="center"/>
          </w:tcPr>
          <w:p>
            <w:pPr>
              <w:pStyle w:val="39"/>
              <w:spacing w:line="240" w:lineRule="auto"/>
              <w:jc w:val="both"/>
              <w:rPr>
                <w:rFonts w:cs="Times New Roman"/>
                <w:b w:val="0"/>
                <w:bCs/>
                <w:kern w:val="2"/>
              </w:rPr>
            </w:pPr>
            <w:r>
              <w:rPr>
                <w:rFonts w:cs="Times New Roman"/>
                <w:b w:val="0"/>
                <w:bCs/>
                <w:kern w:val="2"/>
              </w:rPr>
              <w:t>资源开发利用效率要求：</w:t>
            </w:r>
          </w:p>
          <w:p>
            <w:pPr>
              <w:pStyle w:val="39"/>
              <w:spacing w:line="240" w:lineRule="auto"/>
              <w:jc w:val="both"/>
              <w:rPr>
                <w:rFonts w:cs="Times New Roman"/>
                <w:b w:val="0"/>
                <w:bCs/>
                <w:kern w:val="2"/>
              </w:rPr>
            </w:pPr>
            <w:r>
              <w:rPr>
                <w:rFonts w:cs="Times New Roman"/>
                <w:b w:val="0"/>
                <w:bCs/>
                <w:kern w:val="2"/>
              </w:rPr>
              <w:t>水资源利用总量要求</w:t>
            </w:r>
          </w:p>
          <w:p>
            <w:pPr>
              <w:pStyle w:val="39"/>
              <w:spacing w:line="240" w:lineRule="auto"/>
              <w:jc w:val="both"/>
              <w:rPr>
                <w:rFonts w:cs="Times New Roman"/>
                <w:b w:val="0"/>
                <w:bCs/>
                <w:kern w:val="2"/>
              </w:rPr>
            </w:pPr>
            <w:r>
              <w:rPr>
                <w:rFonts w:cs="Times New Roman"/>
                <w:b w:val="0"/>
                <w:bCs/>
                <w:kern w:val="2"/>
              </w:rPr>
              <w:t>-到2025年，农田灌溉水有效利用系数达到0.57以上。</w:t>
            </w:r>
          </w:p>
          <w:p>
            <w:pPr>
              <w:pStyle w:val="39"/>
              <w:spacing w:line="240" w:lineRule="auto"/>
              <w:jc w:val="both"/>
              <w:rPr>
                <w:rFonts w:cs="Times New Roman"/>
                <w:b w:val="0"/>
                <w:bCs/>
                <w:kern w:val="2"/>
              </w:rPr>
            </w:pPr>
            <w:r>
              <w:rPr>
                <w:rFonts w:cs="Times New Roman"/>
                <w:b w:val="0"/>
                <w:bCs/>
                <w:kern w:val="2"/>
              </w:rPr>
              <w:t>地下水开采要求</w:t>
            </w:r>
          </w:p>
          <w:p>
            <w:pPr>
              <w:pStyle w:val="39"/>
              <w:spacing w:line="240" w:lineRule="auto"/>
              <w:jc w:val="both"/>
              <w:rPr>
                <w:rFonts w:cs="Times New Roman"/>
                <w:b w:val="0"/>
                <w:bCs/>
                <w:kern w:val="2"/>
              </w:rPr>
            </w:pPr>
            <w:r>
              <w:rPr>
                <w:rFonts w:cs="Times New Roman"/>
                <w:b w:val="0"/>
                <w:bCs/>
                <w:kern w:val="2"/>
              </w:rPr>
              <w:t>以省市下发指标为准</w:t>
            </w:r>
          </w:p>
          <w:p>
            <w:pPr>
              <w:pStyle w:val="39"/>
              <w:spacing w:line="240" w:lineRule="auto"/>
              <w:jc w:val="both"/>
              <w:rPr>
                <w:rFonts w:cs="Times New Roman"/>
                <w:b w:val="0"/>
                <w:bCs/>
                <w:kern w:val="2"/>
              </w:rPr>
            </w:pPr>
            <w:r>
              <w:rPr>
                <w:rFonts w:cs="Times New Roman"/>
                <w:b w:val="0"/>
                <w:bCs/>
                <w:kern w:val="2"/>
              </w:rPr>
              <w:t>能源利用总量及效率要求</w:t>
            </w:r>
          </w:p>
          <w:p>
            <w:pPr>
              <w:pStyle w:val="39"/>
              <w:spacing w:line="240" w:lineRule="auto"/>
              <w:jc w:val="both"/>
              <w:rPr>
                <w:rFonts w:cs="Times New Roman"/>
                <w:b w:val="0"/>
                <w:bCs/>
                <w:kern w:val="2"/>
              </w:rPr>
            </w:pPr>
            <w:r>
              <w:rPr>
                <w:rFonts w:cs="Times New Roman"/>
                <w:b w:val="0"/>
                <w:bCs/>
                <w:kern w:val="2"/>
              </w:rPr>
              <w:t>推进清洁能源的推广使用，全面推进散煤清洁化整治；禁止新建每小时10蒸吨以下的燃煤锅炉及其他燃煤设施。</w:t>
            </w:r>
          </w:p>
          <w:p>
            <w:pPr>
              <w:pStyle w:val="39"/>
              <w:spacing w:line="240" w:lineRule="auto"/>
              <w:jc w:val="both"/>
              <w:rPr>
                <w:rFonts w:cs="Times New Roman"/>
                <w:b w:val="0"/>
                <w:bCs/>
                <w:kern w:val="2"/>
              </w:rPr>
            </w:pPr>
            <w:r>
              <w:rPr>
                <w:rFonts w:cs="Times New Roman"/>
                <w:b w:val="0"/>
                <w:bCs/>
                <w:kern w:val="2"/>
              </w:rPr>
              <w:t>禁止焚烧秸秆和垃圾，到2025年底，秸秆综合利用率达到86%以上。</w:t>
            </w:r>
          </w:p>
          <w:p>
            <w:pPr>
              <w:pStyle w:val="39"/>
              <w:spacing w:line="240" w:lineRule="auto"/>
              <w:jc w:val="both"/>
              <w:rPr>
                <w:rFonts w:cs="Times New Roman"/>
                <w:b w:val="0"/>
                <w:bCs/>
                <w:kern w:val="2"/>
              </w:rPr>
            </w:pPr>
            <w:r>
              <w:rPr>
                <w:rFonts w:cs="Times New Roman"/>
                <w:b w:val="0"/>
                <w:bCs/>
                <w:kern w:val="2"/>
              </w:rPr>
              <w:t>禁燃区要求</w:t>
            </w:r>
          </w:p>
          <w:p>
            <w:pPr>
              <w:pStyle w:val="39"/>
              <w:spacing w:line="240" w:lineRule="auto"/>
              <w:jc w:val="both"/>
              <w:rPr>
                <w:rFonts w:cs="Times New Roman"/>
                <w:b w:val="0"/>
                <w:bCs/>
                <w:kern w:val="2"/>
              </w:rPr>
            </w:pPr>
            <w:r>
              <w:rPr>
                <w:rFonts w:cs="Times New Roman"/>
                <w:b w:val="0"/>
                <w:bCs/>
                <w:kern w:val="2"/>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39"/>
              <w:spacing w:line="240" w:lineRule="auto"/>
              <w:jc w:val="both"/>
              <w:rPr>
                <w:rFonts w:cs="Times New Roman"/>
                <w:b w:val="0"/>
                <w:bCs/>
                <w:kern w:val="2"/>
              </w:rPr>
            </w:pPr>
            <w:r>
              <w:rPr>
                <w:rFonts w:cs="Times New Roman"/>
                <w:b w:val="0"/>
                <w:bCs/>
                <w:kern w:val="2"/>
              </w:rPr>
              <w:t>-禁燃区内禁止销售、燃用高污染燃料；禁止新建、改建、扩建燃用高污染燃料的设施和设备。</w:t>
            </w:r>
          </w:p>
          <w:p>
            <w:pPr>
              <w:pStyle w:val="39"/>
              <w:spacing w:line="240" w:lineRule="auto"/>
              <w:jc w:val="both"/>
              <w:rPr>
                <w:rFonts w:cs="Times New Roman"/>
                <w:b w:val="0"/>
                <w:bCs/>
                <w:kern w:val="2"/>
              </w:rPr>
            </w:pPr>
            <w:r>
              <w:rPr>
                <w:rFonts w:cs="Times New Roman"/>
                <w:b w:val="0"/>
                <w:bCs/>
                <w:kern w:val="2"/>
              </w:rPr>
              <w:t>-禁燃区内已建成的高污染燃料燃用设施由辖区人民政府制定限期改造计划，改用天然气、页岩气、液化石油气、电或其他清洁能源。</w:t>
            </w:r>
          </w:p>
          <w:p>
            <w:pPr>
              <w:pStyle w:val="39"/>
              <w:spacing w:line="240" w:lineRule="auto"/>
              <w:jc w:val="both"/>
              <w:rPr>
                <w:rFonts w:cs="Times New Roman"/>
                <w:b w:val="0"/>
                <w:bCs/>
                <w:kern w:val="2"/>
              </w:rPr>
            </w:pPr>
            <w:r>
              <w:rPr>
                <w:rFonts w:cs="Times New Roman"/>
                <w:b w:val="0"/>
                <w:bCs/>
                <w:kern w:val="2"/>
              </w:rPr>
              <w:t>其他资源利用效率要求</w:t>
            </w:r>
          </w:p>
          <w:p>
            <w:pPr>
              <w:pStyle w:val="39"/>
              <w:spacing w:line="240" w:lineRule="auto"/>
              <w:jc w:val="both"/>
              <w:rPr>
                <w:rFonts w:cs="Times New Roman"/>
                <w:b w:val="0"/>
                <w:bCs/>
                <w:kern w:val="2"/>
              </w:rPr>
            </w:pPr>
            <w:r>
              <w:rPr>
                <w:rFonts w:cs="Times New Roman"/>
                <w:b w:val="0"/>
                <w:bCs/>
                <w:kern w:val="2"/>
              </w:rPr>
              <w:t>暂无</w:t>
            </w:r>
          </w:p>
        </w:tc>
        <w:tc>
          <w:tcPr>
            <w:tcW w:w="2117"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本项目不涉及地下水开采，废水循环使用，符合资源开发</w:t>
            </w:r>
          </w:p>
        </w:tc>
        <w:tc>
          <w:tcPr>
            <w:tcW w:w="1395"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27"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926" w:type="dxa"/>
            <w:vMerge w:val="restart"/>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单元级清单管控要求</w:t>
            </w:r>
          </w:p>
        </w:tc>
        <w:tc>
          <w:tcPr>
            <w:tcW w:w="1062"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空间布局约束</w:t>
            </w:r>
          </w:p>
        </w:tc>
        <w:tc>
          <w:tcPr>
            <w:tcW w:w="7266" w:type="dxa"/>
            <w:tcBorders>
              <w:tl2br w:val="nil"/>
              <w:tr2bl w:val="nil"/>
            </w:tcBorders>
            <w:shd w:val="clear" w:color="auto" w:fill="auto"/>
            <w:vAlign w:val="center"/>
          </w:tcPr>
          <w:p>
            <w:pPr>
              <w:pStyle w:val="39"/>
              <w:spacing w:line="240" w:lineRule="auto"/>
              <w:jc w:val="both"/>
              <w:rPr>
                <w:rFonts w:cs="Times New Roman"/>
                <w:b w:val="0"/>
                <w:bCs/>
                <w:kern w:val="2"/>
              </w:rPr>
            </w:pPr>
            <w:r>
              <w:rPr>
                <w:rFonts w:cs="Times New Roman"/>
                <w:b w:val="0"/>
                <w:bCs/>
                <w:kern w:val="2"/>
              </w:rPr>
              <w:t>禁止开发建设活动的要求</w:t>
            </w:r>
          </w:p>
          <w:p>
            <w:pPr>
              <w:pStyle w:val="39"/>
              <w:spacing w:line="240" w:lineRule="auto"/>
              <w:jc w:val="both"/>
              <w:rPr>
                <w:rFonts w:cs="Times New Roman"/>
                <w:b w:val="0"/>
                <w:bCs/>
                <w:kern w:val="2"/>
              </w:rPr>
            </w:pPr>
            <w:r>
              <w:rPr>
                <w:rFonts w:cs="Times New Roman"/>
                <w:b w:val="0"/>
                <w:bCs/>
                <w:kern w:val="2"/>
              </w:rPr>
              <w:t>同达州市一般管控单元总体准入要求</w:t>
            </w:r>
          </w:p>
          <w:p>
            <w:pPr>
              <w:pStyle w:val="39"/>
              <w:spacing w:line="240" w:lineRule="auto"/>
              <w:jc w:val="both"/>
              <w:rPr>
                <w:rFonts w:cs="Times New Roman"/>
                <w:b w:val="0"/>
                <w:bCs/>
                <w:kern w:val="2"/>
              </w:rPr>
            </w:pPr>
            <w:r>
              <w:rPr>
                <w:rFonts w:cs="Times New Roman"/>
                <w:b w:val="0"/>
                <w:bCs/>
                <w:kern w:val="2"/>
              </w:rPr>
              <w:t>限制开发建设活动的要求</w:t>
            </w:r>
          </w:p>
          <w:p>
            <w:pPr>
              <w:pStyle w:val="39"/>
              <w:spacing w:line="240" w:lineRule="auto"/>
              <w:jc w:val="both"/>
              <w:rPr>
                <w:rFonts w:cs="Times New Roman"/>
                <w:b w:val="0"/>
                <w:bCs/>
                <w:kern w:val="2"/>
              </w:rPr>
            </w:pPr>
            <w:r>
              <w:rPr>
                <w:rFonts w:cs="Times New Roman"/>
                <w:b w:val="0"/>
                <w:bCs/>
                <w:kern w:val="2"/>
              </w:rPr>
              <w:t>对四川省主体功能区划中的农产品主产区，应限制进行大规模高强度工业化城镇化开发，严格控制有色金属冶炼、石油加工、化工、焦化、电镀、制革等产能，原则上不增加产能其他同达州市一般管控单元总体准入要求</w:t>
            </w:r>
          </w:p>
          <w:p>
            <w:pPr>
              <w:pStyle w:val="39"/>
              <w:spacing w:line="240" w:lineRule="auto"/>
              <w:jc w:val="both"/>
              <w:rPr>
                <w:rFonts w:cs="Times New Roman"/>
                <w:b w:val="0"/>
                <w:bCs/>
                <w:kern w:val="2"/>
              </w:rPr>
            </w:pPr>
            <w:r>
              <w:rPr>
                <w:rFonts w:cs="Times New Roman"/>
                <w:b w:val="0"/>
                <w:bCs/>
                <w:kern w:val="2"/>
              </w:rPr>
              <w:t>允许开发建设活动的要求</w:t>
            </w:r>
          </w:p>
          <w:p>
            <w:pPr>
              <w:pStyle w:val="39"/>
              <w:spacing w:line="240" w:lineRule="auto"/>
              <w:jc w:val="both"/>
              <w:rPr>
                <w:rFonts w:cs="Times New Roman"/>
                <w:b w:val="0"/>
                <w:bCs/>
                <w:kern w:val="2"/>
              </w:rPr>
            </w:pPr>
            <w:r>
              <w:rPr>
                <w:rFonts w:cs="Times New Roman"/>
                <w:b w:val="0"/>
                <w:bCs/>
                <w:kern w:val="2"/>
              </w:rPr>
              <w:t>不符合空间布局要求活动的退出要求</w:t>
            </w:r>
          </w:p>
          <w:p>
            <w:pPr>
              <w:pStyle w:val="39"/>
              <w:spacing w:line="240" w:lineRule="auto"/>
              <w:jc w:val="both"/>
              <w:rPr>
                <w:rFonts w:cs="Times New Roman"/>
                <w:b w:val="0"/>
                <w:bCs/>
                <w:kern w:val="2"/>
              </w:rPr>
            </w:pPr>
            <w:r>
              <w:rPr>
                <w:rFonts w:cs="Times New Roman"/>
                <w:b w:val="0"/>
                <w:bCs/>
                <w:kern w:val="2"/>
              </w:rPr>
              <w:t>区外企业：位于城镇空间外的工业园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其他同达州市一般管控单元总体准入要求</w:t>
            </w:r>
          </w:p>
          <w:p>
            <w:pPr>
              <w:pStyle w:val="39"/>
              <w:spacing w:line="240" w:lineRule="auto"/>
              <w:jc w:val="both"/>
              <w:rPr>
                <w:rFonts w:cs="Times New Roman"/>
                <w:b w:val="0"/>
                <w:bCs/>
                <w:kern w:val="2"/>
              </w:rPr>
            </w:pPr>
            <w:r>
              <w:rPr>
                <w:rFonts w:cs="Times New Roman"/>
                <w:b w:val="0"/>
                <w:bCs/>
                <w:kern w:val="2"/>
              </w:rPr>
              <w:t>其他空间布局约束要求</w:t>
            </w:r>
          </w:p>
        </w:tc>
        <w:tc>
          <w:tcPr>
            <w:tcW w:w="2117"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项目位于宣汉县普光镇</w:t>
            </w:r>
            <w:r>
              <w:rPr>
                <w:rFonts w:hint="eastAsia" w:cs="Times New Roman"/>
                <w:b w:val="0"/>
                <w:bCs/>
                <w:kern w:val="2"/>
              </w:rPr>
              <w:t>塔娅村</w:t>
            </w:r>
            <w:r>
              <w:rPr>
                <w:rFonts w:cs="Times New Roman"/>
                <w:b w:val="0"/>
                <w:bCs/>
                <w:kern w:val="2"/>
              </w:rPr>
              <w:t>，属于一般管控单元，不属于禁止开发建设活动</w:t>
            </w:r>
          </w:p>
        </w:tc>
        <w:tc>
          <w:tcPr>
            <w:tcW w:w="1395"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27"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926"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1062"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污染物排放管控</w:t>
            </w:r>
          </w:p>
        </w:tc>
        <w:tc>
          <w:tcPr>
            <w:tcW w:w="7266" w:type="dxa"/>
            <w:tcBorders>
              <w:tl2br w:val="nil"/>
              <w:tr2bl w:val="nil"/>
            </w:tcBorders>
            <w:shd w:val="clear" w:color="auto" w:fill="auto"/>
            <w:vAlign w:val="center"/>
          </w:tcPr>
          <w:p>
            <w:pPr>
              <w:pStyle w:val="39"/>
              <w:spacing w:line="240" w:lineRule="auto"/>
              <w:jc w:val="both"/>
              <w:rPr>
                <w:rFonts w:cs="Times New Roman"/>
                <w:b w:val="0"/>
                <w:bCs/>
                <w:kern w:val="2"/>
              </w:rPr>
            </w:pPr>
            <w:r>
              <w:rPr>
                <w:rFonts w:cs="Times New Roman"/>
                <w:b w:val="0"/>
                <w:bCs/>
                <w:kern w:val="2"/>
              </w:rPr>
              <w:t>现有源提标升级改造</w:t>
            </w:r>
          </w:p>
          <w:p>
            <w:pPr>
              <w:pStyle w:val="39"/>
              <w:spacing w:line="240" w:lineRule="auto"/>
              <w:jc w:val="both"/>
              <w:rPr>
                <w:rFonts w:cs="Times New Roman"/>
                <w:b w:val="0"/>
                <w:bCs/>
                <w:kern w:val="2"/>
              </w:rPr>
            </w:pPr>
            <w:r>
              <w:rPr>
                <w:rFonts w:cs="Times New Roman"/>
                <w:b w:val="0"/>
                <w:bCs/>
                <w:kern w:val="2"/>
              </w:rPr>
              <w:t>同达州市一般管控单元总体准入要求</w:t>
            </w:r>
          </w:p>
          <w:p>
            <w:pPr>
              <w:pStyle w:val="39"/>
              <w:spacing w:line="240" w:lineRule="auto"/>
              <w:jc w:val="both"/>
              <w:rPr>
                <w:rFonts w:cs="Times New Roman"/>
                <w:b w:val="0"/>
                <w:bCs/>
                <w:kern w:val="2"/>
              </w:rPr>
            </w:pPr>
            <w:r>
              <w:rPr>
                <w:rFonts w:cs="Times New Roman"/>
                <w:b w:val="0"/>
                <w:bCs/>
                <w:kern w:val="2"/>
              </w:rPr>
              <w:t>新增源等量或倍量替代</w:t>
            </w:r>
          </w:p>
          <w:p>
            <w:pPr>
              <w:pStyle w:val="39"/>
              <w:spacing w:line="240" w:lineRule="auto"/>
              <w:jc w:val="both"/>
              <w:rPr>
                <w:rFonts w:cs="Times New Roman"/>
                <w:b w:val="0"/>
                <w:bCs/>
                <w:kern w:val="2"/>
              </w:rPr>
            </w:pPr>
            <w:r>
              <w:rPr>
                <w:rFonts w:cs="Times New Roman"/>
                <w:b w:val="0"/>
                <w:bCs/>
                <w:kern w:val="2"/>
              </w:rPr>
              <w:t>同达州市一般管控单元总体准入要求</w:t>
            </w:r>
          </w:p>
          <w:p>
            <w:pPr>
              <w:pStyle w:val="39"/>
              <w:spacing w:line="240" w:lineRule="auto"/>
              <w:jc w:val="both"/>
              <w:rPr>
                <w:rFonts w:cs="Times New Roman"/>
                <w:b w:val="0"/>
                <w:bCs/>
                <w:kern w:val="2"/>
              </w:rPr>
            </w:pPr>
            <w:r>
              <w:rPr>
                <w:rFonts w:cs="Times New Roman"/>
                <w:b w:val="0"/>
                <w:bCs/>
                <w:kern w:val="2"/>
              </w:rPr>
              <w:t>新增源排放标准限值</w:t>
            </w:r>
          </w:p>
          <w:p>
            <w:pPr>
              <w:pStyle w:val="39"/>
              <w:spacing w:line="240" w:lineRule="auto"/>
              <w:jc w:val="both"/>
              <w:rPr>
                <w:rFonts w:cs="Times New Roman"/>
                <w:b w:val="0"/>
                <w:bCs/>
                <w:kern w:val="2"/>
              </w:rPr>
            </w:pPr>
            <w:r>
              <w:rPr>
                <w:rFonts w:cs="Times New Roman"/>
                <w:b w:val="0"/>
                <w:bCs/>
                <w:kern w:val="2"/>
              </w:rPr>
              <w:t>同达州市一般管控单元总体准入要求</w:t>
            </w:r>
          </w:p>
          <w:p>
            <w:pPr>
              <w:pStyle w:val="39"/>
              <w:spacing w:line="240" w:lineRule="auto"/>
              <w:jc w:val="both"/>
              <w:rPr>
                <w:rFonts w:cs="Times New Roman"/>
                <w:b w:val="0"/>
                <w:bCs/>
                <w:kern w:val="2"/>
              </w:rPr>
            </w:pPr>
            <w:r>
              <w:rPr>
                <w:rFonts w:cs="Times New Roman"/>
                <w:b w:val="0"/>
                <w:bCs/>
                <w:kern w:val="2"/>
              </w:rPr>
              <w:t>污染物排放绩效水平准入要求</w:t>
            </w:r>
          </w:p>
          <w:p>
            <w:pPr>
              <w:pStyle w:val="39"/>
              <w:spacing w:line="240" w:lineRule="auto"/>
              <w:jc w:val="both"/>
              <w:rPr>
                <w:rFonts w:cs="Times New Roman"/>
                <w:b w:val="0"/>
                <w:bCs/>
                <w:kern w:val="2"/>
              </w:rPr>
            </w:pPr>
            <w:r>
              <w:rPr>
                <w:rFonts w:cs="Times New Roman"/>
                <w:b w:val="0"/>
                <w:bCs/>
                <w:kern w:val="2"/>
              </w:rPr>
              <w:t>-大气环境布局敏感和弱扩散重点管控区内，现有大气污染重点企业，限期进行深度治理或关停并转。-其它同达州市一般管控单元总体准入要求</w:t>
            </w:r>
          </w:p>
          <w:p>
            <w:pPr>
              <w:pStyle w:val="39"/>
              <w:spacing w:line="240" w:lineRule="auto"/>
              <w:jc w:val="both"/>
              <w:rPr>
                <w:rFonts w:cs="Times New Roman"/>
                <w:b w:val="0"/>
                <w:bCs/>
                <w:kern w:val="2"/>
              </w:rPr>
            </w:pPr>
            <w:r>
              <w:rPr>
                <w:rFonts w:cs="Times New Roman"/>
                <w:b w:val="0"/>
                <w:bCs/>
                <w:kern w:val="2"/>
              </w:rPr>
              <w:t>其他污染物排放管控要求</w:t>
            </w:r>
          </w:p>
        </w:tc>
        <w:tc>
          <w:tcPr>
            <w:tcW w:w="2117"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项目</w:t>
            </w:r>
            <w:r>
              <w:rPr>
                <w:rFonts w:hint="eastAsia" w:cs="Times New Roman"/>
                <w:b w:val="0"/>
                <w:bCs/>
                <w:kern w:val="2"/>
              </w:rPr>
              <w:t>施工期生产废水暂存于废水池，试采期气田水</w:t>
            </w:r>
            <w:r>
              <w:rPr>
                <w:rFonts w:cs="Times New Roman"/>
                <w:b w:val="0"/>
                <w:bCs/>
                <w:kern w:val="2"/>
              </w:rPr>
              <w:t>暂存于</w:t>
            </w:r>
            <w:r>
              <w:rPr>
                <w:rFonts w:hint="eastAsia" w:cs="Times New Roman"/>
                <w:b w:val="0"/>
                <w:bCs/>
                <w:kern w:val="2"/>
              </w:rPr>
              <w:t>酸液缓冲罐</w:t>
            </w:r>
            <w:r>
              <w:rPr>
                <w:rFonts w:cs="Times New Roman"/>
                <w:b w:val="0"/>
                <w:bCs/>
                <w:kern w:val="2"/>
              </w:rPr>
              <w:t>，</w:t>
            </w:r>
            <w:r>
              <w:rPr>
                <w:rFonts w:hint="eastAsia" w:cs="Times New Roman"/>
                <w:b w:val="0"/>
                <w:bCs/>
                <w:kern w:val="2"/>
              </w:rPr>
              <w:t>定期经</w:t>
            </w:r>
            <w:r>
              <w:rPr>
                <w:rFonts w:cs="Times New Roman"/>
                <w:b w:val="0"/>
                <w:bCs/>
                <w:kern w:val="2"/>
              </w:rPr>
              <w:t>密闭罐车拉运至大湾 403 污水站处理达到《气田水回注方法》（SY/T 6596-2016）中注入水基本要求后管输至毛开 1 井回注站回注处理，不外排</w:t>
            </w:r>
          </w:p>
        </w:tc>
        <w:tc>
          <w:tcPr>
            <w:tcW w:w="1395"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27"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926"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1062"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环境风险防控</w:t>
            </w:r>
          </w:p>
        </w:tc>
        <w:tc>
          <w:tcPr>
            <w:tcW w:w="7266"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严格管控类农用地管控要求</w:t>
            </w:r>
          </w:p>
          <w:p>
            <w:pPr>
              <w:pStyle w:val="39"/>
              <w:spacing w:line="240" w:lineRule="auto"/>
              <w:rPr>
                <w:rFonts w:cs="Times New Roman"/>
                <w:b w:val="0"/>
                <w:bCs/>
                <w:kern w:val="2"/>
              </w:rPr>
            </w:pPr>
            <w:r>
              <w:rPr>
                <w:rFonts w:cs="Times New Roman"/>
                <w:b w:val="0"/>
                <w:bCs/>
                <w:kern w:val="2"/>
              </w:rPr>
              <w:t>同达州市一般管控单元总体准入要求</w:t>
            </w:r>
          </w:p>
          <w:p>
            <w:pPr>
              <w:pStyle w:val="39"/>
              <w:spacing w:line="240" w:lineRule="auto"/>
              <w:rPr>
                <w:rFonts w:cs="Times New Roman"/>
                <w:b w:val="0"/>
                <w:bCs/>
                <w:kern w:val="2"/>
              </w:rPr>
            </w:pPr>
            <w:r>
              <w:rPr>
                <w:rFonts w:cs="Times New Roman"/>
                <w:b w:val="0"/>
                <w:bCs/>
                <w:kern w:val="2"/>
              </w:rPr>
              <w:t>安全利用类农用地管控要求</w:t>
            </w:r>
          </w:p>
          <w:p>
            <w:pPr>
              <w:pStyle w:val="39"/>
              <w:spacing w:line="240" w:lineRule="auto"/>
              <w:rPr>
                <w:rFonts w:cs="Times New Roman"/>
                <w:b w:val="0"/>
                <w:bCs/>
                <w:kern w:val="2"/>
              </w:rPr>
            </w:pPr>
            <w:r>
              <w:rPr>
                <w:rFonts w:cs="Times New Roman"/>
                <w:b w:val="0"/>
                <w:bCs/>
                <w:kern w:val="2"/>
              </w:rPr>
              <w:t>同达州市一般管控单元总体准入要求</w:t>
            </w:r>
          </w:p>
          <w:p>
            <w:pPr>
              <w:pStyle w:val="39"/>
              <w:spacing w:line="240" w:lineRule="auto"/>
              <w:rPr>
                <w:rFonts w:cs="Times New Roman"/>
                <w:b w:val="0"/>
                <w:bCs/>
                <w:kern w:val="2"/>
              </w:rPr>
            </w:pPr>
            <w:r>
              <w:rPr>
                <w:rFonts w:cs="Times New Roman"/>
                <w:b w:val="0"/>
                <w:bCs/>
                <w:kern w:val="2"/>
              </w:rPr>
              <w:t>污染地块管控要求</w:t>
            </w:r>
          </w:p>
          <w:p>
            <w:pPr>
              <w:pStyle w:val="39"/>
              <w:spacing w:line="240" w:lineRule="auto"/>
              <w:rPr>
                <w:rFonts w:cs="Times New Roman"/>
                <w:b w:val="0"/>
                <w:bCs/>
                <w:kern w:val="2"/>
              </w:rPr>
            </w:pPr>
            <w:r>
              <w:rPr>
                <w:rFonts w:cs="Times New Roman"/>
                <w:b w:val="0"/>
                <w:bCs/>
                <w:kern w:val="2"/>
              </w:rPr>
              <w:t>同达州市一般管控单元总体准入要求</w:t>
            </w:r>
          </w:p>
          <w:p>
            <w:pPr>
              <w:pStyle w:val="39"/>
              <w:spacing w:line="240" w:lineRule="auto"/>
              <w:rPr>
                <w:rFonts w:cs="Times New Roman"/>
                <w:b w:val="0"/>
                <w:bCs/>
                <w:kern w:val="2"/>
              </w:rPr>
            </w:pPr>
            <w:r>
              <w:rPr>
                <w:rFonts w:cs="Times New Roman"/>
                <w:b w:val="0"/>
                <w:bCs/>
                <w:kern w:val="2"/>
              </w:rPr>
              <w:t>园区环境风险防控要求</w:t>
            </w:r>
          </w:p>
          <w:p>
            <w:pPr>
              <w:pStyle w:val="39"/>
              <w:spacing w:line="240" w:lineRule="auto"/>
              <w:rPr>
                <w:rFonts w:cs="Times New Roman"/>
                <w:b w:val="0"/>
                <w:bCs/>
                <w:kern w:val="2"/>
              </w:rPr>
            </w:pPr>
            <w:r>
              <w:rPr>
                <w:rFonts w:cs="Times New Roman"/>
                <w:b w:val="0"/>
                <w:bCs/>
                <w:kern w:val="2"/>
              </w:rPr>
              <w:t>企业环境风险防控要求</w:t>
            </w:r>
          </w:p>
          <w:p>
            <w:pPr>
              <w:pStyle w:val="39"/>
              <w:spacing w:line="240" w:lineRule="auto"/>
              <w:rPr>
                <w:rFonts w:cs="Times New Roman"/>
                <w:b w:val="0"/>
                <w:bCs/>
                <w:kern w:val="2"/>
              </w:rPr>
            </w:pPr>
            <w:r>
              <w:rPr>
                <w:rFonts w:cs="Times New Roman"/>
                <w:b w:val="0"/>
                <w:bCs/>
                <w:kern w:val="2"/>
              </w:rPr>
              <w:t>同达州市一般管控单元总体准入要求</w:t>
            </w:r>
          </w:p>
          <w:p>
            <w:pPr>
              <w:pStyle w:val="39"/>
              <w:spacing w:line="240" w:lineRule="auto"/>
              <w:rPr>
                <w:rFonts w:cs="Times New Roman"/>
                <w:b w:val="0"/>
                <w:bCs/>
                <w:kern w:val="2"/>
              </w:rPr>
            </w:pPr>
            <w:r>
              <w:rPr>
                <w:rFonts w:cs="Times New Roman"/>
                <w:b w:val="0"/>
                <w:bCs/>
                <w:kern w:val="2"/>
              </w:rPr>
              <w:t>其他环境风险防控要求</w:t>
            </w:r>
          </w:p>
        </w:tc>
        <w:tc>
          <w:tcPr>
            <w:tcW w:w="2117"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落实本评价相关风险措施后，本项目环境风险可控</w:t>
            </w:r>
          </w:p>
        </w:tc>
        <w:tc>
          <w:tcPr>
            <w:tcW w:w="1395"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27"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926"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1062"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资源开发利用效率</w:t>
            </w:r>
          </w:p>
        </w:tc>
        <w:tc>
          <w:tcPr>
            <w:tcW w:w="7266"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水资源利用效率要求</w:t>
            </w:r>
          </w:p>
          <w:p>
            <w:pPr>
              <w:pStyle w:val="39"/>
              <w:spacing w:line="240" w:lineRule="auto"/>
              <w:rPr>
                <w:rFonts w:cs="Times New Roman"/>
                <w:b w:val="0"/>
                <w:bCs/>
                <w:kern w:val="2"/>
              </w:rPr>
            </w:pPr>
            <w:r>
              <w:rPr>
                <w:rFonts w:cs="Times New Roman"/>
                <w:b w:val="0"/>
                <w:bCs/>
                <w:kern w:val="2"/>
              </w:rPr>
              <w:t>同达州市一般管控单元总体准入要求</w:t>
            </w:r>
          </w:p>
          <w:p>
            <w:pPr>
              <w:pStyle w:val="39"/>
              <w:spacing w:line="240" w:lineRule="auto"/>
              <w:rPr>
                <w:rFonts w:cs="Times New Roman"/>
                <w:b w:val="0"/>
                <w:bCs/>
                <w:kern w:val="2"/>
              </w:rPr>
            </w:pPr>
            <w:r>
              <w:rPr>
                <w:rFonts w:cs="Times New Roman"/>
                <w:b w:val="0"/>
                <w:bCs/>
                <w:kern w:val="2"/>
              </w:rPr>
              <w:t>地下水开采要求</w:t>
            </w:r>
          </w:p>
          <w:p>
            <w:pPr>
              <w:pStyle w:val="39"/>
              <w:spacing w:line="240" w:lineRule="auto"/>
              <w:rPr>
                <w:rFonts w:cs="Times New Roman"/>
                <w:b w:val="0"/>
                <w:bCs/>
                <w:kern w:val="2"/>
              </w:rPr>
            </w:pPr>
            <w:r>
              <w:rPr>
                <w:rFonts w:cs="Times New Roman"/>
                <w:b w:val="0"/>
                <w:bCs/>
                <w:kern w:val="2"/>
              </w:rPr>
              <w:t>同达州市一般管控单元总体准入要求</w:t>
            </w:r>
          </w:p>
          <w:p>
            <w:pPr>
              <w:pStyle w:val="39"/>
              <w:spacing w:line="240" w:lineRule="auto"/>
              <w:rPr>
                <w:rFonts w:cs="Times New Roman"/>
                <w:b w:val="0"/>
                <w:bCs/>
                <w:kern w:val="2"/>
              </w:rPr>
            </w:pPr>
            <w:r>
              <w:rPr>
                <w:rFonts w:cs="Times New Roman"/>
                <w:b w:val="0"/>
                <w:bCs/>
                <w:kern w:val="2"/>
              </w:rPr>
              <w:t>能源利用效率要求</w:t>
            </w:r>
          </w:p>
          <w:p>
            <w:pPr>
              <w:pStyle w:val="39"/>
              <w:spacing w:line="240" w:lineRule="auto"/>
              <w:rPr>
                <w:rFonts w:cs="Times New Roman"/>
                <w:b w:val="0"/>
                <w:bCs/>
                <w:kern w:val="2"/>
              </w:rPr>
            </w:pPr>
            <w:r>
              <w:rPr>
                <w:rFonts w:cs="Times New Roman"/>
                <w:b w:val="0"/>
                <w:bCs/>
                <w:kern w:val="2"/>
              </w:rPr>
              <w:t>同达州市一般管控单元总体准入要求</w:t>
            </w:r>
          </w:p>
          <w:p>
            <w:pPr>
              <w:pStyle w:val="39"/>
              <w:spacing w:line="240" w:lineRule="auto"/>
              <w:rPr>
                <w:rFonts w:cs="Times New Roman"/>
                <w:b w:val="0"/>
                <w:bCs/>
                <w:kern w:val="2"/>
              </w:rPr>
            </w:pPr>
            <w:r>
              <w:rPr>
                <w:rFonts w:cs="Times New Roman"/>
                <w:b w:val="0"/>
                <w:bCs/>
                <w:kern w:val="2"/>
              </w:rPr>
              <w:t>其他资源利用效率要求</w:t>
            </w:r>
          </w:p>
        </w:tc>
        <w:tc>
          <w:tcPr>
            <w:tcW w:w="2117"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本项目不涉及地下水开采，废水循环使用，符合资源开发</w:t>
            </w:r>
          </w:p>
        </w:tc>
        <w:tc>
          <w:tcPr>
            <w:tcW w:w="1395"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27" w:type="dxa"/>
            <w:vMerge w:val="restart"/>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水环境分区：州河宣汉县张鼓坪控制单元，编码：YS5117223210001</w:t>
            </w:r>
          </w:p>
        </w:tc>
        <w:tc>
          <w:tcPr>
            <w:tcW w:w="926" w:type="dxa"/>
            <w:vMerge w:val="restart"/>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普适性清单管控要求</w:t>
            </w:r>
          </w:p>
        </w:tc>
        <w:tc>
          <w:tcPr>
            <w:tcW w:w="1062"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空间布局约束</w:t>
            </w:r>
          </w:p>
        </w:tc>
        <w:tc>
          <w:tcPr>
            <w:tcW w:w="7266"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禁止开发建设活动的要求</w:t>
            </w:r>
          </w:p>
          <w:p>
            <w:pPr>
              <w:pStyle w:val="39"/>
              <w:spacing w:line="240" w:lineRule="auto"/>
              <w:rPr>
                <w:rFonts w:cs="Times New Roman"/>
                <w:b w:val="0"/>
                <w:bCs/>
                <w:kern w:val="2"/>
              </w:rPr>
            </w:pPr>
            <w:r>
              <w:rPr>
                <w:rFonts w:cs="Times New Roman"/>
                <w:b w:val="0"/>
                <w:bCs/>
                <w:kern w:val="2"/>
              </w:rPr>
              <w:t>暂无</w:t>
            </w:r>
          </w:p>
          <w:p>
            <w:pPr>
              <w:pStyle w:val="39"/>
              <w:spacing w:line="240" w:lineRule="auto"/>
              <w:rPr>
                <w:rFonts w:cs="Times New Roman"/>
                <w:b w:val="0"/>
                <w:bCs/>
                <w:kern w:val="2"/>
              </w:rPr>
            </w:pPr>
            <w:r>
              <w:rPr>
                <w:rFonts w:cs="Times New Roman"/>
                <w:b w:val="0"/>
                <w:bCs/>
                <w:kern w:val="2"/>
              </w:rPr>
              <w:t>限制开发建设活动的要求</w:t>
            </w:r>
          </w:p>
          <w:p>
            <w:pPr>
              <w:pStyle w:val="39"/>
              <w:spacing w:line="240" w:lineRule="auto"/>
              <w:rPr>
                <w:rFonts w:cs="Times New Roman"/>
                <w:b w:val="0"/>
                <w:bCs/>
                <w:kern w:val="2"/>
              </w:rPr>
            </w:pPr>
            <w:r>
              <w:rPr>
                <w:rFonts w:cs="Times New Roman"/>
                <w:b w:val="0"/>
                <w:bCs/>
                <w:kern w:val="2"/>
              </w:rPr>
              <w:t>暂无</w:t>
            </w:r>
          </w:p>
          <w:p>
            <w:pPr>
              <w:pStyle w:val="39"/>
              <w:spacing w:line="240" w:lineRule="auto"/>
              <w:rPr>
                <w:rFonts w:cs="Times New Roman"/>
                <w:b w:val="0"/>
                <w:bCs/>
                <w:kern w:val="2"/>
              </w:rPr>
            </w:pPr>
            <w:r>
              <w:rPr>
                <w:rFonts w:cs="Times New Roman"/>
                <w:b w:val="0"/>
                <w:bCs/>
                <w:kern w:val="2"/>
              </w:rPr>
              <w:t>不符合空间布局要求活动的退出要求</w:t>
            </w:r>
          </w:p>
          <w:p>
            <w:pPr>
              <w:pStyle w:val="39"/>
              <w:spacing w:line="240" w:lineRule="auto"/>
              <w:rPr>
                <w:rFonts w:cs="Times New Roman"/>
                <w:b w:val="0"/>
                <w:bCs/>
                <w:kern w:val="2"/>
              </w:rPr>
            </w:pPr>
            <w:r>
              <w:rPr>
                <w:rFonts w:cs="Times New Roman"/>
                <w:b w:val="0"/>
                <w:bCs/>
                <w:kern w:val="2"/>
              </w:rPr>
              <w:t>暂无</w:t>
            </w:r>
          </w:p>
          <w:p>
            <w:pPr>
              <w:pStyle w:val="39"/>
              <w:spacing w:line="240" w:lineRule="auto"/>
              <w:rPr>
                <w:rFonts w:cs="Times New Roman"/>
                <w:b w:val="0"/>
                <w:bCs/>
                <w:kern w:val="2"/>
              </w:rPr>
            </w:pPr>
            <w:r>
              <w:rPr>
                <w:rFonts w:cs="Times New Roman"/>
                <w:b w:val="0"/>
                <w:bCs/>
                <w:kern w:val="2"/>
              </w:rPr>
              <w:t>其他空间布局约束要求</w:t>
            </w:r>
          </w:p>
          <w:p>
            <w:pPr>
              <w:pStyle w:val="39"/>
              <w:spacing w:line="240" w:lineRule="auto"/>
              <w:rPr>
                <w:rFonts w:cs="Times New Roman"/>
                <w:b w:val="0"/>
                <w:bCs/>
                <w:kern w:val="2"/>
              </w:rPr>
            </w:pPr>
            <w:r>
              <w:rPr>
                <w:rFonts w:cs="Times New Roman"/>
                <w:b w:val="0"/>
                <w:bCs/>
                <w:kern w:val="2"/>
              </w:rPr>
              <w:t>暂无</w:t>
            </w:r>
          </w:p>
        </w:tc>
        <w:tc>
          <w:tcPr>
            <w:tcW w:w="2117"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无</w:t>
            </w:r>
          </w:p>
        </w:tc>
        <w:tc>
          <w:tcPr>
            <w:tcW w:w="1395"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27"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926"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1062"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污染物排放管控</w:t>
            </w:r>
          </w:p>
        </w:tc>
        <w:tc>
          <w:tcPr>
            <w:tcW w:w="7266"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允许排放量要求</w:t>
            </w:r>
          </w:p>
          <w:p>
            <w:pPr>
              <w:pStyle w:val="39"/>
              <w:spacing w:line="240" w:lineRule="auto"/>
              <w:rPr>
                <w:rFonts w:cs="Times New Roman"/>
                <w:b w:val="0"/>
                <w:bCs/>
                <w:kern w:val="2"/>
              </w:rPr>
            </w:pPr>
            <w:r>
              <w:rPr>
                <w:rFonts w:cs="Times New Roman"/>
                <w:b w:val="0"/>
                <w:bCs/>
                <w:kern w:val="2"/>
              </w:rPr>
              <w:t>暂无</w:t>
            </w:r>
          </w:p>
          <w:p>
            <w:pPr>
              <w:pStyle w:val="39"/>
              <w:spacing w:line="240" w:lineRule="auto"/>
              <w:rPr>
                <w:rFonts w:cs="Times New Roman"/>
                <w:b w:val="0"/>
                <w:bCs/>
                <w:kern w:val="2"/>
              </w:rPr>
            </w:pPr>
            <w:r>
              <w:rPr>
                <w:rFonts w:cs="Times New Roman"/>
                <w:b w:val="0"/>
                <w:bCs/>
                <w:kern w:val="2"/>
              </w:rPr>
              <w:t>现有源提标升级改造</w:t>
            </w:r>
          </w:p>
          <w:p>
            <w:pPr>
              <w:pStyle w:val="39"/>
              <w:spacing w:line="240" w:lineRule="auto"/>
              <w:rPr>
                <w:rFonts w:cs="Times New Roman"/>
                <w:b w:val="0"/>
                <w:bCs/>
                <w:kern w:val="2"/>
              </w:rPr>
            </w:pPr>
            <w:r>
              <w:rPr>
                <w:rFonts w:cs="Times New Roman"/>
                <w:b w:val="0"/>
                <w:bCs/>
                <w:kern w:val="2"/>
              </w:rPr>
              <w:t>暂无</w:t>
            </w:r>
          </w:p>
          <w:p>
            <w:pPr>
              <w:pStyle w:val="39"/>
              <w:spacing w:line="240" w:lineRule="auto"/>
              <w:rPr>
                <w:rFonts w:cs="Times New Roman"/>
                <w:b w:val="0"/>
                <w:bCs/>
                <w:kern w:val="2"/>
              </w:rPr>
            </w:pPr>
            <w:r>
              <w:rPr>
                <w:rFonts w:cs="Times New Roman"/>
                <w:b w:val="0"/>
                <w:bCs/>
                <w:kern w:val="2"/>
              </w:rPr>
              <w:t>其他污染物排放管控要求</w:t>
            </w:r>
          </w:p>
          <w:p>
            <w:pPr>
              <w:pStyle w:val="39"/>
              <w:spacing w:line="240" w:lineRule="auto"/>
              <w:rPr>
                <w:rFonts w:cs="Times New Roman"/>
                <w:b w:val="0"/>
                <w:bCs/>
                <w:kern w:val="2"/>
              </w:rPr>
            </w:pPr>
            <w:r>
              <w:rPr>
                <w:rFonts w:cs="Times New Roman"/>
                <w:b w:val="0"/>
                <w:bCs/>
                <w:kern w:val="2"/>
              </w:rPr>
              <w:t>暂无</w:t>
            </w:r>
          </w:p>
        </w:tc>
        <w:tc>
          <w:tcPr>
            <w:tcW w:w="2117"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无</w:t>
            </w:r>
          </w:p>
        </w:tc>
        <w:tc>
          <w:tcPr>
            <w:tcW w:w="1395"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27"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926"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1062"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环境风险防控</w:t>
            </w:r>
          </w:p>
        </w:tc>
        <w:tc>
          <w:tcPr>
            <w:tcW w:w="7266"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联防联控要求</w:t>
            </w:r>
          </w:p>
          <w:p>
            <w:pPr>
              <w:pStyle w:val="39"/>
              <w:spacing w:line="240" w:lineRule="auto"/>
              <w:rPr>
                <w:rFonts w:cs="Times New Roman"/>
                <w:b w:val="0"/>
                <w:bCs/>
                <w:kern w:val="2"/>
              </w:rPr>
            </w:pPr>
            <w:r>
              <w:rPr>
                <w:rFonts w:cs="Times New Roman"/>
                <w:b w:val="0"/>
                <w:bCs/>
                <w:kern w:val="2"/>
              </w:rPr>
              <w:t>暂无</w:t>
            </w:r>
          </w:p>
          <w:p>
            <w:pPr>
              <w:pStyle w:val="39"/>
              <w:spacing w:line="240" w:lineRule="auto"/>
              <w:rPr>
                <w:rFonts w:cs="Times New Roman"/>
                <w:b w:val="0"/>
                <w:bCs/>
                <w:kern w:val="2"/>
              </w:rPr>
            </w:pPr>
            <w:r>
              <w:rPr>
                <w:rFonts w:cs="Times New Roman"/>
                <w:b w:val="0"/>
                <w:bCs/>
                <w:kern w:val="2"/>
              </w:rPr>
              <w:t>其他环境风险防控要求</w:t>
            </w:r>
          </w:p>
          <w:p>
            <w:pPr>
              <w:pStyle w:val="39"/>
              <w:spacing w:line="240" w:lineRule="auto"/>
              <w:rPr>
                <w:rFonts w:cs="Times New Roman"/>
                <w:b w:val="0"/>
                <w:bCs/>
                <w:kern w:val="2"/>
              </w:rPr>
            </w:pPr>
            <w:r>
              <w:rPr>
                <w:rFonts w:cs="Times New Roman"/>
                <w:b w:val="0"/>
                <w:bCs/>
                <w:kern w:val="2"/>
              </w:rPr>
              <w:t>暂无</w:t>
            </w:r>
          </w:p>
        </w:tc>
        <w:tc>
          <w:tcPr>
            <w:tcW w:w="2117"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无</w:t>
            </w:r>
          </w:p>
        </w:tc>
        <w:tc>
          <w:tcPr>
            <w:tcW w:w="1395"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27"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926"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1062"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资源开发利用效率</w:t>
            </w:r>
          </w:p>
        </w:tc>
        <w:tc>
          <w:tcPr>
            <w:tcW w:w="7266"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水资源利用总量要求</w:t>
            </w:r>
          </w:p>
          <w:p>
            <w:pPr>
              <w:pStyle w:val="39"/>
              <w:spacing w:line="240" w:lineRule="auto"/>
              <w:rPr>
                <w:rFonts w:cs="Times New Roman"/>
                <w:b w:val="0"/>
                <w:bCs/>
                <w:kern w:val="2"/>
              </w:rPr>
            </w:pPr>
            <w:r>
              <w:rPr>
                <w:rFonts w:cs="Times New Roman"/>
                <w:b w:val="0"/>
                <w:bCs/>
                <w:kern w:val="2"/>
              </w:rPr>
              <w:t>暂无</w:t>
            </w:r>
          </w:p>
          <w:p>
            <w:pPr>
              <w:pStyle w:val="39"/>
              <w:spacing w:line="240" w:lineRule="auto"/>
              <w:rPr>
                <w:rFonts w:cs="Times New Roman"/>
                <w:b w:val="0"/>
                <w:bCs/>
                <w:kern w:val="2"/>
              </w:rPr>
            </w:pPr>
            <w:r>
              <w:rPr>
                <w:rFonts w:cs="Times New Roman"/>
                <w:b w:val="0"/>
                <w:bCs/>
                <w:kern w:val="2"/>
              </w:rPr>
              <w:t>地下水开采要求</w:t>
            </w:r>
          </w:p>
          <w:p>
            <w:pPr>
              <w:pStyle w:val="39"/>
              <w:spacing w:line="240" w:lineRule="auto"/>
              <w:rPr>
                <w:rFonts w:cs="Times New Roman"/>
                <w:b w:val="0"/>
                <w:bCs/>
                <w:kern w:val="2"/>
              </w:rPr>
            </w:pPr>
            <w:r>
              <w:rPr>
                <w:rFonts w:cs="Times New Roman"/>
                <w:b w:val="0"/>
                <w:bCs/>
                <w:kern w:val="2"/>
              </w:rPr>
              <w:t>暂无</w:t>
            </w:r>
          </w:p>
          <w:p>
            <w:pPr>
              <w:pStyle w:val="39"/>
              <w:spacing w:line="240" w:lineRule="auto"/>
              <w:rPr>
                <w:rFonts w:cs="Times New Roman"/>
                <w:b w:val="0"/>
                <w:bCs/>
                <w:kern w:val="2"/>
              </w:rPr>
            </w:pPr>
            <w:r>
              <w:rPr>
                <w:rFonts w:cs="Times New Roman"/>
                <w:b w:val="0"/>
                <w:bCs/>
                <w:kern w:val="2"/>
              </w:rPr>
              <w:t>能源利用总量及效率要求</w:t>
            </w:r>
          </w:p>
          <w:p>
            <w:pPr>
              <w:pStyle w:val="39"/>
              <w:spacing w:line="240" w:lineRule="auto"/>
              <w:rPr>
                <w:rFonts w:cs="Times New Roman"/>
                <w:b w:val="0"/>
                <w:bCs/>
                <w:kern w:val="2"/>
              </w:rPr>
            </w:pPr>
            <w:r>
              <w:rPr>
                <w:rFonts w:cs="Times New Roman"/>
                <w:b w:val="0"/>
                <w:bCs/>
                <w:kern w:val="2"/>
              </w:rPr>
              <w:t>暂无</w:t>
            </w:r>
          </w:p>
          <w:p>
            <w:pPr>
              <w:pStyle w:val="39"/>
              <w:spacing w:line="240" w:lineRule="auto"/>
              <w:rPr>
                <w:rFonts w:cs="Times New Roman"/>
                <w:b w:val="0"/>
                <w:bCs/>
                <w:kern w:val="2"/>
              </w:rPr>
            </w:pPr>
            <w:r>
              <w:rPr>
                <w:rFonts w:cs="Times New Roman"/>
                <w:b w:val="0"/>
                <w:bCs/>
                <w:kern w:val="2"/>
              </w:rPr>
              <w:t>禁燃区要求</w:t>
            </w:r>
          </w:p>
          <w:p>
            <w:pPr>
              <w:pStyle w:val="39"/>
              <w:spacing w:line="240" w:lineRule="auto"/>
              <w:rPr>
                <w:rFonts w:cs="Times New Roman"/>
                <w:b w:val="0"/>
                <w:bCs/>
                <w:kern w:val="2"/>
              </w:rPr>
            </w:pPr>
            <w:r>
              <w:rPr>
                <w:rFonts w:cs="Times New Roman"/>
                <w:b w:val="0"/>
                <w:bCs/>
                <w:kern w:val="2"/>
              </w:rPr>
              <w:t>暂无</w:t>
            </w:r>
          </w:p>
          <w:p>
            <w:pPr>
              <w:pStyle w:val="39"/>
              <w:spacing w:line="240" w:lineRule="auto"/>
              <w:rPr>
                <w:rFonts w:cs="Times New Roman"/>
                <w:b w:val="0"/>
                <w:bCs/>
                <w:kern w:val="2"/>
              </w:rPr>
            </w:pPr>
            <w:r>
              <w:rPr>
                <w:rFonts w:cs="Times New Roman"/>
                <w:b w:val="0"/>
                <w:bCs/>
                <w:kern w:val="2"/>
              </w:rPr>
              <w:t>其他资源利用效率要求</w:t>
            </w:r>
          </w:p>
          <w:p>
            <w:pPr>
              <w:pStyle w:val="39"/>
              <w:spacing w:line="240" w:lineRule="auto"/>
              <w:rPr>
                <w:rFonts w:cs="Times New Roman"/>
                <w:b w:val="0"/>
                <w:bCs/>
                <w:kern w:val="2"/>
              </w:rPr>
            </w:pPr>
            <w:r>
              <w:rPr>
                <w:rFonts w:cs="Times New Roman"/>
                <w:b w:val="0"/>
                <w:bCs/>
                <w:kern w:val="2"/>
              </w:rPr>
              <w:t>暂无</w:t>
            </w:r>
          </w:p>
        </w:tc>
        <w:tc>
          <w:tcPr>
            <w:tcW w:w="2117"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无</w:t>
            </w:r>
          </w:p>
        </w:tc>
        <w:tc>
          <w:tcPr>
            <w:tcW w:w="1395"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27"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926" w:type="dxa"/>
            <w:vMerge w:val="restart"/>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单元级清单管控要求</w:t>
            </w:r>
          </w:p>
        </w:tc>
        <w:tc>
          <w:tcPr>
            <w:tcW w:w="1062"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空间布局约束</w:t>
            </w:r>
          </w:p>
        </w:tc>
        <w:tc>
          <w:tcPr>
            <w:tcW w:w="7266" w:type="dxa"/>
            <w:tcBorders>
              <w:tl2br w:val="nil"/>
              <w:tr2bl w:val="nil"/>
            </w:tcBorders>
            <w:shd w:val="clear" w:color="auto" w:fill="auto"/>
            <w:vAlign w:val="center"/>
          </w:tcPr>
          <w:p>
            <w:pPr>
              <w:pStyle w:val="807"/>
              <w:widowControl/>
              <w:shd w:val="clear" w:color="auto" w:fill="FFFFFF"/>
              <w:spacing w:line="240" w:lineRule="auto"/>
              <w:ind w:firstLine="0" w:firstLineChars="0"/>
              <w:jc w:val="left"/>
              <w:rPr>
                <w:rFonts w:eastAsia="宋体"/>
                <w:sz w:val="21"/>
              </w:rPr>
            </w:pPr>
            <w:r>
              <w:rPr>
                <w:rFonts w:eastAsia="宋体"/>
                <w:sz w:val="21"/>
              </w:rPr>
              <w:t>禁止开发建设活动的要求</w:t>
            </w:r>
          </w:p>
          <w:p>
            <w:pPr>
              <w:pStyle w:val="807"/>
              <w:widowControl/>
              <w:shd w:val="clear" w:color="auto" w:fill="FFFFFF"/>
              <w:spacing w:line="240" w:lineRule="auto"/>
              <w:ind w:firstLine="0" w:firstLineChars="0"/>
              <w:jc w:val="left"/>
              <w:rPr>
                <w:rFonts w:eastAsia="宋体"/>
                <w:sz w:val="21"/>
              </w:rPr>
            </w:pPr>
            <w:r>
              <w:rPr>
                <w:rFonts w:eastAsia="宋体"/>
                <w:sz w:val="21"/>
              </w:rPr>
              <w:t>限制开发建设活动的要求</w:t>
            </w:r>
          </w:p>
          <w:p>
            <w:pPr>
              <w:pStyle w:val="807"/>
              <w:widowControl/>
              <w:shd w:val="clear" w:color="auto" w:fill="FFFFFF"/>
              <w:spacing w:line="240" w:lineRule="auto"/>
              <w:ind w:firstLine="0" w:firstLineChars="0"/>
              <w:jc w:val="left"/>
              <w:rPr>
                <w:rFonts w:eastAsia="宋体"/>
                <w:sz w:val="21"/>
              </w:rPr>
            </w:pPr>
            <w:r>
              <w:rPr>
                <w:rFonts w:eastAsia="宋体"/>
                <w:sz w:val="21"/>
              </w:rPr>
              <w:t>允许开发建设活动的要求</w:t>
            </w:r>
          </w:p>
          <w:p>
            <w:pPr>
              <w:pStyle w:val="807"/>
              <w:widowControl/>
              <w:shd w:val="clear" w:color="auto" w:fill="FFFFFF"/>
              <w:spacing w:line="240" w:lineRule="auto"/>
              <w:ind w:firstLine="0" w:firstLineChars="0"/>
              <w:jc w:val="left"/>
              <w:rPr>
                <w:rFonts w:eastAsia="宋体"/>
                <w:sz w:val="21"/>
              </w:rPr>
            </w:pPr>
            <w:r>
              <w:rPr>
                <w:rFonts w:eastAsia="宋体"/>
                <w:sz w:val="21"/>
              </w:rPr>
              <w:t>不符合空间布局要求活动的退出要求</w:t>
            </w:r>
          </w:p>
          <w:p>
            <w:pPr>
              <w:pStyle w:val="807"/>
              <w:widowControl/>
              <w:shd w:val="clear" w:color="auto" w:fill="FFFFFF"/>
              <w:spacing w:line="240" w:lineRule="auto"/>
              <w:ind w:firstLine="0" w:firstLineChars="0"/>
              <w:jc w:val="left"/>
              <w:rPr>
                <w:bCs/>
              </w:rPr>
            </w:pPr>
            <w:r>
              <w:rPr>
                <w:rFonts w:eastAsia="宋体"/>
                <w:sz w:val="21"/>
              </w:rPr>
              <w:t>其他空间布局约束要求</w:t>
            </w:r>
          </w:p>
        </w:tc>
        <w:tc>
          <w:tcPr>
            <w:tcW w:w="2117"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本项目符合相关规划，不属于上述禁止、限制类建设项目</w:t>
            </w:r>
          </w:p>
        </w:tc>
        <w:tc>
          <w:tcPr>
            <w:tcW w:w="1395"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27"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926"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1062"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污染物排放管控</w:t>
            </w:r>
          </w:p>
        </w:tc>
        <w:tc>
          <w:tcPr>
            <w:tcW w:w="7266" w:type="dxa"/>
            <w:tcBorders>
              <w:tl2br w:val="nil"/>
              <w:tr2bl w:val="nil"/>
            </w:tcBorders>
            <w:shd w:val="clear" w:color="auto" w:fill="auto"/>
            <w:vAlign w:val="center"/>
          </w:tcPr>
          <w:p>
            <w:pPr>
              <w:pStyle w:val="807"/>
              <w:widowControl/>
              <w:shd w:val="clear" w:color="auto" w:fill="FFFFFF"/>
              <w:spacing w:line="240" w:lineRule="auto"/>
              <w:ind w:firstLine="0" w:firstLineChars="0"/>
              <w:jc w:val="left"/>
              <w:rPr>
                <w:rFonts w:eastAsia="宋体"/>
                <w:sz w:val="21"/>
              </w:rPr>
            </w:pPr>
            <w:r>
              <w:rPr>
                <w:rFonts w:eastAsia="宋体"/>
                <w:sz w:val="21"/>
              </w:rPr>
              <w:t>城镇污水污染控制措施要求</w:t>
            </w:r>
          </w:p>
          <w:p>
            <w:pPr>
              <w:pStyle w:val="807"/>
              <w:widowControl/>
              <w:shd w:val="clear" w:color="auto" w:fill="FFFFFF"/>
              <w:spacing w:line="240" w:lineRule="auto"/>
              <w:ind w:firstLine="0" w:firstLineChars="0"/>
              <w:jc w:val="left"/>
              <w:rPr>
                <w:rFonts w:eastAsia="宋体"/>
                <w:sz w:val="21"/>
              </w:rPr>
            </w:pPr>
            <w:r>
              <w:rPr>
                <w:rFonts w:eastAsia="宋体"/>
                <w:sz w:val="21"/>
              </w:rPr>
              <w:t>工业废水污染控制措施要求</w:t>
            </w:r>
          </w:p>
          <w:p>
            <w:pPr>
              <w:pStyle w:val="807"/>
              <w:widowControl/>
              <w:shd w:val="clear" w:color="auto" w:fill="FFFFFF"/>
              <w:spacing w:line="240" w:lineRule="auto"/>
              <w:ind w:firstLine="0" w:firstLineChars="0"/>
              <w:jc w:val="left"/>
              <w:rPr>
                <w:rFonts w:eastAsia="宋体"/>
                <w:sz w:val="21"/>
              </w:rPr>
            </w:pPr>
            <w:r>
              <w:rPr>
                <w:rFonts w:eastAsia="宋体"/>
                <w:sz w:val="21"/>
              </w:rPr>
              <w:t>农业面源水污染控制措施要求</w:t>
            </w:r>
          </w:p>
          <w:p>
            <w:pPr>
              <w:pStyle w:val="807"/>
              <w:widowControl/>
              <w:shd w:val="clear" w:color="auto" w:fill="FFFFFF"/>
              <w:spacing w:line="240" w:lineRule="auto"/>
              <w:ind w:firstLine="0" w:firstLineChars="0"/>
              <w:jc w:val="left"/>
              <w:rPr>
                <w:rFonts w:eastAsia="宋体"/>
                <w:sz w:val="21"/>
              </w:rPr>
            </w:pPr>
            <w:r>
              <w:rPr>
                <w:rFonts w:eastAsia="宋体"/>
                <w:sz w:val="21"/>
              </w:rPr>
              <w:t>船舶港口水污染控制措施要求</w:t>
            </w:r>
          </w:p>
          <w:p>
            <w:pPr>
              <w:pStyle w:val="807"/>
              <w:widowControl/>
              <w:shd w:val="clear" w:color="auto" w:fill="FFFFFF"/>
              <w:spacing w:line="240" w:lineRule="auto"/>
              <w:ind w:firstLine="0" w:firstLineChars="0"/>
              <w:jc w:val="left"/>
              <w:rPr>
                <w:bCs/>
              </w:rPr>
            </w:pPr>
            <w:r>
              <w:rPr>
                <w:rFonts w:eastAsia="宋体"/>
                <w:sz w:val="21"/>
              </w:rPr>
              <w:t>饮用水水源和其它特殊水体保护要求</w:t>
            </w:r>
          </w:p>
        </w:tc>
        <w:tc>
          <w:tcPr>
            <w:tcW w:w="2117"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项目施工期生产废水暂存于废水池，试采期气田水暂存于酸液缓冲罐，然后通过密闭罐车拉运至大湾 403 污水站处理达到《气田水回注方法》（SY/T 6596-2016）中注入水基本要求后管输至毛开 1 井回注站回注处理，不外排</w:t>
            </w:r>
          </w:p>
        </w:tc>
        <w:tc>
          <w:tcPr>
            <w:tcW w:w="1395"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27"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926"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1062"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环境风险防控</w:t>
            </w:r>
          </w:p>
        </w:tc>
        <w:tc>
          <w:tcPr>
            <w:tcW w:w="7266" w:type="dxa"/>
            <w:tcBorders>
              <w:tl2br w:val="nil"/>
              <w:tr2bl w:val="nil"/>
            </w:tcBorders>
            <w:shd w:val="clear" w:color="auto" w:fill="auto"/>
            <w:vAlign w:val="center"/>
          </w:tcPr>
          <w:p>
            <w:pPr>
              <w:pStyle w:val="807"/>
              <w:widowControl/>
              <w:shd w:val="clear" w:color="auto" w:fill="FFFFFF"/>
              <w:spacing w:line="240" w:lineRule="auto"/>
              <w:ind w:firstLine="0" w:firstLineChars="0"/>
              <w:jc w:val="left"/>
              <w:rPr>
                <w:bCs/>
              </w:rPr>
            </w:pPr>
            <w:r>
              <w:rPr>
                <w:rFonts w:eastAsia="宋体"/>
                <w:sz w:val="21"/>
              </w:rPr>
              <w:t>/</w:t>
            </w:r>
          </w:p>
        </w:tc>
        <w:tc>
          <w:tcPr>
            <w:tcW w:w="2117"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w:t>
            </w:r>
          </w:p>
        </w:tc>
        <w:tc>
          <w:tcPr>
            <w:tcW w:w="1395"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27"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926"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1062"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资源开发利用效率</w:t>
            </w:r>
          </w:p>
        </w:tc>
        <w:tc>
          <w:tcPr>
            <w:tcW w:w="7266" w:type="dxa"/>
            <w:tcBorders>
              <w:tl2br w:val="nil"/>
              <w:tr2bl w:val="nil"/>
            </w:tcBorders>
            <w:shd w:val="clear" w:color="auto" w:fill="auto"/>
            <w:vAlign w:val="center"/>
          </w:tcPr>
          <w:p>
            <w:pPr>
              <w:pStyle w:val="807"/>
              <w:widowControl/>
              <w:shd w:val="clear" w:color="auto" w:fill="FFFFFF"/>
              <w:spacing w:line="240" w:lineRule="auto"/>
              <w:ind w:firstLine="0" w:firstLineChars="0"/>
              <w:jc w:val="left"/>
              <w:rPr>
                <w:bCs/>
              </w:rPr>
            </w:pPr>
            <w:r>
              <w:rPr>
                <w:rFonts w:eastAsia="宋体"/>
                <w:sz w:val="21"/>
              </w:rPr>
              <w:t>/</w:t>
            </w:r>
          </w:p>
        </w:tc>
        <w:tc>
          <w:tcPr>
            <w:tcW w:w="2117"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落实本评价相关风险措施后，本项目环境风险可控</w:t>
            </w:r>
          </w:p>
        </w:tc>
        <w:tc>
          <w:tcPr>
            <w:tcW w:w="1395"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27" w:type="dxa"/>
            <w:vMerge w:val="restart"/>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宣汉县大气环境一般管控区：YS5117223310001</w:t>
            </w:r>
          </w:p>
        </w:tc>
        <w:tc>
          <w:tcPr>
            <w:tcW w:w="926" w:type="dxa"/>
            <w:vMerge w:val="restart"/>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普适性清单管控要求</w:t>
            </w:r>
          </w:p>
          <w:p>
            <w:pPr>
              <w:pStyle w:val="39"/>
              <w:spacing w:line="240" w:lineRule="auto"/>
              <w:rPr>
                <w:rFonts w:cs="Times New Roman"/>
                <w:b w:val="0"/>
                <w:bCs/>
                <w:kern w:val="2"/>
              </w:rPr>
            </w:pPr>
          </w:p>
        </w:tc>
        <w:tc>
          <w:tcPr>
            <w:tcW w:w="1062"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空间布局约束</w:t>
            </w:r>
          </w:p>
        </w:tc>
        <w:tc>
          <w:tcPr>
            <w:tcW w:w="7266"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禁止开发建设活动的要求</w:t>
            </w:r>
          </w:p>
          <w:p>
            <w:pPr>
              <w:pStyle w:val="39"/>
              <w:spacing w:line="240" w:lineRule="auto"/>
              <w:rPr>
                <w:rFonts w:cs="Times New Roman"/>
                <w:b w:val="0"/>
                <w:bCs/>
                <w:kern w:val="2"/>
              </w:rPr>
            </w:pPr>
            <w:r>
              <w:rPr>
                <w:rFonts w:cs="Times New Roman"/>
                <w:b w:val="0"/>
                <w:bCs/>
                <w:kern w:val="2"/>
              </w:rPr>
              <w:t>暂无</w:t>
            </w:r>
          </w:p>
          <w:p>
            <w:pPr>
              <w:pStyle w:val="39"/>
              <w:spacing w:line="240" w:lineRule="auto"/>
              <w:rPr>
                <w:rFonts w:cs="Times New Roman"/>
                <w:b w:val="0"/>
                <w:bCs/>
                <w:kern w:val="2"/>
              </w:rPr>
            </w:pPr>
            <w:r>
              <w:rPr>
                <w:rFonts w:cs="Times New Roman"/>
                <w:b w:val="0"/>
                <w:bCs/>
                <w:kern w:val="2"/>
              </w:rPr>
              <w:t>限制开发建设活动的要求</w:t>
            </w:r>
          </w:p>
          <w:p>
            <w:pPr>
              <w:pStyle w:val="39"/>
              <w:spacing w:line="240" w:lineRule="auto"/>
              <w:rPr>
                <w:rFonts w:cs="Times New Roman"/>
                <w:b w:val="0"/>
                <w:bCs/>
                <w:kern w:val="2"/>
              </w:rPr>
            </w:pPr>
            <w:r>
              <w:rPr>
                <w:rFonts w:cs="Times New Roman"/>
                <w:b w:val="0"/>
                <w:bCs/>
                <w:kern w:val="2"/>
              </w:rPr>
              <w:t>暂无</w:t>
            </w:r>
          </w:p>
          <w:p>
            <w:pPr>
              <w:pStyle w:val="39"/>
              <w:spacing w:line="240" w:lineRule="auto"/>
              <w:rPr>
                <w:rFonts w:cs="Times New Roman"/>
                <w:b w:val="0"/>
                <w:bCs/>
                <w:kern w:val="2"/>
              </w:rPr>
            </w:pPr>
            <w:r>
              <w:rPr>
                <w:rFonts w:cs="Times New Roman"/>
                <w:b w:val="0"/>
                <w:bCs/>
                <w:kern w:val="2"/>
              </w:rPr>
              <w:t>不符合空间布局要求活动的退出要求</w:t>
            </w:r>
          </w:p>
          <w:p>
            <w:pPr>
              <w:pStyle w:val="39"/>
              <w:spacing w:line="240" w:lineRule="auto"/>
              <w:rPr>
                <w:rFonts w:cs="Times New Roman"/>
                <w:b w:val="0"/>
                <w:bCs/>
                <w:kern w:val="2"/>
              </w:rPr>
            </w:pPr>
            <w:r>
              <w:rPr>
                <w:rFonts w:cs="Times New Roman"/>
                <w:b w:val="0"/>
                <w:bCs/>
                <w:kern w:val="2"/>
              </w:rPr>
              <w:t>暂无</w:t>
            </w:r>
          </w:p>
          <w:p>
            <w:pPr>
              <w:pStyle w:val="39"/>
              <w:spacing w:line="240" w:lineRule="auto"/>
              <w:rPr>
                <w:rFonts w:cs="Times New Roman"/>
                <w:b w:val="0"/>
                <w:bCs/>
                <w:kern w:val="2"/>
              </w:rPr>
            </w:pPr>
            <w:r>
              <w:rPr>
                <w:rFonts w:cs="Times New Roman"/>
                <w:b w:val="0"/>
                <w:bCs/>
                <w:kern w:val="2"/>
              </w:rPr>
              <w:t>其他空间布局约束要求</w:t>
            </w:r>
          </w:p>
          <w:p>
            <w:pPr>
              <w:pStyle w:val="39"/>
              <w:spacing w:line="240" w:lineRule="auto"/>
              <w:rPr>
                <w:rFonts w:cs="Times New Roman"/>
                <w:b w:val="0"/>
                <w:bCs/>
                <w:kern w:val="2"/>
              </w:rPr>
            </w:pPr>
            <w:r>
              <w:rPr>
                <w:rFonts w:cs="Times New Roman"/>
                <w:b w:val="0"/>
                <w:bCs/>
                <w:kern w:val="2"/>
              </w:rPr>
              <w:t>暂无</w:t>
            </w:r>
          </w:p>
        </w:tc>
        <w:tc>
          <w:tcPr>
            <w:tcW w:w="2117"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无</w:t>
            </w:r>
          </w:p>
        </w:tc>
        <w:tc>
          <w:tcPr>
            <w:tcW w:w="1395"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27"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926"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1062"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污染物排放管控</w:t>
            </w:r>
          </w:p>
        </w:tc>
        <w:tc>
          <w:tcPr>
            <w:tcW w:w="7266"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允许排放量要求</w:t>
            </w:r>
          </w:p>
          <w:p>
            <w:pPr>
              <w:pStyle w:val="39"/>
              <w:spacing w:line="240" w:lineRule="auto"/>
              <w:rPr>
                <w:rFonts w:cs="Times New Roman"/>
                <w:b w:val="0"/>
                <w:bCs/>
                <w:kern w:val="2"/>
              </w:rPr>
            </w:pPr>
            <w:r>
              <w:rPr>
                <w:rFonts w:cs="Times New Roman"/>
                <w:b w:val="0"/>
                <w:bCs/>
                <w:kern w:val="2"/>
              </w:rPr>
              <w:t>暂无</w:t>
            </w:r>
          </w:p>
          <w:p>
            <w:pPr>
              <w:pStyle w:val="39"/>
              <w:spacing w:line="240" w:lineRule="auto"/>
              <w:rPr>
                <w:rFonts w:cs="Times New Roman"/>
                <w:b w:val="0"/>
                <w:bCs/>
                <w:kern w:val="2"/>
              </w:rPr>
            </w:pPr>
            <w:r>
              <w:rPr>
                <w:rFonts w:cs="Times New Roman"/>
                <w:b w:val="0"/>
                <w:bCs/>
                <w:kern w:val="2"/>
              </w:rPr>
              <w:t>现有源提标升级改造</w:t>
            </w:r>
          </w:p>
          <w:p>
            <w:pPr>
              <w:pStyle w:val="39"/>
              <w:spacing w:line="240" w:lineRule="auto"/>
              <w:rPr>
                <w:rFonts w:cs="Times New Roman"/>
                <w:b w:val="0"/>
                <w:bCs/>
                <w:kern w:val="2"/>
              </w:rPr>
            </w:pPr>
            <w:r>
              <w:rPr>
                <w:rFonts w:cs="Times New Roman"/>
                <w:b w:val="0"/>
                <w:bCs/>
                <w:kern w:val="2"/>
              </w:rPr>
              <w:t>暂无</w:t>
            </w:r>
          </w:p>
          <w:p>
            <w:pPr>
              <w:pStyle w:val="39"/>
              <w:spacing w:line="240" w:lineRule="auto"/>
              <w:rPr>
                <w:rFonts w:cs="Times New Roman"/>
                <w:b w:val="0"/>
                <w:bCs/>
                <w:kern w:val="2"/>
              </w:rPr>
            </w:pPr>
            <w:r>
              <w:rPr>
                <w:rFonts w:cs="Times New Roman"/>
                <w:b w:val="0"/>
                <w:bCs/>
                <w:kern w:val="2"/>
              </w:rPr>
              <w:t>其他污染物排放管控要求</w:t>
            </w:r>
          </w:p>
          <w:p>
            <w:pPr>
              <w:pStyle w:val="39"/>
              <w:spacing w:line="240" w:lineRule="auto"/>
              <w:rPr>
                <w:rFonts w:cs="Times New Roman"/>
                <w:b w:val="0"/>
                <w:bCs/>
                <w:kern w:val="2"/>
              </w:rPr>
            </w:pPr>
            <w:r>
              <w:rPr>
                <w:rFonts w:cs="Times New Roman"/>
                <w:b w:val="0"/>
                <w:bCs/>
                <w:kern w:val="2"/>
              </w:rPr>
              <w:t>暂无</w:t>
            </w:r>
          </w:p>
        </w:tc>
        <w:tc>
          <w:tcPr>
            <w:tcW w:w="2117"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无</w:t>
            </w:r>
          </w:p>
        </w:tc>
        <w:tc>
          <w:tcPr>
            <w:tcW w:w="1395"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27"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926"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1062"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环境风险防控</w:t>
            </w:r>
          </w:p>
        </w:tc>
        <w:tc>
          <w:tcPr>
            <w:tcW w:w="7266"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联防联控要求</w:t>
            </w:r>
          </w:p>
          <w:p>
            <w:pPr>
              <w:pStyle w:val="39"/>
              <w:spacing w:line="240" w:lineRule="auto"/>
              <w:rPr>
                <w:rFonts w:cs="Times New Roman"/>
                <w:b w:val="0"/>
                <w:bCs/>
                <w:kern w:val="2"/>
              </w:rPr>
            </w:pPr>
            <w:r>
              <w:rPr>
                <w:rFonts w:cs="Times New Roman"/>
                <w:b w:val="0"/>
                <w:bCs/>
                <w:kern w:val="2"/>
              </w:rPr>
              <w:t>暂无</w:t>
            </w:r>
          </w:p>
          <w:p>
            <w:pPr>
              <w:pStyle w:val="39"/>
              <w:spacing w:line="240" w:lineRule="auto"/>
              <w:rPr>
                <w:rFonts w:cs="Times New Roman"/>
                <w:b w:val="0"/>
                <w:bCs/>
                <w:kern w:val="2"/>
              </w:rPr>
            </w:pPr>
            <w:r>
              <w:rPr>
                <w:rFonts w:cs="Times New Roman"/>
                <w:b w:val="0"/>
                <w:bCs/>
                <w:kern w:val="2"/>
              </w:rPr>
              <w:t>其他环境风险防控要求</w:t>
            </w:r>
          </w:p>
          <w:p>
            <w:pPr>
              <w:pStyle w:val="39"/>
              <w:spacing w:line="240" w:lineRule="auto"/>
              <w:rPr>
                <w:rFonts w:cs="Times New Roman"/>
                <w:b w:val="0"/>
                <w:bCs/>
                <w:kern w:val="2"/>
              </w:rPr>
            </w:pPr>
            <w:r>
              <w:rPr>
                <w:rFonts w:cs="Times New Roman"/>
                <w:b w:val="0"/>
                <w:bCs/>
                <w:kern w:val="2"/>
              </w:rPr>
              <w:t>暂无</w:t>
            </w:r>
          </w:p>
        </w:tc>
        <w:tc>
          <w:tcPr>
            <w:tcW w:w="2117"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无</w:t>
            </w:r>
          </w:p>
        </w:tc>
        <w:tc>
          <w:tcPr>
            <w:tcW w:w="1395"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27"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926"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1062"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资源开发利用效率</w:t>
            </w:r>
          </w:p>
        </w:tc>
        <w:tc>
          <w:tcPr>
            <w:tcW w:w="7266"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水资源利用总量要求</w:t>
            </w:r>
          </w:p>
          <w:p>
            <w:pPr>
              <w:pStyle w:val="39"/>
              <w:spacing w:line="240" w:lineRule="auto"/>
              <w:rPr>
                <w:rFonts w:cs="Times New Roman"/>
                <w:b w:val="0"/>
                <w:bCs/>
                <w:kern w:val="2"/>
              </w:rPr>
            </w:pPr>
            <w:r>
              <w:rPr>
                <w:rFonts w:cs="Times New Roman"/>
                <w:b w:val="0"/>
                <w:bCs/>
                <w:kern w:val="2"/>
              </w:rPr>
              <w:t>暂无</w:t>
            </w:r>
          </w:p>
          <w:p>
            <w:pPr>
              <w:pStyle w:val="39"/>
              <w:spacing w:line="240" w:lineRule="auto"/>
              <w:rPr>
                <w:rFonts w:cs="Times New Roman"/>
                <w:b w:val="0"/>
                <w:bCs/>
                <w:kern w:val="2"/>
              </w:rPr>
            </w:pPr>
            <w:r>
              <w:rPr>
                <w:rFonts w:cs="Times New Roman"/>
                <w:b w:val="0"/>
                <w:bCs/>
                <w:kern w:val="2"/>
              </w:rPr>
              <w:t>地下水开采要求</w:t>
            </w:r>
          </w:p>
          <w:p>
            <w:pPr>
              <w:pStyle w:val="39"/>
              <w:spacing w:line="240" w:lineRule="auto"/>
              <w:rPr>
                <w:rFonts w:cs="Times New Roman"/>
                <w:b w:val="0"/>
                <w:bCs/>
                <w:kern w:val="2"/>
              </w:rPr>
            </w:pPr>
            <w:r>
              <w:rPr>
                <w:rFonts w:cs="Times New Roman"/>
                <w:b w:val="0"/>
                <w:bCs/>
                <w:kern w:val="2"/>
              </w:rPr>
              <w:t>暂无</w:t>
            </w:r>
          </w:p>
          <w:p>
            <w:pPr>
              <w:pStyle w:val="39"/>
              <w:spacing w:line="240" w:lineRule="auto"/>
              <w:rPr>
                <w:rFonts w:cs="Times New Roman"/>
                <w:b w:val="0"/>
                <w:bCs/>
                <w:kern w:val="2"/>
              </w:rPr>
            </w:pPr>
            <w:r>
              <w:rPr>
                <w:rFonts w:cs="Times New Roman"/>
                <w:b w:val="0"/>
                <w:bCs/>
                <w:kern w:val="2"/>
              </w:rPr>
              <w:t>能源利用总量及效率要求</w:t>
            </w:r>
          </w:p>
          <w:p>
            <w:pPr>
              <w:pStyle w:val="39"/>
              <w:spacing w:line="240" w:lineRule="auto"/>
              <w:rPr>
                <w:rFonts w:cs="Times New Roman"/>
                <w:b w:val="0"/>
                <w:bCs/>
                <w:kern w:val="2"/>
              </w:rPr>
            </w:pPr>
            <w:r>
              <w:rPr>
                <w:rFonts w:cs="Times New Roman"/>
                <w:b w:val="0"/>
                <w:bCs/>
                <w:kern w:val="2"/>
              </w:rPr>
              <w:t>暂无</w:t>
            </w:r>
          </w:p>
          <w:p>
            <w:pPr>
              <w:pStyle w:val="39"/>
              <w:spacing w:line="240" w:lineRule="auto"/>
              <w:rPr>
                <w:rFonts w:cs="Times New Roman"/>
                <w:b w:val="0"/>
                <w:bCs/>
                <w:kern w:val="2"/>
              </w:rPr>
            </w:pPr>
            <w:r>
              <w:rPr>
                <w:rFonts w:cs="Times New Roman"/>
                <w:b w:val="0"/>
                <w:bCs/>
                <w:kern w:val="2"/>
              </w:rPr>
              <w:t>禁燃区要求</w:t>
            </w:r>
          </w:p>
          <w:p>
            <w:pPr>
              <w:pStyle w:val="39"/>
              <w:spacing w:line="240" w:lineRule="auto"/>
              <w:rPr>
                <w:rFonts w:cs="Times New Roman"/>
                <w:b w:val="0"/>
                <w:bCs/>
                <w:kern w:val="2"/>
              </w:rPr>
            </w:pPr>
            <w:r>
              <w:rPr>
                <w:rFonts w:cs="Times New Roman"/>
                <w:b w:val="0"/>
                <w:bCs/>
                <w:kern w:val="2"/>
              </w:rPr>
              <w:t>暂无</w:t>
            </w:r>
          </w:p>
          <w:p>
            <w:pPr>
              <w:pStyle w:val="39"/>
              <w:spacing w:line="240" w:lineRule="auto"/>
              <w:rPr>
                <w:rFonts w:cs="Times New Roman"/>
                <w:b w:val="0"/>
                <w:bCs/>
                <w:kern w:val="2"/>
              </w:rPr>
            </w:pPr>
            <w:r>
              <w:rPr>
                <w:rFonts w:cs="Times New Roman"/>
                <w:b w:val="0"/>
                <w:bCs/>
                <w:kern w:val="2"/>
              </w:rPr>
              <w:t>其他资源利用效率要求</w:t>
            </w:r>
          </w:p>
          <w:p>
            <w:pPr>
              <w:pStyle w:val="39"/>
              <w:spacing w:line="240" w:lineRule="auto"/>
              <w:rPr>
                <w:rFonts w:cs="Times New Roman"/>
                <w:b w:val="0"/>
                <w:bCs/>
                <w:kern w:val="2"/>
              </w:rPr>
            </w:pPr>
            <w:r>
              <w:rPr>
                <w:rFonts w:cs="Times New Roman"/>
                <w:b w:val="0"/>
                <w:bCs/>
                <w:kern w:val="2"/>
              </w:rPr>
              <w:t>暂无</w:t>
            </w:r>
          </w:p>
        </w:tc>
        <w:tc>
          <w:tcPr>
            <w:tcW w:w="2117"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无</w:t>
            </w:r>
          </w:p>
        </w:tc>
        <w:tc>
          <w:tcPr>
            <w:tcW w:w="1395"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27"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926" w:type="dxa"/>
            <w:vMerge w:val="restart"/>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单元级清单管控要求</w:t>
            </w:r>
          </w:p>
        </w:tc>
        <w:tc>
          <w:tcPr>
            <w:tcW w:w="1062"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空间布局约束</w:t>
            </w:r>
          </w:p>
        </w:tc>
        <w:tc>
          <w:tcPr>
            <w:tcW w:w="7266" w:type="dxa"/>
            <w:tcBorders>
              <w:tl2br w:val="nil"/>
              <w:tr2bl w:val="nil"/>
            </w:tcBorders>
            <w:shd w:val="clear" w:color="auto" w:fill="auto"/>
            <w:vAlign w:val="center"/>
          </w:tcPr>
          <w:p>
            <w:pPr>
              <w:pStyle w:val="807"/>
              <w:widowControl/>
              <w:shd w:val="clear" w:color="auto" w:fill="FFFFFF"/>
              <w:spacing w:line="240" w:lineRule="auto"/>
              <w:ind w:firstLine="0" w:firstLineChars="0"/>
              <w:jc w:val="left"/>
              <w:rPr>
                <w:rFonts w:eastAsia="宋体"/>
                <w:sz w:val="21"/>
              </w:rPr>
            </w:pPr>
            <w:r>
              <w:rPr>
                <w:rFonts w:eastAsia="宋体"/>
                <w:sz w:val="21"/>
              </w:rPr>
              <w:t>禁止开发建设活动的要求</w:t>
            </w:r>
          </w:p>
          <w:p>
            <w:pPr>
              <w:pStyle w:val="807"/>
              <w:widowControl/>
              <w:shd w:val="clear" w:color="auto" w:fill="FFFFFF"/>
              <w:spacing w:line="240" w:lineRule="auto"/>
              <w:ind w:firstLine="0" w:firstLineChars="0"/>
              <w:jc w:val="left"/>
              <w:rPr>
                <w:rFonts w:eastAsia="宋体"/>
                <w:sz w:val="21"/>
              </w:rPr>
            </w:pPr>
            <w:r>
              <w:rPr>
                <w:rFonts w:eastAsia="宋体"/>
                <w:sz w:val="21"/>
              </w:rPr>
              <w:t>限制开发建设活动的要求</w:t>
            </w:r>
          </w:p>
          <w:p>
            <w:pPr>
              <w:pStyle w:val="807"/>
              <w:widowControl/>
              <w:shd w:val="clear" w:color="auto" w:fill="FFFFFF"/>
              <w:spacing w:line="240" w:lineRule="auto"/>
              <w:ind w:firstLine="0" w:firstLineChars="0"/>
              <w:jc w:val="left"/>
              <w:rPr>
                <w:rFonts w:eastAsia="宋体"/>
                <w:sz w:val="21"/>
              </w:rPr>
            </w:pPr>
            <w:r>
              <w:rPr>
                <w:rFonts w:eastAsia="宋体"/>
                <w:sz w:val="21"/>
              </w:rPr>
              <w:t>允许开发建设活动的要求</w:t>
            </w:r>
          </w:p>
          <w:p>
            <w:pPr>
              <w:pStyle w:val="807"/>
              <w:widowControl/>
              <w:shd w:val="clear" w:color="auto" w:fill="FFFFFF"/>
              <w:spacing w:line="240" w:lineRule="auto"/>
              <w:ind w:firstLine="0" w:firstLineChars="0"/>
              <w:jc w:val="left"/>
              <w:rPr>
                <w:rFonts w:eastAsia="宋体"/>
                <w:sz w:val="21"/>
              </w:rPr>
            </w:pPr>
            <w:r>
              <w:rPr>
                <w:rFonts w:eastAsia="宋体"/>
                <w:sz w:val="21"/>
              </w:rPr>
              <w:t>不符合空间布局要求活动的退出要求</w:t>
            </w:r>
          </w:p>
          <w:p>
            <w:pPr>
              <w:pStyle w:val="807"/>
              <w:widowControl/>
              <w:shd w:val="clear" w:color="auto" w:fill="FFFFFF"/>
              <w:spacing w:line="240" w:lineRule="auto"/>
              <w:ind w:firstLine="0" w:firstLineChars="0"/>
              <w:jc w:val="left"/>
              <w:rPr>
                <w:bCs/>
              </w:rPr>
            </w:pPr>
            <w:r>
              <w:rPr>
                <w:rFonts w:eastAsia="宋体"/>
                <w:sz w:val="21"/>
              </w:rPr>
              <w:t>其他空间布局约束要求</w:t>
            </w:r>
          </w:p>
        </w:tc>
        <w:tc>
          <w:tcPr>
            <w:tcW w:w="2117"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本项目符合相关规划，不属于上述禁止、限制类建设项目</w:t>
            </w:r>
          </w:p>
        </w:tc>
        <w:tc>
          <w:tcPr>
            <w:tcW w:w="1395"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27"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926"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1062"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污染物排放管控</w:t>
            </w:r>
          </w:p>
        </w:tc>
        <w:tc>
          <w:tcPr>
            <w:tcW w:w="7266" w:type="dxa"/>
            <w:tcBorders>
              <w:tl2br w:val="nil"/>
              <w:tr2bl w:val="nil"/>
            </w:tcBorders>
            <w:shd w:val="clear" w:color="auto" w:fill="auto"/>
            <w:vAlign w:val="center"/>
          </w:tcPr>
          <w:p>
            <w:pPr>
              <w:pStyle w:val="807"/>
              <w:widowControl/>
              <w:shd w:val="clear" w:color="auto" w:fill="FFFFFF"/>
              <w:spacing w:line="240" w:lineRule="auto"/>
              <w:ind w:firstLine="0" w:firstLineChars="0"/>
              <w:jc w:val="left"/>
              <w:rPr>
                <w:rFonts w:eastAsia="宋体"/>
                <w:sz w:val="21"/>
              </w:rPr>
            </w:pPr>
            <w:r>
              <w:rPr>
                <w:rFonts w:eastAsia="宋体"/>
                <w:sz w:val="21"/>
              </w:rPr>
              <w:t>大气环境质量执行标准</w:t>
            </w:r>
          </w:p>
          <w:p>
            <w:pPr>
              <w:pStyle w:val="807"/>
              <w:widowControl/>
              <w:shd w:val="clear" w:color="auto" w:fill="FFFFFF"/>
              <w:spacing w:line="240" w:lineRule="auto"/>
              <w:ind w:firstLine="0" w:firstLineChars="0"/>
              <w:jc w:val="left"/>
              <w:rPr>
                <w:rFonts w:eastAsia="宋体"/>
                <w:sz w:val="21"/>
              </w:rPr>
            </w:pPr>
            <w:r>
              <w:rPr>
                <w:rFonts w:eastAsia="宋体"/>
                <w:sz w:val="21"/>
              </w:rPr>
              <w:t>《环境空气质量标准》（GB3095-2012）：二级</w:t>
            </w:r>
          </w:p>
          <w:p>
            <w:pPr>
              <w:pStyle w:val="807"/>
              <w:widowControl/>
              <w:shd w:val="clear" w:color="auto" w:fill="FFFFFF"/>
              <w:spacing w:line="240" w:lineRule="auto"/>
              <w:ind w:firstLine="0" w:firstLineChars="0"/>
              <w:jc w:val="left"/>
              <w:rPr>
                <w:rFonts w:eastAsia="宋体"/>
                <w:sz w:val="21"/>
              </w:rPr>
            </w:pPr>
            <w:r>
              <w:rPr>
                <w:rFonts w:eastAsia="宋体"/>
                <w:sz w:val="21"/>
              </w:rPr>
              <w:t>区域大气污染物削减/替代要求</w:t>
            </w:r>
          </w:p>
          <w:p>
            <w:pPr>
              <w:pStyle w:val="807"/>
              <w:widowControl/>
              <w:shd w:val="clear" w:color="auto" w:fill="FFFFFF"/>
              <w:spacing w:line="240" w:lineRule="auto"/>
              <w:ind w:firstLine="0" w:firstLineChars="0"/>
              <w:jc w:val="left"/>
              <w:rPr>
                <w:rFonts w:eastAsia="宋体"/>
                <w:sz w:val="21"/>
              </w:rPr>
            </w:pPr>
            <w:r>
              <w:rPr>
                <w:rFonts w:eastAsia="宋体"/>
                <w:sz w:val="21"/>
              </w:rPr>
              <w:t>燃煤和其他能源大气污染控制要求</w:t>
            </w:r>
          </w:p>
          <w:p>
            <w:pPr>
              <w:pStyle w:val="807"/>
              <w:widowControl/>
              <w:shd w:val="clear" w:color="auto" w:fill="FFFFFF"/>
              <w:spacing w:line="240" w:lineRule="auto"/>
              <w:ind w:firstLine="0" w:firstLineChars="0"/>
              <w:jc w:val="left"/>
              <w:rPr>
                <w:rFonts w:eastAsia="宋体"/>
                <w:sz w:val="21"/>
              </w:rPr>
            </w:pPr>
            <w:r>
              <w:rPr>
                <w:rFonts w:eastAsia="宋体"/>
                <w:sz w:val="21"/>
              </w:rPr>
              <w:t>工业废气污染控制要求</w:t>
            </w:r>
          </w:p>
          <w:p>
            <w:pPr>
              <w:pStyle w:val="807"/>
              <w:widowControl/>
              <w:shd w:val="clear" w:color="auto" w:fill="FFFFFF"/>
              <w:spacing w:line="240" w:lineRule="auto"/>
              <w:ind w:firstLine="0" w:firstLineChars="0"/>
              <w:jc w:val="left"/>
              <w:rPr>
                <w:rFonts w:eastAsia="宋体"/>
                <w:sz w:val="21"/>
              </w:rPr>
            </w:pPr>
            <w:r>
              <w:rPr>
                <w:rFonts w:eastAsia="宋体"/>
                <w:sz w:val="21"/>
              </w:rPr>
              <w:t>机动车船大气污染控制要求</w:t>
            </w:r>
          </w:p>
          <w:p>
            <w:pPr>
              <w:pStyle w:val="807"/>
              <w:widowControl/>
              <w:shd w:val="clear" w:color="auto" w:fill="FFFFFF"/>
              <w:spacing w:line="240" w:lineRule="auto"/>
              <w:ind w:firstLine="0" w:firstLineChars="0"/>
              <w:jc w:val="left"/>
              <w:rPr>
                <w:rFonts w:eastAsia="宋体"/>
                <w:sz w:val="21"/>
              </w:rPr>
            </w:pPr>
            <w:r>
              <w:rPr>
                <w:rFonts w:eastAsia="宋体"/>
                <w:sz w:val="21"/>
              </w:rPr>
              <w:t>扬尘污染控制要求</w:t>
            </w:r>
          </w:p>
          <w:p>
            <w:pPr>
              <w:pStyle w:val="807"/>
              <w:widowControl/>
              <w:shd w:val="clear" w:color="auto" w:fill="FFFFFF"/>
              <w:spacing w:line="240" w:lineRule="auto"/>
              <w:ind w:firstLine="0" w:firstLineChars="0"/>
              <w:jc w:val="left"/>
              <w:rPr>
                <w:rFonts w:eastAsia="宋体"/>
                <w:sz w:val="21"/>
              </w:rPr>
            </w:pPr>
            <w:r>
              <w:rPr>
                <w:rFonts w:eastAsia="宋体"/>
                <w:sz w:val="21"/>
              </w:rPr>
              <w:t>农业生产经营活动大气污染控制要求</w:t>
            </w:r>
          </w:p>
          <w:p>
            <w:pPr>
              <w:pStyle w:val="807"/>
              <w:widowControl/>
              <w:shd w:val="clear" w:color="auto" w:fill="FFFFFF"/>
              <w:spacing w:line="240" w:lineRule="auto"/>
              <w:ind w:firstLine="0" w:firstLineChars="0"/>
              <w:jc w:val="left"/>
              <w:rPr>
                <w:rFonts w:eastAsia="宋体"/>
                <w:sz w:val="21"/>
              </w:rPr>
            </w:pPr>
            <w:r>
              <w:rPr>
                <w:rFonts w:eastAsia="宋体"/>
                <w:sz w:val="21"/>
              </w:rPr>
              <w:t>重点行业企业专项治理要求</w:t>
            </w:r>
          </w:p>
          <w:p>
            <w:pPr>
              <w:pStyle w:val="807"/>
              <w:widowControl/>
              <w:shd w:val="clear" w:color="auto" w:fill="FFFFFF"/>
              <w:spacing w:line="240" w:lineRule="auto"/>
              <w:ind w:firstLine="0" w:firstLineChars="0"/>
              <w:jc w:val="left"/>
              <w:rPr>
                <w:bCs/>
              </w:rPr>
            </w:pPr>
            <w:r>
              <w:rPr>
                <w:rFonts w:eastAsia="宋体"/>
                <w:sz w:val="21"/>
              </w:rPr>
              <w:t>其他大气污染物排放管控要求</w:t>
            </w:r>
          </w:p>
        </w:tc>
        <w:tc>
          <w:tcPr>
            <w:tcW w:w="2117"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项目施工期生产废水暂存于废水池，试采期气田水暂存于酸液缓冲罐，然后通过密闭罐车拉运至大湾 403 污水站处理达到《气田水回注方法》（SY/T 6596-2016）中注入水基本要求后管输至毛开 1 井回注站回注处理，不外排</w:t>
            </w:r>
          </w:p>
        </w:tc>
        <w:tc>
          <w:tcPr>
            <w:tcW w:w="1395"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27"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926"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1062"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环境风险防控</w:t>
            </w:r>
          </w:p>
        </w:tc>
        <w:tc>
          <w:tcPr>
            <w:tcW w:w="7266" w:type="dxa"/>
            <w:tcBorders>
              <w:tl2br w:val="nil"/>
              <w:tr2bl w:val="nil"/>
            </w:tcBorders>
            <w:shd w:val="clear" w:color="auto" w:fill="auto"/>
            <w:vAlign w:val="center"/>
          </w:tcPr>
          <w:p>
            <w:pPr>
              <w:pStyle w:val="807"/>
              <w:widowControl/>
              <w:shd w:val="clear" w:color="auto" w:fill="FFFFFF"/>
              <w:spacing w:line="240" w:lineRule="auto"/>
              <w:ind w:firstLine="0" w:firstLineChars="0"/>
              <w:jc w:val="left"/>
              <w:rPr>
                <w:bCs/>
              </w:rPr>
            </w:pPr>
            <w:r>
              <w:rPr>
                <w:rFonts w:eastAsia="宋体"/>
                <w:sz w:val="21"/>
              </w:rPr>
              <w:t>/</w:t>
            </w:r>
          </w:p>
        </w:tc>
        <w:tc>
          <w:tcPr>
            <w:tcW w:w="2117"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w:t>
            </w:r>
          </w:p>
        </w:tc>
        <w:tc>
          <w:tcPr>
            <w:tcW w:w="1395"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27"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926" w:type="dxa"/>
            <w:vMerge w:val="continue"/>
            <w:tcBorders>
              <w:tl2br w:val="nil"/>
              <w:tr2bl w:val="nil"/>
            </w:tcBorders>
            <w:shd w:val="clear" w:color="auto" w:fill="auto"/>
            <w:vAlign w:val="center"/>
          </w:tcPr>
          <w:p>
            <w:pPr>
              <w:pStyle w:val="39"/>
              <w:spacing w:line="240" w:lineRule="auto"/>
              <w:rPr>
                <w:rFonts w:cs="Times New Roman"/>
                <w:b w:val="0"/>
                <w:bCs/>
                <w:kern w:val="2"/>
              </w:rPr>
            </w:pPr>
          </w:p>
        </w:tc>
        <w:tc>
          <w:tcPr>
            <w:tcW w:w="1062"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资源开发利用效率</w:t>
            </w:r>
          </w:p>
        </w:tc>
        <w:tc>
          <w:tcPr>
            <w:tcW w:w="7266" w:type="dxa"/>
            <w:tcBorders>
              <w:tl2br w:val="nil"/>
              <w:tr2bl w:val="nil"/>
            </w:tcBorders>
            <w:shd w:val="clear" w:color="auto" w:fill="auto"/>
            <w:vAlign w:val="center"/>
          </w:tcPr>
          <w:p>
            <w:pPr>
              <w:pStyle w:val="807"/>
              <w:widowControl/>
              <w:shd w:val="clear" w:color="auto" w:fill="FFFFFF"/>
              <w:spacing w:line="240" w:lineRule="auto"/>
              <w:ind w:firstLine="0" w:firstLineChars="0"/>
              <w:jc w:val="left"/>
              <w:rPr>
                <w:bCs/>
              </w:rPr>
            </w:pPr>
            <w:r>
              <w:rPr>
                <w:rFonts w:eastAsia="宋体"/>
                <w:sz w:val="21"/>
              </w:rPr>
              <w:t>/</w:t>
            </w:r>
          </w:p>
        </w:tc>
        <w:tc>
          <w:tcPr>
            <w:tcW w:w="2117"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w:t>
            </w:r>
          </w:p>
        </w:tc>
        <w:tc>
          <w:tcPr>
            <w:tcW w:w="1395" w:type="dxa"/>
            <w:tcBorders>
              <w:tl2br w:val="nil"/>
              <w:tr2bl w:val="nil"/>
            </w:tcBorders>
            <w:shd w:val="clear" w:color="auto" w:fill="auto"/>
            <w:vAlign w:val="center"/>
          </w:tcPr>
          <w:p>
            <w:pPr>
              <w:pStyle w:val="39"/>
              <w:spacing w:line="240" w:lineRule="auto"/>
              <w:rPr>
                <w:rFonts w:cs="Times New Roman"/>
                <w:b w:val="0"/>
                <w:bCs/>
                <w:kern w:val="2"/>
              </w:rPr>
            </w:pPr>
            <w:r>
              <w:rPr>
                <w:rFonts w:cs="Times New Roman"/>
                <w:b w:val="0"/>
                <w:bCs/>
                <w:kern w:val="2"/>
              </w:rPr>
              <w:t>符合</w:t>
            </w:r>
          </w:p>
        </w:tc>
      </w:tr>
    </w:tbl>
    <w:p>
      <w:pPr>
        <w:pStyle w:val="114"/>
        <w:ind w:firstLine="482"/>
        <w:rPr>
          <w:b/>
          <w:bCs/>
        </w:rPr>
        <w:sectPr>
          <w:pgSz w:w="16838" w:h="11906" w:orient="landscape"/>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b/>
          <w:bCs/>
        </w:rPr>
        <w:t>综上，本项目的建设满足区域“三线一单”的环境管理机制要求。</w:t>
      </w:r>
    </w:p>
    <w:p>
      <w:pPr>
        <w:keepNext/>
        <w:keepLines/>
        <w:ind w:firstLine="0" w:firstLineChars="0"/>
        <w:outlineLvl w:val="2"/>
        <w:rPr>
          <w:rFonts w:ascii="Times New Roman" w:cs="Times New Roman"/>
          <w:b/>
          <w:szCs w:val="32"/>
        </w:rPr>
      </w:pPr>
      <w:r>
        <w:rPr>
          <w:rFonts w:ascii="Times New Roman" w:cs="Times New Roman"/>
          <w:b/>
          <w:szCs w:val="32"/>
        </w:rPr>
        <w:t>1.8.12本项目与四川省</w:t>
      </w:r>
      <w:r>
        <w:rPr>
          <w:rFonts w:ascii="Times New Roman" w:cs="Times New Roman"/>
          <w:b/>
          <w:bCs/>
          <w:szCs w:val="32"/>
        </w:rPr>
        <w:t>国土空间规划“三区三线”划定成果</w:t>
      </w:r>
      <w:r>
        <w:rPr>
          <w:rFonts w:ascii="Times New Roman" w:cs="Times New Roman"/>
          <w:b/>
          <w:szCs w:val="32"/>
        </w:rPr>
        <w:t>符合性分析</w:t>
      </w:r>
    </w:p>
    <w:p>
      <w:pPr>
        <w:pStyle w:val="114"/>
        <w:ind w:firstLine="480"/>
      </w:pPr>
      <w:r>
        <w:rPr>
          <w:bCs/>
          <w:szCs w:val="24"/>
        </w:rPr>
        <w:t>根据四川省国土空间规划“三区三线”划定成果，本项目不涉及占用四川省各类重大项目的农业空间、生态空间、城镇空间三种类型的国土空间，经核实，本项目</w:t>
      </w:r>
      <w:r>
        <w:rPr>
          <w:rFonts w:hint="eastAsia"/>
          <w:bCs/>
          <w:szCs w:val="24"/>
        </w:rPr>
        <w:t>不</w:t>
      </w:r>
      <w:r>
        <w:rPr>
          <w:bCs/>
          <w:szCs w:val="24"/>
        </w:rPr>
        <w:t>涉及占用生态保护红线和城镇开发边界，</w:t>
      </w:r>
      <w:r>
        <w:rPr>
          <w:rFonts w:hint="eastAsia"/>
          <w:bCs/>
          <w:szCs w:val="24"/>
        </w:rPr>
        <w:t>井场扩建区域</w:t>
      </w:r>
      <w:r>
        <w:rPr>
          <w:bCs/>
          <w:szCs w:val="24"/>
        </w:rPr>
        <w:t>临时占用永久基本农田，建设单位按照相关要求办理临时用地手续，项目符合四川省国土空间规划“三区三线”划定成果要求</w:t>
      </w:r>
      <w:r>
        <w:t>。</w:t>
      </w:r>
    </w:p>
    <w:p>
      <w:pPr>
        <w:keepNext/>
        <w:keepLines/>
        <w:ind w:firstLine="0" w:firstLineChars="0"/>
        <w:outlineLvl w:val="2"/>
        <w:rPr>
          <w:rFonts w:ascii="Times New Roman" w:cs="Times New Roman"/>
          <w:b/>
          <w:szCs w:val="32"/>
        </w:rPr>
      </w:pPr>
      <w:r>
        <w:rPr>
          <w:rFonts w:ascii="Times New Roman" w:cs="Times New Roman"/>
          <w:b/>
          <w:szCs w:val="32"/>
        </w:rPr>
        <w:t>1.8.13本项目《国家级公益林管理办法》（国家林业局</w:t>
      </w:r>
      <w:r>
        <w:rPr>
          <w:rFonts w:hint="eastAsia" w:ascii="Times New Roman" w:cs="Times New Roman"/>
          <w:b/>
          <w:szCs w:val="32"/>
          <w:lang w:val="en-US" w:eastAsia="zh-CN"/>
        </w:rPr>
        <w:t xml:space="preserve"> </w:t>
      </w:r>
      <w:r>
        <w:rPr>
          <w:rFonts w:ascii="Times New Roman" w:cs="Times New Roman"/>
          <w:b/>
          <w:szCs w:val="32"/>
        </w:rPr>
        <w:t>财政部</w:t>
      </w:r>
      <w:r>
        <w:rPr>
          <w:rFonts w:hint="eastAsia" w:ascii="Times New Roman" w:cs="Times New Roman"/>
          <w:b/>
          <w:szCs w:val="32"/>
          <w:lang w:val="en-US" w:eastAsia="zh-CN"/>
        </w:rPr>
        <w:t xml:space="preserve"> </w:t>
      </w:r>
      <w:r>
        <w:rPr>
          <w:rFonts w:ascii="Times New Roman" w:cs="Times New Roman"/>
          <w:b/>
          <w:szCs w:val="32"/>
        </w:rPr>
        <w:t>林资发〔2017〕34号印发）符合性分析</w:t>
      </w:r>
    </w:p>
    <w:p>
      <w:pPr>
        <w:pStyle w:val="114"/>
        <w:ind w:firstLine="480"/>
        <w:rPr>
          <w:bCs/>
          <w:szCs w:val="24"/>
        </w:rPr>
      </w:pPr>
      <w:r>
        <w:rPr>
          <w:bCs/>
          <w:szCs w:val="24"/>
        </w:rPr>
        <w:t>根据《国家级公益林管理办法》（国家林业局</w:t>
      </w:r>
      <w:r>
        <w:rPr>
          <w:rFonts w:hint="eastAsia"/>
          <w:bCs/>
          <w:szCs w:val="24"/>
          <w:lang w:val="en-US" w:eastAsia="zh-CN"/>
        </w:rPr>
        <w:t xml:space="preserve"> </w:t>
      </w:r>
      <w:r>
        <w:rPr>
          <w:bCs/>
          <w:szCs w:val="24"/>
        </w:rPr>
        <w:t>财政部</w:t>
      </w:r>
      <w:r>
        <w:rPr>
          <w:rFonts w:hint="eastAsia"/>
          <w:bCs/>
          <w:szCs w:val="24"/>
          <w:lang w:val="en-US" w:eastAsia="zh-CN"/>
        </w:rPr>
        <w:t xml:space="preserve"> </w:t>
      </w:r>
      <w:r>
        <w:rPr>
          <w:bCs/>
          <w:szCs w:val="24"/>
        </w:rPr>
        <w:t>林资发〔2017〕34号印发）：严格控制勘查、开采矿藏和工程建设使用国家级公益林地。确需使用的，严格按照《建设项目使用林地审核审批管理办法》有关规定办理使用林地手续。涉及林木采伐的，按相关规定依法办理林木采伐手续。</w:t>
      </w:r>
    </w:p>
    <w:p>
      <w:pPr>
        <w:pStyle w:val="114"/>
        <w:ind w:firstLine="480"/>
      </w:pPr>
      <w:r>
        <w:rPr>
          <w:bCs/>
          <w:szCs w:val="24"/>
        </w:rPr>
        <w:t>本项目200m范围分布有公益林，但本项目</w:t>
      </w:r>
      <w:r>
        <w:rPr>
          <w:rFonts w:hint="eastAsia"/>
          <w:bCs/>
          <w:szCs w:val="24"/>
        </w:rPr>
        <w:t>新增</w:t>
      </w:r>
      <w:r>
        <w:rPr>
          <w:bCs/>
          <w:szCs w:val="24"/>
        </w:rPr>
        <w:t>占地不涉及占用公益林，同时施工期通过采取严格措施保护公益林（如：封山育林、人工造林等），符合《国家级公益林管理办法》（国家林业局财政部林资发〔2017〕34号印发）相关要求。</w:t>
      </w:r>
    </w:p>
    <w:p>
      <w:pPr>
        <w:keepNext/>
        <w:keepLines/>
        <w:spacing w:before="120"/>
        <w:ind w:firstLine="0" w:firstLineChars="0"/>
        <w:outlineLvl w:val="1"/>
        <w:rPr>
          <w:rFonts w:ascii="Times New Roman" w:cs="Times New Roman"/>
          <w:b/>
          <w:bCs/>
          <w:sz w:val="28"/>
          <w:szCs w:val="32"/>
        </w:rPr>
      </w:pPr>
      <w:bookmarkStart w:id="89" w:name="_Toc28806"/>
      <w:bookmarkStart w:id="90" w:name="_Toc12288389"/>
      <w:bookmarkStart w:id="91" w:name="_Toc19815938"/>
      <w:r>
        <w:rPr>
          <w:rFonts w:ascii="Times New Roman" w:cs="Times New Roman"/>
          <w:b/>
          <w:bCs/>
          <w:sz w:val="28"/>
          <w:szCs w:val="32"/>
        </w:rPr>
        <w:t>1.9 污染控制与环境保护目标</w:t>
      </w:r>
      <w:bookmarkEnd w:id="89"/>
      <w:bookmarkEnd w:id="90"/>
      <w:bookmarkEnd w:id="91"/>
    </w:p>
    <w:p>
      <w:pPr>
        <w:keepNext/>
        <w:keepLines/>
        <w:ind w:firstLine="0" w:firstLineChars="0"/>
        <w:outlineLvl w:val="2"/>
        <w:rPr>
          <w:rFonts w:ascii="Times New Roman" w:cs="Times New Roman"/>
          <w:b/>
          <w:szCs w:val="32"/>
        </w:rPr>
      </w:pPr>
      <w:bookmarkStart w:id="92" w:name="_Toc19815939"/>
      <w:r>
        <w:rPr>
          <w:rFonts w:ascii="Times New Roman" w:cs="Times New Roman"/>
          <w:b/>
          <w:szCs w:val="32"/>
        </w:rPr>
        <w:t>1.9.1 污染控制目标</w:t>
      </w:r>
      <w:bookmarkEnd w:id="92"/>
    </w:p>
    <w:p>
      <w:pPr>
        <w:pStyle w:val="114"/>
        <w:ind w:firstLine="480"/>
      </w:pPr>
      <w:r>
        <w:t>1、控制场站各种污染物排放量，做到达标排放。</w:t>
      </w:r>
    </w:p>
    <w:p>
      <w:pPr>
        <w:pStyle w:val="114"/>
        <w:ind w:firstLine="480"/>
      </w:pPr>
      <w:r>
        <w:t>2、控制和减轻施工期井场和临时便道建设对地表植被、土壤的破坏及造成的水土流失，特别注意控制对丘陵、山区的生态环境敏感区的影响。</w:t>
      </w:r>
    </w:p>
    <w:p>
      <w:pPr>
        <w:pStyle w:val="114"/>
        <w:ind w:firstLine="480"/>
      </w:pPr>
      <w:r>
        <w:t>3、防止由于施工活动地表水体及地下水环境。</w:t>
      </w:r>
    </w:p>
    <w:p>
      <w:pPr>
        <w:pStyle w:val="114"/>
        <w:ind w:firstLine="480"/>
      </w:pPr>
      <w:r>
        <w:t>4、控制和减轻站场建设对周边林地及农业生态系统的影响，尽量减少对林木的砍伐，并落实植被及农田恢复的措施工作。</w:t>
      </w:r>
    </w:p>
    <w:p>
      <w:pPr>
        <w:pStyle w:val="114"/>
        <w:ind w:firstLine="480"/>
      </w:pPr>
      <w:r>
        <w:t>5、控制和减轻施工活动对站场周围居民的影响。</w:t>
      </w:r>
    </w:p>
    <w:p>
      <w:pPr>
        <w:keepNext/>
        <w:keepLines/>
        <w:ind w:firstLine="0" w:firstLineChars="0"/>
        <w:outlineLvl w:val="2"/>
        <w:rPr>
          <w:rFonts w:ascii="Times New Roman" w:cs="Times New Roman"/>
          <w:b/>
          <w:szCs w:val="32"/>
        </w:rPr>
      </w:pPr>
      <w:bookmarkStart w:id="93" w:name="_Toc19815940"/>
      <w:r>
        <w:rPr>
          <w:rFonts w:ascii="Times New Roman" w:cs="Times New Roman"/>
          <w:b/>
          <w:szCs w:val="32"/>
        </w:rPr>
        <w:t xml:space="preserve">1.9.2 </w:t>
      </w:r>
      <w:r>
        <w:rPr>
          <w:rFonts w:hint="eastAsia" w:ascii="Times New Roman" w:cs="Times New Roman"/>
          <w:b/>
          <w:szCs w:val="32"/>
        </w:rPr>
        <w:t>外环境情况及</w:t>
      </w:r>
      <w:r>
        <w:rPr>
          <w:rFonts w:ascii="Times New Roman" w:cs="Times New Roman"/>
          <w:b/>
          <w:szCs w:val="32"/>
        </w:rPr>
        <w:t>环境保护目标</w:t>
      </w:r>
      <w:bookmarkEnd w:id="93"/>
    </w:p>
    <w:p>
      <w:pPr>
        <w:pStyle w:val="114"/>
        <w:ind w:firstLine="480"/>
      </w:pPr>
      <w:r>
        <w:t>本项目位于四川省达州市宣汉县</w:t>
      </w:r>
      <w:r>
        <w:rPr>
          <w:rFonts w:hint="eastAsia"/>
        </w:rPr>
        <w:t>普光镇塔娅村</w:t>
      </w:r>
      <w:r>
        <w:t>，项目区域地貌为丘陵，</w:t>
      </w:r>
      <w:r>
        <w:rPr>
          <w:rFonts w:hint="eastAsia"/>
        </w:rPr>
        <w:t>原</w:t>
      </w:r>
      <w:r>
        <w:t>P</w:t>
      </w:r>
      <w:r>
        <w:rPr>
          <w:rFonts w:hint="eastAsia"/>
        </w:rPr>
        <w:t>108</w:t>
      </w:r>
      <w:r>
        <w:t>集气站沿</w:t>
      </w:r>
      <w:r>
        <w:rPr>
          <w:rFonts w:hint="eastAsia"/>
        </w:rPr>
        <w:t>南-北</w:t>
      </w:r>
      <w:r>
        <w:t>向摆放，根据现场调查可知：本项目</w:t>
      </w:r>
      <w:r>
        <w:rPr>
          <w:rFonts w:hint="eastAsia"/>
        </w:rPr>
        <w:t>井口</w:t>
      </w:r>
      <w:r>
        <w:t>周边500m范围内无铁路、无建制学校、高速公路、场镇、医院，煤矿；无大型厂矿、油库以及风景名胜区等。</w:t>
      </w:r>
    </w:p>
    <w:p>
      <w:pPr>
        <w:pStyle w:val="114"/>
        <w:ind w:firstLine="480"/>
        <w:rPr>
          <w:b/>
          <w:bCs/>
        </w:rPr>
      </w:pPr>
      <w:r>
        <w:t>经现场调查，所在地及周边地貌主要为旱地，本项目</w:t>
      </w:r>
      <w:r>
        <w:rPr>
          <w:rFonts w:hint="eastAsia"/>
        </w:rPr>
        <w:t>西</w:t>
      </w:r>
      <w:r>
        <w:t>南侧约</w:t>
      </w:r>
      <w:r>
        <w:rPr>
          <w:rFonts w:hint="eastAsia"/>
        </w:rPr>
        <w:t>850</w:t>
      </w:r>
      <w:r>
        <w:t>m为后河，经调查核实，项目评价区域内不涉及集中式饮用水源保护区。</w:t>
      </w:r>
    </w:p>
    <w:p>
      <w:pPr>
        <w:pStyle w:val="114"/>
        <w:ind w:firstLine="482"/>
        <w:rPr>
          <w:b/>
          <w:bCs/>
        </w:rPr>
      </w:pPr>
      <w:r>
        <w:rPr>
          <w:b/>
          <w:bCs/>
        </w:rPr>
        <w:t>1、大气环境敏感目标</w:t>
      </w:r>
    </w:p>
    <w:p>
      <w:pPr>
        <w:pStyle w:val="114"/>
        <w:ind w:firstLine="480"/>
      </w:pPr>
      <w:r>
        <w:t>本项目大气环境敏感目标为以P108-2H、P108-3井口为中心，边长500m矩形区域的人口集中区等作为调查范围。</w:t>
      </w:r>
    </w:p>
    <w:p>
      <w:pPr>
        <w:pStyle w:val="114"/>
        <w:ind w:firstLine="482"/>
        <w:rPr>
          <w:b/>
          <w:bCs/>
        </w:rPr>
      </w:pPr>
      <w:r>
        <w:rPr>
          <w:b/>
          <w:bCs/>
        </w:rPr>
        <w:t>2、地表水环境敏感目标</w:t>
      </w:r>
    </w:p>
    <w:p>
      <w:pPr>
        <w:pStyle w:val="114"/>
        <w:ind w:firstLine="480"/>
        <w:rPr>
          <w:szCs w:val="24"/>
        </w:rPr>
      </w:pPr>
      <w:r>
        <w:t>根据《关于划定万源市、宣汉县和大竹县乡镇及以下集中式饮用水水源地保护区的批复》（达市府函〔2020〕124号），距本项目最近集中式饮用水源为宣汉县老君乡余家湾水库集中式饮用水源地</w:t>
      </w:r>
      <w:r>
        <w:rPr>
          <w:rFonts w:hint="eastAsia"/>
        </w:rPr>
        <w:t>，</w:t>
      </w:r>
      <w:r>
        <w:t>本项目</w:t>
      </w:r>
      <w:r>
        <w:rPr>
          <w:szCs w:val="24"/>
        </w:rPr>
        <w:t>评价范围内不涉及地表水水源保护区。</w:t>
      </w:r>
    </w:p>
    <w:p>
      <w:pPr>
        <w:pStyle w:val="114"/>
        <w:ind w:firstLine="480"/>
        <w:rPr>
          <w:szCs w:val="24"/>
        </w:rPr>
      </w:pPr>
      <w:r>
        <w:t>本项目试采期</w:t>
      </w:r>
      <w:r>
        <w:rPr>
          <w:rFonts w:hint="eastAsia"/>
        </w:rPr>
        <w:t>产生的气田水经酸液缓冲罐收集</w:t>
      </w:r>
      <w:r>
        <w:t>，然后通过密闭罐车拉运至大湾403污水站处理达到《气田水回注方法》（SY/T 6596-2016）中注入水基本要求后管输至毛开1井回注站回注处理，不外排</w:t>
      </w:r>
      <w:r>
        <w:rPr>
          <w:szCs w:val="24"/>
        </w:rPr>
        <w:t>。项目周边1000m范围内地表水体主要为后河，后河距离井口直线距离分别为850m。</w:t>
      </w:r>
    </w:p>
    <w:p>
      <w:pPr>
        <w:pStyle w:val="114"/>
        <w:ind w:firstLine="482"/>
        <w:rPr>
          <w:b/>
          <w:bCs/>
          <w:szCs w:val="24"/>
        </w:rPr>
      </w:pPr>
      <w:r>
        <w:rPr>
          <w:b/>
          <w:bCs/>
          <w:szCs w:val="24"/>
        </w:rPr>
        <w:t>3、地下水环境敏感目标</w:t>
      </w:r>
    </w:p>
    <w:p>
      <w:pPr>
        <w:pStyle w:val="114"/>
        <w:ind w:firstLine="480"/>
        <w:rPr>
          <w:szCs w:val="24"/>
        </w:rPr>
      </w:pPr>
      <w:r>
        <w:rPr>
          <w:szCs w:val="24"/>
        </w:rPr>
        <w:t>本次评价对评价范围内村庄用水进行了详细调查：本项目所在地不涉及划定的地下水水源保护区、准保护区，本项目地下水评价范围内有部分农户水井作为分散式饮用水源（共计</w:t>
      </w:r>
      <w:r>
        <w:rPr>
          <w:rFonts w:hint="eastAsia"/>
          <w:szCs w:val="24"/>
        </w:rPr>
        <w:t>14</w:t>
      </w:r>
      <w:r>
        <w:rPr>
          <w:szCs w:val="24"/>
        </w:rPr>
        <w:t>口水井）</w:t>
      </w:r>
      <w:r>
        <w:rPr>
          <w:rFonts w:hint="eastAsia"/>
          <w:szCs w:val="24"/>
        </w:rPr>
        <w:t>，详见表1.9-2</w:t>
      </w:r>
      <w:r>
        <w:rPr>
          <w:szCs w:val="24"/>
        </w:rPr>
        <w:t>。</w:t>
      </w:r>
    </w:p>
    <w:p>
      <w:pPr>
        <w:pStyle w:val="114"/>
        <w:ind w:firstLine="482"/>
        <w:rPr>
          <w:b/>
          <w:bCs/>
          <w:szCs w:val="24"/>
        </w:rPr>
      </w:pPr>
      <w:r>
        <w:rPr>
          <w:b/>
          <w:bCs/>
          <w:szCs w:val="24"/>
        </w:rPr>
        <w:t>4、声环境敏感目标</w:t>
      </w:r>
    </w:p>
    <w:p>
      <w:pPr>
        <w:pStyle w:val="114"/>
        <w:ind w:firstLine="480"/>
        <w:rPr>
          <w:szCs w:val="24"/>
        </w:rPr>
      </w:pPr>
      <w:r>
        <w:rPr>
          <w:szCs w:val="24"/>
        </w:rPr>
        <w:t>经现场踏勘，本项目站场厂界外200m范围内不涉及散住居民等声环境敏感目标。</w:t>
      </w:r>
    </w:p>
    <w:p>
      <w:pPr>
        <w:pStyle w:val="114"/>
        <w:ind w:firstLine="482"/>
        <w:rPr>
          <w:b/>
          <w:bCs/>
          <w:szCs w:val="24"/>
        </w:rPr>
      </w:pPr>
      <w:r>
        <w:rPr>
          <w:b/>
          <w:bCs/>
          <w:szCs w:val="24"/>
        </w:rPr>
        <w:t>5、土壤环境敏感目标</w:t>
      </w:r>
    </w:p>
    <w:p>
      <w:pPr>
        <w:pStyle w:val="114"/>
        <w:ind w:firstLine="480"/>
        <w:rPr>
          <w:szCs w:val="24"/>
        </w:rPr>
      </w:pPr>
      <w:r>
        <w:rPr>
          <w:szCs w:val="24"/>
        </w:rPr>
        <w:t>项目土壤环境保护目标为项目占地范围内以及占地范围外0.2km内的耕地。</w:t>
      </w:r>
    </w:p>
    <w:p>
      <w:pPr>
        <w:pStyle w:val="114"/>
        <w:ind w:firstLine="482"/>
        <w:rPr>
          <w:b/>
          <w:bCs/>
          <w:szCs w:val="24"/>
        </w:rPr>
      </w:pPr>
      <w:r>
        <w:rPr>
          <w:b/>
          <w:bCs/>
          <w:szCs w:val="24"/>
        </w:rPr>
        <w:t>6、生态环境敏感目标</w:t>
      </w:r>
    </w:p>
    <w:p>
      <w:pPr>
        <w:pStyle w:val="114"/>
        <w:ind w:firstLine="480"/>
        <w:rPr>
          <w:szCs w:val="24"/>
        </w:rPr>
      </w:pPr>
      <w:r>
        <w:rPr>
          <w:szCs w:val="24"/>
        </w:rPr>
        <w:t>项目总体不在城镇总体规划城镇建设用地范围内，属于农村区域。井场周边无珍稀动植物、自然风景区。区域植被覆盖率高，土壤水土保持性能较好，水土流失量小。</w:t>
      </w:r>
    </w:p>
    <w:p>
      <w:pPr>
        <w:pStyle w:val="114"/>
        <w:ind w:firstLine="480"/>
        <w:rPr>
          <w:szCs w:val="24"/>
        </w:rPr>
      </w:pPr>
      <w:r>
        <w:rPr>
          <w:szCs w:val="24"/>
        </w:rPr>
        <w:t>经现场调查，井场周边2000m范围内未发现国家及省级重点保护野生动植物，也未发现有适合重点保护野生动物栖息地、繁殖地、觅食地分布，也不涉及各级自然保护区、森林公园和风景名胜区等生态敏感区，主要生态保护目标为评价范围内的</w:t>
      </w:r>
      <w:r>
        <w:t>公益林</w:t>
      </w:r>
      <w:r>
        <w:rPr>
          <w:szCs w:val="24"/>
        </w:rPr>
        <w:t>。</w:t>
      </w:r>
    </w:p>
    <w:p>
      <w:pPr>
        <w:pStyle w:val="114"/>
        <w:ind w:firstLine="482"/>
        <w:rPr>
          <w:b/>
          <w:bCs/>
          <w:szCs w:val="24"/>
        </w:rPr>
      </w:pPr>
      <w:r>
        <w:rPr>
          <w:b/>
          <w:bCs/>
          <w:szCs w:val="24"/>
        </w:rPr>
        <w:t>7、环境风险敏感目标</w:t>
      </w:r>
    </w:p>
    <w:p>
      <w:pPr>
        <w:pStyle w:val="114"/>
        <w:ind w:firstLine="480"/>
      </w:pPr>
      <w:r>
        <w:t>本项目大气环境风险保护目标为站场周边5km范围内的人口集中区、学校医院等社会关注区。</w:t>
      </w:r>
    </w:p>
    <w:p>
      <w:pPr>
        <w:pStyle w:val="39"/>
        <w:rPr>
          <w:rFonts w:cs="Times New Roman"/>
        </w:rPr>
        <w:sectPr>
          <w:pgSz w:w="11906" w:h="16838"/>
          <w:pgMar w:top="1417" w:right="1417" w:bottom="1417" w:left="1701" w:header="851" w:footer="992" w:gutter="0"/>
          <w:pgBorders>
            <w:top w:val="none" w:sz="0" w:space="0"/>
            <w:left w:val="none" w:sz="0" w:space="0"/>
            <w:bottom w:val="none" w:sz="0" w:space="0"/>
            <w:right w:val="none" w:sz="0" w:space="0"/>
          </w:pgBorders>
          <w:cols w:space="0" w:num="1"/>
          <w:docGrid w:type="lines" w:linePitch="312" w:charSpace="0"/>
        </w:sectPr>
      </w:pPr>
    </w:p>
    <w:p>
      <w:pPr>
        <w:pStyle w:val="39"/>
        <w:ind w:firstLine="480"/>
        <w:rPr>
          <w:rFonts w:cs="Times New Roman"/>
        </w:rPr>
      </w:pPr>
      <w:r>
        <w:rPr>
          <w:rFonts w:cs="Times New Roman"/>
        </w:rPr>
        <w:t>表</w:t>
      </w:r>
      <w:r>
        <w:rPr>
          <w:rFonts w:cs="Times New Roman"/>
          <w:bCs/>
        </w:rPr>
        <w:t xml:space="preserve">1.9-1  </w:t>
      </w:r>
      <w:r>
        <w:rPr>
          <w:rFonts w:cs="Times New Roman"/>
        </w:rPr>
        <w:t>主要环境敏感目标一览表</w:t>
      </w:r>
    </w:p>
    <w:tbl>
      <w:tblPr>
        <w:tblStyle w:val="59"/>
        <w:tblW w:w="484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48"/>
        <w:gridCol w:w="847"/>
        <w:gridCol w:w="1936"/>
        <w:gridCol w:w="966"/>
        <w:gridCol w:w="862"/>
        <w:gridCol w:w="1425"/>
        <w:gridCol w:w="1676"/>
        <w:gridCol w:w="2034"/>
        <w:gridCol w:w="1080"/>
        <w:gridCol w:w="818"/>
        <w:gridCol w:w="1098"/>
        <w:gridCol w:w="105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vMerge w:val="restart"/>
            <w:tcBorders>
              <w:tl2br w:val="nil"/>
              <w:tr2bl w:val="nil"/>
            </w:tcBorders>
            <w:vAlign w:val="center"/>
          </w:tcPr>
          <w:p>
            <w:pPr>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序号</w:t>
            </w:r>
          </w:p>
        </w:tc>
        <w:tc>
          <w:tcPr>
            <w:tcW w:w="293" w:type="pct"/>
            <w:vMerge w:val="restart"/>
            <w:tcBorders>
              <w:tl2br w:val="nil"/>
              <w:tr2bl w:val="nil"/>
            </w:tcBorders>
            <w:vAlign w:val="center"/>
          </w:tcPr>
          <w:p>
            <w:pPr>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环境要素</w:t>
            </w:r>
          </w:p>
        </w:tc>
        <w:tc>
          <w:tcPr>
            <w:tcW w:w="669" w:type="pct"/>
            <w:vMerge w:val="restart"/>
            <w:tcBorders>
              <w:tl2br w:val="nil"/>
              <w:tr2bl w:val="nil"/>
            </w:tcBorders>
            <w:vAlign w:val="center"/>
          </w:tcPr>
          <w:p>
            <w:pPr>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保护目标</w:t>
            </w:r>
          </w:p>
        </w:tc>
        <w:tc>
          <w:tcPr>
            <w:tcW w:w="632" w:type="pct"/>
            <w:gridSpan w:val="2"/>
            <w:tcBorders>
              <w:tl2br w:val="nil"/>
              <w:tr2bl w:val="nil"/>
            </w:tcBorders>
            <w:vAlign w:val="center"/>
          </w:tcPr>
          <w:p>
            <w:pPr>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距离最近点坐标</w:t>
            </w:r>
          </w:p>
        </w:tc>
        <w:tc>
          <w:tcPr>
            <w:tcW w:w="493" w:type="pct"/>
            <w:vMerge w:val="restart"/>
            <w:tcBorders>
              <w:tl2br w:val="nil"/>
              <w:tr2bl w:val="nil"/>
            </w:tcBorders>
            <w:vAlign w:val="center"/>
          </w:tcPr>
          <w:p>
            <w:pPr>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保护对象</w:t>
            </w:r>
          </w:p>
        </w:tc>
        <w:tc>
          <w:tcPr>
            <w:tcW w:w="579" w:type="pct"/>
            <w:vMerge w:val="restart"/>
            <w:tcBorders>
              <w:tl2br w:val="nil"/>
              <w:tr2bl w:val="nil"/>
            </w:tcBorders>
            <w:vAlign w:val="center"/>
          </w:tcPr>
          <w:p>
            <w:pPr>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保护内容</w:t>
            </w:r>
          </w:p>
        </w:tc>
        <w:tc>
          <w:tcPr>
            <w:tcW w:w="703" w:type="pct"/>
            <w:vMerge w:val="restart"/>
            <w:tcBorders>
              <w:tl2br w:val="nil"/>
              <w:tr2bl w:val="nil"/>
            </w:tcBorders>
            <w:vAlign w:val="center"/>
          </w:tcPr>
          <w:p>
            <w:pPr>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环境功能区</w:t>
            </w:r>
          </w:p>
        </w:tc>
        <w:tc>
          <w:tcPr>
            <w:tcW w:w="657" w:type="pct"/>
            <w:gridSpan w:val="2"/>
            <w:tcBorders>
              <w:tl2br w:val="nil"/>
              <w:tr2bl w:val="nil"/>
            </w:tcBorders>
            <w:vAlign w:val="center"/>
          </w:tcPr>
          <w:p>
            <w:pPr>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相对井口</w:t>
            </w:r>
          </w:p>
        </w:tc>
        <w:tc>
          <w:tcPr>
            <w:tcW w:w="380" w:type="pct"/>
            <w:vMerge w:val="restart"/>
            <w:tcBorders>
              <w:tl2br w:val="nil"/>
              <w:tr2bl w:val="nil"/>
            </w:tcBorders>
            <w:vAlign w:val="center"/>
          </w:tcPr>
          <w:p>
            <w:pPr>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相对井口高差（m）</w:t>
            </w:r>
          </w:p>
        </w:tc>
        <w:tc>
          <w:tcPr>
            <w:tcW w:w="365" w:type="pct"/>
            <w:vMerge w:val="restart"/>
            <w:tcBorders>
              <w:tl2br w:val="nil"/>
              <w:tr2bl w:val="nil"/>
            </w:tcBorders>
            <w:vAlign w:val="center"/>
          </w:tcPr>
          <w:p>
            <w:pPr>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相对放喷池距离（m）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vMerge w:val="continue"/>
            <w:tcBorders>
              <w:tl2br w:val="nil"/>
              <w:tr2bl w:val="nil"/>
            </w:tcBorders>
            <w:vAlign w:val="center"/>
          </w:tcPr>
          <w:p>
            <w:pPr>
              <w:spacing w:line="240" w:lineRule="auto"/>
              <w:ind w:firstLine="0" w:firstLineChars="0"/>
              <w:jc w:val="center"/>
              <w:rPr>
                <w:rFonts w:ascii="Times New Roman" w:cs="Times New Roman"/>
                <w:b/>
                <w:kern w:val="2"/>
                <w:sz w:val="21"/>
                <w:szCs w:val="21"/>
              </w:rPr>
            </w:pPr>
          </w:p>
        </w:tc>
        <w:tc>
          <w:tcPr>
            <w:tcW w:w="293" w:type="pct"/>
            <w:vMerge w:val="continue"/>
            <w:tcBorders>
              <w:tl2br w:val="nil"/>
              <w:tr2bl w:val="nil"/>
            </w:tcBorders>
            <w:vAlign w:val="center"/>
          </w:tcPr>
          <w:p>
            <w:pPr>
              <w:spacing w:line="240" w:lineRule="auto"/>
              <w:ind w:firstLine="0" w:firstLineChars="0"/>
              <w:jc w:val="center"/>
              <w:rPr>
                <w:rFonts w:ascii="Times New Roman" w:cs="Times New Roman"/>
                <w:b/>
                <w:kern w:val="2"/>
                <w:sz w:val="21"/>
                <w:szCs w:val="21"/>
              </w:rPr>
            </w:pPr>
          </w:p>
        </w:tc>
        <w:tc>
          <w:tcPr>
            <w:tcW w:w="669" w:type="pct"/>
            <w:vMerge w:val="continue"/>
            <w:tcBorders>
              <w:tl2br w:val="nil"/>
              <w:tr2bl w:val="nil"/>
            </w:tcBorders>
            <w:vAlign w:val="center"/>
          </w:tcPr>
          <w:p>
            <w:pPr>
              <w:spacing w:line="240" w:lineRule="auto"/>
              <w:ind w:firstLine="0" w:firstLineChars="0"/>
              <w:jc w:val="center"/>
              <w:rPr>
                <w:rFonts w:ascii="Times New Roman" w:cs="Times New Roman"/>
                <w:b/>
                <w:kern w:val="2"/>
                <w:sz w:val="21"/>
                <w:szCs w:val="21"/>
              </w:rPr>
            </w:pPr>
          </w:p>
        </w:tc>
        <w:tc>
          <w:tcPr>
            <w:tcW w:w="334" w:type="pct"/>
            <w:tcBorders>
              <w:tl2br w:val="nil"/>
              <w:tr2bl w:val="nil"/>
            </w:tcBorders>
            <w:vAlign w:val="center"/>
          </w:tcPr>
          <w:p>
            <w:pPr>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X（m）</w:t>
            </w:r>
          </w:p>
        </w:tc>
        <w:tc>
          <w:tcPr>
            <w:tcW w:w="298" w:type="pct"/>
            <w:tcBorders>
              <w:tl2br w:val="nil"/>
              <w:tr2bl w:val="nil"/>
            </w:tcBorders>
            <w:vAlign w:val="center"/>
          </w:tcPr>
          <w:p>
            <w:pPr>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Y（m）</w:t>
            </w:r>
          </w:p>
        </w:tc>
        <w:tc>
          <w:tcPr>
            <w:tcW w:w="493" w:type="pct"/>
            <w:vMerge w:val="continue"/>
            <w:tcBorders>
              <w:tl2br w:val="nil"/>
              <w:tr2bl w:val="nil"/>
            </w:tcBorders>
            <w:vAlign w:val="center"/>
          </w:tcPr>
          <w:p>
            <w:pPr>
              <w:spacing w:line="240" w:lineRule="auto"/>
              <w:ind w:firstLine="0" w:firstLineChars="0"/>
              <w:jc w:val="center"/>
              <w:rPr>
                <w:rFonts w:ascii="Times New Roman" w:cs="Times New Roman"/>
                <w:b/>
                <w:kern w:val="2"/>
                <w:sz w:val="21"/>
                <w:szCs w:val="21"/>
              </w:rPr>
            </w:pPr>
          </w:p>
        </w:tc>
        <w:tc>
          <w:tcPr>
            <w:tcW w:w="579" w:type="pct"/>
            <w:vMerge w:val="continue"/>
            <w:tcBorders>
              <w:tl2br w:val="nil"/>
              <w:tr2bl w:val="nil"/>
            </w:tcBorders>
            <w:vAlign w:val="center"/>
          </w:tcPr>
          <w:p>
            <w:pPr>
              <w:spacing w:line="240" w:lineRule="auto"/>
              <w:ind w:firstLine="0" w:firstLineChars="0"/>
              <w:jc w:val="center"/>
              <w:rPr>
                <w:rFonts w:ascii="Times New Roman" w:cs="Times New Roman"/>
                <w:b/>
                <w:kern w:val="2"/>
                <w:sz w:val="21"/>
                <w:szCs w:val="21"/>
              </w:rPr>
            </w:pPr>
          </w:p>
        </w:tc>
        <w:tc>
          <w:tcPr>
            <w:tcW w:w="703" w:type="pct"/>
            <w:vMerge w:val="continue"/>
            <w:tcBorders>
              <w:tl2br w:val="nil"/>
              <w:tr2bl w:val="nil"/>
            </w:tcBorders>
            <w:vAlign w:val="center"/>
          </w:tcPr>
          <w:p>
            <w:pPr>
              <w:spacing w:line="240" w:lineRule="auto"/>
              <w:ind w:firstLine="0" w:firstLineChars="0"/>
              <w:jc w:val="center"/>
              <w:rPr>
                <w:rFonts w:ascii="Times New Roman" w:cs="Times New Roman"/>
                <w:b/>
                <w:kern w:val="2"/>
                <w:sz w:val="21"/>
                <w:szCs w:val="21"/>
              </w:rPr>
            </w:pPr>
          </w:p>
        </w:tc>
        <w:tc>
          <w:tcPr>
            <w:tcW w:w="374" w:type="pct"/>
            <w:tcBorders>
              <w:tl2br w:val="nil"/>
              <w:tr2bl w:val="nil"/>
            </w:tcBorders>
            <w:vAlign w:val="center"/>
          </w:tcPr>
          <w:p>
            <w:pPr>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方位</w:t>
            </w:r>
          </w:p>
        </w:tc>
        <w:tc>
          <w:tcPr>
            <w:tcW w:w="282" w:type="pct"/>
            <w:tcBorders>
              <w:tl2br w:val="nil"/>
              <w:tr2bl w:val="nil"/>
            </w:tcBorders>
            <w:vAlign w:val="center"/>
          </w:tcPr>
          <w:p>
            <w:pPr>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距离（m）</w:t>
            </w:r>
          </w:p>
        </w:tc>
        <w:tc>
          <w:tcPr>
            <w:tcW w:w="380" w:type="pct"/>
            <w:vMerge w:val="continue"/>
            <w:tcBorders>
              <w:tl2br w:val="nil"/>
              <w:tr2bl w:val="nil"/>
            </w:tcBorders>
            <w:vAlign w:val="center"/>
          </w:tcPr>
          <w:p>
            <w:pPr>
              <w:spacing w:line="240" w:lineRule="auto"/>
              <w:ind w:firstLine="0" w:firstLineChars="0"/>
              <w:jc w:val="center"/>
              <w:rPr>
                <w:rFonts w:ascii="Times New Roman" w:cs="Times New Roman"/>
                <w:b/>
                <w:kern w:val="2"/>
                <w:sz w:val="21"/>
                <w:szCs w:val="21"/>
              </w:rPr>
            </w:pPr>
          </w:p>
        </w:tc>
        <w:tc>
          <w:tcPr>
            <w:tcW w:w="365" w:type="pct"/>
            <w:vMerge w:val="continue"/>
            <w:tcBorders>
              <w:tl2br w:val="nil"/>
              <w:tr2bl w:val="nil"/>
            </w:tcBorders>
            <w:vAlign w:val="center"/>
          </w:tcPr>
          <w:p>
            <w:pPr>
              <w:spacing w:line="240" w:lineRule="auto"/>
              <w:ind w:firstLine="0" w:firstLineChars="0"/>
              <w:jc w:val="center"/>
              <w:rPr>
                <w:rFonts w:ascii="Times New Roman" w:cs="Times New Roman"/>
                <w:b/>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293" w:type="pct"/>
            <w:vMerge w:val="restart"/>
            <w:tcBorders>
              <w:tl2br w:val="nil"/>
              <w:tr2bl w:val="nil"/>
            </w:tcBorders>
            <w:vAlign w:val="center"/>
          </w:tcPr>
          <w:p>
            <w:pPr>
              <w:spacing w:line="240" w:lineRule="auto"/>
              <w:ind w:firstLine="0" w:firstLineChars="0"/>
              <w:jc w:val="center"/>
              <w:rPr>
                <w:rFonts w:ascii="Times New Roman" w:cs="Times New Roman"/>
                <w:b/>
                <w:kern w:val="2"/>
                <w:sz w:val="21"/>
                <w:szCs w:val="21"/>
              </w:rPr>
            </w:pPr>
            <w:r>
              <w:rPr>
                <w:rFonts w:ascii="Times New Roman" w:cs="Times New Roman"/>
                <w:kern w:val="2"/>
                <w:sz w:val="21"/>
                <w:szCs w:val="21"/>
              </w:rPr>
              <w:t>环境空气、环境风险</w:t>
            </w:r>
          </w:p>
        </w:tc>
        <w:tc>
          <w:tcPr>
            <w:tcW w:w="66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燕湾农户1#</w:t>
            </w:r>
          </w:p>
        </w:tc>
        <w:tc>
          <w:tcPr>
            <w:tcW w:w="334"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34</w:t>
            </w:r>
          </w:p>
        </w:tc>
        <w:tc>
          <w:tcPr>
            <w:tcW w:w="298"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375</w:t>
            </w:r>
          </w:p>
        </w:tc>
        <w:tc>
          <w:tcPr>
            <w:tcW w:w="4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农户</w:t>
            </w:r>
          </w:p>
        </w:tc>
        <w:tc>
          <w:tcPr>
            <w:tcW w:w="57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约21户68人</w:t>
            </w:r>
          </w:p>
        </w:tc>
        <w:tc>
          <w:tcPr>
            <w:tcW w:w="703" w:type="pct"/>
            <w:vMerge w:val="restar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《环境空气质量标准》（GB3095-2012）二级标准</w:t>
            </w:r>
          </w:p>
        </w:tc>
        <w:tc>
          <w:tcPr>
            <w:tcW w:w="37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N</w:t>
            </w:r>
          </w:p>
        </w:tc>
        <w:tc>
          <w:tcPr>
            <w:tcW w:w="282"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376</w:t>
            </w:r>
          </w:p>
        </w:tc>
        <w:tc>
          <w:tcPr>
            <w:tcW w:w="380"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80</w:t>
            </w:r>
          </w:p>
        </w:tc>
        <w:tc>
          <w:tcPr>
            <w:tcW w:w="365"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479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29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66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塔娅村</w:t>
            </w:r>
            <w:r>
              <w:rPr>
                <w:rFonts w:ascii="Times New Roman" w:cs="Times New Roman"/>
                <w:kern w:val="2"/>
                <w:sz w:val="21"/>
                <w:szCs w:val="21"/>
              </w:rPr>
              <w:t>农户2#</w:t>
            </w:r>
          </w:p>
        </w:tc>
        <w:tc>
          <w:tcPr>
            <w:tcW w:w="334"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415</w:t>
            </w:r>
          </w:p>
        </w:tc>
        <w:tc>
          <w:tcPr>
            <w:tcW w:w="298"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-42</w:t>
            </w:r>
          </w:p>
        </w:tc>
        <w:tc>
          <w:tcPr>
            <w:tcW w:w="4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农户</w:t>
            </w:r>
          </w:p>
        </w:tc>
        <w:tc>
          <w:tcPr>
            <w:tcW w:w="57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约27户83人</w:t>
            </w:r>
          </w:p>
        </w:tc>
        <w:tc>
          <w:tcPr>
            <w:tcW w:w="70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37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E</w:t>
            </w:r>
          </w:p>
        </w:tc>
        <w:tc>
          <w:tcPr>
            <w:tcW w:w="282"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417</w:t>
            </w:r>
          </w:p>
        </w:tc>
        <w:tc>
          <w:tcPr>
            <w:tcW w:w="380"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-22</w:t>
            </w:r>
          </w:p>
        </w:tc>
        <w:tc>
          <w:tcPr>
            <w:tcW w:w="365"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346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w:t>
            </w:r>
          </w:p>
        </w:tc>
        <w:tc>
          <w:tcPr>
            <w:tcW w:w="29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66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井家湾农户3#</w:t>
            </w:r>
          </w:p>
        </w:tc>
        <w:tc>
          <w:tcPr>
            <w:tcW w:w="334"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486</w:t>
            </w:r>
          </w:p>
        </w:tc>
        <w:tc>
          <w:tcPr>
            <w:tcW w:w="298"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-416</w:t>
            </w:r>
          </w:p>
        </w:tc>
        <w:tc>
          <w:tcPr>
            <w:tcW w:w="4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农户</w:t>
            </w:r>
          </w:p>
        </w:tc>
        <w:tc>
          <w:tcPr>
            <w:tcW w:w="57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约13户41人</w:t>
            </w:r>
          </w:p>
        </w:tc>
        <w:tc>
          <w:tcPr>
            <w:tcW w:w="70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37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SE</w:t>
            </w:r>
          </w:p>
        </w:tc>
        <w:tc>
          <w:tcPr>
            <w:tcW w:w="282"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640</w:t>
            </w:r>
          </w:p>
        </w:tc>
        <w:tc>
          <w:tcPr>
            <w:tcW w:w="380"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-151</w:t>
            </w:r>
          </w:p>
        </w:tc>
        <w:tc>
          <w:tcPr>
            <w:tcW w:w="365"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518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w:t>
            </w:r>
          </w:p>
        </w:tc>
        <w:tc>
          <w:tcPr>
            <w:tcW w:w="29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66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大路氹农户4#</w:t>
            </w:r>
          </w:p>
        </w:tc>
        <w:tc>
          <w:tcPr>
            <w:tcW w:w="334"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1095</w:t>
            </w:r>
          </w:p>
        </w:tc>
        <w:tc>
          <w:tcPr>
            <w:tcW w:w="298"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-139</w:t>
            </w:r>
          </w:p>
        </w:tc>
        <w:tc>
          <w:tcPr>
            <w:tcW w:w="4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农户</w:t>
            </w:r>
          </w:p>
        </w:tc>
        <w:tc>
          <w:tcPr>
            <w:tcW w:w="57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约11户35人</w:t>
            </w:r>
          </w:p>
        </w:tc>
        <w:tc>
          <w:tcPr>
            <w:tcW w:w="70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37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SE</w:t>
            </w:r>
          </w:p>
        </w:tc>
        <w:tc>
          <w:tcPr>
            <w:tcW w:w="282"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1104</w:t>
            </w:r>
          </w:p>
        </w:tc>
        <w:tc>
          <w:tcPr>
            <w:tcW w:w="380"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-79</w:t>
            </w:r>
          </w:p>
        </w:tc>
        <w:tc>
          <w:tcPr>
            <w:tcW w:w="365"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1022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w:t>
            </w:r>
          </w:p>
        </w:tc>
        <w:tc>
          <w:tcPr>
            <w:tcW w:w="29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66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观音矸农户5#</w:t>
            </w:r>
          </w:p>
        </w:tc>
        <w:tc>
          <w:tcPr>
            <w:tcW w:w="334"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1214</w:t>
            </w:r>
          </w:p>
        </w:tc>
        <w:tc>
          <w:tcPr>
            <w:tcW w:w="298"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170</w:t>
            </w:r>
          </w:p>
        </w:tc>
        <w:tc>
          <w:tcPr>
            <w:tcW w:w="4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农户</w:t>
            </w:r>
          </w:p>
        </w:tc>
        <w:tc>
          <w:tcPr>
            <w:tcW w:w="57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约5户16人</w:t>
            </w:r>
          </w:p>
        </w:tc>
        <w:tc>
          <w:tcPr>
            <w:tcW w:w="70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37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E</w:t>
            </w:r>
          </w:p>
        </w:tc>
        <w:tc>
          <w:tcPr>
            <w:tcW w:w="282"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1226</w:t>
            </w:r>
          </w:p>
        </w:tc>
        <w:tc>
          <w:tcPr>
            <w:tcW w:w="380"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-12</w:t>
            </w:r>
          </w:p>
        </w:tc>
        <w:tc>
          <w:tcPr>
            <w:tcW w:w="365"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1172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6</w:t>
            </w:r>
          </w:p>
        </w:tc>
        <w:tc>
          <w:tcPr>
            <w:tcW w:w="29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66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岳家农户6#</w:t>
            </w:r>
          </w:p>
        </w:tc>
        <w:tc>
          <w:tcPr>
            <w:tcW w:w="334"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891</w:t>
            </w:r>
          </w:p>
        </w:tc>
        <w:tc>
          <w:tcPr>
            <w:tcW w:w="298"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606</w:t>
            </w:r>
          </w:p>
        </w:tc>
        <w:tc>
          <w:tcPr>
            <w:tcW w:w="4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农户</w:t>
            </w:r>
          </w:p>
        </w:tc>
        <w:tc>
          <w:tcPr>
            <w:tcW w:w="57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约25户80人</w:t>
            </w:r>
          </w:p>
        </w:tc>
        <w:tc>
          <w:tcPr>
            <w:tcW w:w="70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37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NE</w:t>
            </w:r>
          </w:p>
        </w:tc>
        <w:tc>
          <w:tcPr>
            <w:tcW w:w="282"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1077</w:t>
            </w:r>
          </w:p>
        </w:tc>
        <w:tc>
          <w:tcPr>
            <w:tcW w:w="380"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86</w:t>
            </w:r>
          </w:p>
        </w:tc>
        <w:tc>
          <w:tcPr>
            <w:tcW w:w="365"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1081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7</w:t>
            </w:r>
          </w:p>
        </w:tc>
        <w:tc>
          <w:tcPr>
            <w:tcW w:w="29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66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瓜地坨农户7#</w:t>
            </w:r>
          </w:p>
        </w:tc>
        <w:tc>
          <w:tcPr>
            <w:tcW w:w="334"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857</w:t>
            </w:r>
          </w:p>
        </w:tc>
        <w:tc>
          <w:tcPr>
            <w:tcW w:w="298"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899</w:t>
            </w:r>
          </w:p>
        </w:tc>
        <w:tc>
          <w:tcPr>
            <w:tcW w:w="4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农户</w:t>
            </w:r>
          </w:p>
        </w:tc>
        <w:tc>
          <w:tcPr>
            <w:tcW w:w="57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约33户80人</w:t>
            </w:r>
          </w:p>
        </w:tc>
        <w:tc>
          <w:tcPr>
            <w:tcW w:w="70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37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NE</w:t>
            </w:r>
          </w:p>
        </w:tc>
        <w:tc>
          <w:tcPr>
            <w:tcW w:w="282"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1242</w:t>
            </w:r>
          </w:p>
        </w:tc>
        <w:tc>
          <w:tcPr>
            <w:tcW w:w="380"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99</w:t>
            </w:r>
          </w:p>
        </w:tc>
        <w:tc>
          <w:tcPr>
            <w:tcW w:w="365"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1271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8</w:t>
            </w:r>
          </w:p>
        </w:tc>
        <w:tc>
          <w:tcPr>
            <w:tcW w:w="29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66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干河沟农户8#</w:t>
            </w:r>
          </w:p>
        </w:tc>
        <w:tc>
          <w:tcPr>
            <w:tcW w:w="334"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1232</w:t>
            </w:r>
          </w:p>
        </w:tc>
        <w:tc>
          <w:tcPr>
            <w:tcW w:w="298"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1364</w:t>
            </w:r>
          </w:p>
        </w:tc>
        <w:tc>
          <w:tcPr>
            <w:tcW w:w="4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农户</w:t>
            </w:r>
          </w:p>
        </w:tc>
        <w:tc>
          <w:tcPr>
            <w:tcW w:w="57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约20户65人</w:t>
            </w:r>
          </w:p>
        </w:tc>
        <w:tc>
          <w:tcPr>
            <w:tcW w:w="70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37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NE</w:t>
            </w:r>
          </w:p>
        </w:tc>
        <w:tc>
          <w:tcPr>
            <w:tcW w:w="282"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1839</w:t>
            </w:r>
          </w:p>
        </w:tc>
        <w:tc>
          <w:tcPr>
            <w:tcW w:w="380"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144</w:t>
            </w:r>
          </w:p>
        </w:tc>
        <w:tc>
          <w:tcPr>
            <w:tcW w:w="365"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1869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9</w:t>
            </w:r>
          </w:p>
        </w:tc>
        <w:tc>
          <w:tcPr>
            <w:tcW w:w="29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66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罗家塝农户9#</w:t>
            </w:r>
          </w:p>
        </w:tc>
        <w:tc>
          <w:tcPr>
            <w:tcW w:w="334"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2091</w:t>
            </w:r>
          </w:p>
        </w:tc>
        <w:tc>
          <w:tcPr>
            <w:tcW w:w="298"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2020</w:t>
            </w:r>
          </w:p>
        </w:tc>
        <w:tc>
          <w:tcPr>
            <w:tcW w:w="4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农户</w:t>
            </w:r>
          </w:p>
        </w:tc>
        <w:tc>
          <w:tcPr>
            <w:tcW w:w="57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约35户112人</w:t>
            </w:r>
          </w:p>
        </w:tc>
        <w:tc>
          <w:tcPr>
            <w:tcW w:w="70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37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NE</w:t>
            </w:r>
          </w:p>
        </w:tc>
        <w:tc>
          <w:tcPr>
            <w:tcW w:w="282"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2907</w:t>
            </w:r>
          </w:p>
        </w:tc>
        <w:tc>
          <w:tcPr>
            <w:tcW w:w="380"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46</w:t>
            </w:r>
          </w:p>
        </w:tc>
        <w:tc>
          <w:tcPr>
            <w:tcW w:w="365"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2928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10</w:t>
            </w:r>
          </w:p>
        </w:tc>
        <w:tc>
          <w:tcPr>
            <w:tcW w:w="29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66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后头湾农户10#</w:t>
            </w:r>
          </w:p>
        </w:tc>
        <w:tc>
          <w:tcPr>
            <w:tcW w:w="334"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1937</w:t>
            </w:r>
          </w:p>
        </w:tc>
        <w:tc>
          <w:tcPr>
            <w:tcW w:w="298"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550</w:t>
            </w:r>
          </w:p>
        </w:tc>
        <w:tc>
          <w:tcPr>
            <w:tcW w:w="4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农户</w:t>
            </w:r>
          </w:p>
        </w:tc>
        <w:tc>
          <w:tcPr>
            <w:tcW w:w="57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约15户50人</w:t>
            </w:r>
          </w:p>
        </w:tc>
        <w:tc>
          <w:tcPr>
            <w:tcW w:w="70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37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E</w:t>
            </w:r>
          </w:p>
        </w:tc>
        <w:tc>
          <w:tcPr>
            <w:tcW w:w="282"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2014</w:t>
            </w:r>
          </w:p>
        </w:tc>
        <w:tc>
          <w:tcPr>
            <w:tcW w:w="380"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115</w:t>
            </w:r>
          </w:p>
        </w:tc>
        <w:tc>
          <w:tcPr>
            <w:tcW w:w="365"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1974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11</w:t>
            </w:r>
          </w:p>
        </w:tc>
        <w:tc>
          <w:tcPr>
            <w:tcW w:w="29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66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大田湾农户11#</w:t>
            </w:r>
          </w:p>
        </w:tc>
        <w:tc>
          <w:tcPr>
            <w:tcW w:w="334"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2268</w:t>
            </w:r>
          </w:p>
        </w:tc>
        <w:tc>
          <w:tcPr>
            <w:tcW w:w="298"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435</w:t>
            </w:r>
          </w:p>
        </w:tc>
        <w:tc>
          <w:tcPr>
            <w:tcW w:w="4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农户</w:t>
            </w:r>
          </w:p>
        </w:tc>
        <w:tc>
          <w:tcPr>
            <w:tcW w:w="57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约9户27人</w:t>
            </w:r>
          </w:p>
        </w:tc>
        <w:tc>
          <w:tcPr>
            <w:tcW w:w="70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37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E</w:t>
            </w:r>
          </w:p>
        </w:tc>
        <w:tc>
          <w:tcPr>
            <w:tcW w:w="282"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2309</w:t>
            </w:r>
          </w:p>
        </w:tc>
        <w:tc>
          <w:tcPr>
            <w:tcW w:w="380"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91</w:t>
            </w:r>
          </w:p>
        </w:tc>
        <w:tc>
          <w:tcPr>
            <w:tcW w:w="365"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2259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12</w:t>
            </w:r>
          </w:p>
        </w:tc>
        <w:tc>
          <w:tcPr>
            <w:tcW w:w="29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66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胡子寺农户12#</w:t>
            </w:r>
          </w:p>
        </w:tc>
        <w:tc>
          <w:tcPr>
            <w:tcW w:w="334"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2370</w:t>
            </w:r>
          </w:p>
        </w:tc>
        <w:tc>
          <w:tcPr>
            <w:tcW w:w="298"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159</w:t>
            </w:r>
          </w:p>
        </w:tc>
        <w:tc>
          <w:tcPr>
            <w:tcW w:w="4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农户</w:t>
            </w:r>
          </w:p>
        </w:tc>
        <w:tc>
          <w:tcPr>
            <w:tcW w:w="57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约13户41人</w:t>
            </w:r>
          </w:p>
        </w:tc>
        <w:tc>
          <w:tcPr>
            <w:tcW w:w="70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37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E</w:t>
            </w:r>
          </w:p>
        </w:tc>
        <w:tc>
          <w:tcPr>
            <w:tcW w:w="282"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2376</w:t>
            </w:r>
          </w:p>
        </w:tc>
        <w:tc>
          <w:tcPr>
            <w:tcW w:w="380"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61</w:t>
            </w:r>
          </w:p>
        </w:tc>
        <w:tc>
          <w:tcPr>
            <w:tcW w:w="365"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2311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13</w:t>
            </w:r>
          </w:p>
        </w:tc>
        <w:tc>
          <w:tcPr>
            <w:tcW w:w="29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66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王家湾农户13#</w:t>
            </w:r>
          </w:p>
        </w:tc>
        <w:tc>
          <w:tcPr>
            <w:tcW w:w="334"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2200</w:t>
            </w:r>
          </w:p>
        </w:tc>
        <w:tc>
          <w:tcPr>
            <w:tcW w:w="298"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-1718</w:t>
            </w:r>
          </w:p>
        </w:tc>
        <w:tc>
          <w:tcPr>
            <w:tcW w:w="4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农户</w:t>
            </w:r>
          </w:p>
        </w:tc>
        <w:tc>
          <w:tcPr>
            <w:tcW w:w="57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约5户17人</w:t>
            </w:r>
          </w:p>
        </w:tc>
        <w:tc>
          <w:tcPr>
            <w:tcW w:w="70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37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SE</w:t>
            </w:r>
          </w:p>
        </w:tc>
        <w:tc>
          <w:tcPr>
            <w:tcW w:w="282"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2791</w:t>
            </w:r>
          </w:p>
        </w:tc>
        <w:tc>
          <w:tcPr>
            <w:tcW w:w="380"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90</w:t>
            </w:r>
          </w:p>
        </w:tc>
        <w:tc>
          <w:tcPr>
            <w:tcW w:w="365"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2670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14</w:t>
            </w:r>
          </w:p>
        </w:tc>
        <w:tc>
          <w:tcPr>
            <w:tcW w:w="29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66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徐家梁农户14#</w:t>
            </w:r>
          </w:p>
        </w:tc>
        <w:tc>
          <w:tcPr>
            <w:tcW w:w="334"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1653</w:t>
            </w:r>
          </w:p>
        </w:tc>
        <w:tc>
          <w:tcPr>
            <w:tcW w:w="298"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-2209</w:t>
            </w:r>
          </w:p>
        </w:tc>
        <w:tc>
          <w:tcPr>
            <w:tcW w:w="4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农户</w:t>
            </w:r>
          </w:p>
        </w:tc>
        <w:tc>
          <w:tcPr>
            <w:tcW w:w="57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约20户75人</w:t>
            </w:r>
          </w:p>
        </w:tc>
        <w:tc>
          <w:tcPr>
            <w:tcW w:w="70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37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SE</w:t>
            </w:r>
          </w:p>
        </w:tc>
        <w:tc>
          <w:tcPr>
            <w:tcW w:w="282"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2759</w:t>
            </w:r>
          </w:p>
        </w:tc>
        <w:tc>
          <w:tcPr>
            <w:tcW w:w="380"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146</w:t>
            </w:r>
          </w:p>
        </w:tc>
        <w:tc>
          <w:tcPr>
            <w:tcW w:w="365"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2632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15</w:t>
            </w:r>
          </w:p>
        </w:tc>
        <w:tc>
          <w:tcPr>
            <w:tcW w:w="29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66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老房子农户15#</w:t>
            </w:r>
          </w:p>
        </w:tc>
        <w:tc>
          <w:tcPr>
            <w:tcW w:w="334"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1312</w:t>
            </w:r>
          </w:p>
        </w:tc>
        <w:tc>
          <w:tcPr>
            <w:tcW w:w="298"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-1174</w:t>
            </w:r>
          </w:p>
        </w:tc>
        <w:tc>
          <w:tcPr>
            <w:tcW w:w="4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农户</w:t>
            </w:r>
          </w:p>
        </w:tc>
        <w:tc>
          <w:tcPr>
            <w:tcW w:w="57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约6户20人</w:t>
            </w:r>
          </w:p>
        </w:tc>
        <w:tc>
          <w:tcPr>
            <w:tcW w:w="70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37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SE</w:t>
            </w:r>
          </w:p>
        </w:tc>
        <w:tc>
          <w:tcPr>
            <w:tcW w:w="282"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1760</w:t>
            </w:r>
          </w:p>
        </w:tc>
        <w:tc>
          <w:tcPr>
            <w:tcW w:w="380"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34</w:t>
            </w:r>
          </w:p>
        </w:tc>
        <w:tc>
          <w:tcPr>
            <w:tcW w:w="365"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1637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16</w:t>
            </w:r>
          </w:p>
        </w:tc>
        <w:tc>
          <w:tcPr>
            <w:tcW w:w="29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66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普光镇场镇16#</w:t>
            </w:r>
          </w:p>
        </w:tc>
        <w:tc>
          <w:tcPr>
            <w:tcW w:w="334"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-1665</w:t>
            </w:r>
          </w:p>
        </w:tc>
        <w:tc>
          <w:tcPr>
            <w:tcW w:w="298"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-149</w:t>
            </w:r>
          </w:p>
        </w:tc>
        <w:tc>
          <w:tcPr>
            <w:tcW w:w="4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场镇</w:t>
            </w:r>
          </w:p>
        </w:tc>
        <w:tc>
          <w:tcPr>
            <w:tcW w:w="57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约1.5w人</w:t>
            </w:r>
          </w:p>
        </w:tc>
        <w:tc>
          <w:tcPr>
            <w:tcW w:w="70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37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w:t>
            </w:r>
          </w:p>
        </w:tc>
        <w:tc>
          <w:tcPr>
            <w:tcW w:w="282"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1672</w:t>
            </w:r>
          </w:p>
        </w:tc>
        <w:tc>
          <w:tcPr>
            <w:tcW w:w="380"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-388</w:t>
            </w:r>
          </w:p>
        </w:tc>
        <w:tc>
          <w:tcPr>
            <w:tcW w:w="365"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1740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17</w:t>
            </w:r>
          </w:p>
        </w:tc>
        <w:tc>
          <w:tcPr>
            <w:tcW w:w="29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66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李家桥农户17#</w:t>
            </w:r>
          </w:p>
        </w:tc>
        <w:tc>
          <w:tcPr>
            <w:tcW w:w="334"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-466</w:t>
            </w:r>
          </w:p>
        </w:tc>
        <w:tc>
          <w:tcPr>
            <w:tcW w:w="298"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2342</w:t>
            </w:r>
          </w:p>
        </w:tc>
        <w:tc>
          <w:tcPr>
            <w:tcW w:w="4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农户</w:t>
            </w:r>
          </w:p>
        </w:tc>
        <w:tc>
          <w:tcPr>
            <w:tcW w:w="57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约50户170人</w:t>
            </w:r>
          </w:p>
        </w:tc>
        <w:tc>
          <w:tcPr>
            <w:tcW w:w="70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37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NW</w:t>
            </w:r>
          </w:p>
        </w:tc>
        <w:tc>
          <w:tcPr>
            <w:tcW w:w="282"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2388</w:t>
            </w:r>
          </w:p>
        </w:tc>
        <w:tc>
          <w:tcPr>
            <w:tcW w:w="380"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-373</w:t>
            </w:r>
          </w:p>
        </w:tc>
        <w:tc>
          <w:tcPr>
            <w:tcW w:w="365"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2503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18</w:t>
            </w:r>
          </w:p>
        </w:tc>
        <w:tc>
          <w:tcPr>
            <w:tcW w:w="29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66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万白路农户18#</w:t>
            </w:r>
          </w:p>
        </w:tc>
        <w:tc>
          <w:tcPr>
            <w:tcW w:w="334"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-983</w:t>
            </w:r>
          </w:p>
        </w:tc>
        <w:tc>
          <w:tcPr>
            <w:tcW w:w="298"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1800</w:t>
            </w:r>
          </w:p>
        </w:tc>
        <w:tc>
          <w:tcPr>
            <w:tcW w:w="4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农户</w:t>
            </w:r>
          </w:p>
        </w:tc>
        <w:tc>
          <w:tcPr>
            <w:tcW w:w="57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约17户57人</w:t>
            </w:r>
          </w:p>
        </w:tc>
        <w:tc>
          <w:tcPr>
            <w:tcW w:w="70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37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NW</w:t>
            </w:r>
          </w:p>
        </w:tc>
        <w:tc>
          <w:tcPr>
            <w:tcW w:w="282"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2051</w:t>
            </w:r>
          </w:p>
        </w:tc>
        <w:tc>
          <w:tcPr>
            <w:tcW w:w="380"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-338</w:t>
            </w:r>
          </w:p>
        </w:tc>
        <w:tc>
          <w:tcPr>
            <w:tcW w:w="365"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2176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19</w:t>
            </w:r>
          </w:p>
        </w:tc>
        <w:tc>
          <w:tcPr>
            <w:tcW w:w="29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66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大树林农户19#</w:t>
            </w:r>
          </w:p>
        </w:tc>
        <w:tc>
          <w:tcPr>
            <w:tcW w:w="334"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-1412</w:t>
            </w:r>
          </w:p>
        </w:tc>
        <w:tc>
          <w:tcPr>
            <w:tcW w:w="298"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2129</w:t>
            </w:r>
          </w:p>
        </w:tc>
        <w:tc>
          <w:tcPr>
            <w:tcW w:w="4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农户</w:t>
            </w:r>
          </w:p>
        </w:tc>
        <w:tc>
          <w:tcPr>
            <w:tcW w:w="57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约15户50人</w:t>
            </w:r>
          </w:p>
        </w:tc>
        <w:tc>
          <w:tcPr>
            <w:tcW w:w="70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37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NW</w:t>
            </w:r>
          </w:p>
        </w:tc>
        <w:tc>
          <w:tcPr>
            <w:tcW w:w="282"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2555</w:t>
            </w:r>
          </w:p>
        </w:tc>
        <w:tc>
          <w:tcPr>
            <w:tcW w:w="380"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-385</w:t>
            </w:r>
          </w:p>
        </w:tc>
        <w:tc>
          <w:tcPr>
            <w:tcW w:w="365"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2681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20</w:t>
            </w:r>
          </w:p>
        </w:tc>
        <w:tc>
          <w:tcPr>
            <w:tcW w:w="29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669" w:type="pct"/>
            <w:tcBorders>
              <w:tl2br w:val="nil"/>
              <w:tr2bl w:val="nil"/>
            </w:tcBorders>
            <w:vAlign w:val="center"/>
          </w:tcPr>
          <w:p>
            <w:pPr>
              <w:spacing w:line="240" w:lineRule="auto"/>
              <w:ind w:firstLine="0" w:firstLineChars="0"/>
              <w:jc w:val="center"/>
              <w:rPr>
                <w:rFonts w:ascii="Times New Roman" w:cs="Times New Roman"/>
                <w:kern w:val="2"/>
                <w:sz w:val="21"/>
                <w:szCs w:val="21"/>
              </w:rPr>
            </w:pPr>
            <w:bookmarkStart w:id="94" w:name="OLE_LINK28"/>
            <w:r>
              <w:rPr>
                <w:rFonts w:ascii="Times New Roman" w:cs="Times New Roman"/>
                <w:kern w:val="2"/>
                <w:sz w:val="21"/>
                <w:szCs w:val="21"/>
              </w:rPr>
              <w:t>灯笼村农户</w:t>
            </w:r>
            <w:bookmarkEnd w:id="94"/>
            <w:r>
              <w:rPr>
                <w:rFonts w:ascii="Times New Roman" w:cs="Times New Roman"/>
                <w:kern w:val="2"/>
                <w:sz w:val="21"/>
                <w:szCs w:val="21"/>
              </w:rPr>
              <w:t>20#</w:t>
            </w:r>
          </w:p>
        </w:tc>
        <w:tc>
          <w:tcPr>
            <w:tcW w:w="334"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-1912</w:t>
            </w:r>
          </w:p>
        </w:tc>
        <w:tc>
          <w:tcPr>
            <w:tcW w:w="298"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1838</w:t>
            </w:r>
          </w:p>
        </w:tc>
        <w:tc>
          <w:tcPr>
            <w:tcW w:w="4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农户</w:t>
            </w:r>
          </w:p>
        </w:tc>
        <w:tc>
          <w:tcPr>
            <w:tcW w:w="57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约13户40人</w:t>
            </w:r>
          </w:p>
        </w:tc>
        <w:tc>
          <w:tcPr>
            <w:tcW w:w="70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37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NW</w:t>
            </w:r>
          </w:p>
        </w:tc>
        <w:tc>
          <w:tcPr>
            <w:tcW w:w="282"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2652</w:t>
            </w:r>
          </w:p>
        </w:tc>
        <w:tc>
          <w:tcPr>
            <w:tcW w:w="380"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-390</w:t>
            </w:r>
          </w:p>
        </w:tc>
        <w:tc>
          <w:tcPr>
            <w:tcW w:w="365"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2776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21</w:t>
            </w:r>
          </w:p>
        </w:tc>
        <w:tc>
          <w:tcPr>
            <w:tcW w:w="29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669" w:type="pct"/>
            <w:tcBorders>
              <w:tl2br w:val="nil"/>
              <w:tr2bl w:val="nil"/>
            </w:tcBorders>
            <w:vAlign w:val="center"/>
          </w:tcPr>
          <w:p>
            <w:pPr>
              <w:spacing w:line="240" w:lineRule="auto"/>
              <w:ind w:firstLine="0" w:firstLineChars="0"/>
              <w:jc w:val="center"/>
              <w:rPr>
                <w:rFonts w:ascii="Times New Roman" w:cs="Times New Roman"/>
                <w:kern w:val="2"/>
                <w:sz w:val="21"/>
                <w:szCs w:val="21"/>
              </w:rPr>
            </w:pPr>
            <w:bookmarkStart w:id="95" w:name="OLE_LINK37"/>
            <w:bookmarkStart w:id="96" w:name="OLE_LINK38"/>
            <w:r>
              <w:rPr>
                <w:rFonts w:ascii="Times New Roman" w:cs="Times New Roman"/>
                <w:kern w:val="2"/>
                <w:sz w:val="21"/>
                <w:szCs w:val="21"/>
              </w:rPr>
              <w:t>流杯梁农户</w:t>
            </w:r>
            <w:bookmarkEnd w:id="95"/>
            <w:bookmarkEnd w:id="96"/>
            <w:r>
              <w:rPr>
                <w:rFonts w:ascii="Times New Roman" w:cs="Times New Roman"/>
                <w:kern w:val="2"/>
                <w:sz w:val="21"/>
                <w:szCs w:val="21"/>
              </w:rPr>
              <w:t>21#</w:t>
            </w:r>
          </w:p>
        </w:tc>
        <w:tc>
          <w:tcPr>
            <w:tcW w:w="334"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-1784</w:t>
            </w:r>
          </w:p>
        </w:tc>
        <w:tc>
          <w:tcPr>
            <w:tcW w:w="298"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1331</w:t>
            </w:r>
          </w:p>
        </w:tc>
        <w:tc>
          <w:tcPr>
            <w:tcW w:w="4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农户</w:t>
            </w:r>
          </w:p>
        </w:tc>
        <w:tc>
          <w:tcPr>
            <w:tcW w:w="57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约11户35人</w:t>
            </w:r>
          </w:p>
        </w:tc>
        <w:tc>
          <w:tcPr>
            <w:tcW w:w="70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37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NW</w:t>
            </w:r>
          </w:p>
        </w:tc>
        <w:tc>
          <w:tcPr>
            <w:tcW w:w="282"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2226</w:t>
            </w:r>
          </w:p>
        </w:tc>
        <w:tc>
          <w:tcPr>
            <w:tcW w:w="380"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-398</w:t>
            </w:r>
          </w:p>
        </w:tc>
        <w:tc>
          <w:tcPr>
            <w:tcW w:w="365"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2347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22</w:t>
            </w:r>
          </w:p>
        </w:tc>
        <w:tc>
          <w:tcPr>
            <w:tcW w:w="29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66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正湾农户22#</w:t>
            </w:r>
          </w:p>
        </w:tc>
        <w:tc>
          <w:tcPr>
            <w:tcW w:w="334"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-1157</w:t>
            </w:r>
          </w:p>
        </w:tc>
        <w:tc>
          <w:tcPr>
            <w:tcW w:w="298"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1330</w:t>
            </w:r>
          </w:p>
        </w:tc>
        <w:tc>
          <w:tcPr>
            <w:tcW w:w="4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农户</w:t>
            </w:r>
          </w:p>
        </w:tc>
        <w:tc>
          <w:tcPr>
            <w:tcW w:w="57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约25户80人</w:t>
            </w:r>
          </w:p>
        </w:tc>
        <w:tc>
          <w:tcPr>
            <w:tcW w:w="70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37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NW</w:t>
            </w:r>
          </w:p>
        </w:tc>
        <w:tc>
          <w:tcPr>
            <w:tcW w:w="282"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1762</w:t>
            </w:r>
          </w:p>
        </w:tc>
        <w:tc>
          <w:tcPr>
            <w:tcW w:w="380"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-355</w:t>
            </w:r>
          </w:p>
        </w:tc>
        <w:tc>
          <w:tcPr>
            <w:tcW w:w="365"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1888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23</w:t>
            </w:r>
          </w:p>
        </w:tc>
        <w:tc>
          <w:tcPr>
            <w:tcW w:w="29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66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张家上坝农户23#</w:t>
            </w:r>
          </w:p>
        </w:tc>
        <w:tc>
          <w:tcPr>
            <w:tcW w:w="334"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-1916</w:t>
            </w:r>
          </w:p>
        </w:tc>
        <w:tc>
          <w:tcPr>
            <w:tcW w:w="298"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644</w:t>
            </w:r>
          </w:p>
        </w:tc>
        <w:tc>
          <w:tcPr>
            <w:tcW w:w="4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农户</w:t>
            </w:r>
          </w:p>
        </w:tc>
        <w:tc>
          <w:tcPr>
            <w:tcW w:w="57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约25户80人</w:t>
            </w:r>
          </w:p>
        </w:tc>
        <w:tc>
          <w:tcPr>
            <w:tcW w:w="70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37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NW</w:t>
            </w:r>
          </w:p>
        </w:tc>
        <w:tc>
          <w:tcPr>
            <w:tcW w:w="282"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2021</w:t>
            </w:r>
          </w:p>
        </w:tc>
        <w:tc>
          <w:tcPr>
            <w:tcW w:w="380"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-398</w:t>
            </w:r>
          </w:p>
        </w:tc>
        <w:tc>
          <w:tcPr>
            <w:tcW w:w="365"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2126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24</w:t>
            </w:r>
          </w:p>
        </w:tc>
        <w:tc>
          <w:tcPr>
            <w:tcW w:w="29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66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张家下坝农户24#</w:t>
            </w:r>
          </w:p>
        </w:tc>
        <w:tc>
          <w:tcPr>
            <w:tcW w:w="334"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-2292</w:t>
            </w:r>
          </w:p>
        </w:tc>
        <w:tc>
          <w:tcPr>
            <w:tcW w:w="298"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140</w:t>
            </w:r>
          </w:p>
        </w:tc>
        <w:tc>
          <w:tcPr>
            <w:tcW w:w="4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农户</w:t>
            </w:r>
          </w:p>
        </w:tc>
        <w:tc>
          <w:tcPr>
            <w:tcW w:w="57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约37户121人</w:t>
            </w:r>
          </w:p>
        </w:tc>
        <w:tc>
          <w:tcPr>
            <w:tcW w:w="703" w:type="pct"/>
            <w:vMerge w:val="continue"/>
            <w:tcBorders>
              <w:tl2br w:val="nil"/>
              <w:tr2bl w:val="nil"/>
            </w:tcBorders>
            <w:vAlign w:val="center"/>
          </w:tcPr>
          <w:p>
            <w:pPr>
              <w:spacing w:line="240" w:lineRule="auto"/>
              <w:ind w:firstLine="0" w:firstLineChars="0"/>
              <w:jc w:val="center"/>
              <w:rPr>
                <w:rFonts w:ascii="Times New Roman" w:cs="Times New Roman"/>
                <w:b/>
                <w:kern w:val="2"/>
                <w:sz w:val="21"/>
                <w:szCs w:val="21"/>
              </w:rPr>
            </w:pPr>
          </w:p>
        </w:tc>
        <w:tc>
          <w:tcPr>
            <w:tcW w:w="37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w:t>
            </w:r>
          </w:p>
        </w:tc>
        <w:tc>
          <w:tcPr>
            <w:tcW w:w="282"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2296</w:t>
            </w:r>
          </w:p>
        </w:tc>
        <w:tc>
          <w:tcPr>
            <w:tcW w:w="380"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-394</w:t>
            </w:r>
          </w:p>
        </w:tc>
        <w:tc>
          <w:tcPr>
            <w:tcW w:w="365"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2379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25</w:t>
            </w:r>
          </w:p>
        </w:tc>
        <w:tc>
          <w:tcPr>
            <w:tcW w:w="29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669" w:type="pct"/>
            <w:tcBorders>
              <w:tl2br w:val="nil"/>
              <w:tr2bl w:val="nil"/>
            </w:tcBorders>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南瓜滩农户25#</w:t>
            </w:r>
          </w:p>
        </w:tc>
        <w:tc>
          <w:tcPr>
            <w:tcW w:w="334"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-2175</w:t>
            </w:r>
          </w:p>
        </w:tc>
        <w:tc>
          <w:tcPr>
            <w:tcW w:w="298"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-496</w:t>
            </w:r>
          </w:p>
        </w:tc>
        <w:tc>
          <w:tcPr>
            <w:tcW w:w="4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农户</w:t>
            </w:r>
          </w:p>
        </w:tc>
        <w:tc>
          <w:tcPr>
            <w:tcW w:w="57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约13户43人</w:t>
            </w:r>
          </w:p>
        </w:tc>
        <w:tc>
          <w:tcPr>
            <w:tcW w:w="703" w:type="pct"/>
            <w:vMerge w:val="continue"/>
            <w:tcBorders>
              <w:tl2br w:val="nil"/>
              <w:tr2bl w:val="nil"/>
            </w:tcBorders>
            <w:vAlign w:val="center"/>
          </w:tcPr>
          <w:p>
            <w:pPr>
              <w:spacing w:line="240" w:lineRule="auto"/>
              <w:ind w:firstLine="0" w:firstLineChars="0"/>
              <w:jc w:val="center"/>
              <w:rPr>
                <w:rFonts w:ascii="Times New Roman" w:cs="Times New Roman"/>
                <w:b/>
                <w:kern w:val="2"/>
                <w:sz w:val="21"/>
                <w:szCs w:val="21"/>
              </w:rPr>
            </w:pPr>
          </w:p>
        </w:tc>
        <w:tc>
          <w:tcPr>
            <w:tcW w:w="37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w:t>
            </w:r>
          </w:p>
        </w:tc>
        <w:tc>
          <w:tcPr>
            <w:tcW w:w="282"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2231</w:t>
            </w:r>
          </w:p>
        </w:tc>
        <w:tc>
          <w:tcPr>
            <w:tcW w:w="380"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-401</w:t>
            </w:r>
          </w:p>
        </w:tc>
        <w:tc>
          <w:tcPr>
            <w:tcW w:w="365"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2284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26</w:t>
            </w:r>
          </w:p>
        </w:tc>
        <w:tc>
          <w:tcPr>
            <w:tcW w:w="29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669" w:type="pct"/>
            <w:tcBorders>
              <w:tl2br w:val="nil"/>
              <w:tr2bl w:val="nil"/>
            </w:tcBorders>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黄家湾农户26#</w:t>
            </w:r>
          </w:p>
        </w:tc>
        <w:tc>
          <w:tcPr>
            <w:tcW w:w="334"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-1577</w:t>
            </w:r>
          </w:p>
        </w:tc>
        <w:tc>
          <w:tcPr>
            <w:tcW w:w="298"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-759</w:t>
            </w:r>
          </w:p>
        </w:tc>
        <w:tc>
          <w:tcPr>
            <w:tcW w:w="4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农户</w:t>
            </w:r>
          </w:p>
        </w:tc>
        <w:tc>
          <w:tcPr>
            <w:tcW w:w="57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约25户80人</w:t>
            </w:r>
          </w:p>
        </w:tc>
        <w:tc>
          <w:tcPr>
            <w:tcW w:w="703" w:type="pct"/>
            <w:vMerge w:val="continue"/>
            <w:tcBorders>
              <w:tl2br w:val="nil"/>
              <w:tr2bl w:val="nil"/>
            </w:tcBorders>
            <w:vAlign w:val="center"/>
          </w:tcPr>
          <w:p>
            <w:pPr>
              <w:spacing w:line="240" w:lineRule="auto"/>
              <w:ind w:firstLine="0" w:firstLineChars="0"/>
              <w:jc w:val="center"/>
              <w:rPr>
                <w:rFonts w:ascii="Times New Roman" w:cs="Times New Roman"/>
                <w:b/>
                <w:kern w:val="2"/>
                <w:sz w:val="21"/>
                <w:szCs w:val="21"/>
              </w:rPr>
            </w:pPr>
          </w:p>
        </w:tc>
        <w:tc>
          <w:tcPr>
            <w:tcW w:w="37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w:t>
            </w:r>
          </w:p>
        </w:tc>
        <w:tc>
          <w:tcPr>
            <w:tcW w:w="282"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1750</w:t>
            </w:r>
          </w:p>
        </w:tc>
        <w:tc>
          <w:tcPr>
            <w:tcW w:w="380"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-248</w:t>
            </w:r>
          </w:p>
        </w:tc>
        <w:tc>
          <w:tcPr>
            <w:tcW w:w="365"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1777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27</w:t>
            </w:r>
          </w:p>
        </w:tc>
        <w:tc>
          <w:tcPr>
            <w:tcW w:w="29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66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李家岩农户27#</w:t>
            </w:r>
          </w:p>
        </w:tc>
        <w:tc>
          <w:tcPr>
            <w:tcW w:w="334"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-969</w:t>
            </w:r>
          </w:p>
        </w:tc>
        <w:tc>
          <w:tcPr>
            <w:tcW w:w="298"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-1407</w:t>
            </w:r>
          </w:p>
        </w:tc>
        <w:tc>
          <w:tcPr>
            <w:tcW w:w="4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农户</w:t>
            </w:r>
          </w:p>
        </w:tc>
        <w:tc>
          <w:tcPr>
            <w:tcW w:w="57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约12户49人</w:t>
            </w:r>
          </w:p>
        </w:tc>
        <w:tc>
          <w:tcPr>
            <w:tcW w:w="70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37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SW</w:t>
            </w:r>
          </w:p>
        </w:tc>
        <w:tc>
          <w:tcPr>
            <w:tcW w:w="282"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1708</w:t>
            </w:r>
          </w:p>
        </w:tc>
        <w:tc>
          <w:tcPr>
            <w:tcW w:w="380"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-174</w:t>
            </w:r>
          </w:p>
        </w:tc>
        <w:tc>
          <w:tcPr>
            <w:tcW w:w="365"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1670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28</w:t>
            </w:r>
          </w:p>
        </w:tc>
        <w:tc>
          <w:tcPr>
            <w:tcW w:w="29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66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大包梁农户28#</w:t>
            </w:r>
          </w:p>
        </w:tc>
        <w:tc>
          <w:tcPr>
            <w:tcW w:w="334"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-308</w:t>
            </w:r>
          </w:p>
        </w:tc>
        <w:tc>
          <w:tcPr>
            <w:tcW w:w="298"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-1734</w:t>
            </w:r>
          </w:p>
        </w:tc>
        <w:tc>
          <w:tcPr>
            <w:tcW w:w="4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农户</w:t>
            </w:r>
          </w:p>
        </w:tc>
        <w:tc>
          <w:tcPr>
            <w:tcW w:w="57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约9户31人</w:t>
            </w:r>
          </w:p>
        </w:tc>
        <w:tc>
          <w:tcPr>
            <w:tcW w:w="70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37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SW</w:t>
            </w:r>
          </w:p>
        </w:tc>
        <w:tc>
          <w:tcPr>
            <w:tcW w:w="282"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1761</w:t>
            </w:r>
          </w:p>
        </w:tc>
        <w:tc>
          <w:tcPr>
            <w:tcW w:w="380"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-262</w:t>
            </w:r>
          </w:p>
        </w:tc>
        <w:tc>
          <w:tcPr>
            <w:tcW w:w="365"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1675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29</w:t>
            </w:r>
          </w:p>
        </w:tc>
        <w:tc>
          <w:tcPr>
            <w:tcW w:w="29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66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石船子农户29#</w:t>
            </w:r>
          </w:p>
        </w:tc>
        <w:tc>
          <w:tcPr>
            <w:tcW w:w="334"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-1397</w:t>
            </w:r>
          </w:p>
        </w:tc>
        <w:tc>
          <w:tcPr>
            <w:tcW w:w="298"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-1602</w:t>
            </w:r>
          </w:p>
        </w:tc>
        <w:tc>
          <w:tcPr>
            <w:tcW w:w="4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农户</w:t>
            </w:r>
          </w:p>
        </w:tc>
        <w:tc>
          <w:tcPr>
            <w:tcW w:w="57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约17户77人</w:t>
            </w:r>
          </w:p>
        </w:tc>
        <w:tc>
          <w:tcPr>
            <w:tcW w:w="70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37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SW</w:t>
            </w:r>
          </w:p>
        </w:tc>
        <w:tc>
          <w:tcPr>
            <w:tcW w:w="282"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2126</w:t>
            </w:r>
          </w:p>
        </w:tc>
        <w:tc>
          <w:tcPr>
            <w:tcW w:w="380"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-114</w:t>
            </w:r>
          </w:p>
        </w:tc>
        <w:tc>
          <w:tcPr>
            <w:tcW w:w="365"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2101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30</w:t>
            </w:r>
          </w:p>
        </w:tc>
        <w:tc>
          <w:tcPr>
            <w:tcW w:w="29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66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李家湾农户30#</w:t>
            </w:r>
          </w:p>
        </w:tc>
        <w:tc>
          <w:tcPr>
            <w:tcW w:w="334"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-1729</w:t>
            </w:r>
          </w:p>
        </w:tc>
        <w:tc>
          <w:tcPr>
            <w:tcW w:w="298"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-2148</w:t>
            </w:r>
          </w:p>
        </w:tc>
        <w:tc>
          <w:tcPr>
            <w:tcW w:w="4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农户</w:t>
            </w:r>
          </w:p>
        </w:tc>
        <w:tc>
          <w:tcPr>
            <w:tcW w:w="57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约20户65人</w:t>
            </w:r>
          </w:p>
        </w:tc>
        <w:tc>
          <w:tcPr>
            <w:tcW w:w="70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37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SW</w:t>
            </w:r>
          </w:p>
        </w:tc>
        <w:tc>
          <w:tcPr>
            <w:tcW w:w="282"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2757</w:t>
            </w:r>
          </w:p>
        </w:tc>
        <w:tc>
          <w:tcPr>
            <w:tcW w:w="380"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-200</w:t>
            </w:r>
          </w:p>
        </w:tc>
        <w:tc>
          <w:tcPr>
            <w:tcW w:w="365"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2727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31</w:t>
            </w:r>
          </w:p>
        </w:tc>
        <w:tc>
          <w:tcPr>
            <w:tcW w:w="29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66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大田湾农户31#</w:t>
            </w:r>
          </w:p>
        </w:tc>
        <w:tc>
          <w:tcPr>
            <w:tcW w:w="334"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-2184</w:t>
            </w:r>
          </w:p>
        </w:tc>
        <w:tc>
          <w:tcPr>
            <w:tcW w:w="298"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-1417</w:t>
            </w:r>
          </w:p>
        </w:tc>
        <w:tc>
          <w:tcPr>
            <w:tcW w:w="4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农户</w:t>
            </w:r>
          </w:p>
        </w:tc>
        <w:tc>
          <w:tcPr>
            <w:tcW w:w="57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约25户80人</w:t>
            </w:r>
          </w:p>
        </w:tc>
        <w:tc>
          <w:tcPr>
            <w:tcW w:w="703" w:type="pct"/>
            <w:vMerge w:val="continue"/>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37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SW</w:t>
            </w:r>
          </w:p>
        </w:tc>
        <w:tc>
          <w:tcPr>
            <w:tcW w:w="282"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2603</w:t>
            </w:r>
          </w:p>
        </w:tc>
        <w:tc>
          <w:tcPr>
            <w:tcW w:w="380"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-26</w:t>
            </w:r>
          </w:p>
        </w:tc>
        <w:tc>
          <w:tcPr>
            <w:tcW w:w="365" w:type="pct"/>
            <w:tcBorders>
              <w:tl2br w:val="nil"/>
              <w:tr2bl w:val="nil"/>
            </w:tcBorders>
            <w:vAlign w:val="center"/>
          </w:tcPr>
          <w:p>
            <w:pPr>
              <w:widowControl/>
              <w:spacing w:line="240" w:lineRule="auto"/>
              <w:ind w:firstLine="0" w:firstLineChars="0"/>
              <w:jc w:val="center"/>
              <w:textAlignment w:val="center"/>
              <w:rPr>
                <w:rFonts w:ascii="Times New Roman" w:cs="Times New Roman"/>
                <w:kern w:val="2"/>
                <w:sz w:val="21"/>
                <w:szCs w:val="21"/>
              </w:rPr>
            </w:pPr>
            <w:r>
              <w:rPr>
                <w:rFonts w:ascii="Times New Roman" w:cs="Times New Roman"/>
                <w:sz w:val="21"/>
                <w:szCs w:val="21"/>
                <w:lang w:bidi="ar"/>
              </w:rPr>
              <w:t>2612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33</w:t>
            </w:r>
          </w:p>
        </w:tc>
        <w:tc>
          <w:tcPr>
            <w:tcW w:w="2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地表水、环境风险</w:t>
            </w:r>
          </w:p>
        </w:tc>
        <w:tc>
          <w:tcPr>
            <w:tcW w:w="66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后河</w:t>
            </w:r>
          </w:p>
        </w:tc>
        <w:tc>
          <w:tcPr>
            <w:tcW w:w="33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298"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4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地表水</w:t>
            </w:r>
          </w:p>
        </w:tc>
        <w:tc>
          <w:tcPr>
            <w:tcW w:w="57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地表水水质</w:t>
            </w:r>
          </w:p>
        </w:tc>
        <w:tc>
          <w:tcPr>
            <w:tcW w:w="70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《地表水环境质量标准》（GB3838-2002）Ⅲ类</w:t>
            </w:r>
          </w:p>
        </w:tc>
        <w:tc>
          <w:tcPr>
            <w:tcW w:w="37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NW</w:t>
            </w:r>
          </w:p>
        </w:tc>
        <w:tc>
          <w:tcPr>
            <w:tcW w:w="282"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3400</w:t>
            </w:r>
          </w:p>
        </w:tc>
        <w:tc>
          <w:tcPr>
            <w:tcW w:w="380" w:type="pct"/>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365" w:type="pct"/>
            <w:tcBorders>
              <w:tl2br w:val="nil"/>
              <w:tr2bl w:val="nil"/>
            </w:tcBorders>
            <w:vAlign w:val="center"/>
          </w:tcPr>
          <w:p>
            <w:pPr>
              <w:spacing w:line="240" w:lineRule="auto"/>
              <w:ind w:firstLine="0" w:firstLineChars="0"/>
              <w:jc w:val="center"/>
              <w:rPr>
                <w:rFonts w:ascii="Times New Roman" w:cs="Times New Roman"/>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35</w:t>
            </w:r>
          </w:p>
        </w:tc>
        <w:tc>
          <w:tcPr>
            <w:tcW w:w="2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土壤环境</w:t>
            </w:r>
          </w:p>
        </w:tc>
        <w:tc>
          <w:tcPr>
            <w:tcW w:w="66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周边耕地</w:t>
            </w:r>
          </w:p>
        </w:tc>
        <w:tc>
          <w:tcPr>
            <w:tcW w:w="33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298"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4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耕地</w:t>
            </w:r>
          </w:p>
        </w:tc>
        <w:tc>
          <w:tcPr>
            <w:tcW w:w="57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70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《土壤环境质量 农用地土壤污染风险管控标准（试行）》（GB15618-2018）</w:t>
            </w:r>
          </w:p>
        </w:tc>
        <w:tc>
          <w:tcPr>
            <w:tcW w:w="37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282"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380" w:type="pct"/>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365" w:type="pct"/>
            <w:tcBorders>
              <w:tl2br w:val="nil"/>
              <w:tr2bl w:val="nil"/>
            </w:tcBorders>
            <w:vAlign w:val="center"/>
          </w:tcPr>
          <w:p>
            <w:pPr>
              <w:spacing w:line="240" w:lineRule="auto"/>
              <w:ind w:firstLine="0" w:firstLineChars="0"/>
              <w:jc w:val="center"/>
              <w:rPr>
                <w:rFonts w:ascii="Times New Roman" w:cs="Times New Roman"/>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2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36</w:t>
            </w:r>
          </w:p>
        </w:tc>
        <w:tc>
          <w:tcPr>
            <w:tcW w:w="2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生态环境</w:t>
            </w:r>
          </w:p>
        </w:tc>
        <w:tc>
          <w:tcPr>
            <w:tcW w:w="66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周边公益林</w:t>
            </w:r>
          </w:p>
        </w:tc>
        <w:tc>
          <w:tcPr>
            <w:tcW w:w="33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298"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49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公益林</w:t>
            </w:r>
          </w:p>
        </w:tc>
        <w:tc>
          <w:tcPr>
            <w:tcW w:w="579"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703"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374"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282" w:type="pct"/>
            <w:tcBorders>
              <w:tl2br w:val="nil"/>
              <w:tr2bl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380" w:type="pct"/>
            <w:tcBorders>
              <w:tl2br w:val="nil"/>
              <w:tr2bl w:val="nil"/>
            </w:tcBorders>
            <w:vAlign w:val="center"/>
          </w:tcPr>
          <w:p>
            <w:pPr>
              <w:spacing w:line="240" w:lineRule="auto"/>
              <w:ind w:firstLine="0" w:firstLineChars="0"/>
              <w:jc w:val="center"/>
              <w:rPr>
                <w:rFonts w:ascii="Times New Roman" w:cs="Times New Roman"/>
                <w:kern w:val="2"/>
                <w:sz w:val="21"/>
                <w:szCs w:val="21"/>
              </w:rPr>
            </w:pPr>
          </w:p>
        </w:tc>
        <w:tc>
          <w:tcPr>
            <w:tcW w:w="365" w:type="pct"/>
            <w:tcBorders>
              <w:tl2br w:val="nil"/>
              <w:tr2bl w:val="nil"/>
            </w:tcBorders>
            <w:vAlign w:val="center"/>
          </w:tcPr>
          <w:p>
            <w:pPr>
              <w:spacing w:line="240" w:lineRule="auto"/>
              <w:ind w:firstLine="0" w:firstLineChars="0"/>
              <w:jc w:val="center"/>
              <w:rPr>
                <w:rFonts w:ascii="Times New Roman" w:cs="Times New Roman"/>
                <w:kern w:val="2"/>
                <w:sz w:val="21"/>
                <w:szCs w:val="21"/>
              </w:rPr>
            </w:pPr>
          </w:p>
        </w:tc>
      </w:tr>
    </w:tbl>
    <w:p>
      <w:pPr>
        <w:ind w:firstLine="480"/>
        <w:rPr>
          <w:rFonts w:ascii="Times New Roman" w:cs="Times New Roman"/>
        </w:rPr>
      </w:pPr>
    </w:p>
    <w:p>
      <w:pPr>
        <w:pStyle w:val="58"/>
        <w:ind w:left="480" w:firstLine="400"/>
        <w:rPr>
          <w:rFonts w:ascii="Times New Roman" w:hAnsi="Times New Roman"/>
        </w:rPr>
      </w:pPr>
    </w:p>
    <w:p>
      <w:pPr>
        <w:ind w:firstLine="480"/>
      </w:pPr>
    </w:p>
    <w:p>
      <w:pPr>
        <w:pStyle w:val="58"/>
        <w:spacing w:after="0" w:line="360" w:lineRule="auto"/>
        <w:ind w:left="0" w:leftChars="0" w:firstLine="0" w:firstLineChars="0"/>
        <w:jc w:val="center"/>
        <w:rPr>
          <w:rFonts w:ascii="Times New Roman" w:hAnsi="Times New Roman"/>
          <w:b/>
          <w:bCs/>
          <w:sz w:val="24"/>
          <w:szCs w:val="24"/>
        </w:rPr>
      </w:pPr>
      <w:r>
        <w:rPr>
          <w:rFonts w:hint="eastAsia" w:ascii="Times New Roman" w:hAnsi="Times New Roman"/>
          <w:b/>
          <w:bCs/>
          <w:sz w:val="24"/>
          <w:szCs w:val="24"/>
        </w:rPr>
        <w:t>表1.9-2 本项目地下水环境保护目标统计表</w:t>
      </w:r>
    </w:p>
    <w:tbl>
      <w:tblPr>
        <w:tblStyle w:val="60"/>
        <w:tblW w:w="483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8"/>
        <w:gridCol w:w="749"/>
        <w:gridCol w:w="1501"/>
        <w:gridCol w:w="1575"/>
        <w:gridCol w:w="825"/>
        <w:gridCol w:w="937"/>
        <w:gridCol w:w="863"/>
        <w:gridCol w:w="1087"/>
        <w:gridCol w:w="1475"/>
        <w:gridCol w:w="1163"/>
        <w:gridCol w:w="1087"/>
        <w:gridCol w:w="1363"/>
        <w:gridCol w:w="10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8" w:type="dxa"/>
            <w:vMerge w:val="restart"/>
            <w:tcBorders>
              <w:tl2br w:val="nil"/>
              <w:tr2bl w:val="nil"/>
            </w:tcBorders>
            <w:vAlign w:val="center"/>
          </w:tcPr>
          <w:p>
            <w:pPr>
              <w:spacing w:line="240" w:lineRule="auto"/>
              <w:ind w:firstLine="0" w:firstLineChars="0"/>
              <w:jc w:val="center"/>
              <w:rPr>
                <w:rFonts w:ascii="Times New Roman" w:eastAsia="Times New Roman" w:cs="Times New Roman"/>
                <w:b/>
                <w:bCs/>
                <w:sz w:val="21"/>
                <w:szCs w:val="21"/>
              </w:rPr>
            </w:pPr>
            <w:r>
              <w:rPr>
                <w:rFonts w:ascii="Times New Roman" w:eastAsia="Times New Roman" w:cs="Times New Roman"/>
                <w:b/>
                <w:bCs/>
                <w:sz w:val="21"/>
                <w:szCs w:val="21"/>
              </w:rPr>
              <w:t>序号</w:t>
            </w:r>
          </w:p>
        </w:tc>
        <w:tc>
          <w:tcPr>
            <w:tcW w:w="749" w:type="dxa"/>
            <w:vMerge w:val="restart"/>
            <w:tcBorders>
              <w:tl2br w:val="nil"/>
              <w:tr2bl w:val="nil"/>
            </w:tcBorders>
            <w:vAlign w:val="center"/>
          </w:tcPr>
          <w:p>
            <w:pPr>
              <w:spacing w:line="240" w:lineRule="auto"/>
              <w:ind w:firstLine="0" w:firstLineChars="0"/>
              <w:jc w:val="center"/>
              <w:rPr>
                <w:rFonts w:ascii="Times New Roman" w:eastAsia="Times New Roman" w:cs="Times New Roman"/>
                <w:b/>
                <w:bCs/>
                <w:sz w:val="21"/>
                <w:szCs w:val="21"/>
              </w:rPr>
            </w:pPr>
            <w:r>
              <w:rPr>
                <w:rFonts w:ascii="Times New Roman" w:eastAsia="Times New Roman" w:cs="Times New Roman"/>
                <w:b/>
                <w:bCs/>
                <w:sz w:val="21"/>
                <w:szCs w:val="21"/>
              </w:rPr>
              <w:t>编号</w:t>
            </w:r>
          </w:p>
        </w:tc>
        <w:tc>
          <w:tcPr>
            <w:tcW w:w="1501" w:type="dxa"/>
            <w:vMerge w:val="restart"/>
            <w:tcBorders>
              <w:tl2br w:val="nil"/>
              <w:tr2bl w:val="nil"/>
            </w:tcBorders>
            <w:vAlign w:val="center"/>
          </w:tcPr>
          <w:p>
            <w:pPr>
              <w:spacing w:line="240" w:lineRule="auto"/>
              <w:ind w:firstLine="0" w:firstLineChars="0"/>
              <w:jc w:val="center"/>
              <w:rPr>
                <w:rFonts w:ascii="Times New Roman" w:eastAsia="Times New Roman" w:cs="Times New Roman"/>
                <w:b/>
                <w:bCs/>
                <w:sz w:val="21"/>
                <w:szCs w:val="21"/>
              </w:rPr>
            </w:pPr>
            <w:r>
              <w:rPr>
                <w:rFonts w:ascii="Times New Roman" w:eastAsia="Times New Roman" w:cs="Times New Roman"/>
                <w:b/>
                <w:bCs/>
                <w:sz w:val="21"/>
                <w:szCs w:val="21"/>
              </w:rPr>
              <w:t>经度</w:t>
            </w:r>
          </w:p>
        </w:tc>
        <w:tc>
          <w:tcPr>
            <w:tcW w:w="1575" w:type="dxa"/>
            <w:vMerge w:val="restart"/>
            <w:tcBorders>
              <w:tl2br w:val="nil"/>
              <w:tr2bl w:val="nil"/>
            </w:tcBorders>
            <w:vAlign w:val="center"/>
          </w:tcPr>
          <w:p>
            <w:pPr>
              <w:spacing w:line="240" w:lineRule="auto"/>
              <w:ind w:firstLine="0" w:firstLineChars="0"/>
              <w:jc w:val="center"/>
              <w:rPr>
                <w:rFonts w:ascii="Times New Roman" w:eastAsia="Times New Roman" w:cs="Times New Roman"/>
                <w:b/>
                <w:bCs/>
                <w:sz w:val="21"/>
                <w:szCs w:val="21"/>
              </w:rPr>
            </w:pPr>
            <w:r>
              <w:rPr>
                <w:rFonts w:ascii="Times New Roman" w:eastAsia="Times New Roman" w:cs="Times New Roman"/>
                <w:b/>
                <w:bCs/>
                <w:sz w:val="21"/>
                <w:szCs w:val="21"/>
              </w:rPr>
              <w:t>纬度</w:t>
            </w:r>
          </w:p>
        </w:tc>
        <w:tc>
          <w:tcPr>
            <w:tcW w:w="825" w:type="dxa"/>
            <w:vMerge w:val="restart"/>
            <w:tcBorders>
              <w:tl2br w:val="nil"/>
              <w:tr2bl w:val="nil"/>
            </w:tcBorders>
            <w:vAlign w:val="center"/>
          </w:tcPr>
          <w:p>
            <w:pPr>
              <w:spacing w:line="240" w:lineRule="auto"/>
              <w:ind w:firstLine="0" w:firstLineChars="0"/>
              <w:jc w:val="center"/>
              <w:rPr>
                <w:rFonts w:ascii="Times New Roman" w:eastAsia="Times New Roman" w:cs="Times New Roman"/>
                <w:b/>
                <w:bCs/>
                <w:sz w:val="21"/>
                <w:szCs w:val="21"/>
              </w:rPr>
            </w:pPr>
            <w:r>
              <w:rPr>
                <w:rFonts w:ascii="Times New Roman" w:eastAsia="Times New Roman" w:cs="Times New Roman"/>
                <w:b/>
                <w:bCs/>
                <w:sz w:val="21"/>
                <w:szCs w:val="21"/>
              </w:rPr>
              <w:t>类型</w:t>
            </w:r>
          </w:p>
        </w:tc>
        <w:tc>
          <w:tcPr>
            <w:tcW w:w="937" w:type="dxa"/>
            <w:vMerge w:val="restart"/>
            <w:tcBorders>
              <w:tl2br w:val="nil"/>
              <w:tr2bl w:val="nil"/>
            </w:tcBorders>
            <w:vAlign w:val="center"/>
          </w:tcPr>
          <w:p>
            <w:pPr>
              <w:spacing w:line="240" w:lineRule="auto"/>
              <w:ind w:firstLine="0" w:firstLineChars="0"/>
              <w:jc w:val="center"/>
              <w:rPr>
                <w:rFonts w:ascii="Times New Roman" w:eastAsia="Times New Roman" w:cs="Times New Roman"/>
                <w:b/>
                <w:bCs/>
                <w:sz w:val="21"/>
                <w:szCs w:val="21"/>
              </w:rPr>
            </w:pPr>
            <w:r>
              <w:rPr>
                <w:rFonts w:ascii="Times New Roman" w:eastAsia="Times New Roman" w:cs="Times New Roman"/>
                <w:b/>
                <w:bCs/>
                <w:sz w:val="21"/>
                <w:szCs w:val="21"/>
              </w:rPr>
              <w:t>井径（mm）</w:t>
            </w:r>
          </w:p>
        </w:tc>
        <w:tc>
          <w:tcPr>
            <w:tcW w:w="863" w:type="dxa"/>
            <w:vMerge w:val="restart"/>
            <w:tcBorders>
              <w:tl2br w:val="nil"/>
              <w:tr2bl w:val="nil"/>
            </w:tcBorders>
            <w:vAlign w:val="center"/>
          </w:tcPr>
          <w:p>
            <w:pPr>
              <w:spacing w:line="240" w:lineRule="auto"/>
              <w:ind w:firstLine="0" w:firstLineChars="0"/>
              <w:jc w:val="center"/>
              <w:rPr>
                <w:rFonts w:ascii="Times New Roman" w:eastAsia="Times New Roman" w:cs="Times New Roman"/>
                <w:b/>
                <w:bCs/>
                <w:sz w:val="21"/>
                <w:szCs w:val="21"/>
              </w:rPr>
            </w:pPr>
            <w:r>
              <w:rPr>
                <w:rFonts w:ascii="Times New Roman" w:eastAsia="Times New Roman" w:cs="Times New Roman"/>
                <w:b/>
                <w:bCs/>
                <w:sz w:val="21"/>
                <w:szCs w:val="21"/>
              </w:rPr>
              <w:t>井深（m）</w:t>
            </w:r>
          </w:p>
        </w:tc>
        <w:tc>
          <w:tcPr>
            <w:tcW w:w="1087" w:type="dxa"/>
            <w:vMerge w:val="restart"/>
            <w:tcBorders>
              <w:tl2br w:val="nil"/>
              <w:tr2bl w:val="nil"/>
            </w:tcBorders>
            <w:vAlign w:val="center"/>
          </w:tcPr>
          <w:p>
            <w:pPr>
              <w:spacing w:line="240" w:lineRule="auto"/>
              <w:ind w:firstLine="0" w:firstLineChars="0"/>
              <w:jc w:val="center"/>
              <w:rPr>
                <w:rFonts w:ascii="Times New Roman" w:eastAsia="Times New Roman" w:cs="Times New Roman"/>
                <w:b/>
                <w:bCs/>
                <w:sz w:val="21"/>
                <w:szCs w:val="21"/>
              </w:rPr>
            </w:pPr>
            <w:r>
              <w:rPr>
                <w:rFonts w:ascii="Times New Roman" w:eastAsia="Times New Roman" w:cs="Times New Roman"/>
                <w:b/>
                <w:bCs/>
                <w:sz w:val="21"/>
                <w:szCs w:val="21"/>
              </w:rPr>
              <w:t>埋深（m）</w:t>
            </w:r>
          </w:p>
        </w:tc>
        <w:tc>
          <w:tcPr>
            <w:tcW w:w="1475" w:type="dxa"/>
            <w:vMerge w:val="restart"/>
            <w:tcBorders>
              <w:tl2br w:val="nil"/>
              <w:tr2bl w:val="nil"/>
            </w:tcBorders>
            <w:vAlign w:val="center"/>
          </w:tcPr>
          <w:p>
            <w:pPr>
              <w:spacing w:line="240" w:lineRule="auto"/>
              <w:ind w:firstLine="0" w:firstLineChars="0"/>
              <w:jc w:val="center"/>
              <w:rPr>
                <w:rFonts w:ascii="Times New Roman" w:eastAsia="Times New Roman" w:cs="Times New Roman"/>
                <w:b/>
                <w:bCs/>
                <w:sz w:val="21"/>
                <w:szCs w:val="21"/>
              </w:rPr>
            </w:pPr>
            <w:r>
              <w:rPr>
                <w:rFonts w:ascii="Times New Roman" w:eastAsia="Times New Roman" w:cs="Times New Roman"/>
                <w:b/>
                <w:bCs/>
                <w:sz w:val="21"/>
                <w:szCs w:val="21"/>
              </w:rPr>
              <w:t>服务人口（人/户）</w:t>
            </w:r>
          </w:p>
        </w:tc>
        <w:tc>
          <w:tcPr>
            <w:tcW w:w="1163" w:type="dxa"/>
            <w:vMerge w:val="restart"/>
            <w:tcBorders>
              <w:tl2br w:val="nil"/>
              <w:tr2bl w:val="nil"/>
            </w:tcBorders>
            <w:vAlign w:val="center"/>
          </w:tcPr>
          <w:p>
            <w:pPr>
              <w:spacing w:line="240" w:lineRule="auto"/>
              <w:ind w:firstLine="0" w:firstLineChars="0"/>
              <w:jc w:val="center"/>
              <w:rPr>
                <w:rFonts w:ascii="Times New Roman" w:eastAsia="Times New Roman" w:cs="Times New Roman"/>
                <w:b/>
                <w:bCs/>
                <w:sz w:val="21"/>
                <w:szCs w:val="21"/>
              </w:rPr>
            </w:pPr>
            <w:r>
              <w:rPr>
                <w:rFonts w:ascii="Times New Roman" w:eastAsia="Times New Roman" w:cs="Times New Roman"/>
                <w:b/>
                <w:bCs/>
                <w:sz w:val="21"/>
                <w:szCs w:val="21"/>
              </w:rPr>
              <w:t>取水规模</w:t>
            </w:r>
          </w:p>
        </w:tc>
        <w:tc>
          <w:tcPr>
            <w:tcW w:w="1087" w:type="dxa"/>
            <w:vMerge w:val="restart"/>
            <w:tcBorders>
              <w:tl2br w:val="nil"/>
              <w:tr2bl w:val="nil"/>
            </w:tcBorders>
            <w:vAlign w:val="center"/>
          </w:tcPr>
          <w:p>
            <w:pPr>
              <w:spacing w:line="240" w:lineRule="auto"/>
              <w:ind w:firstLine="0" w:firstLineChars="0"/>
              <w:jc w:val="center"/>
              <w:rPr>
                <w:rFonts w:ascii="Times New Roman" w:eastAsia="Times New Roman" w:cs="Times New Roman"/>
                <w:b/>
                <w:bCs/>
                <w:sz w:val="21"/>
                <w:szCs w:val="21"/>
              </w:rPr>
            </w:pPr>
            <w:r>
              <w:rPr>
                <w:rFonts w:ascii="Times New Roman" w:eastAsia="Times New Roman" w:cs="Times New Roman"/>
                <w:b/>
                <w:bCs/>
                <w:sz w:val="21"/>
                <w:szCs w:val="21"/>
              </w:rPr>
              <w:t>出露层位</w:t>
            </w:r>
          </w:p>
        </w:tc>
        <w:tc>
          <w:tcPr>
            <w:tcW w:w="2440" w:type="dxa"/>
            <w:gridSpan w:val="2"/>
            <w:tcBorders>
              <w:tl2br w:val="nil"/>
              <w:tr2bl w:val="nil"/>
            </w:tcBorders>
            <w:vAlign w:val="center"/>
          </w:tcPr>
          <w:p>
            <w:pPr>
              <w:spacing w:line="240" w:lineRule="auto"/>
              <w:ind w:firstLine="0" w:firstLineChars="0"/>
              <w:jc w:val="center"/>
              <w:rPr>
                <w:rFonts w:ascii="Times New Roman" w:eastAsia="Times New Roman" w:cs="Times New Roman"/>
                <w:b/>
                <w:bCs/>
                <w:sz w:val="21"/>
                <w:szCs w:val="21"/>
              </w:rPr>
            </w:pPr>
            <w:r>
              <w:rPr>
                <w:rFonts w:ascii="Times New Roman" w:eastAsia="Times New Roman" w:cs="Times New Roman"/>
                <w:b/>
                <w:bCs/>
                <w:sz w:val="21"/>
                <w:szCs w:val="21"/>
              </w:rPr>
              <w:t>与本项目相对位置关系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8" w:type="dxa"/>
            <w:vMerge w:val="continue"/>
            <w:tcBorders>
              <w:tl2br w:val="nil"/>
              <w:tr2bl w:val="nil"/>
            </w:tcBorders>
            <w:vAlign w:val="center"/>
          </w:tcPr>
          <w:p>
            <w:pPr>
              <w:spacing w:line="240" w:lineRule="auto"/>
              <w:ind w:firstLine="0" w:firstLineChars="0"/>
              <w:jc w:val="center"/>
              <w:rPr>
                <w:rFonts w:ascii="Times New Roman" w:eastAsia="Times New Roman" w:cs="Times New Roman"/>
                <w:b/>
                <w:bCs/>
                <w:sz w:val="21"/>
                <w:szCs w:val="21"/>
              </w:rPr>
            </w:pPr>
          </w:p>
        </w:tc>
        <w:tc>
          <w:tcPr>
            <w:tcW w:w="749" w:type="dxa"/>
            <w:vMerge w:val="continue"/>
            <w:tcBorders>
              <w:tl2br w:val="nil"/>
              <w:tr2bl w:val="nil"/>
            </w:tcBorders>
            <w:vAlign w:val="center"/>
          </w:tcPr>
          <w:p>
            <w:pPr>
              <w:spacing w:line="240" w:lineRule="auto"/>
              <w:ind w:firstLine="0" w:firstLineChars="0"/>
              <w:jc w:val="center"/>
              <w:rPr>
                <w:rFonts w:ascii="Times New Roman" w:eastAsia="Times New Roman" w:cs="Times New Roman"/>
                <w:b/>
                <w:bCs/>
                <w:sz w:val="21"/>
                <w:szCs w:val="21"/>
              </w:rPr>
            </w:pPr>
          </w:p>
        </w:tc>
        <w:tc>
          <w:tcPr>
            <w:tcW w:w="1501" w:type="dxa"/>
            <w:vMerge w:val="continue"/>
            <w:tcBorders>
              <w:tl2br w:val="nil"/>
              <w:tr2bl w:val="nil"/>
            </w:tcBorders>
            <w:vAlign w:val="center"/>
          </w:tcPr>
          <w:p>
            <w:pPr>
              <w:spacing w:line="240" w:lineRule="auto"/>
              <w:ind w:firstLine="0" w:firstLineChars="0"/>
              <w:jc w:val="center"/>
              <w:rPr>
                <w:rFonts w:ascii="Times New Roman" w:eastAsia="Times New Roman" w:cs="Times New Roman"/>
                <w:b/>
                <w:bCs/>
                <w:sz w:val="21"/>
                <w:szCs w:val="21"/>
              </w:rPr>
            </w:pPr>
          </w:p>
        </w:tc>
        <w:tc>
          <w:tcPr>
            <w:tcW w:w="1575" w:type="dxa"/>
            <w:vMerge w:val="continue"/>
            <w:tcBorders>
              <w:tl2br w:val="nil"/>
              <w:tr2bl w:val="nil"/>
            </w:tcBorders>
            <w:vAlign w:val="center"/>
          </w:tcPr>
          <w:p>
            <w:pPr>
              <w:spacing w:line="240" w:lineRule="auto"/>
              <w:ind w:firstLine="0" w:firstLineChars="0"/>
              <w:jc w:val="center"/>
              <w:rPr>
                <w:rFonts w:ascii="Times New Roman" w:eastAsia="Times New Roman" w:cs="Times New Roman"/>
                <w:b/>
                <w:bCs/>
                <w:sz w:val="21"/>
                <w:szCs w:val="21"/>
              </w:rPr>
            </w:pPr>
          </w:p>
        </w:tc>
        <w:tc>
          <w:tcPr>
            <w:tcW w:w="825" w:type="dxa"/>
            <w:vMerge w:val="continue"/>
            <w:tcBorders>
              <w:tl2br w:val="nil"/>
              <w:tr2bl w:val="nil"/>
            </w:tcBorders>
            <w:vAlign w:val="center"/>
          </w:tcPr>
          <w:p>
            <w:pPr>
              <w:spacing w:line="240" w:lineRule="auto"/>
              <w:ind w:firstLine="0" w:firstLineChars="0"/>
              <w:jc w:val="center"/>
              <w:rPr>
                <w:rFonts w:ascii="Times New Roman" w:eastAsia="Times New Roman" w:cs="Times New Roman"/>
                <w:b/>
                <w:bCs/>
                <w:sz w:val="21"/>
                <w:szCs w:val="21"/>
              </w:rPr>
            </w:pPr>
          </w:p>
        </w:tc>
        <w:tc>
          <w:tcPr>
            <w:tcW w:w="937" w:type="dxa"/>
            <w:vMerge w:val="continue"/>
            <w:tcBorders>
              <w:tl2br w:val="nil"/>
              <w:tr2bl w:val="nil"/>
            </w:tcBorders>
            <w:vAlign w:val="center"/>
          </w:tcPr>
          <w:p>
            <w:pPr>
              <w:spacing w:line="240" w:lineRule="auto"/>
              <w:ind w:firstLine="0" w:firstLineChars="0"/>
              <w:jc w:val="center"/>
              <w:rPr>
                <w:rFonts w:ascii="Times New Roman" w:eastAsia="Times New Roman" w:cs="Times New Roman"/>
                <w:b/>
                <w:bCs/>
                <w:sz w:val="21"/>
                <w:szCs w:val="21"/>
              </w:rPr>
            </w:pPr>
          </w:p>
        </w:tc>
        <w:tc>
          <w:tcPr>
            <w:tcW w:w="863" w:type="dxa"/>
            <w:vMerge w:val="continue"/>
            <w:tcBorders>
              <w:tl2br w:val="nil"/>
              <w:tr2bl w:val="nil"/>
            </w:tcBorders>
            <w:vAlign w:val="center"/>
          </w:tcPr>
          <w:p>
            <w:pPr>
              <w:spacing w:line="240" w:lineRule="auto"/>
              <w:ind w:firstLine="0" w:firstLineChars="0"/>
              <w:jc w:val="center"/>
              <w:rPr>
                <w:rFonts w:ascii="Times New Roman" w:eastAsia="Times New Roman" w:cs="Times New Roman"/>
                <w:b/>
                <w:bCs/>
                <w:sz w:val="21"/>
                <w:szCs w:val="21"/>
              </w:rPr>
            </w:pPr>
          </w:p>
        </w:tc>
        <w:tc>
          <w:tcPr>
            <w:tcW w:w="1087" w:type="dxa"/>
            <w:vMerge w:val="continue"/>
            <w:tcBorders>
              <w:tl2br w:val="nil"/>
              <w:tr2bl w:val="nil"/>
            </w:tcBorders>
            <w:vAlign w:val="center"/>
          </w:tcPr>
          <w:p>
            <w:pPr>
              <w:spacing w:line="240" w:lineRule="auto"/>
              <w:ind w:firstLine="0" w:firstLineChars="0"/>
              <w:jc w:val="center"/>
              <w:rPr>
                <w:rFonts w:ascii="Times New Roman" w:eastAsia="Times New Roman" w:cs="Times New Roman"/>
                <w:b/>
                <w:bCs/>
                <w:sz w:val="21"/>
                <w:szCs w:val="21"/>
              </w:rPr>
            </w:pPr>
          </w:p>
        </w:tc>
        <w:tc>
          <w:tcPr>
            <w:tcW w:w="1475" w:type="dxa"/>
            <w:vMerge w:val="continue"/>
            <w:tcBorders>
              <w:tl2br w:val="nil"/>
              <w:tr2bl w:val="nil"/>
            </w:tcBorders>
            <w:vAlign w:val="center"/>
          </w:tcPr>
          <w:p>
            <w:pPr>
              <w:spacing w:line="240" w:lineRule="auto"/>
              <w:ind w:firstLine="0" w:firstLineChars="0"/>
              <w:jc w:val="center"/>
              <w:rPr>
                <w:rFonts w:ascii="Times New Roman" w:eastAsia="Times New Roman" w:cs="Times New Roman"/>
                <w:b/>
                <w:bCs/>
                <w:sz w:val="21"/>
                <w:szCs w:val="21"/>
              </w:rPr>
            </w:pPr>
          </w:p>
        </w:tc>
        <w:tc>
          <w:tcPr>
            <w:tcW w:w="1163" w:type="dxa"/>
            <w:vMerge w:val="continue"/>
            <w:tcBorders>
              <w:tl2br w:val="nil"/>
              <w:tr2bl w:val="nil"/>
            </w:tcBorders>
            <w:vAlign w:val="center"/>
          </w:tcPr>
          <w:p>
            <w:pPr>
              <w:spacing w:line="240" w:lineRule="auto"/>
              <w:ind w:firstLine="0" w:firstLineChars="0"/>
              <w:jc w:val="center"/>
              <w:rPr>
                <w:rFonts w:ascii="Times New Roman" w:eastAsia="Times New Roman" w:cs="Times New Roman"/>
                <w:b/>
                <w:bCs/>
                <w:sz w:val="21"/>
                <w:szCs w:val="21"/>
              </w:rPr>
            </w:pPr>
          </w:p>
        </w:tc>
        <w:tc>
          <w:tcPr>
            <w:tcW w:w="1087" w:type="dxa"/>
            <w:vMerge w:val="continue"/>
            <w:tcBorders>
              <w:tl2br w:val="nil"/>
              <w:tr2bl w:val="nil"/>
            </w:tcBorders>
            <w:vAlign w:val="center"/>
          </w:tcPr>
          <w:p>
            <w:pPr>
              <w:spacing w:line="240" w:lineRule="auto"/>
              <w:ind w:firstLine="0" w:firstLineChars="0"/>
              <w:jc w:val="center"/>
              <w:rPr>
                <w:rFonts w:ascii="Times New Roman" w:eastAsia="Times New Roman" w:cs="Times New Roman"/>
                <w:b/>
                <w:bCs/>
                <w:sz w:val="21"/>
                <w:szCs w:val="21"/>
              </w:rPr>
            </w:pPr>
          </w:p>
        </w:tc>
        <w:tc>
          <w:tcPr>
            <w:tcW w:w="1363" w:type="dxa"/>
            <w:tcBorders>
              <w:tl2br w:val="nil"/>
              <w:tr2bl w:val="nil"/>
            </w:tcBorders>
            <w:vAlign w:val="center"/>
          </w:tcPr>
          <w:p>
            <w:pPr>
              <w:spacing w:line="240" w:lineRule="auto"/>
              <w:ind w:firstLine="0" w:firstLineChars="0"/>
              <w:jc w:val="center"/>
              <w:rPr>
                <w:rFonts w:ascii="Times New Roman" w:eastAsia="Times New Roman" w:cs="Times New Roman"/>
                <w:b/>
                <w:bCs/>
                <w:sz w:val="21"/>
                <w:szCs w:val="21"/>
              </w:rPr>
            </w:pPr>
            <w:r>
              <w:rPr>
                <w:rFonts w:hint="eastAsia" w:ascii="Times New Roman" w:eastAsia="Times New Roman" w:cs="Times New Roman"/>
                <w:b/>
                <w:bCs/>
                <w:sz w:val="21"/>
                <w:szCs w:val="21"/>
              </w:rPr>
              <w:t>相对方位</w:t>
            </w:r>
          </w:p>
        </w:tc>
        <w:tc>
          <w:tcPr>
            <w:tcW w:w="1077" w:type="dxa"/>
            <w:tcBorders>
              <w:tl2br w:val="nil"/>
              <w:tr2bl w:val="nil"/>
            </w:tcBorders>
            <w:vAlign w:val="center"/>
          </w:tcPr>
          <w:p>
            <w:pPr>
              <w:spacing w:line="240" w:lineRule="auto"/>
              <w:ind w:firstLine="0" w:firstLineChars="0"/>
              <w:jc w:val="center"/>
              <w:rPr>
                <w:rFonts w:ascii="Times New Roman" w:eastAsia="Times New Roman" w:cs="Times New Roman"/>
                <w:b/>
                <w:bCs/>
                <w:sz w:val="21"/>
                <w:szCs w:val="21"/>
              </w:rPr>
            </w:pPr>
            <w:r>
              <w:rPr>
                <w:rFonts w:hint="eastAsia" w:ascii="Times New Roman" w:eastAsia="Times New Roman" w:cs="Times New Roman"/>
                <w:b/>
                <w:bCs/>
                <w:sz w:val="21"/>
                <w:szCs w:val="21"/>
              </w:rPr>
              <w:t>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8"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1</w:t>
            </w:r>
          </w:p>
        </w:tc>
        <w:tc>
          <w:tcPr>
            <w:tcW w:w="749"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S1</w:t>
            </w:r>
          </w:p>
        </w:tc>
        <w:tc>
          <w:tcPr>
            <w:tcW w:w="1501"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107.7723421</w:t>
            </w:r>
          </w:p>
        </w:tc>
        <w:tc>
          <w:tcPr>
            <w:tcW w:w="157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31.53942749</w:t>
            </w:r>
          </w:p>
        </w:tc>
        <w:tc>
          <w:tcPr>
            <w:tcW w:w="82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浅井</w:t>
            </w:r>
          </w:p>
        </w:tc>
        <w:tc>
          <w:tcPr>
            <w:tcW w:w="93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14</w:t>
            </w:r>
            <w:r>
              <w:rPr>
                <w:rFonts w:ascii="Times New Roman" w:eastAsia="Times New Roman" w:cs="Times New Roman"/>
                <w:sz w:val="21"/>
                <w:szCs w:val="21"/>
                <w:lang w:bidi="ar"/>
              </w:rPr>
              <w:t>37</w:t>
            </w:r>
          </w:p>
        </w:tc>
        <w:tc>
          <w:tcPr>
            <w:tcW w:w="8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10</w:t>
            </w:r>
          </w:p>
        </w:tc>
        <w:tc>
          <w:tcPr>
            <w:tcW w:w="108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2</w:t>
            </w:r>
          </w:p>
        </w:tc>
        <w:tc>
          <w:tcPr>
            <w:tcW w:w="147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3</w:t>
            </w:r>
            <w:r>
              <w:rPr>
                <w:rFonts w:ascii="Times New Roman" w:eastAsia="Times New Roman" w:cs="Times New Roman"/>
                <w:sz w:val="21"/>
                <w:szCs w:val="21"/>
                <w:lang w:bidi="ar"/>
              </w:rPr>
              <w:t>户10人</w:t>
            </w:r>
          </w:p>
        </w:tc>
        <w:tc>
          <w:tcPr>
            <w:tcW w:w="11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1.5</w:t>
            </w:r>
          </w:p>
        </w:tc>
        <w:tc>
          <w:tcPr>
            <w:tcW w:w="108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J</w:t>
            </w:r>
            <w:r>
              <w:rPr>
                <w:rFonts w:hint="eastAsia" w:ascii="Times New Roman" w:eastAsia="Times New Roman" w:cs="Times New Roman"/>
                <w:sz w:val="21"/>
                <w:szCs w:val="21"/>
                <w:vertAlign w:val="subscript"/>
                <w:lang w:bidi="ar"/>
              </w:rPr>
              <w:t>3</w:t>
            </w:r>
            <w:r>
              <w:rPr>
                <w:rFonts w:hint="eastAsia" w:ascii="Times New Roman" w:eastAsia="Times New Roman" w:cs="Times New Roman"/>
                <w:sz w:val="21"/>
                <w:szCs w:val="21"/>
                <w:lang w:bidi="ar"/>
              </w:rPr>
              <w:t>sn</w:t>
            </w:r>
          </w:p>
        </w:tc>
        <w:tc>
          <w:tcPr>
            <w:tcW w:w="13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N</w:t>
            </w:r>
          </w:p>
        </w:tc>
        <w:tc>
          <w:tcPr>
            <w:tcW w:w="107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 xml:space="preserve">400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8"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2</w:t>
            </w:r>
          </w:p>
        </w:tc>
        <w:tc>
          <w:tcPr>
            <w:tcW w:w="749"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S2</w:t>
            </w:r>
          </w:p>
        </w:tc>
        <w:tc>
          <w:tcPr>
            <w:tcW w:w="1501"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107.7831905</w:t>
            </w:r>
          </w:p>
        </w:tc>
        <w:tc>
          <w:tcPr>
            <w:tcW w:w="157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31.53973997</w:t>
            </w:r>
          </w:p>
        </w:tc>
        <w:tc>
          <w:tcPr>
            <w:tcW w:w="82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机井</w:t>
            </w:r>
          </w:p>
        </w:tc>
        <w:tc>
          <w:tcPr>
            <w:tcW w:w="93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2</w:t>
            </w:r>
            <w:r>
              <w:rPr>
                <w:rFonts w:ascii="Times New Roman" w:eastAsia="Times New Roman" w:cs="Times New Roman"/>
                <w:sz w:val="21"/>
                <w:szCs w:val="21"/>
                <w:lang w:bidi="ar"/>
              </w:rPr>
              <w:t>8</w:t>
            </w:r>
            <w:r>
              <w:rPr>
                <w:rFonts w:hint="eastAsia" w:ascii="Times New Roman" w:eastAsia="Times New Roman" w:cs="Times New Roman"/>
                <w:sz w:val="21"/>
                <w:szCs w:val="21"/>
                <w:lang w:bidi="ar"/>
              </w:rPr>
              <w:t>0</w:t>
            </w:r>
          </w:p>
        </w:tc>
        <w:tc>
          <w:tcPr>
            <w:tcW w:w="8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3</w:t>
            </w:r>
            <w:r>
              <w:rPr>
                <w:rFonts w:ascii="Times New Roman" w:eastAsia="Times New Roman" w:cs="Times New Roman"/>
                <w:sz w:val="21"/>
                <w:szCs w:val="21"/>
                <w:lang w:bidi="ar"/>
              </w:rPr>
              <w:t>7</w:t>
            </w:r>
          </w:p>
        </w:tc>
        <w:tc>
          <w:tcPr>
            <w:tcW w:w="108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1</w:t>
            </w:r>
            <w:r>
              <w:rPr>
                <w:rFonts w:ascii="Times New Roman" w:eastAsia="Times New Roman" w:cs="Times New Roman"/>
                <w:sz w:val="21"/>
                <w:szCs w:val="21"/>
                <w:lang w:bidi="ar"/>
              </w:rPr>
              <w:t>3</w:t>
            </w:r>
          </w:p>
        </w:tc>
        <w:tc>
          <w:tcPr>
            <w:tcW w:w="147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5</w:t>
            </w:r>
            <w:r>
              <w:rPr>
                <w:rFonts w:ascii="Times New Roman" w:eastAsia="Times New Roman" w:cs="Times New Roman"/>
                <w:sz w:val="21"/>
                <w:szCs w:val="21"/>
                <w:lang w:bidi="ar"/>
              </w:rPr>
              <w:t>户</w:t>
            </w:r>
            <w:r>
              <w:rPr>
                <w:rFonts w:hint="eastAsia" w:ascii="Times New Roman" w:eastAsia="Times New Roman" w:cs="Times New Roman"/>
                <w:sz w:val="21"/>
                <w:szCs w:val="21"/>
                <w:lang w:bidi="ar"/>
              </w:rPr>
              <w:t>12</w:t>
            </w:r>
            <w:r>
              <w:rPr>
                <w:rFonts w:ascii="Times New Roman" w:eastAsia="Times New Roman" w:cs="Times New Roman"/>
                <w:sz w:val="21"/>
                <w:szCs w:val="21"/>
                <w:lang w:bidi="ar"/>
              </w:rPr>
              <w:t>人</w:t>
            </w:r>
          </w:p>
        </w:tc>
        <w:tc>
          <w:tcPr>
            <w:tcW w:w="11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1.8</w:t>
            </w:r>
          </w:p>
        </w:tc>
        <w:tc>
          <w:tcPr>
            <w:tcW w:w="108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J</w:t>
            </w:r>
            <w:r>
              <w:rPr>
                <w:rFonts w:hint="eastAsia" w:ascii="Times New Roman" w:eastAsia="Times New Roman" w:cs="Times New Roman"/>
                <w:sz w:val="21"/>
                <w:szCs w:val="21"/>
                <w:vertAlign w:val="subscript"/>
                <w:lang w:bidi="ar"/>
              </w:rPr>
              <w:t>3</w:t>
            </w:r>
            <w:r>
              <w:rPr>
                <w:rFonts w:hint="eastAsia" w:ascii="Times New Roman" w:eastAsia="Times New Roman" w:cs="Times New Roman"/>
                <w:sz w:val="21"/>
                <w:szCs w:val="21"/>
                <w:lang w:bidi="ar"/>
              </w:rPr>
              <w:t>sn</w:t>
            </w:r>
          </w:p>
        </w:tc>
        <w:tc>
          <w:tcPr>
            <w:tcW w:w="13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W</w:t>
            </w:r>
          </w:p>
        </w:tc>
        <w:tc>
          <w:tcPr>
            <w:tcW w:w="107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 xml:space="preserve">1045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8"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3</w:t>
            </w:r>
          </w:p>
        </w:tc>
        <w:tc>
          <w:tcPr>
            <w:tcW w:w="749"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S3</w:t>
            </w:r>
          </w:p>
        </w:tc>
        <w:tc>
          <w:tcPr>
            <w:tcW w:w="1501"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107.770432</w:t>
            </w:r>
          </w:p>
        </w:tc>
        <w:tc>
          <w:tcPr>
            <w:tcW w:w="157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31.53425887</w:t>
            </w:r>
          </w:p>
        </w:tc>
        <w:tc>
          <w:tcPr>
            <w:tcW w:w="82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浅井</w:t>
            </w:r>
          </w:p>
        </w:tc>
        <w:tc>
          <w:tcPr>
            <w:tcW w:w="93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2</w:t>
            </w:r>
            <w:r>
              <w:rPr>
                <w:rFonts w:ascii="Times New Roman" w:eastAsia="Times New Roman" w:cs="Times New Roman"/>
                <w:sz w:val="21"/>
                <w:szCs w:val="21"/>
                <w:lang w:bidi="ar"/>
              </w:rPr>
              <w:t>367</w:t>
            </w:r>
          </w:p>
        </w:tc>
        <w:tc>
          <w:tcPr>
            <w:tcW w:w="8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10</w:t>
            </w:r>
          </w:p>
        </w:tc>
        <w:tc>
          <w:tcPr>
            <w:tcW w:w="108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1</w:t>
            </w:r>
          </w:p>
        </w:tc>
        <w:tc>
          <w:tcPr>
            <w:tcW w:w="147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5户8人</w:t>
            </w:r>
          </w:p>
        </w:tc>
        <w:tc>
          <w:tcPr>
            <w:tcW w:w="11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1.4</w:t>
            </w:r>
          </w:p>
        </w:tc>
        <w:tc>
          <w:tcPr>
            <w:tcW w:w="108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J</w:t>
            </w:r>
            <w:r>
              <w:rPr>
                <w:rFonts w:hint="eastAsia" w:ascii="Times New Roman" w:eastAsia="Times New Roman" w:cs="Times New Roman"/>
                <w:sz w:val="21"/>
                <w:szCs w:val="21"/>
                <w:vertAlign w:val="subscript"/>
                <w:lang w:bidi="ar"/>
              </w:rPr>
              <w:t>3</w:t>
            </w:r>
            <w:r>
              <w:rPr>
                <w:rFonts w:hint="eastAsia" w:ascii="Times New Roman" w:eastAsia="Times New Roman" w:cs="Times New Roman"/>
                <w:sz w:val="21"/>
                <w:szCs w:val="21"/>
                <w:lang w:bidi="ar"/>
              </w:rPr>
              <w:t>sn</w:t>
            </w:r>
          </w:p>
        </w:tc>
        <w:tc>
          <w:tcPr>
            <w:tcW w:w="13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N</w:t>
            </w:r>
          </w:p>
        </w:tc>
        <w:tc>
          <w:tcPr>
            <w:tcW w:w="107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 xml:space="preserve">435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8"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4</w:t>
            </w:r>
          </w:p>
        </w:tc>
        <w:tc>
          <w:tcPr>
            <w:tcW w:w="749"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S4</w:t>
            </w:r>
          </w:p>
        </w:tc>
        <w:tc>
          <w:tcPr>
            <w:tcW w:w="1501"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107.7794496</w:t>
            </w:r>
          </w:p>
        </w:tc>
        <w:tc>
          <w:tcPr>
            <w:tcW w:w="157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31.53233841</w:t>
            </w:r>
          </w:p>
        </w:tc>
        <w:tc>
          <w:tcPr>
            <w:tcW w:w="82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机井</w:t>
            </w:r>
          </w:p>
        </w:tc>
        <w:tc>
          <w:tcPr>
            <w:tcW w:w="93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28</w:t>
            </w:r>
            <w:r>
              <w:rPr>
                <w:rFonts w:hint="eastAsia" w:ascii="Times New Roman" w:eastAsia="Times New Roman" w:cs="Times New Roman"/>
                <w:sz w:val="21"/>
                <w:szCs w:val="21"/>
                <w:lang w:bidi="ar"/>
              </w:rPr>
              <w:t>0</w:t>
            </w:r>
          </w:p>
        </w:tc>
        <w:tc>
          <w:tcPr>
            <w:tcW w:w="8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28</w:t>
            </w:r>
          </w:p>
        </w:tc>
        <w:tc>
          <w:tcPr>
            <w:tcW w:w="108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1</w:t>
            </w:r>
            <w:r>
              <w:rPr>
                <w:rFonts w:ascii="Times New Roman" w:eastAsia="Times New Roman" w:cs="Times New Roman"/>
                <w:sz w:val="21"/>
                <w:szCs w:val="21"/>
                <w:lang w:bidi="ar"/>
              </w:rPr>
              <w:t>4</w:t>
            </w:r>
          </w:p>
        </w:tc>
        <w:tc>
          <w:tcPr>
            <w:tcW w:w="147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3</w:t>
            </w:r>
            <w:r>
              <w:rPr>
                <w:rFonts w:ascii="Times New Roman" w:eastAsia="Times New Roman" w:cs="Times New Roman"/>
                <w:sz w:val="21"/>
                <w:szCs w:val="21"/>
                <w:lang w:bidi="ar"/>
              </w:rPr>
              <w:t>户</w:t>
            </w:r>
            <w:r>
              <w:rPr>
                <w:rFonts w:hint="eastAsia" w:ascii="Times New Roman" w:eastAsia="Times New Roman" w:cs="Times New Roman"/>
                <w:sz w:val="21"/>
                <w:szCs w:val="21"/>
                <w:lang w:bidi="ar"/>
              </w:rPr>
              <w:t>10</w:t>
            </w:r>
            <w:r>
              <w:rPr>
                <w:rFonts w:ascii="Times New Roman" w:eastAsia="Times New Roman" w:cs="Times New Roman"/>
                <w:sz w:val="21"/>
                <w:szCs w:val="21"/>
                <w:lang w:bidi="ar"/>
              </w:rPr>
              <w:t>人</w:t>
            </w:r>
          </w:p>
        </w:tc>
        <w:tc>
          <w:tcPr>
            <w:tcW w:w="11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1.4</w:t>
            </w:r>
          </w:p>
        </w:tc>
        <w:tc>
          <w:tcPr>
            <w:tcW w:w="108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J</w:t>
            </w:r>
            <w:r>
              <w:rPr>
                <w:rFonts w:hint="eastAsia" w:ascii="Times New Roman" w:eastAsia="Times New Roman" w:cs="Times New Roman"/>
                <w:sz w:val="21"/>
                <w:szCs w:val="21"/>
                <w:vertAlign w:val="subscript"/>
                <w:lang w:bidi="ar"/>
              </w:rPr>
              <w:t>3</w:t>
            </w:r>
            <w:r>
              <w:rPr>
                <w:rFonts w:hint="eastAsia" w:ascii="Times New Roman" w:eastAsia="Times New Roman" w:cs="Times New Roman"/>
                <w:sz w:val="21"/>
                <w:szCs w:val="21"/>
                <w:lang w:bidi="ar"/>
              </w:rPr>
              <w:t>sn</w:t>
            </w:r>
          </w:p>
        </w:tc>
        <w:tc>
          <w:tcPr>
            <w:tcW w:w="13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W</w:t>
            </w:r>
          </w:p>
        </w:tc>
        <w:tc>
          <w:tcPr>
            <w:tcW w:w="107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 xml:space="preserve">1162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8"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5</w:t>
            </w:r>
          </w:p>
        </w:tc>
        <w:tc>
          <w:tcPr>
            <w:tcW w:w="749"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S5</w:t>
            </w:r>
          </w:p>
        </w:tc>
        <w:tc>
          <w:tcPr>
            <w:tcW w:w="1501"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107.7855065</w:t>
            </w:r>
          </w:p>
        </w:tc>
        <w:tc>
          <w:tcPr>
            <w:tcW w:w="157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31.53740231</w:t>
            </w:r>
          </w:p>
        </w:tc>
        <w:tc>
          <w:tcPr>
            <w:tcW w:w="82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浅井</w:t>
            </w:r>
          </w:p>
        </w:tc>
        <w:tc>
          <w:tcPr>
            <w:tcW w:w="93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2</w:t>
            </w:r>
            <w:r>
              <w:rPr>
                <w:rFonts w:ascii="Times New Roman" w:eastAsia="Times New Roman" w:cs="Times New Roman"/>
                <w:sz w:val="21"/>
                <w:szCs w:val="21"/>
                <w:lang w:bidi="ar"/>
              </w:rPr>
              <w:t>201</w:t>
            </w:r>
          </w:p>
        </w:tc>
        <w:tc>
          <w:tcPr>
            <w:tcW w:w="8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6</w:t>
            </w:r>
          </w:p>
        </w:tc>
        <w:tc>
          <w:tcPr>
            <w:tcW w:w="108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3</w:t>
            </w:r>
          </w:p>
        </w:tc>
        <w:tc>
          <w:tcPr>
            <w:tcW w:w="147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2户5人</w:t>
            </w:r>
          </w:p>
        </w:tc>
        <w:tc>
          <w:tcPr>
            <w:tcW w:w="11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1.8</w:t>
            </w:r>
          </w:p>
        </w:tc>
        <w:tc>
          <w:tcPr>
            <w:tcW w:w="108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J</w:t>
            </w:r>
            <w:r>
              <w:rPr>
                <w:rFonts w:hint="eastAsia" w:ascii="Times New Roman" w:eastAsia="Times New Roman" w:cs="Times New Roman"/>
                <w:sz w:val="21"/>
                <w:szCs w:val="21"/>
                <w:vertAlign w:val="subscript"/>
                <w:lang w:bidi="ar"/>
              </w:rPr>
              <w:t>3</w:t>
            </w:r>
            <w:r>
              <w:rPr>
                <w:rFonts w:hint="eastAsia" w:ascii="Times New Roman" w:eastAsia="Times New Roman" w:cs="Times New Roman"/>
                <w:sz w:val="21"/>
                <w:szCs w:val="21"/>
                <w:lang w:bidi="ar"/>
              </w:rPr>
              <w:t>sn</w:t>
            </w:r>
          </w:p>
        </w:tc>
        <w:tc>
          <w:tcPr>
            <w:tcW w:w="13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SW</w:t>
            </w:r>
          </w:p>
        </w:tc>
        <w:tc>
          <w:tcPr>
            <w:tcW w:w="107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 xml:space="preserve">488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8"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6</w:t>
            </w:r>
          </w:p>
        </w:tc>
        <w:tc>
          <w:tcPr>
            <w:tcW w:w="749"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S6</w:t>
            </w:r>
          </w:p>
        </w:tc>
        <w:tc>
          <w:tcPr>
            <w:tcW w:w="1501"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107.7937811</w:t>
            </w:r>
          </w:p>
        </w:tc>
        <w:tc>
          <w:tcPr>
            <w:tcW w:w="157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31.53469999</w:t>
            </w:r>
          </w:p>
        </w:tc>
        <w:tc>
          <w:tcPr>
            <w:tcW w:w="82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机井</w:t>
            </w:r>
          </w:p>
        </w:tc>
        <w:tc>
          <w:tcPr>
            <w:tcW w:w="93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2</w:t>
            </w:r>
            <w:r>
              <w:rPr>
                <w:rFonts w:hint="eastAsia" w:ascii="Times New Roman" w:eastAsia="Times New Roman" w:cs="Times New Roman"/>
                <w:sz w:val="21"/>
                <w:szCs w:val="21"/>
                <w:lang w:bidi="ar"/>
              </w:rPr>
              <w:t>87</w:t>
            </w:r>
          </w:p>
        </w:tc>
        <w:tc>
          <w:tcPr>
            <w:tcW w:w="8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30</w:t>
            </w:r>
          </w:p>
        </w:tc>
        <w:tc>
          <w:tcPr>
            <w:tcW w:w="108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10</w:t>
            </w:r>
          </w:p>
        </w:tc>
        <w:tc>
          <w:tcPr>
            <w:tcW w:w="147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3户6人</w:t>
            </w:r>
          </w:p>
        </w:tc>
        <w:tc>
          <w:tcPr>
            <w:tcW w:w="11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1.4</w:t>
            </w:r>
          </w:p>
        </w:tc>
        <w:tc>
          <w:tcPr>
            <w:tcW w:w="108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J</w:t>
            </w:r>
            <w:r>
              <w:rPr>
                <w:rFonts w:hint="eastAsia" w:ascii="Times New Roman" w:eastAsia="Times New Roman" w:cs="Times New Roman"/>
                <w:sz w:val="21"/>
                <w:szCs w:val="21"/>
                <w:vertAlign w:val="subscript"/>
                <w:lang w:bidi="ar"/>
              </w:rPr>
              <w:t>3</w:t>
            </w:r>
            <w:r>
              <w:rPr>
                <w:rFonts w:hint="eastAsia" w:ascii="Times New Roman" w:eastAsia="Times New Roman" w:cs="Times New Roman"/>
                <w:sz w:val="21"/>
                <w:szCs w:val="21"/>
                <w:lang w:bidi="ar"/>
              </w:rPr>
              <w:t>sn</w:t>
            </w:r>
          </w:p>
        </w:tc>
        <w:tc>
          <w:tcPr>
            <w:tcW w:w="13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NE</w:t>
            </w:r>
          </w:p>
        </w:tc>
        <w:tc>
          <w:tcPr>
            <w:tcW w:w="107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 xml:space="preserve">331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8"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7</w:t>
            </w:r>
          </w:p>
        </w:tc>
        <w:tc>
          <w:tcPr>
            <w:tcW w:w="749"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S7</w:t>
            </w:r>
          </w:p>
        </w:tc>
        <w:tc>
          <w:tcPr>
            <w:tcW w:w="1501"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107.7873773</w:t>
            </w:r>
          </w:p>
        </w:tc>
        <w:tc>
          <w:tcPr>
            <w:tcW w:w="157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31.53440494</w:t>
            </w:r>
          </w:p>
        </w:tc>
        <w:tc>
          <w:tcPr>
            <w:tcW w:w="82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浅井</w:t>
            </w:r>
          </w:p>
        </w:tc>
        <w:tc>
          <w:tcPr>
            <w:tcW w:w="93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2</w:t>
            </w:r>
            <w:r>
              <w:rPr>
                <w:rFonts w:ascii="Times New Roman" w:eastAsia="Times New Roman" w:cs="Times New Roman"/>
                <w:sz w:val="21"/>
                <w:szCs w:val="21"/>
                <w:lang w:bidi="ar"/>
              </w:rPr>
              <w:t>314</w:t>
            </w:r>
          </w:p>
        </w:tc>
        <w:tc>
          <w:tcPr>
            <w:tcW w:w="8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9</w:t>
            </w:r>
          </w:p>
        </w:tc>
        <w:tc>
          <w:tcPr>
            <w:tcW w:w="108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4</w:t>
            </w:r>
          </w:p>
        </w:tc>
        <w:tc>
          <w:tcPr>
            <w:tcW w:w="147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2户7人</w:t>
            </w:r>
          </w:p>
        </w:tc>
        <w:tc>
          <w:tcPr>
            <w:tcW w:w="11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1.3</w:t>
            </w:r>
          </w:p>
        </w:tc>
        <w:tc>
          <w:tcPr>
            <w:tcW w:w="108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J</w:t>
            </w:r>
            <w:r>
              <w:rPr>
                <w:rFonts w:hint="eastAsia" w:ascii="Times New Roman" w:eastAsia="Times New Roman" w:cs="Times New Roman"/>
                <w:sz w:val="21"/>
                <w:szCs w:val="21"/>
                <w:vertAlign w:val="subscript"/>
                <w:lang w:bidi="ar"/>
              </w:rPr>
              <w:t>3</w:t>
            </w:r>
            <w:r>
              <w:rPr>
                <w:rFonts w:hint="eastAsia" w:ascii="Times New Roman" w:eastAsia="Times New Roman" w:cs="Times New Roman"/>
                <w:sz w:val="21"/>
                <w:szCs w:val="21"/>
                <w:lang w:bidi="ar"/>
              </w:rPr>
              <w:t>sn</w:t>
            </w:r>
          </w:p>
        </w:tc>
        <w:tc>
          <w:tcPr>
            <w:tcW w:w="13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E</w:t>
            </w:r>
          </w:p>
        </w:tc>
        <w:tc>
          <w:tcPr>
            <w:tcW w:w="107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 xml:space="preserve">1077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8"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8</w:t>
            </w:r>
          </w:p>
        </w:tc>
        <w:tc>
          <w:tcPr>
            <w:tcW w:w="749"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S8</w:t>
            </w:r>
          </w:p>
        </w:tc>
        <w:tc>
          <w:tcPr>
            <w:tcW w:w="1501"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107.7729001</w:t>
            </w:r>
          </w:p>
        </w:tc>
        <w:tc>
          <w:tcPr>
            <w:tcW w:w="157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31.5389419</w:t>
            </w:r>
          </w:p>
        </w:tc>
        <w:tc>
          <w:tcPr>
            <w:tcW w:w="82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浅井</w:t>
            </w:r>
          </w:p>
        </w:tc>
        <w:tc>
          <w:tcPr>
            <w:tcW w:w="93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2</w:t>
            </w:r>
            <w:r>
              <w:rPr>
                <w:rFonts w:ascii="Times New Roman" w:eastAsia="Times New Roman" w:cs="Times New Roman"/>
                <w:sz w:val="21"/>
                <w:szCs w:val="21"/>
                <w:lang w:bidi="ar"/>
              </w:rPr>
              <w:t>442</w:t>
            </w:r>
          </w:p>
        </w:tc>
        <w:tc>
          <w:tcPr>
            <w:tcW w:w="8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8</w:t>
            </w:r>
          </w:p>
        </w:tc>
        <w:tc>
          <w:tcPr>
            <w:tcW w:w="108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3</w:t>
            </w:r>
          </w:p>
        </w:tc>
        <w:tc>
          <w:tcPr>
            <w:tcW w:w="147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4户6人</w:t>
            </w:r>
          </w:p>
        </w:tc>
        <w:tc>
          <w:tcPr>
            <w:tcW w:w="11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1.6</w:t>
            </w:r>
          </w:p>
        </w:tc>
        <w:tc>
          <w:tcPr>
            <w:tcW w:w="108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J</w:t>
            </w:r>
            <w:r>
              <w:rPr>
                <w:rFonts w:hint="eastAsia" w:ascii="Times New Roman" w:eastAsia="Times New Roman" w:cs="Times New Roman"/>
                <w:sz w:val="21"/>
                <w:szCs w:val="21"/>
                <w:vertAlign w:val="subscript"/>
                <w:lang w:bidi="ar"/>
              </w:rPr>
              <w:t>3</w:t>
            </w:r>
            <w:r>
              <w:rPr>
                <w:rFonts w:hint="eastAsia" w:ascii="Times New Roman" w:eastAsia="Times New Roman" w:cs="Times New Roman"/>
                <w:sz w:val="21"/>
                <w:szCs w:val="21"/>
                <w:lang w:bidi="ar"/>
              </w:rPr>
              <w:t>sn</w:t>
            </w:r>
          </w:p>
        </w:tc>
        <w:tc>
          <w:tcPr>
            <w:tcW w:w="13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E</w:t>
            </w:r>
          </w:p>
        </w:tc>
        <w:tc>
          <w:tcPr>
            <w:tcW w:w="107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 xml:space="preserve">488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8"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9</w:t>
            </w:r>
          </w:p>
        </w:tc>
        <w:tc>
          <w:tcPr>
            <w:tcW w:w="749"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S9</w:t>
            </w:r>
          </w:p>
        </w:tc>
        <w:tc>
          <w:tcPr>
            <w:tcW w:w="1501"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107.7912824</w:t>
            </w:r>
          </w:p>
        </w:tc>
        <w:tc>
          <w:tcPr>
            <w:tcW w:w="157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31.54057548</w:t>
            </w:r>
          </w:p>
        </w:tc>
        <w:tc>
          <w:tcPr>
            <w:tcW w:w="82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浅井</w:t>
            </w:r>
          </w:p>
        </w:tc>
        <w:tc>
          <w:tcPr>
            <w:tcW w:w="93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2</w:t>
            </w:r>
            <w:r>
              <w:rPr>
                <w:rFonts w:ascii="Times New Roman" w:eastAsia="Times New Roman" w:cs="Times New Roman"/>
                <w:sz w:val="21"/>
                <w:szCs w:val="21"/>
                <w:lang w:bidi="ar"/>
              </w:rPr>
              <w:t>383</w:t>
            </w:r>
          </w:p>
        </w:tc>
        <w:tc>
          <w:tcPr>
            <w:tcW w:w="8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6</w:t>
            </w:r>
          </w:p>
        </w:tc>
        <w:tc>
          <w:tcPr>
            <w:tcW w:w="108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1</w:t>
            </w:r>
          </w:p>
        </w:tc>
        <w:tc>
          <w:tcPr>
            <w:tcW w:w="147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1户</w:t>
            </w:r>
            <w:r>
              <w:rPr>
                <w:rFonts w:hint="eastAsia" w:ascii="Times New Roman" w:eastAsia="Times New Roman" w:cs="Times New Roman"/>
                <w:sz w:val="21"/>
                <w:szCs w:val="21"/>
                <w:lang w:bidi="ar"/>
              </w:rPr>
              <w:t>4</w:t>
            </w:r>
            <w:r>
              <w:rPr>
                <w:rFonts w:ascii="Times New Roman" w:eastAsia="Times New Roman" w:cs="Times New Roman"/>
                <w:sz w:val="21"/>
                <w:szCs w:val="21"/>
                <w:lang w:bidi="ar"/>
              </w:rPr>
              <w:t>人</w:t>
            </w:r>
          </w:p>
        </w:tc>
        <w:tc>
          <w:tcPr>
            <w:tcW w:w="11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2</w:t>
            </w:r>
          </w:p>
        </w:tc>
        <w:tc>
          <w:tcPr>
            <w:tcW w:w="108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J</w:t>
            </w:r>
            <w:r>
              <w:rPr>
                <w:rFonts w:hint="eastAsia" w:ascii="Times New Roman" w:eastAsia="Times New Roman" w:cs="Times New Roman"/>
                <w:sz w:val="21"/>
                <w:szCs w:val="21"/>
                <w:vertAlign w:val="subscript"/>
                <w:lang w:bidi="ar"/>
              </w:rPr>
              <w:t>3</w:t>
            </w:r>
            <w:r>
              <w:rPr>
                <w:rFonts w:hint="eastAsia" w:ascii="Times New Roman" w:eastAsia="Times New Roman" w:cs="Times New Roman"/>
                <w:sz w:val="21"/>
                <w:szCs w:val="21"/>
                <w:lang w:bidi="ar"/>
              </w:rPr>
              <w:t>sn</w:t>
            </w:r>
          </w:p>
        </w:tc>
        <w:tc>
          <w:tcPr>
            <w:tcW w:w="13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W</w:t>
            </w:r>
          </w:p>
        </w:tc>
        <w:tc>
          <w:tcPr>
            <w:tcW w:w="107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 xml:space="preserve">976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8"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10</w:t>
            </w:r>
          </w:p>
        </w:tc>
        <w:tc>
          <w:tcPr>
            <w:tcW w:w="749"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S10</w:t>
            </w:r>
          </w:p>
        </w:tc>
        <w:tc>
          <w:tcPr>
            <w:tcW w:w="1501"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107.7680411</w:t>
            </w:r>
          </w:p>
        </w:tc>
        <w:tc>
          <w:tcPr>
            <w:tcW w:w="157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31.53676674</w:t>
            </w:r>
          </w:p>
        </w:tc>
        <w:tc>
          <w:tcPr>
            <w:tcW w:w="82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机井</w:t>
            </w:r>
          </w:p>
        </w:tc>
        <w:tc>
          <w:tcPr>
            <w:tcW w:w="93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27</w:t>
            </w:r>
            <w:r>
              <w:rPr>
                <w:rFonts w:ascii="Times New Roman" w:eastAsia="Times New Roman" w:cs="Times New Roman"/>
                <w:sz w:val="21"/>
                <w:szCs w:val="21"/>
                <w:lang w:bidi="ar"/>
              </w:rPr>
              <w:t>2</w:t>
            </w:r>
          </w:p>
        </w:tc>
        <w:tc>
          <w:tcPr>
            <w:tcW w:w="8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35</w:t>
            </w:r>
          </w:p>
        </w:tc>
        <w:tc>
          <w:tcPr>
            <w:tcW w:w="108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11</w:t>
            </w:r>
          </w:p>
        </w:tc>
        <w:tc>
          <w:tcPr>
            <w:tcW w:w="147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2</w:t>
            </w:r>
            <w:r>
              <w:rPr>
                <w:rFonts w:ascii="Times New Roman" w:eastAsia="Times New Roman" w:cs="Times New Roman"/>
                <w:sz w:val="21"/>
                <w:szCs w:val="21"/>
                <w:lang w:bidi="ar"/>
              </w:rPr>
              <w:t>户</w:t>
            </w:r>
            <w:r>
              <w:rPr>
                <w:rFonts w:hint="eastAsia" w:ascii="Times New Roman" w:eastAsia="Times New Roman" w:cs="Times New Roman"/>
                <w:sz w:val="21"/>
                <w:szCs w:val="21"/>
                <w:lang w:bidi="ar"/>
              </w:rPr>
              <w:t>7</w:t>
            </w:r>
            <w:r>
              <w:rPr>
                <w:rFonts w:ascii="Times New Roman" w:eastAsia="Times New Roman" w:cs="Times New Roman"/>
                <w:sz w:val="21"/>
                <w:szCs w:val="21"/>
                <w:lang w:bidi="ar"/>
              </w:rPr>
              <w:t>人</w:t>
            </w:r>
          </w:p>
        </w:tc>
        <w:tc>
          <w:tcPr>
            <w:tcW w:w="11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1.3</w:t>
            </w:r>
          </w:p>
        </w:tc>
        <w:tc>
          <w:tcPr>
            <w:tcW w:w="108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J</w:t>
            </w:r>
            <w:r>
              <w:rPr>
                <w:rFonts w:hint="eastAsia" w:ascii="Times New Roman" w:eastAsia="Times New Roman" w:cs="Times New Roman"/>
                <w:sz w:val="21"/>
                <w:szCs w:val="21"/>
                <w:vertAlign w:val="subscript"/>
                <w:lang w:bidi="ar"/>
              </w:rPr>
              <w:t>3</w:t>
            </w:r>
            <w:r>
              <w:rPr>
                <w:rFonts w:hint="eastAsia" w:ascii="Times New Roman" w:eastAsia="Times New Roman" w:cs="Times New Roman"/>
                <w:sz w:val="21"/>
                <w:szCs w:val="21"/>
                <w:lang w:bidi="ar"/>
              </w:rPr>
              <w:t>sn</w:t>
            </w:r>
          </w:p>
        </w:tc>
        <w:tc>
          <w:tcPr>
            <w:tcW w:w="13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E</w:t>
            </w:r>
          </w:p>
        </w:tc>
        <w:tc>
          <w:tcPr>
            <w:tcW w:w="107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 xml:space="preserve">982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8"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11</w:t>
            </w:r>
          </w:p>
        </w:tc>
        <w:tc>
          <w:tcPr>
            <w:tcW w:w="749"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S11</w:t>
            </w:r>
          </w:p>
        </w:tc>
        <w:tc>
          <w:tcPr>
            <w:tcW w:w="1501"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107.7700688</w:t>
            </w:r>
          </w:p>
        </w:tc>
        <w:tc>
          <w:tcPr>
            <w:tcW w:w="157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31.54652998</w:t>
            </w:r>
          </w:p>
        </w:tc>
        <w:tc>
          <w:tcPr>
            <w:tcW w:w="82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浅井</w:t>
            </w:r>
          </w:p>
        </w:tc>
        <w:tc>
          <w:tcPr>
            <w:tcW w:w="93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2</w:t>
            </w:r>
            <w:r>
              <w:rPr>
                <w:rFonts w:ascii="Times New Roman" w:eastAsia="Times New Roman" w:cs="Times New Roman"/>
                <w:sz w:val="21"/>
                <w:szCs w:val="21"/>
                <w:lang w:bidi="ar"/>
              </w:rPr>
              <w:t>488</w:t>
            </w:r>
          </w:p>
        </w:tc>
        <w:tc>
          <w:tcPr>
            <w:tcW w:w="8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9</w:t>
            </w:r>
          </w:p>
        </w:tc>
        <w:tc>
          <w:tcPr>
            <w:tcW w:w="108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3</w:t>
            </w:r>
          </w:p>
        </w:tc>
        <w:tc>
          <w:tcPr>
            <w:tcW w:w="147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3户5人</w:t>
            </w:r>
          </w:p>
        </w:tc>
        <w:tc>
          <w:tcPr>
            <w:tcW w:w="11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1.9</w:t>
            </w:r>
          </w:p>
        </w:tc>
        <w:tc>
          <w:tcPr>
            <w:tcW w:w="108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J</w:t>
            </w:r>
            <w:r>
              <w:rPr>
                <w:rFonts w:hint="eastAsia" w:ascii="Times New Roman" w:eastAsia="Times New Roman" w:cs="Times New Roman"/>
                <w:sz w:val="21"/>
                <w:szCs w:val="21"/>
                <w:vertAlign w:val="subscript"/>
                <w:lang w:bidi="ar"/>
              </w:rPr>
              <w:t>3</w:t>
            </w:r>
            <w:r>
              <w:rPr>
                <w:rFonts w:hint="eastAsia" w:ascii="Times New Roman" w:eastAsia="Times New Roman" w:cs="Times New Roman"/>
                <w:sz w:val="21"/>
                <w:szCs w:val="21"/>
                <w:lang w:bidi="ar"/>
              </w:rPr>
              <w:t>sn</w:t>
            </w:r>
          </w:p>
        </w:tc>
        <w:tc>
          <w:tcPr>
            <w:tcW w:w="13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E</w:t>
            </w:r>
          </w:p>
        </w:tc>
        <w:tc>
          <w:tcPr>
            <w:tcW w:w="107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 xml:space="preserve">1379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8"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12</w:t>
            </w:r>
          </w:p>
        </w:tc>
        <w:tc>
          <w:tcPr>
            <w:tcW w:w="749"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S12</w:t>
            </w:r>
          </w:p>
        </w:tc>
        <w:tc>
          <w:tcPr>
            <w:tcW w:w="1501"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107.7835899</w:t>
            </w:r>
          </w:p>
        </w:tc>
        <w:tc>
          <w:tcPr>
            <w:tcW w:w="157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31.53935507</w:t>
            </w:r>
          </w:p>
        </w:tc>
        <w:tc>
          <w:tcPr>
            <w:tcW w:w="82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浅井</w:t>
            </w:r>
          </w:p>
        </w:tc>
        <w:tc>
          <w:tcPr>
            <w:tcW w:w="93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2</w:t>
            </w:r>
            <w:r>
              <w:rPr>
                <w:rFonts w:ascii="Times New Roman" w:eastAsia="Times New Roman" w:cs="Times New Roman"/>
                <w:sz w:val="21"/>
                <w:szCs w:val="21"/>
                <w:lang w:bidi="ar"/>
              </w:rPr>
              <w:t>392</w:t>
            </w:r>
          </w:p>
        </w:tc>
        <w:tc>
          <w:tcPr>
            <w:tcW w:w="8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5</w:t>
            </w:r>
          </w:p>
        </w:tc>
        <w:tc>
          <w:tcPr>
            <w:tcW w:w="108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2</w:t>
            </w:r>
          </w:p>
        </w:tc>
        <w:tc>
          <w:tcPr>
            <w:tcW w:w="147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1</w:t>
            </w:r>
            <w:r>
              <w:rPr>
                <w:rFonts w:ascii="Times New Roman" w:eastAsia="Times New Roman" w:cs="Times New Roman"/>
                <w:sz w:val="21"/>
                <w:szCs w:val="21"/>
                <w:lang w:bidi="ar"/>
              </w:rPr>
              <w:t>户</w:t>
            </w:r>
            <w:r>
              <w:rPr>
                <w:rFonts w:hint="eastAsia" w:ascii="Times New Roman" w:eastAsia="Times New Roman" w:cs="Times New Roman"/>
                <w:sz w:val="21"/>
                <w:szCs w:val="21"/>
                <w:lang w:bidi="ar"/>
              </w:rPr>
              <w:t>3</w:t>
            </w:r>
            <w:r>
              <w:rPr>
                <w:rFonts w:ascii="Times New Roman" w:eastAsia="Times New Roman" w:cs="Times New Roman"/>
                <w:sz w:val="21"/>
                <w:szCs w:val="21"/>
                <w:lang w:bidi="ar"/>
              </w:rPr>
              <w:t>人</w:t>
            </w:r>
          </w:p>
        </w:tc>
        <w:tc>
          <w:tcPr>
            <w:tcW w:w="11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1</w:t>
            </w:r>
          </w:p>
        </w:tc>
        <w:tc>
          <w:tcPr>
            <w:tcW w:w="108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J</w:t>
            </w:r>
            <w:r>
              <w:rPr>
                <w:rFonts w:hint="eastAsia" w:ascii="Times New Roman" w:eastAsia="Times New Roman" w:cs="Times New Roman"/>
                <w:sz w:val="21"/>
                <w:szCs w:val="21"/>
                <w:vertAlign w:val="subscript"/>
                <w:lang w:bidi="ar"/>
              </w:rPr>
              <w:t>3</w:t>
            </w:r>
            <w:r>
              <w:rPr>
                <w:rFonts w:hint="eastAsia" w:ascii="Times New Roman" w:eastAsia="Times New Roman" w:cs="Times New Roman"/>
                <w:sz w:val="21"/>
                <w:szCs w:val="21"/>
                <w:lang w:bidi="ar"/>
              </w:rPr>
              <w:t>sn</w:t>
            </w:r>
          </w:p>
        </w:tc>
        <w:tc>
          <w:tcPr>
            <w:tcW w:w="13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NW</w:t>
            </w:r>
          </w:p>
        </w:tc>
        <w:tc>
          <w:tcPr>
            <w:tcW w:w="107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 xml:space="preserve">1673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8"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13</w:t>
            </w:r>
          </w:p>
        </w:tc>
        <w:tc>
          <w:tcPr>
            <w:tcW w:w="749"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S13</w:t>
            </w:r>
          </w:p>
        </w:tc>
        <w:tc>
          <w:tcPr>
            <w:tcW w:w="1501"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107.7921246</w:t>
            </w:r>
          </w:p>
        </w:tc>
        <w:tc>
          <w:tcPr>
            <w:tcW w:w="157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31.54504403</w:t>
            </w:r>
          </w:p>
        </w:tc>
        <w:tc>
          <w:tcPr>
            <w:tcW w:w="82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机井</w:t>
            </w:r>
          </w:p>
        </w:tc>
        <w:tc>
          <w:tcPr>
            <w:tcW w:w="93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280</w:t>
            </w:r>
          </w:p>
        </w:tc>
        <w:tc>
          <w:tcPr>
            <w:tcW w:w="8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39</w:t>
            </w:r>
          </w:p>
        </w:tc>
        <w:tc>
          <w:tcPr>
            <w:tcW w:w="108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16</w:t>
            </w:r>
          </w:p>
        </w:tc>
        <w:tc>
          <w:tcPr>
            <w:tcW w:w="147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4户9人</w:t>
            </w:r>
          </w:p>
        </w:tc>
        <w:tc>
          <w:tcPr>
            <w:tcW w:w="11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1.6</w:t>
            </w:r>
          </w:p>
        </w:tc>
        <w:tc>
          <w:tcPr>
            <w:tcW w:w="108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J</w:t>
            </w:r>
            <w:r>
              <w:rPr>
                <w:rFonts w:hint="eastAsia" w:ascii="Times New Roman" w:eastAsia="Times New Roman" w:cs="Times New Roman"/>
                <w:sz w:val="21"/>
                <w:szCs w:val="21"/>
                <w:vertAlign w:val="subscript"/>
                <w:lang w:bidi="ar"/>
              </w:rPr>
              <w:t>3</w:t>
            </w:r>
            <w:r>
              <w:rPr>
                <w:rFonts w:hint="eastAsia" w:ascii="Times New Roman" w:eastAsia="Times New Roman" w:cs="Times New Roman"/>
                <w:sz w:val="21"/>
                <w:szCs w:val="21"/>
                <w:lang w:bidi="ar"/>
              </w:rPr>
              <w:t>sn</w:t>
            </w:r>
          </w:p>
        </w:tc>
        <w:tc>
          <w:tcPr>
            <w:tcW w:w="13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NE</w:t>
            </w:r>
          </w:p>
        </w:tc>
        <w:tc>
          <w:tcPr>
            <w:tcW w:w="107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 xml:space="preserve">1367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8"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14</w:t>
            </w:r>
          </w:p>
        </w:tc>
        <w:tc>
          <w:tcPr>
            <w:tcW w:w="749"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S14</w:t>
            </w:r>
          </w:p>
        </w:tc>
        <w:tc>
          <w:tcPr>
            <w:tcW w:w="1501"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107.7948927</w:t>
            </w:r>
          </w:p>
        </w:tc>
        <w:tc>
          <w:tcPr>
            <w:tcW w:w="157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31.55116484</w:t>
            </w:r>
          </w:p>
        </w:tc>
        <w:tc>
          <w:tcPr>
            <w:tcW w:w="82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浅井</w:t>
            </w:r>
          </w:p>
        </w:tc>
        <w:tc>
          <w:tcPr>
            <w:tcW w:w="93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2</w:t>
            </w:r>
            <w:r>
              <w:rPr>
                <w:rFonts w:ascii="Times New Roman" w:eastAsia="Times New Roman" w:cs="Times New Roman"/>
                <w:sz w:val="21"/>
                <w:szCs w:val="21"/>
                <w:lang w:bidi="ar"/>
              </w:rPr>
              <w:t>431</w:t>
            </w:r>
          </w:p>
        </w:tc>
        <w:tc>
          <w:tcPr>
            <w:tcW w:w="8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7</w:t>
            </w:r>
          </w:p>
        </w:tc>
        <w:tc>
          <w:tcPr>
            <w:tcW w:w="108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3</w:t>
            </w:r>
          </w:p>
        </w:tc>
        <w:tc>
          <w:tcPr>
            <w:tcW w:w="1475"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2</w:t>
            </w:r>
            <w:r>
              <w:rPr>
                <w:rFonts w:ascii="Times New Roman" w:eastAsia="Times New Roman" w:cs="Times New Roman"/>
                <w:sz w:val="21"/>
                <w:szCs w:val="21"/>
                <w:lang w:bidi="ar"/>
              </w:rPr>
              <w:t>户</w:t>
            </w:r>
            <w:r>
              <w:rPr>
                <w:rFonts w:hint="eastAsia" w:ascii="Times New Roman" w:eastAsia="Times New Roman" w:cs="Times New Roman"/>
                <w:sz w:val="21"/>
                <w:szCs w:val="21"/>
                <w:lang w:bidi="ar"/>
              </w:rPr>
              <w:t>6</w:t>
            </w:r>
            <w:r>
              <w:rPr>
                <w:rFonts w:ascii="Times New Roman" w:eastAsia="Times New Roman" w:cs="Times New Roman"/>
                <w:sz w:val="21"/>
                <w:szCs w:val="21"/>
                <w:lang w:bidi="ar"/>
              </w:rPr>
              <w:t>人</w:t>
            </w:r>
          </w:p>
        </w:tc>
        <w:tc>
          <w:tcPr>
            <w:tcW w:w="11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ascii="Times New Roman" w:eastAsia="Times New Roman" w:cs="Times New Roman"/>
                <w:sz w:val="21"/>
                <w:szCs w:val="21"/>
                <w:lang w:bidi="ar"/>
              </w:rPr>
              <w:t>1.5</w:t>
            </w:r>
          </w:p>
        </w:tc>
        <w:tc>
          <w:tcPr>
            <w:tcW w:w="108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J</w:t>
            </w:r>
            <w:r>
              <w:rPr>
                <w:rFonts w:hint="eastAsia" w:ascii="Times New Roman" w:eastAsia="Times New Roman" w:cs="Times New Roman"/>
                <w:sz w:val="21"/>
                <w:szCs w:val="21"/>
                <w:vertAlign w:val="subscript"/>
                <w:lang w:bidi="ar"/>
              </w:rPr>
              <w:t>3</w:t>
            </w:r>
            <w:r>
              <w:rPr>
                <w:rFonts w:hint="eastAsia" w:ascii="Times New Roman" w:eastAsia="Times New Roman" w:cs="Times New Roman"/>
                <w:sz w:val="21"/>
                <w:szCs w:val="21"/>
                <w:lang w:bidi="ar"/>
              </w:rPr>
              <w:t>sn</w:t>
            </w:r>
          </w:p>
        </w:tc>
        <w:tc>
          <w:tcPr>
            <w:tcW w:w="1363"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NE</w:t>
            </w:r>
          </w:p>
        </w:tc>
        <w:tc>
          <w:tcPr>
            <w:tcW w:w="1077" w:type="dxa"/>
            <w:tcBorders>
              <w:tl2br w:val="nil"/>
              <w:tr2bl w:val="nil"/>
            </w:tcBorders>
            <w:vAlign w:val="center"/>
          </w:tcPr>
          <w:p>
            <w:pPr>
              <w:widowControl/>
              <w:spacing w:line="240" w:lineRule="auto"/>
              <w:ind w:firstLine="0" w:firstLineChars="0"/>
              <w:jc w:val="center"/>
              <w:textAlignment w:val="center"/>
              <w:rPr>
                <w:rFonts w:ascii="Times New Roman" w:eastAsia="Times New Roman" w:cs="Times New Roman"/>
                <w:sz w:val="21"/>
                <w:szCs w:val="21"/>
                <w:lang w:bidi="ar"/>
              </w:rPr>
            </w:pPr>
            <w:r>
              <w:rPr>
                <w:rFonts w:hint="eastAsia" w:ascii="Times New Roman" w:eastAsia="Times New Roman" w:cs="Times New Roman"/>
                <w:sz w:val="21"/>
                <w:szCs w:val="21"/>
                <w:lang w:bidi="ar"/>
              </w:rPr>
              <w:t xml:space="preserve">2064 </w:t>
            </w:r>
          </w:p>
        </w:tc>
      </w:tr>
    </w:tbl>
    <w:p>
      <w:pPr>
        <w:spacing w:line="240" w:lineRule="auto"/>
        <w:ind w:firstLine="0" w:firstLineChars="0"/>
      </w:pPr>
    </w:p>
    <w:p>
      <w:pPr>
        <w:ind w:firstLine="480"/>
      </w:pPr>
    </w:p>
    <w:p>
      <w:pPr>
        <w:ind w:firstLine="480"/>
        <w:rPr>
          <w:rFonts w:ascii="Times New Roman" w:cs="Times New Roman"/>
        </w:rPr>
        <w:sectPr>
          <w:pgSz w:w="16838" w:h="11906" w:orient="landscape"/>
          <w:pgMar w:top="1440" w:right="1080" w:bottom="1440" w:left="1080" w:header="851" w:footer="992" w:gutter="0"/>
          <w:pgBorders>
            <w:top w:val="none" w:sz="0" w:space="0"/>
            <w:left w:val="none" w:sz="0" w:space="0"/>
            <w:bottom w:val="none" w:sz="0" w:space="0"/>
            <w:right w:val="none" w:sz="0" w:space="0"/>
          </w:pgBorders>
          <w:cols w:space="425" w:num="1"/>
          <w:docGrid w:type="lines" w:linePitch="326" w:charSpace="0"/>
        </w:sectPr>
      </w:pPr>
    </w:p>
    <w:p>
      <w:pPr>
        <w:keepNext/>
        <w:keepLines/>
        <w:spacing w:before="120"/>
        <w:ind w:firstLine="0" w:firstLineChars="0"/>
        <w:outlineLvl w:val="1"/>
        <w:rPr>
          <w:rFonts w:ascii="Times New Roman" w:cs="Times New Roman"/>
          <w:b/>
          <w:bCs/>
          <w:sz w:val="28"/>
          <w:szCs w:val="32"/>
        </w:rPr>
      </w:pPr>
      <w:bookmarkStart w:id="97" w:name="bookmark7"/>
      <w:bookmarkEnd w:id="97"/>
      <w:bookmarkStart w:id="98" w:name="_Toc14637"/>
      <w:r>
        <w:rPr>
          <w:rFonts w:ascii="Times New Roman" w:cs="Times New Roman"/>
          <w:b/>
          <w:bCs/>
          <w:sz w:val="28"/>
          <w:szCs w:val="32"/>
        </w:rPr>
        <w:t>1.10 评价方法和工作程序</w:t>
      </w:r>
      <w:bookmarkEnd w:id="83"/>
      <w:bookmarkEnd w:id="84"/>
      <w:bookmarkEnd w:id="98"/>
    </w:p>
    <w:p>
      <w:pPr>
        <w:keepNext/>
        <w:keepLines/>
        <w:ind w:firstLine="0" w:firstLineChars="0"/>
        <w:outlineLvl w:val="2"/>
        <w:rPr>
          <w:rFonts w:ascii="Times New Roman" w:cs="Times New Roman"/>
          <w:b/>
          <w:szCs w:val="32"/>
        </w:rPr>
      </w:pPr>
      <w:bookmarkStart w:id="99" w:name="_Toc19815945"/>
      <w:r>
        <w:rPr>
          <w:rFonts w:ascii="Times New Roman" w:cs="Times New Roman"/>
          <w:b/>
          <w:szCs w:val="32"/>
        </w:rPr>
        <w:t>1.10.1 评价方法</w:t>
      </w:r>
      <w:bookmarkEnd w:id="99"/>
    </w:p>
    <w:p>
      <w:pPr>
        <w:ind w:firstLine="480"/>
        <w:rPr>
          <w:rFonts w:ascii="Times New Roman" w:cs="Times New Roman"/>
        </w:rPr>
      </w:pPr>
      <w:r>
        <w:rPr>
          <w:rFonts w:ascii="Times New Roman" w:cs="Times New Roman"/>
        </w:rPr>
        <w:t>由于本项目主要为天然气钻井及试采工程，本次评价按“以点为主，点线结合，反馈全线”的方法开展工作。结合本项目环境特征和各评价要素的评价工作等级，有针对、有侧重的对环境要素进行监测与评价，通过类比调查，选择适当的模式和参数，定量或定性的分析项目施工期间和投产后对周围环境的影响，以及事故状况下的影响，针对评价结论反映出的主要问题，结合国内外现有方法提出预防、恢复和缓解措施。结合工程附近各城镇发展规划、环境功能区划、环境保护规划、生态保护规划和土地利用规划等，论述管线路由走向的可行性。最后综合分析各章节评价结论，给出该项目建设的环境可行性结论。</w:t>
      </w:r>
    </w:p>
    <w:p>
      <w:pPr>
        <w:ind w:firstLine="480"/>
        <w:rPr>
          <w:rFonts w:ascii="Times New Roman" w:cs="Times New Roman"/>
        </w:rPr>
      </w:pPr>
      <w:r>
        <w:rPr>
          <w:rFonts w:ascii="Times New Roman" w:cs="Times New Roman"/>
        </w:rPr>
        <w:t>1、生态环境：采用资料收集+现场调查、GPS定位相结合的方法；</w:t>
      </w:r>
    </w:p>
    <w:p>
      <w:pPr>
        <w:ind w:firstLine="480"/>
        <w:rPr>
          <w:rFonts w:ascii="Times New Roman" w:cs="Times New Roman"/>
        </w:rPr>
      </w:pPr>
      <w:r>
        <w:rPr>
          <w:rFonts w:ascii="Times New Roman" w:cs="Times New Roman"/>
        </w:rPr>
        <w:t>2、地表水环境：采用现场调查及现状监测、资料收集相结合的方法；</w:t>
      </w:r>
    </w:p>
    <w:p>
      <w:pPr>
        <w:ind w:firstLine="480"/>
        <w:rPr>
          <w:rFonts w:ascii="Times New Roman" w:cs="Times New Roman"/>
        </w:rPr>
      </w:pPr>
      <w:r>
        <w:rPr>
          <w:rFonts w:ascii="Times New Roman" w:cs="Times New Roman"/>
        </w:rPr>
        <w:t>3、声环境：主要采用现场调查及现状监测、资料收集相结合的方法；</w:t>
      </w:r>
    </w:p>
    <w:p>
      <w:pPr>
        <w:ind w:firstLine="480"/>
        <w:rPr>
          <w:rFonts w:ascii="Times New Roman" w:cs="Times New Roman"/>
        </w:rPr>
      </w:pPr>
      <w:r>
        <w:rPr>
          <w:rFonts w:ascii="Times New Roman" w:cs="Times New Roman"/>
        </w:rPr>
        <w:t>4、大气环境：主要采用现场调查及现状监测、资料收集相结合的方法；</w:t>
      </w:r>
    </w:p>
    <w:p>
      <w:pPr>
        <w:ind w:firstLine="480"/>
        <w:rPr>
          <w:rFonts w:ascii="Times New Roman" w:cs="Times New Roman"/>
        </w:rPr>
      </w:pPr>
      <w:r>
        <w:rPr>
          <w:rFonts w:ascii="Times New Roman" w:cs="Times New Roman"/>
        </w:rPr>
        <w:t>5、土壤环境：采用现场调查及现状监测、资料收集相结合的方法；</w:t>
      </w:r>
    </w:p>
    <w:p>
      <w:pPr>
        <w:ind w:firstLine="480"/>
        <w:rPr>
          <w:rFonts w:ascii="Times New Roman" w:cs="Times New Roman"/>
        </w:rPr>
      </w:pPr>
      <w:r>
        <w:rPr>
          <w:rFonts w:ascii="Times New Roman" w:cs="Times New Roman"/>
        </w:rPr>
        <w:t>6、地下水环境：采用现场调查和资料收集相结合的方法；</w:t>
      </w:r>
    </w:p>
    <w:p>
      <w:pPr>
        <w:ind w:firstLine="480"/>
        <w:rPr>
          <w:rFonts w:ascii="Times New Roman" w:cs="Times New Roman"/>
        </w:rPr>
      </w:pPr>
      <w:r>
        <w:rPr>
          <w:rFonts w:ascii="Times New Roman" w:cs="Times New Roman"/>
        </w:rPr>
        <w:t>7、环境风险：采用资料收集、同类项目类比调查和模式计算、概率风险分析相结合的方法。</w:t>
      </w:r>
    </w:p>
    <w:p>
      <w:pPr>
        <w:keepNext/>
        <w:keepLines/>
        <w:ind w:firstLine="0" w:firstLineChars="0"/>
        <w:outlineLvl w:val="2"/>
        <w:rPr>
          <w:rFonts w:ascii="Times New Roman" w:cs="Times New Roman"/>
          <w:b/>
          <w:szCs w:val="32"/>
        </w:rPr>
      </w:pPr>
      <w:bookmarkStart w:id="100" w:name="_Toc19815946"/>
      <w:r>
        <w:rPr>
          <w:rFonts w:ascii="Times New Roman" w:cs="Times New Roman"/>
          <w:b/>
          <w:szCs w:val="32"/>
        </w:rPr>
        <w:t>1.10.2 工作程序</w:t>
      </w:r>
      <w:bookmarkEnd w:id="100"/>
    </w:p>
    <w:p>
      <w:pPr>
        <w:ind w:firstLine="480"/>
        <w:rPr>
          <w:rFonts w:ascii="Times New Roman" w:cs="Times New Roman"/>
        </w:rPr>
      </w:pPr>
      <w:r>
        <w:rPr>
          <w:rFonts w:ascii="Times New Roman" w:cs="Times New Roman"/>
        </w:rPr>
        <w:t>本次评价工作程序主要分为三个阶段：</w:t>
      </w:r>
    </w:p>
    <w:p>
      <w:pPr>
        <w:ind w:firstLine="480"/>
        <w:rPr>
          <w:rFonts w:ascii="Times New Roman" w:cs="Times New Roman"/>
        </w:rPr>
      </w:pPr>
      <w:r>
        <w:rPr>
          <w:rFonts w:ascii="Times New Roman" w:cs="Times New Roman"/>
        </w:rPr>
        <w:t>1、前期准备阶段、调研和制定工作方案阶段；</w:t>
      </w:r>
    </w:p>
    <w:p>
      <w:pPr>
        <w:ind w:firstLine="480"/>
        <w:rPr>
          <w:rFonts w:ascii="Times New Roman" w:cs="Times New Roman"/>
        </w:rPr>
      </w:pPr>
      <w:r>
        <w:rPr>
          <w:rFonts w:ascii="Times New Roman" w:cs="Times New Roman"/>
        </w:rPr>
        <w:t>2、分析论证和预测评价阶段；</w:t>
      </w:r>
    </w:p>
    <w:p>
      <w:pPr>
        <w:ind w:firstLine="480"/>
        <w:rPr>
          <w:rFonts w:ascii="Times New Roman" w:cs="Times New Roman"/>
        </w:rPr>
      </w:pPr>
      <w:r>
        <w:rPr>
          <w:rFonts w:ascii="Times New Roman" w:cs="Times New Roman"/>
        </w:rPr>
        <w:t>3、环境影响评价文件编制阶段。</w:t>
      </w:r>
    </w:p>
    <w:p>
      <w:pPr>
        <w:ind w:firstLine="480"/>
        <w:jc w:val="left"/>
        <w:rPr>
          <w:rFonts w:ascii="Times New Roman" w:cs="Times New Roman"/>
        </w:rPr>
      </w:pPr>
      <w:r>
        <w:rPr>
          <w:rFonts w:ascii="Times New Roman" w:cs="Times New Roman"/>
        </w:rPr>
        <w:t>重庆后科环保有限责任公司编制的《普光气田P108井台钻井及试采工程环境影响报告书》呈报达州市宣汉生态环境局审查批复后，可作为工程建设环保设计的技术依据之一。具体评价程序见下图。</w:t>
      </w:r>
      <w:r>
        <w:rPr>
          <w:rFonts w:ascii="Times New Roman" w:cs="Times New Roman"/>
        </w:rPr>
        <w:drawing>
          <wp:inline distT="0" distB="0" distL="0" distR="0">
            <wp:extent cx="5273675" cy="5754370"/>
            <wp:effectExtent l="19050" t="0" r="3175" b="0"/>
            <wp:docPr id="5"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6"/>
                    <pic:cNvPicPr>
                      <a:picLocks noChangeAspect="1" noChangeArrowheads="1"/>
                    </pic:cNvPicPr>
                  </pic:nvPicPr>
                  <pic:blipFill>
                    <a:blip r:embed="rId47" cstate="print"/>
                    <a:srcRect/>
                    <a:stretch>
                      <a:fillRect/>
                    </a:stretch>
                  </pic:blipFill>
                  <pic:spPr>
                    <a:xfrm>
                      <a:off x="0" y="0"/>
                      <a:ext cx="5273675" cy="5754370"/>
                    </a:xfrm>
                    <a:prstGeom prst="rect">
                      <a:avLst/>
                    </a:prstGeom>
                    <a:noFill/>
                    <a:ln w="9525">
                      <a:noFill/>
                      <a:miter lim="800000"/>
                      <a:headEnd/>
                      <a:tailEnd/>
                    </a:ln>
                  </pic:spPr>
                </pic:pic>
              </a:graphicData>
            </a:graphic>
          </wp:inline>
        </w:drawing>
      </w:r>
    </w:p>
    <w:p>
      <w:pPr>
        <w:pStyle w:val="106"/>
        <w:rPr>
          <w:rFonts w:eastAsia="宋体"/>
        </w:rPr>
      </w:pPr>
      <w:r>
        <w:rPr>
          <w:rFonts w:eastAsia="宋体"/>
        </w:rPr>
        <w:t>图1.10-1  本项目环境影响评价工作程序图</w:t>
      </w:r>
    </w:p>
    <w:p>
      <w:pPr>
        <w:ind w:firstLine="480"/>
        <w:rPr>
          <w:rFonts w:asci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keepNext/>
        <w:keepLines/>
        <w:ind w:firstLine="0" w:firstLineChars="0"/>
        <w:jc w:val="left"/>
        <w:outlineLvl w:val="0"/>
        <w:rPr>
          <w:rFonts w:ascii="Times New Roman" w:cs="Times New Roman"/>
          <w:b/>
          <w:kern w:val="44"/>
          <w:sz w:val="32"/>
          <w:szCs w:val="44"/>
        </w:rPr>
      </w:pPr>
      <w:bookmarkStart w:id="101" w:name="_Toc7142"/>
      <w:r>
        <w:rPr>
          <w:rFonts w:ascii="Times New Roman" w:cs="Times New Roman"/>
          <w:b/>
          <w:kern w:val="44"/>
          <w:sz w:val="32"/>
          <w:szCs w:val="44"/>
        </w:rPr>
        <w:t>2 现有工程依托可行性分析</w:t>
      </w:r>
      <w:bookmarkEnd w:id="101"/>
    </w:p>
    <w:p>
      <w:pPr>
        <w:pStyle w:val="3"/>
        <w:spacing w:before="120"/>
        <w:rPr>
          <w:rFonts w:cs="Times New Roman"/>
        </w:rPr>
      </w:pPr>
      <w:bookmarkStart w:id="102" w:name="_Toc1377"/>
      <w:r>
        <w:rPr>
          <w:rFonts w:cs="Times New Roman"/>
        </w:rPr>
        <w:t>2.1 P108集气站现状及依托可行性</w:t>
      </w:r>
      <w:bookmarkEnd w:id="102"/>
    </w:p>
    <w:p>
      <w:pPr>
        <w:pStyle w:val="554"/>
        <w:ind w:firstLine="480"/>
        <w:rPr>
          <w:sz w:val="24"/>
          <w:szCs w:val="24"/>
        </w:rPr>
      </w:pPr>
      <w:r>
        <w:rPr>
          <w:rFonts w:hint="eastAsia"/>
          <w:sz w:val="24"/>
          <w:szCs w:val="24"/>
        </w:rPr>
        <w:t>（1）P108集气站现状</w:t>
      </w:r>
    </w:p>
    <w:p>
      <w:pPr>
        <w:pStyle w:val="554"/>
        <w:ind w:firstLine="480"/>
        <w:rPr>
          <w:sz w:val="24"/>
          <w:szCs w:val="24"/>
        </w:rPr>
      </w:pPr>
      <w:r>
        <w:rPr>
          <w:sz w:val="24"/>
          <w:szCs w:val="24"/>
        </w:rPr>
        <w:t>已建P108集气站于2019年建成投产，站内建有P108-1T井，目前生产井一口，</w:t>
      </w:r>
      <w:r>
        <w:rPr>
          <w:rFonts w:hint="eastAsia"/>
          <w:sz w:val="24"/>
          <w:szCs w:val="24"/>
        </w:rPr>
        <w:t>设计</w:t>
      </w:r>
      <w:r>
        <w:rPr>
          <w:sz w:val="24"/>
          <w:szCs w:val="24"/>
        </w:rPr>
        <w:t>产量45×10</w:t>
      </w:r>
      <w:r>
        <w:rPr>
          <w:sz w:val="24"/>
          <w:szCs w:val="24"/>
          <w:vertAlign w:val="superscript"/>
        </w:rPr>
        <w:t>4</w:t>
      </w:r>
      <w:r>
        <w:rPr>
          <w:sz w:val="24"/>
          <w:szCs w:val="24"/>
        </w:rPr>
        <w:t>m</w:t>
      </w:r>
      <w:r>
        <w:rPr>
          <w:sz w:val="24"/>
          <w:szCs w:val="24"/>
          <w:vertAlign w:val="superscript"/>
        </w:rPr>
        <w:t>3</w:t>
      </w:r>
      <w:r>
        <w:rPr>
          <w:sz w:val="24"/>
          <w:szCs w:val="24"/>
        </w:rPr>
        <w:t>/d。井口来气在站内进行分水分离、节流加热、计量后通过P108-1T至普光11#阀室采气管道输往1#酸气管线，最终输往普光净化厂处理并外输。</w:t>
      </w:r>
    </w:p>
    <w:p>
      <w:pPr>
        <w:pStyle w:val="554"/>
        <w:ind w:firstLine="480"/>
        <w:rPr>
          <w:sz w:val="24"/>
          <w:szCs w:val="24"/>
        </w:rPr>
      </w:pPr>
      <w:r>
        <w:rPr>
          <w:rFonts w:hint="eastAsia"/>
          <w:sz w:val="24"/>
          <w:szCs w:val="24"/>
          <w:lang w:val="en-US" w:eastAsia="zh-CN"/>
        </w:rPr>
        <w:t>根据建设单位提供资料</w:t>
      </w:r>
      <w:r>
        <w:rPr>
          <w:sz w:val="24"/>
          <w:szCs w:val="24"/>
        </w:rPr>
        <w:t>P108</w:t>
      </w:r>
      <w:r>
        <w:rPr>
          <w:rFonts w:hint="eastAsia"/>
          <w:sz w:val="24"/>
          <w:szCs w:val="24"/>
        </w:rPr>
        <w:t>-1T</w:t>
      </w:r>
      <w:r>
        <w:rPr>
          <w:sz w:val="24"/>
          <w:szCs w:val="24"/>
        </w:rPr>
        <w:t>设计配产规模为45×10</w:t>
      </w:r>
      <w:r>
        <w:rPr>
          <w:sz w:val="24"/>
          <w:szCs w:val="24"/>
          <w:vertAlign w:val="superscript"/>
        </w:rPr>
        <w:t>4</w:t>
      </w:r>
      <w:r>
        <w:rPr>
          <w:sz w:val="24"/>
          <w:szCs w:val="24"/>
        </w:rPr>
        <w:t>m</w:t>
      </w:r>
      <w:r>
        <w:rPr>
          <w:sz w:val="24"/>
          <w:szCs w:val="24"/>
          <w:vertAlign w:val="superscript"/>
        </w:rPr>
        <w:t>3</w:t>
      </w:r>
      <w:r>
        <w:rPr>
          <w:sz w:val="24"/>
          <w:szCs w:val="24"/>
        </w:rPr>
        <w:t>/d，</w:t>
      </w:r>
      <w:r>
        <w:rPr>
          <w:rFonts w:hint="eastAsia"/>
          <w:sz w:val="24"/>
          <w:szCs w:val="24"/>
          <w:lang w:val="en-US" w:eastAsia="zh-CN"/>
        </w:rPr>
        <w:t>实际建设中P108集气站建设规模为55×10</w:t>
      </w:r>
      <w:r>
        <w:rPr>
          <w:rFonts w:hint="eastAsia"/>
          <w:sz w:val="24"/>
          <w:szCs w:val="24"/>
          <w:vertAlign w:val="superscript"/>
          <w:lang w:val="en-US" w:eastAsia="zh-CN"/>
        </w:rPr>
        <w:t>4</w:t>
      </w:r>
      <w:r>
        <w:rPr>
          <w:rFonts w:hint="eastAsia"/>
          <w:sz w:val="24"/>
          <w:szCs w:val="24"/>
          <w:lang w:val="en-US" w:eastAsia="zh-CN"/>
        </w:rPr>
        <w:t>m</w:t>
      </w:r>
      <w:r>
        <w:rPr>
          <w:rFonts w:hint="eastAsia"/>
          <w:sz w:val="24"/>
          <w:szCs w:val="24"/>
          <w:vertAlign w:val="superscript"/>
          <w:lang w:val="en-US" w:eastAsia="zh-CN"/>
        </w:rPr>
        <w:t>3</w:t>
      </w:r>
      <w:r>
        <w:rPr>
          <w:rFonts w:hint="eastAsia"/>
          <w:sz w:val="24"/>
          <w:szCs w:val="24"/>
          <w:lang w:val="en-US" w:eastAsia="zh-CN"/>
        </w:rPr>
        <w:t>/d，</w:t>
      </w:r>
      <w:r>
        <w:rPr>
          <w:sz w:val="24"/>
          <w:szCs w:val="24"/>
        </w:rPr>
        <w:t>自建成试运行以来，最大日产15×10</w:t>
      </w:r>
      <w:r>
        <w:rPr>
          <w:sz w:val="24"/>
          <w:szCs w:val="24"/>
          <w:vertAlign w:val="superscript"/>
        </w:rPr>
        <w:t>4</w:t>
      </w:r>
      <w:r>
        <w:rPr>
          <w:sz w:val="24"/>
          <w:szCs w:val="24"/>
        </w:rPr>
        <w:t>m</w:t>
      </w:r>
      <w:r>
        <w:rPr>
          <w:sz w:val="24"/>
          <w:szCs w:val="24"/>
          <w:vertAlign w:val="superscript"/>
        </w:rPr>
        <w:t>3</w:t>
      </w:r>
      <w:r>
        <w:rPr>
          <w:sz w:val="24"/>
          <w:szCs w:val="24"/>
        </w:rPr>
        <w:t>/d，</w:t>
      </w:r>
      <w:r>
        <w:rPr>
          <w:rFonts w:hint="eastAsia"/>
          <w:sz w:val="24"/>
          <w:szCs w:val="24"/>
          <w:lang w:val="en-US" w:eastAsia="zh-CN"/>
        </w:rPr>
        <w:t>现阶段P108-1T井已间歇生产，</w:t>
      </w:r>
      <w:r>
        <w:rPr>
          <w:rFonts w:hint="eastAsia"/>
          <w:sz w:val="24"/>
          <w:szCs w:val="24"/>
        </w:rPr>
        <w:t>现</w:t>
      </w:r>
      <w:r>
        <w:rPr>
          <w:rFonts w:hint="eastAsia"/>
          <w:sz w:val="24"/>
          <w:szCs w:val="24"/>
          <w:lang w:val="en-US" w:eastAsia="zh-CN"/>
        </w:rPr>
        <w:t>阶段</w:t>
      </w:r>
      <w:r>
        <w:rPr>
          <w:rFonts w:hint="eastAsia"/>
          <w:sz w:val="24"/>
          <w:szCs w:val="24"/>
        </w:rPr>
        <w:t>产量为</w:t>
      </w:r>
      <w:r>
        <w:rPr>
          <w:rFonts w:hint="eastAsia"/>
          <w:sz w:val="24"/>
          <w:szCs w:val="24"/>
          <w:lang w:val="en-US" w:eastAsia="zh-CN"/>
        </w:rPr>
        <w:t>8</w:t>
      </w:r>
      <w:r>
        <w:rPr>
          <w:rFonts w:hint="eastAsia"/>
          <w:sz w:val="24"/>
          <w:szCs w:val="24"/>
        </w:rPr>
        <w:t>×10</w:t>
      </w:r>
      <w:r>
        <w:rPr>
          <w:rFonts w:hint="eastAsia"/>
          <w:sz w:val="24"/>
          <w:szCs w:val="24"/>
          <w:vertAlign w:val="superscript"/>
        </w:rPr>
        <w:t>4</w:t>
      </w:r>
      <w:r>
        <w:rPr>
          <w:rFonts w:hint="eastAsia"/>
          <w:sz w:val="24"/>
          <w:szCs w:val="24"/>
        </w:rPr>
        <w:t>m</w:t>
      </w:r>
      <w:r>
        <w:rPr>
          <w:rFonts w:hint="eastAsia"/>
          <w:sz w:val="24"/>
          <w:szCs w:val="24"/>
          <w:vertAlign w:val="superscript"/>
        </w:rPr>
        <w:t>3</w:t>
      </w:r>
      <w:r>
        <w:rPr>
          <w:rFonts w:hint="eastAsia"/>
          <w:sz w:val="24"/>
          <w:szCs w:val="24"/>
        </w:rPr>
        <w:t>/d</w:t>
      </w:r>
      <w:r>
        <w:rPr>
          <w:rFonts w:hint="eastAsia"/>
          <w:sz w:val="24"/>
          <w:szCs w:val="24"/>
          <w:lang w:eastAsia="zh-CN"/>
        </w:rPr>
        <w:t>，</w:t>
      </w:r>
      <w:r>
        <w:rPr>
          <w:rFonts w:hint="eastAsia"/>
          <w:sz w:val="24"/>
          <w:szCs w:val="24"/>
          <w:lang w:val="en-US" w:eastAsia="zh-CN"/>
        </w:rPr>
        <w:t>且因此目前P108集气站富余47×10</w:t>
      </w:r>
      <w:r>
        <w:rPr>
          <w:rFonts w:hint="eastAsia"/>
          <w:sz w:val="24"/>
          <w:szCs w:val="24"/>
          <w:vertAlign w:val="superscript"/>
          <w:lang w:val="en-US" w:eastAsia="zh-CN"/>
        </w:rPr>
        <w:t>4</w:t>
      </w:r>
      <w:r>
        <w:rPr>
          <w:rFonts w:hint="eastAsia"/>
          <w:sz w:val="24"/>
          <w:szCs w:val="24"/>
          <w:lang w:val="en-US" w:eastAsia="zh-CN"/>
        </w:rPr>
        <w:t>m</w:t>
      </w:r>
      <w:r>
        <w:rPr>
          <w:rFonts w:hint="eastAsia"/>
          <w:sz w:val="24"/>
          <w:szCs w:val="24"/>
          <w:vertAlign w:val="superscript"/>
          <w:lang w:val="en-US" w:eastAsia="zh-CN"/>
        </w:rPr>
        <w:t>3</w:t>
      </w:r>
      <w:r>
        <w:rPr>
          <w:rFonts w:hint="eastAsia"/>
          <w:sz w:val="24"/>
          <w:szCs w:val="24"/>
          <w:lang w:val="en-US" w:eastAsia="zh-CN"/>
        </w:rPr>
        <w:t>/d处理规模，P108-2H、P108-3钻井完成后</w:t>
      </w:r>
      <w:r>
        <w:rPr>
          <w:rFonts w:hint="eastAsia"/>
          <w:sz w:val="24"/>
          <w:szCs w:val="24"/>
        </w:rPr>
        <w:t>同时本项目将新建</w:t>
      </w:r>
      <w:r>
        <w:rPr>
          <w:rFonts w:hint="eastAsia"/>
          <w:sz w:val="24"/>
          <w:szCs w:val="24"/>
          <w:lang w:val="en-US" w:eastAsia="zh-CN"/>
        </w:rPr>
        <w:t>部分集气站内</w:t>
      </w:r>
      <w:r>
        <w:rPr>
          <w:rFonts w:hint="eastAsia"/>
          <w:sz w:val="24"/>
          <w:szCs w:val="24"/>
        </w:rPr>
        <w:t>流程，</w:t>
      </w:r>
      <w:r>
        <w:rPr>
          <w:sz w:val="24"/>
          <w:szCs w:val="24"/>
        </w:rPr>
        <w:t>满足P108-2H、P108-3井的接入其已建流程使用需求。经过天然气节流降压计算和防止水合物生成计算，可以经采气树节流、加热炉节流两级节流至外输压力。</w:t>
      </w:r>
    </w:p>
    <w:p>
      <w:pPr>
        <w:pStyle w:val="554"/>
        <w:ind w:firstLine="480"/>
        <w:rPr>
          <w:sz w:val="24"/>
          <w:szCs w:val="24"/>
        </w:rPr>
      </w:pPr>
      <w:r>
        <w:rPr>
          <w:rFonts w:hint="eastAsia"/>
          <w:sz w:val="24"/>
          <w:szCs w:val="24"/>
        </w:rPr>
        <w:t>（2）依托输气管线现状</w:t>
      </w:r>
    </w:p>
    <w:p>
      <w:pPr>
        <w:pStyle w:val="554"/>
        <w:ind w:firstLine="480"/>
        <w:rPr>
          <w:sz w:val="24"/>
          <w:szCs w:val="24"/>
        </w:rPr>
      </w:pPr>
      <w:r>
        <w:rPr>
          <w:rFonts w:hint="eastAsia"/>
          <w:sz w:val="24"/>
          <w:szCs w:val="24"/>
        </w:rPr>
        <w:t>P108-1T井站至11#阀室已建设0.2km长DN150 Φ168.3×（10+3）mm</w:t>
      </w:r>
      <w:r>
        <w:rPr>
          <w:rFonts w:hint="eastAsia"/>
          <w:sz w:val="24"/>
          <w:szCs w:val="24"/>
          <w:lang w:eastAsia="zh-CN"/>
        </w:rPr>
        <w:t>，</w:t>
      </w:r>
      <w:r>
        <w:rPr>
          <w:rFonts w:hint="eastAsia"/>
          <w:sz w:val="24"/>
          <w:szCs w:val="24"/>
          <w:lang w:val="en-US" w:eastAsia="zh-CN"/>
        </w:rPr>
        <w:t>采用</w:t>
      </w:r>
      <w:r>
        <w:rPr>
          <w:rFonts w:hint="eastAsia"/>
          <w:sz w:val="24"/>
          <w:szCs w:val="24"/>
          <w:lang w:eastAsia="zh-CN"/>
        </w:rPr>
        <w:t>镍基复合管。</w:t>
      </w:r>
      <w:r>
        <w:rPr>
          <w:rFonts w:hint="eastAsia"/>
          <w:sz w:val="24"/>
          <w:szCs w:val="24"/>
          <w:lang w:val="en-US" w:eastAsia="zh-CN"/>
        </w:rPr>
        <w:t>1#酸气管线设计输气规模为1100×10</w:t>
      </w:r>
      <w:r>
        <w:rPr>
          <w:rFonts w:hint="eastAsia"/>
          <w:sz w:val="24"/>
          <w:szCs w:val="24"/>
          <w:vertAlign w:val="superscript"/>
          <w:lang w:val="en-US" w:eastAsia="zh-CN"/>
        </w:rPr>
        <w:t>4</w:t>
      </w:r>
      <w:r>
        <w:rPr>
          <w:rFonts w:hint="eastAsia"/>
          <w:sz w:val="24"/>
          <w:szCs w:val="24"/>
          <w:lang w:val="en-US" w:eastAsia="zh-CN"/>
        </w:rPr>
        <w:t>m</w:t>
      </w:r>
      <w:r>
        <w:rPr>
          <w:rFonts w:hint="eastAsia"/>
          <w:sz w:val="24"/>
          <w:szCs w:val="24"/>
          <w:vertAlign w:val="superscript"/>
          <w:lang w:val="en-US" w:eastAsia="zh-CN"/>
        </w:rPr>
        <w:t>3</w:t>
      </w:r>
      <w:r>
        <w:rPr>
          <w:rFonts w:hint="eastAsia"/>
          <w:sz w:val="24"/>
          <w:szCs w:val="24"/>
          <w:lang w:val="en-US" w:eastAsia="zh-CN"/>
        </w:rPr>
        <w:t>/d，目前富余480×10</w:t>
      </w:r>
      <w:r>
        <w:rPr>
          <w:rFonts w:hint="eastAsia"/>
          <w:sz w:val="24"/>
          <w:szCs w:val="24"/>
          <w:vertAlign w:val="superscript"/>
          <w:lang w:val="en-US" w:eastAsia="zh-CN"/>
        </w:rPr>
        <w:t>4</w:t>
      </w:r>
      <w:r>
        <w:rPr>
          <w:rFonts w:hint="eastAsia"/>
          <w:sz w:val="24"/>
          <w:szCs w:val="24"/>
          <w:lang w:val="en-US" w:eastAsia="zh-CN"/>
        </w:rPr>
        <w:t>m</w:t>
      </w:r>
      <w:r>
        <w:rPr>
          <w:rFonts w:hint="eastAsia"/>
          <w:sz w:val="24"/>
          <w:szCs w:val="24"/>
          <w:vertAlign w:val="superscript"/>
          <w:lang w:val="en-US" w:eastAsia="zh-CN"/>
        </w:rPr>
        <w:t>3</w:t>
      </w:r>
      <w:r>
        <w:rPr>
          <w:rFonts w:hint="eastAsia"/>
          <w:sz w:val="24"/>
          <w:szCs w:val="24"/>
          <w:lang w:val="en-US" w:eastAsia="zh-CN"/>
        </w:rPr>
        <w:t>/d，本项目建成后总设计生产规模为50×10</w:t>
      </w:r>
      <w:r>
        <w:rPr>
          <w:rFonts w:hint="eastAsia"/>
          <w:sz w:val="24"/>
          <w:szCs w:val="24"/>
          <w:vertAlign w:val="superscript"/>
          <w:lang w:val="en-US" w:eastAsia="zh-CN"/>
        </w:rPr>
        <w:t>4</w:t>
      </w:r>
      <w:r>
        <w:rPr>
          <w:rFonts w:hint="eastAsia"/>
          <w:sz w:val="24"/>
          <w:szCs w:val="24"/>
          <w:lang w:val="en-US" w:eastAsia="zh-CN"/>
        </w:rPr>
        <w:t>m</w:t>
      </w:r>
      <w:r>
        <w:rPr>
          <w:rFonts w:hint="eastAsia"/>
          <w:sz w:val="24"/>
          <w:szCs w:val="24"/>
          <w:vertAlign w:val="superscript"/>
          <w:lang w:val="en-US" w:eastAsia="zh-CN"/>
        </w:rPr>
        <w:t>3</w:t>
      </w:r>
      <w:r>
        <w:rPr>
          <w:rFonts w:hint="eastAsia"/>
          <w:sz w:val="24"/>
          <w:szCs w:val="24"/>
          <w:lang w:val="en-US" w:eastAsia="zh-CN"/>
        </w:rPr>
        <w:t>/d，可依托现有1#酸气输气管线。</w:t>
      </w:r>
      <w:r>
        <w:rPr>
          <w:rFonts w:hint="eastAsia"/>
          <w:sz w:val="24"/>
          <w:szCs w:val="24"/>
        </w:rPr>
        <w:t>根据建设单位提供资料及现场调查，集气管线现状良好，本项目可依托现有管线。</w:t>
      </w:r>
    </w:p>
    <w:p>
      <w:pPr>
        <w:pStyle w:val="554"/>
        <w:ind w:firstLine="0" w:firstLineChars="0"/>
        <w:jc w:val="center"/>
        <w:rPr>
          <w:sz w:val="24"/>
          <w:szCs w:val="24"/>
        </w:rPr>
      </w:pPr>
      <w:r>
        <w:rPr>
          <w:sz w:val="24"/>
          <w:szCs w:val="24"/>
        </w:rPr>
        <w:drawing>
          <wp:inline distT="0" distB="0" distL="114300" distR="114300">
            <wp:extent cx="5573395" cy="4178300"/>
            <wp:effectExtent l="0" t="0" r="8255" b="12700"/>
            <wp:docPr id="6" name="图片 6" descr="5ed71e34d4a6488bbef10cddb2dad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ed71e34d4a6488bbef10cddb2dadf6"/>
                    <pic:cNvPicPr>
                      <a:picLocks noChangeAspect="1"/>
                    </pic:cNvPicPr>
                  </pic:nvPicPr>
                  <pic:blipFill>
                    <a:blip r:embed="rId48"/>
                    <a:stretch>
                      <a:fillRect/>
                    </a:stretch>
                  </pic:blipFill>
                  <pic:spPr>
                    <a:xfrm>
                      <a:off x="0" y="0"/>
                      <a:ext cx="5573395" cy="4178300"/>
                    </a:xfrm>
                    <a:prstGeom prst="rect">
                      <a:avLst/>
                    </a:prstGeom>
                  </pic:spPr>
                </pic:pic>
              </a:graphicData>
            </a:graphic>
          </wp:inline>
        </w:drawing>
      </w:r>
    </w:p>
    <w:p>
      <w:pPr>
        <w:pStyle w:val="554"/>
        <w:ind w:firstLine="482"/>
        <w:jc w:val="center"/>
        <w:rPr>
          <w:b/>
          <w:bCs/>
          <w:sz w:val="24"/>
          <w:szCs w:val="24"/>
        </w:rPr>
      </w:pPr>
      <w:r>
        <w:rPr>
          <w:b/>
          <w:bCs/>
          <w:sz w:val="24"/>
          <w:szCs w:val="24"/>
        </w:rPr>
        <w:t>图2.1-1 P108集气站现场照片</w:t>
      </w:r>
    </w:p>
    <w:p>
      <w:pPr>
        <w:pStyle w:val="554"/>
        <w:spacing w:line="240" w:lineRule="auto"/>
        <w:ind w:firstLine="0" w:firstLineChars="0"/>
        <w:jc w:val="center"/>
        <w:rPr>
          <w:b/>
          <w:bCs/>
          <w:sz w:val="24"/>
          <w:szCs w:val="24"/>
        </w:rPr>
      </w:pPr>
      <w:r>
        <w:rPr>
          <w:b/>
          <w:bCs/>
          <w:sz w:val="24"/>
          <w:szCs w:val="24"/>
        </w:rPr>
        <w:drawing>
          <wp:inline distT="0" distB="0" distL="114300" distR="114300">
            <wp:extent cx="5565775" cy="3756660"/>
            <wp:effectExtent l="0" t="0" r="15875" b="15240"/>
            <wp:docPr id="34" name="图片 34" descr="IMG_20230926_12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230926_123803"/>
                    <pic:cNvPicPr>
                      <a:picLocks noChangeAspect="1"/>
                    </pic:cNvPicPr>
                  </pic:nvPicPr>
                  <pic:blipFill>
                    <a:blip r:embed="rId49"/>
                    <a:stretch>
                      <a:fillRect/>
                    </a:stretch>
                  </pic:blipFill>
                  <pic:spPr>
                    <a:xfrm>
                      <a:off x="0" y="0"/>
                      <a:ext cx="5565775" cy="3756660"/>
                    </a:xfrm>
                    <a:prstGeom prst="rect">
                      <a:avLst/>
                    </a:prstGeom>
                  </pic:spPr>
                </pic:pic>
              </a:graphicData>
            </a:graphic>
          </wp:inline>
        </w:drawing>
      </w:r>
    </w:p>
    <w:p>
      <w:pPr>
        <w:pStyle w:val="554"/>
        <w:spacing w:line="240" w:lineRule="auto"/>
        <w:ind w:firstLine="0" w:firstLineChars="0"/>
        <w:jc w:val="center"/>
        <w:rPr>
          <w:b/>
          <w:bCs/>
          <w:sz w:val="24"/>
          <w:szCs w:val="24"/>
        </w:rPr>
      </w:pPr>
      <w:r>
        <w:rPr>
          <w:rFonts w:hint="eastAsia"/>
          <w:b/>
          <w:bCs/>
          <w:sz w:val="24"/>
          <w:szCs w:val="24"/>
        </w:rPr>
        <w:t>图2.1-2 11#阀室现场照片（外墙装修）</w:t>
      </w:r>
    </w:p>
    <w:p>
      <w:pPr>
        <w:pStyle w:val="3"/>
        <w:spacing w:before="120"/>
        <w:rPr>
          <w:rFonts w:cs="Times New Roman"/>
        </w:rPr>
      </w:pPr>
      <w:bookmarkStart w:id="103" w:name="_Toc31983"/>
      <w:r>
        <w:rPr>
          <w:rFonts w:cs="Times New Roman"/>
        </w:rPr>
        <w:t>2.2 P108集气站环保手续履行情况</w:t>
      </w:r>
      <w:bookmarkEnd w:id="103"/>
    </w:p>
    <w:p>
      <w:pPr>
        <w:pStyle w:val="554"/>
        <w:ind w:firstLine="480"/>
        <w:rPr>
          <w:bCs/>
          <w:sz w:val="24"/>
          <w:szCs w:val="24"/>
        </w:rPr>
      </w:pPr>
      <w:r>
        <w:rPr>
          <w:bCs/>
          <w:sz w:val="24"/>
          <w:szCs w:val="24"/>
        </w:rPr>
        <w:t>中国石油化工股份有限公司中原油田普光分公司于2017年6月委托胜利油田森诺胜利工程有限公司编制了《普光分公司P108-1T井产能建设项目环境影响报告书》，2017年07月17日，四川省环境保护厅以川环审批[2017]200号文下达了批复文件。2019年3月，中国石油化工股份有限公司中原油田普光分公司按照国家环境部第13号令《建设项目竣工环境保护验收暂行管理办法》的有关规定，委托中原油田分公司环保监测总站负责本项目竣工环境保护验收调查工作并完成竣工环境保护验收工作，项目环保手续齐全。</w:t>
      </w:r>
    </w:p>
    <w:p>
      <w:pPr>
        <w:pStyle w:val="3"/>
        <w:spacing w:before="120"/>
        <w:rPr>
          <w:rFonts w:cs="Times New Roman"/>
        </w:rPr>
      </w:pPr>
      <w:bookmarkStart w:id="104" w:name="_Toc32629"/>
      <w:r>
        <w:rPr>
          <w:rFonts w:cs="Times New Roman"/>
        </w:rPr>
        <w:t>2.3 P108集气站概况</w:t>
      </w:r>
      <w:bookmarkEnd w:id="104"/>
    </w:p>
    <w:p>
      <w:pPr>
        <w:pStyle w:val="554"/>
        <w:ind w:firstLine="480"/>
        <w:rPr>
          <w:bCs/>
          <w:sz w:val="24"/>
          <w:szCs w:val="24"/>
        </w:rPr>
      </w:pPr>
      <w:r>
        <w:rPr>
          <w:bCs/>
          <w:sz w:val="24"/>
          <w:szCs w:val="24"/>
        </w:rPr>
        <w:t>1、P108集气站概况</w:t>
      </w:r>
    </w:p>
    <w:p>
      <w:pPr>
        <w:pStyle w:val="114"/>
        <w:ind w:firstLine="480"/>
      </w:pPr>
      <w:r>
        <w:t>P108集气站位于达州市宣汉县普光镇</w:t>
      </w:r>
      <w:r>
        <w:rPr>
          <w:rFonts w:hint="eastAsia"/>
        </w:rPr>
        <w:t>塔娅村</w:t>
      </w:r>
      <w:r>
        <w:t>。站内含有1口P108-1T开发井，主要设备包括井口分离器1套、800kW水套加热炉1套、甲醇加注撬块1套、燃料气调压分配撬块1套、火炬分液罐1套，放空火炬1套（DN200H=100m），建设规模：</w:t>
      </w:r>
      <w:r>
        <w:rPr>
          <w:rFonts w:hint="eastAsia"/>
        </w:rPr>
        <w:t>P108-1T</w:t>
      </w:r>
      <w:r>
        <w:t>设计产气规模45×10</w:t>
      </w:r>
      <w:r>
        <w:rPr>
          <w:vertAlign w:val="superscript"/>
        </w:rPr>
        <w:t>4</w:t>
      </w:r>
      <w:r>
        <w:t>m</w:t>
      </w:r>
      <w:r>
        <w:rPr>
          <w:vertAlign w:val="superscript"/>
        </w:rPr>
        <w:t>3</w:t>
      </w:r>
      <w:r>
        <w:t>/d。P108-1T为标准的单井站，配套自控、通信、电力、结构等工程。P108-1T生产天然气经井场至11#阀室酸气管线后汇入1#集气干线；同沟敷设来自11#阀室经集气总站返输的DN50燃料气管道。</w:t>
      </w:r>
    </w:p>
    <w:p>
      <w:pPr>
        <w:pStyle w:val="114"/>
        <w:ind w:firstLine="480"/>
      </w:pPr>
      <w:r>
        <w:t>2、原有环境问题</w:t>
      </w:r>
    </w:p>
    <w:p>
      <w:pPr>
        <w:pStyle w:val="114"/>
        <w:ind w:firstLine="480"/>
      </w:pPr>
      <w:r>
        <w:t>（1）废气</w:t>
      </w:r>
    </w:p>
    <w:p>
      <w:pPr>
        <w:pStyle w:val="114"/>
        <w:ind w:firstLine="480"/>
      </w:pPr>
      <w:r>
        <w:t xml:space="preserve">目前P108集气站废气主要来自于事故/检修放空废气，通过放空立管点燃后高空排放，由于事故/检修概率较低，放空废气对周边环境影响较小；依托水套加热炉以净化后天然气为原料气，燃烧废气经水套炉自带排气筒排放，对环境影响小。 </w:t>
      </w:r>
    </w:p>
    <w:p>
      <w:pPr>
        <w:pStyle w:val="114"/>
        <w:ind w:firstLine="480"/>
      </w:pPr>
      <w:r>
        <w:t>（2）废水</w:t>
      </w:r>
    </w:p>
    <w:p>
      <w:pPr>
        <w:pStyle w:val="114"/>
        <w:ind w:firstLine="480"/>
      </w:pPr>
      <w:r>
        <w:t>P108集气站废水主要为分离气田水、生活污水。</w:t>
      </w:r>
    </w:p>
    <w:p>
      <w:pPr>
        <w:pStyle w:val="114"/>
        <w:ind w:firstLine="480"/>
      </w:pPr>
      <w:r>
        <w:t>值班人员生活废水经化粪池收集后，用作周边农肥，不外排。</w:t>
      </w:r>
    </w:p>
    <w:p>
      <w:pPr>
        <w:pStyle w:val="114"/>
        <w:ind w:firstLine="480"/>
      </w:pPr>
      <w:r>
        <w:t>计量分离气田水暂存于酸液缓冲罐，然后通过密闭罐车拉运至大湾403污水站处理达到《气田水回注方法》（SY/T 6596-2016）中注入水基本要求后管输至毛开1井回注站回注处理，不外排。</w:t>
      </w:r>
    </w:p>
    <w:p>
      <w:pPr>
        <w:pStyle w:val="114"/>
        <w:ind w:firstLine="480"/>
      </w:pPr>
      <w:r>
        <w:t>（3）噪声</w:t>
      </w:r>
    </w:p>
    <w:p>
      <w:pPr>
        <w:pStyle w:val="114"/>
        <w:ind w:firstLine="480"/>
      </w:pPr>
      <w:r>
        <w:t>P108集气站噪声主要来自于节流阀等设备噪声以及放空作业噪声，其中设备运行噪声达60-65dB（A），放空噪声达90dB（A）。由于放空管事故放空几率较小，对周围声环境影响较小。根据现状监测，P</w:t>
      </w:r>
      <w:r>
        <w:rPr>
          <w:rFonts w:hint="eastAsia"/>
        </w:rPr>
        <w:t>108</w:t>
      </w:r>
      <w:r>
        <w:t>集气站厂界噪声满足《工业企业厂界环境噪声排放标准》（GB12348-2008）中的2类标准。</w:t>
      </w:r>
    </w:p>
    <w:p>
      <w:pPr>
        <w:pStyle w:val="114"/>
        <w:ind w:firstLine="480"/>
      </w:pPr>
      <w:r>
        <w:t>（4）废油</w:t>
      </w:r>
    </w:p>
    <w:p>
      <w:pPr>
        <w:pStyle w:val="114"/>
        <w:ind w:firstLine="480"/>
      </w:pPr>
      <w:r>
        <w:t>P108集气站产生固废主要有清管、检修废渣和生活垃圾。场站清管废渣按1kg/次考虑，每年清管1次，主要为铁屑，每年产生清管废渣1kg/a；场站检修废渣按1kg/次考虑，每年检修1次，检修废渣主要为铁屑，每年产生检修废渣1kg/a，清管检修废渣主要为机械杂质等，运输至净化厂集中处置。</w:t>
      </w:r>
    </w:p>
    <w:p>
      <w:pPr>
        <w:pStyle w:val="114"/>
        <w:ind w:firstLine="480"/>
      </w:pPr>
      <w:r>
        <w:t>（5）生态环境</w:t>
      </w:r>
    </w:p>
    <w:p>
      <w:pPr>
        <w:pStyle w:val="114"/>
        <w:ind w:firstLine="480"/>
      </w:pPr>
      <w:r>
        <w:t>P</w:t>
      </w:r>
      <w:r>
        <w:rPr>
          <w:rFonts w:hint="eastAsia"/>
        </w:rPr>
        <w:t>108</w:t>
      </w:r>
      <w:r>
        <w:t>集气站井场表面铺设了碎石，有效防止了雨水冲刷；场地周围采取了条石挡墙、护坡措施，周边设置了排水沟和截水沟有效防止了水土流失</w:t>
      </w:r>
      <w:r>
        <w:rPr>
          <w:rFonts w:hint="eastAsia"/>
        </w:rPr>
        <w:t>。废水池及放喷池因考虑后续建设避免重复建设，因此未进行土地复垦。经现场调查，</w:t>
      </w:r>
      <w:r>
        <w:t>已对施工现场边坡及其他临时占地进行土地复垦和植被恢复，生态恢复情况较好。</w:t>
      </w:r>
    </w:p>
    <w:p>
      <w:pPr>
        <w:pStyle w:val="114"/>
        <w:ind w:firstLine="480"/>
      </w:pPr>
      <w:r>
        <w:t>3、原有环境问题</w:t>
      </w:r>
    </w:p>
    <w:p>
      <w:pPr>
        <w:pStyle w:val="114"/>
        <w:ind w:firstLine="480"/>
      </w:pPr>
      <w:r>
        <w:t>对照2017年07月17日四川省环境保护厅下达的“川环审批[2017]200号文”和根据现场调查，P108集气站在营运过程中严格落实了各项污染防治措施，未对周边环境造成明显影响，也未接到周边环保投诉，气田开发工程严格落实了“川环审批[2017]200号文”批复要求，P108集气站内部设置了地面硫化氢检测报警仪，各污染物均得到妥善处理，现场无环境遗留问题。</w:t>
      </w:r>
    </w:p>
    <w:p>
      <w:pPr>
        <w:pStyle w:val="3"/>
        <w:spacing w:before="120"/>
        <w:rPr>
          <w:rFonts w:cs="Times New Roman"/>
        </w:rPr>
      </w:pPr>
      <w:bookmarkStart w:id="105" w:name="_Toc27840"/>
      <w:r>
        <w:rPr>
          <w:rFonts w:cs="Times New Roman"/>
        </w:rPr>
        <w:t>2.4 现有环保工程依托可行性</w:t>
      </w:r>
      <w:bookmarkEnd w:id="105"/>
    </w:p>
    <w:p>
      <w:pPr>
        <w:pStyle w:val="114"/>
        <w:ind w:firstLine="480"/>
        <w:rPr>
          <w:bCs/>
          <w:szCs w:val="24"/>
        </w:rPr>
      </w:pPr>
      <w:r>
        <w:rPr>
          <w:rFonts w:hint="eastAsia"/>
          <w:bCs/>
          <w:szCs w:val="24"/>
        </w:rPr>
        <w:t>（1）钻井工程依托设施</w:t>
      </w:r>
    </w:p>
    <w:p>
      <w:pPr>
        <w:pStyle w:val="114"/>
        <w:ind w:firstLine="480"/>
        <w:rPr>
          <w:bCs/>
          <w:szCs w:val="24"/>
        </w:rPr>
      </w:pPr>
      <w:r>
        <w:rPr>
          <w:bCs/>
          <w:szCs w:val="24"/>
        </w:rPr>
        <w:t>本项目依托P</w:t>
      </w:r>
      <w:r>
        <w:rPr>
          <w:rFonts w:hint="eastAsia"/>
          <w:bCs/>
          <w:szCs w:val="24"/>
        </w:rPr>
        <w:t>108</w:t>
      </w:r>
      <w:r>
        <w:rPr>
          <w:bCs/>
          <w:szCs w:val="24"/>
        </w:rPr>
        <w:t>集气站</w:t>
      </w:r>
      <w:r>
        <w:rPr>
          <w:rFonts w:hint="eastAsia"/>
          <w:bCs/>
          <w:szCs w:val="24"/>
        </w:rPr>
        <w:t>的井场</w:t>
      </w:r>
      <w:r>
        <w:rPr>
          <w:bCs/>
          <w:szCs w:val="24"/>
        </w:rPr>
        <w:t>、</w:t>
      </w:r>
      <w:r>
        <w:rPr>
          <w:rFonts w:hint="eastAsia"/>
          <w:bCs/>
          <w:szCs w:val="24"/>
        </w:rPr>
        <w:t>进场道路，扩建井场及新建废水池</w:t>
      </w:r>
      <w:r>
        <w:rPr>
          <w:bCs/>
          <w:szCs w:val="24"/>
        </w:rPr>
        <w:t>等开展钻井工程。</w:t>
      </w:r>
    </w:p>
    <w:p>
      <w:pPr>
        <w:pStyle w:val="114"/>
        <w:ind w:firstLine="480"/>
        <w:rPr>
          <w:bCs/>
          <w:szCs w:val="24"/>
        </w:rPr>
      </w:pPr>
      <w:r>
        <w:rPr>
          <w:bCs/>
          <w:szCs w:val="24"/>
        </w:rPr>
        <w:t>P</w:t>
      </w:r>
      <w:r>
        <w:rPr>
          <w:rFonts w:hint="eastAsia"/>
          <w:bCs/>
          <w:szCs w:val="24"/>
        </w:rPr>
        <w:t>108</w:t>
      </w:r>
      <w:r>
        <w:rPr>
          <w:bCs/>
          <w:szCs w:val="24"/>
        </w:rPr>
        <w:t>集气站建设有2座放喷池，主放喷池位于井场外</w:t>
      </w:r>
      <w:r>
        <w:rPr>
          <w:rFonts w:hint="eastAsia"/>
          <w:bCs/>
          <w:szCs w:val="24"/>
        </w:rPr>
        <w:t>北侧</w:t>
      </w:r>
      <w:r>
        <w:rPr>
          <w:bCs/>
          <w:szCs w:val="24"/>
        </w:rPr>
        <w:t>，距离</w:t>
      </w:r>
      <w:r>
        <w:rPr>
          <w:rFonts w:hint="eastAsia"/>
          <w:bCs/>
          <w:szCs w:val="24"/>
        </w:rPr>
        <w:t>P108-2H</w:t>
      </w:r>
      <w:r>
        <w:rPr>
          <w:bCs/>
          <w:szCs w:val="24"/>
        </w:rPr>
        <w:t>井口约1</w:t>
      </w:r>
      <w:r>
        <w:rPr>
          <w:rFonts w:hint="eastAsia"/>
          <w:bCs/>
          <w:szCs w:val="24"/>
        </w:rPr>
        <w:t>64</w:t>
      </w:r>
      <w:r>
        <w:rPr>
          <w:bCs/>
          <w:szCs w:val="24"/>
        </w:rPr>
        <w:t>m，副放喷池位于井场外南侧，距离</w:t>
      </w:r>
      <w:r>
        <w:rPr>
          <w:rFonts w:hint="eastAsia"/>
          <w:bCs/>
          <w:szCs w:val="24"/>
        </w:rPr>
        <w:t>P108-2H</w:t>
      </w:r>
      <w:r>
        <w:rPr>
          <w:bCs/>
          <w:szCs w:val="24"/>
        </w:rPr>
        <w:t>井口约1</w:t>
      </w:r>
      <w:r>
        <w:rPr>
          <w:rFonts w:hint="eastAsia"/>
          <w:bCs/>
          <w:szCs w:val="24"/>
        </w:rPr>
        <w:t>02</w:t>
      </w:r>
      <w:r>
        <w:rPr>
          <w:bCs/>
          <w:szCs w:val="24"/>
        </w:rPr>
        <w:t>m，放喷池容积均为300m</w:t>
      </w:r>
      <w:r>
        <w:rPr>
          <w:bCs/>
          <w:szCs w:val="24"/>
          <w:vertAlign w:val="superscript"/>
        </w:rPr>
        <w:t>3</w:t>
      </w:r>
      <w:r>
        <w:rPr>
          <w:bCs/>
          <w:szCs w:val="24"/>
        </w:rPr>
        <w:t>，现场调查时，池体完好，未发现渗漏情况，满足依托使用需求。</w:t>
      </w:r>
    </w:p>
    <w:p>
      <w:pPr>
        <w:pStyle w:val="114"/>
        <w:ind w:firstLine="480"/>
        <w:rPr>
          <w:bCs/>
          <w:szCs w:val="24"/>
        </w:rPr>
      </w:pPr>
      <w:r>
        <w:rPr>
          <w:rFonts w:hint="eastAsia"/>
          <w:bCs/>
          <w:szCs w:val="24"/>
        </w:rPr>
        <w:t>（2）</w:t>
      </w:r>
      <w:r>
        <w:rPr>
          <w:bCs/>
          <w:szCs w:val="24"/>
        </w:rPr>
        <w:t>试采期依托设施</w:t>
      </w:r>
    </w:p>
    <w:p>
      <w:pPr>
        <w:pStyle w:val="114"/>
        <w:ind w:firstLine="480"/>
        <w:rPr>
          <w:bCs/>
          <w:szCs w:val="24"/>
        </w:rPr>
      </w:pPr>
      <w:r>
        <w:rPr>
          <w:rFonts w:hint="eastAsia"/>
          <w:bCs/>
          <w:szCs w:val="24"/>
        </w:rPr>
        <w:t>P108-2H、P108-3</w:t>
      </w:r>
      <w:r>
        <w:rPr>
          <w:bCs/>
          <w:szCs w:val="24"/>
        </w:rPr>
        <w:t>井采出的含硫天然气经采气树一级节流后，进行二级节流，然后接入集气站内已建流程。</w:t>
      </w:r>
    </w:p>
    <w:p>
      <w:pPr>
        <w:pStyle w:val="114"/>
        <w:ind w:firstLine="480"/>
        <w:rPr>
          <w:bCs/>
          <w:szCs w:val="24"/>
        </w:rPr>
      </w:pPr>
      <w:r>
        <w:rPr>
          <w:bCs/>
          <w:szCs w:val="24"/>
        </w:rPr>
        <w:t>P</w:t>
      </w:r>
      <w:r>
        <w:rPr>
          <w:rFonts w:hint="eastAsia"/>
          <w:bCs/>
          <w:szCs w:val="24"/>
        </w:rPr>
        <w:t>108</w:t>
      </w:r>
      <w:r>
        <w:rPr>
          <w:bCs/>
          <w:szCs w:val="24"/>
        </w:rPr>
        <w:t>集气站已建临时分酸分液器、三级节流装置、二级加热水套炉、计量分离装置、放空系统等。来气分别经采气树一级节流，二级节流后，然后混合进行三级节流、两次加热，最后进入计量分离器进行气液分离，分离后的天然气通过已建流程进入普光</w:t>
      </w:r>
      <w:r>
        <w:rPr>
          <w:rFonts w:hint="eastAsia"/>
          <w:bCs/>
          <w:szCs w:val="24"/>
        </w:rPr>
        <w:t>1</w:t>
      </w:r>
      <w:r>
        <w:rPr>
          <w:bCs/>
          <w:szCs w:val="24"/>
        </w:rPr>
        <w:t>#集输干线。</w:t>
      </w:r>
    </w:p>
    <w:p>
      <w:pPr>
        <w:pStyle w:val="114"/>
        <w:ind w:firstLine="480"/>
        <w:rPr>
          <w:bCs/>
          <w:szCs w:val="24"/>
        </w:rPr>
      </w:pPr>
      <w:r>
        <w:rPr>
          <w:bCs/>
          <w:szCs w:val="24"/>
        </w:rPr>
        <w:t>计量分离器产生的气田水进入P</w:t>
      </w:r>
      <w:r>
        <w:rPr>
          <w:rFonts w:hint="eastAsia"/>
          <w:bCs/>
          <w:szCs w:val="24"/>
        </w:rPr>
        <w:t>108</w:t>
      </w:r>
      <w:r>
        <w:rPr>
          <w:bCs/>
          <w:szCs w:val="24"/>
        </w:rPr>
        <w:t>集气站已建酸液缓冲罐收集暂存，然后通过密闭罐车拉运至大湾403污水站处理达到《气田水回注方法》（SY/T6596-2016）中注入水基本要求后管输至毛开1井回注站回注处理，不外排。</w:t>
      </w:r>
    </w:p>
    <w:p>
      <w:pPr>
        <w:pStyle w:val="554"/>
        <w:ind w:firstLine="482"/>
        <w:rPr>
          <w:b/>
          <w:bCs/>
          <w:sz w:val="24"/>
          <w:szCs w:val="22"/>
        </w:rPr>
      </w:pPr>
      <w:r>
        <w:rPr>
          <w:b/>
          <w:bCs/>
          <w:sz w:val="24"/>
          <w:szCs w:val="22"/>
        </w:rPr>
        <w:t>（</w:t>
      </w:r>
      <w:r>
        <w:rPr>
          <w:rFonts w:hint="eastAsia"/>
          <w:b/>
          <w:bCs/>
          <w:sz w:val="24"/>
          <w:szCs w:val="22"/>
        </w:rPr>
        <w:t>3</w:t>
      </w:r>
      <w:r>
        <w:rPr>
          <w:b/>
          <w:bCs/>
          <w:sz w:val="24"/>
          <w:szCs w:val="22"/>
        </w:rPr>
        <w:t>）依托工程简介</w:t>
      </w:r>
    </w:p>
    <w:p>
      <w:pPr>
        <w:pStyle w:val="554"/>
        <w:ind w:firstLine="480"/>
        <w:rPr>
          <w:sz w:val="24"/>
          <w:szCs w:val="22"/>
        </w:rPr>
      </w:pPr>
      <w:bookmarkStart w:id="106" w:name="OLE_LINK75"/>
      <w:bookmarkStart w:id="107" w:name="OLE_LINK87"/>
      <w:r>
        <w:rPr>
          <w:sz w:val="24"/>
          <w:szCs w:val="22"/>
        </w:rPr>
        <w:t>本项目施工期钻井工程废水</w:t>
      </w:r>
      <w:bookmarkEnd w:id="106"/>
      <w:bookmarkEnd w:id="107"/>
      <w:r>
        <w:rPr>
          <w:sz w:val="24"/>
          <w:szCs w:val="22"/>
        </w:rPr>
        <w:t>经废水池收集后依托大湾403污水站和毛开1井回注站处理和回注；本项目试采期</w:t>
      </w:r>
      <w:r>
        <w:rPr>
          <w:rFonts w:hint="eastAsia"/>
          <w:sz w:val="24"/>
          <w:szCs w:val="22"/>
        </w:rPr>
        <w:t>产生的气田水经酸液缓冲罐收集</w:t>
      </w:r>
      <w:r>
        <w:rPr>
          <w:sz w:val="24"/>
          <w:szCs w:val="22"/>
        </w:rPr>
        <w:t>，然后通过密闭罐车拉运至大湾403污水站处理达到《气田水回注方法》（SY/T 6596-2016）中注入水基本要求后管输至毛开1井回注站回注处理，不外排。</w:t>
      </w:r>
    </w:p>
    <w:p>
      <w:pPr>
        <w:pStyle w:val="554"/>
        <w:ind w:firstLine="482"/>
        <w:rPr>
          <w:b/>
          <w:bCs/>
          <w:sz w:val="24"/>
          <w:szCs w:val="22"/>
        </w:rPr>
      </w:pPr>
      <w:r>
        <w:rPr>
          <w:b/>
          <w:bCs/>
          <w:sz w:val="24"/>
          <w:szCs w:val="22"/>
        </w:rPr>
        <w:t>（</w:t>
      </w:r>
      <w:r>
        <w:rPr>
          <w:rFonts w:hint="eastAsia"/>
          <w:b/>
          <w:bCs/>
          <w:sz w:val="24"/>
          <w:szCs w:val="22"/>
        </w:rPr>
        <w:t>4</w:t>
      </w:r>
      <w:r>
        <w:rPr>
          <w:b/>
          <w:bCs/>
          <w:sz w:val="24"/>
          <w:szCs w:val="22"/>
        </w:rPr>
        <w:t>）依托工程“三同时”情况</w:t>
      </w:r>
    </w:p>
    <w:p>
      <w:pPr>
        <w:pStyle w:val="554"/>
        <w:ind w:firstLine="480"/>
        <w:rPr>
          <w:sz w:val="24"/>
          <w:szCs w:val="22"/>
        </w:rPr>
      </w:pPr>
      <w:r>
        <w:rPr>
          <w:sz w:val="24"/>
          <w:szCs w:val="22"/>
        </w:rPr>
        <w:t>依托工程“三同时”情况详见</w:t>
      </w:r>
      <w:r>
        <w:fldChar w:fldCharType="begin"/>
      </w:r>
      <w:r>
        <w:instrText xml:space="preserve"> REF _Ref496034542 \h  \* MERGEFORMAT </w:instrText>
      </w:r>
      <w:r>
        <w:fldChar w:fldCharType="separate"/>
      </w:r>
      <w:r>
        <w:rPr>
          <w:sz w:val="24"/>
          <w:szCs w:val="22"/>
        </w:rPr>
        <w:t>表</w:t>
      </w:r>
      <w:r>
        <w:rPr>
          <w:sz w:val="24"/>
          <w:szCs w:val="22"/>
        </w:rPr>
        <w:fldChar w:fldCharType="end"/>
      </w:r>
      <w:r>
        <w:rPr>
          <w:sz w:val="24"/>
          <w:szCs w:val="22"/>
        </w:rPr>
        <w:t>。</w:t>
      </w:r>
    </w:p>
    <w:p>
      <w:pPr>
        <w:pStyle w:val="39"/>
        <w:rPr>
          <w:rFonts w:cs="Times New Roman"/>
        </w:rPr>
      </w:pPr>
      <w:bookmarkStart w:id="108" w:name="_Ref496034542"/>
      <w:r>
        <w:rPr>
          <w:rFonts w:cs="Times New Roman"/>
        </w:rPr>
        <w:t>表</w:t>
      </w:r>
      <w:bookmarkEnd w:id="108"/>
      <w:r>
        <w:rPr>
          <w:rFonts w:cs="Times New Roman"/>
        </w:rPr>
        <w:t>2.3-2  依托工程“三同时”情况一览表</w:t>
      </w:r>
    </w:p>
    <w:tbl>
      <w:tblPr>
        <w:tblStyle w:val="59"/>
        <w:tblW w:w="876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41"/>
        <w:gridCol w:w="1212"/>
        <w:gridCol w:w="3020"/>
        <w:gridCol w:w="1962"/>
        <w:gridCol w:w="22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4" w:hRule="atLeast"/>
          <w:tblHeader/>
          <w:jc w:val="center"/>
        </w:trPr>
        <w:tc>
          <w:tcPr>
            <w:tcW w:w="341" w:type="dxa"/>
            <w:vAlign w:val="center"/>
          </w:tcPr>
          <w:p>
            <w:pPr>
              <w:pStyle w:val="559"/>
              <w:rPr>
                <w:rFonts w:ascii="Times New Roman" w:hAnsi="Times New Roman"/>
                <w:b/>
                <w:bCs/>
              </w:rPr>
            </w:pPr>
            <w:r>
              <w:rPr>
                <w:rFonts w:ascii="Times New Roman" w:hAnsi="Times New Roman"/>
                <w:b/>
                <w:bCs/>
              </w:rPr>
              <w:t>序号</w:t>
            </w:r>
          </w:p>
        </w:tc>
        <w:tc>
          <w:tcPr>
            <w:tcW w:w="1212" w:type="dxa"/>
            <w:vAlign w:val="center"/>
          </w:tcPr>
          <w:p>
            <w:pPr>
              <w:pStyle w:val="559"/>
              <w:rPr>
                <w:rFonts w:ascii="Times New Roman" w:hAnsi="Times New Roman"/>
                <w:b/>
                <w:bCs/>
              </w:rPr>
            </w:pPr>
            <w:r>
              <w:rPr>
                <w:rFonts w:ascii="Times New Roman" w:hAnsi="Times New Roman"/>
                <w:b/>
                <w:bCs/>
              </w:rPr>
              <w:t>项目名称</w:t>
            </w:r>
          </w:p>
        </w:tc>
        <w:tc>
          <w:tcPr>
            <w:tcW w:w="3020" w:type="dxa"/>
            <w:vAlign w:val="center"/>
          </w:tcPr>
          <w:p>
            <w:pPr>
              <w:pStyle w:val="559"/>
              <w:rPr>
                <w:rFonts w:ascii="Times New Roman" w:hAnsi="Times New Roman"/>
                <w:b/>
                <w:bCs/>
              </w:rPr>
            </w:pPr>
            <w:r>
              <w:rPr>
                <w:rFonts w:ascii="Times New Roman" w:hAnsi="Times New Roman"/>
                <w:b/>
                <w:bCs/>
              </w:rPr>
              <w:t>工程内容</w:t>
            </w:r>
          </w:p>
        </w:tc>
        <w:tc>
          <w:tcPr>
            <w:tcW w:w="1962" w:type="dxa"/>
            <w:vAlign w:val="center"/>
          </w:tcPr>
          <w:p>
            <w:pPr>
              <w:pStyle w:val="559"/>
              <w:rPr>
                <w:rFonts w:ascii="Times New Roman" w:hAnsi="Times New Roman"/>
                <w:b/>
                <w:bCs/>
              </w:rPr>
            </w:pPr>
            <w:r>
              <w:rPr>
                <w:rFonts w:ascii="Times New Roman" w:hAnsi="Times New Roman"/>
                <w:b/>
                <w:bCs/>
              </w:rPr>
              <w:t>环评批复时间、文号及批复部门</w:t>
            </w:r>
          </w:p>
        </w:tc>
        <w:tc>
          <w:tcPr>
            <w:tcW w:w="2229" w:type="dxa"/>
            <w:vAlign w:val="center"/>
          </w:tcPr>
          <w:p>
            <w:pPr>
              <w:pStyle w:val="559"/>
              <w:rPr>
                <w:rFonts w:ascii="Times New Roman" w:hAnsi="Times New Roman"/>
                <w:b/>
                <w:bCs/>
              </w:rPr>
            </w:pPr>
            <w:r>
              <w:rPr>
                <w:rFonts w:ascii="Times New Roman" w:hAnsi="Times New Roman"/>
                <w:b/>
                <w:bCs/>
              </w:rPr>
              <w:t>竣工环保验收时间、文号及验收部门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75" w:hRule="atLeast"/>
          <w:jc w:val="center"/>
        </w:trPr>
        <w:tc>
          <w:tcPr>
            <w:tcW w:w="341" w:type="dxa"/>
            <w:vAlign w:val="center"/>
          </w:tcPr>
          <w:p>
            <w:pPr>
              <w:pStyle w:val="559"/>
              <w:rPr>
                <w:rFonts w:ascii="Times New Roman" w:hAnsi="Times New Roman"/>
              </w:rPr>
            </w:pPr>
            <w:r>
              <w:rPr>
                <w:rFonts w:ascii="Times New Roman" w:hAnsi="Times New Roman"/>
              </w:rPr>
              <w:t>1</w:t>
            </w:r>
          </w:p>
        </w:tc>
        <w:tc>
          <w:tcPr>
            <w:tcW w:w="1212" w:type="dxa"/>
            <w:vAlign w:val="center"/>
          </w:tcPr>
          <w:p>
            <w:pPr>
              <w:pStyle w:val="559"/>
              <w:rPr>
                <w:rFonts w:ascii="Times New Roman" w:hAnsi="Times New Roman"/>
              </w:rPr>
            </w:pPr>
            <w:r>
              <w:rPr>
                <w:rFonts w:ascii="Times New Roman" w:hAnsi="Times New Roman"/>
              </w:rPr>
              <w:t>大湾403污水站及回注站工程</w:t>
            </w:r>
          </w:p>
        </w:tc>
        <w:tc>
          <w:tcPr>
            <w:tcW w:w="3020" w:type="dxa"/>
            <w:vAlign w:val="center"/>
          </w:tcPr>
          <w:p>
            <w:pPr>
              <w:pStyle w:val="559"/>
              <w:rPr>
                <w:rFonts w:ascii="Times New Roman" w:hAnsi="Times New Roman"/>
              </w:rPr>
            </w:pPr>
            <w:r>
              <w:rPr>
                <w:rFonts w:ascii="Times New Roman" w:hAnsi="Times New Roman"/>
              </w:rPr>
              <w:t>大湾403污水站；</w:t>
            </w:r>
          </w:p>
          <w:p>
            <w:pPr>
              <w:pStyle w:val="559"/>
              <w:rPr>
                <w:rFonts w:ascii="Times New Roman" w:hAnsi="Times New Roman"/>
              </w:rPr>
            </w:pPr>
            <w:r>
              <w:rPr>
                <w:rFonts w:ascii="Times New Roman" w:hAnsi="Times New Roman"/>
              </w:rPr>
              <w:t>毛开1井回注站；</w:t>
            </w:r>
          </w:p>
          <w:p>
            <w:pPr>
              <w:pStyle w:val="559"/>
              <w:rPr>
                <w:rFonts w:ascii="Times New Roman" w:hAnsi="Times New Roman"/>
              </w:rPr>
            </w:pPr>
            <w:r>
              <w:rPr>
                <w:rFonts w:ascii="Times New Roman" w:hAnsi="Times New Roman"/>
              </w:rPr>
              <w:t>大湾403污水站至毛开1井回注站污水回注外输管线。</w:t>
            </w:r>
          </w:p>
        </w:tc>
        <w:tc>
          <w:tcPr>
            <w:tcW w:w="1962" w:type="dxa"/>
            <w:vAlign w:val="center"/>
          </w:tcPr>
          <w:p>
            <w:pPr>
              <w:pStyle w:val="559"/>
              <w:rPr>
                <w:rFonts w:ascii="Times New Roman" w:hAnsi="Times New Roman"/>
              </w:rPr>
            </w:pPr>
            <w:r>
              <w:rPr>
                <w:rFonts w:ascii="Times New Roman" w:hAnsi="Times New Roman"/>
              </w:rPr>
              <w:t>2011年8月9日，川环审批〔2011〕325号，四川省环境保护厅</w:t>
            </w:r>
          </w:p>
        </w:tc>
        <w:tc>
          <w:tcPr>
            <w:tcW w:w="2229" w:type="dxa"/>
            <w:vAlign w:val="center"/>
          </w:tcPr>
          <w:p>
            <w:pPr>
              <w:pStyle w:val="559"/>
              <w:rPr>
                <w:rFonts w:ascii="Times New Roman" w:hAnsi="Times New Roman"/>
              </w:rPr>
            </w:pPr>
            <w:r>
              <w:rPr>
                <w:rFonts w:ascii="Times New Roman" w:hAnsi="Times New Roman"/>
              </w:rPr>
              <w:t>2013年9月6日，川环验〔2013〕194号，四川省环境保护厅</w:t>
            </w:r>
          </w:p>
        </w:tc>
      </w:tr>
    </w:tbl>
    <w:p>
      <w:pPr>
        <w:pStyle w:val="114"/>
        <w:ind w:firstLine="482"/>
        <w:rPr>
          <w:b/>
          <w:bCs/>
        </w:rPr>
      </w:pPr>
      <w:r>
        <w:rPr>
          <w:b/>
          <w:bCs/>
        </w:rPr>
        <w:t>（3）大湾403污水站</w:t>
      </w:r>
    </w:p>
    <w:p>
      <w:pPr>
        <w:pStyle w:val="114"/>
        <w:ind w:firstLine="480"/>
      </w:pPr>
      <w:r>
        <w:rPr>
          <w:szCs w:val="22"/>
        </w:rPr>
        <w:t>本项目钻井工程废水</w:t>
      </w:r>
      <w:r>
        <w:t>的处理依托大湾403污水站，</w:t>
      </w:r>
      <w:r>
        <w:rPr>
          <w:szCs w:val="22"/>
        </w:rPr>
        <w:t>本项目钻井工程废水</w:t>
      </w:r>
      <w:r>
        <w:t>回注依托毛开1井回注站。大湾403污水站及毛开1井回注站已于2011年8月取得了四川省环境保护厅《关于大湾403污水站及回注站工程建设项目环境影响报告表的批复》（川环审批〔2011〕325号），并于2013年通过了四川省环境保护厅的验收，批复文号为川环验〔2013〕194号文。</w:t>
      </w:r>
    </w:p>
    <w:p>
      <w:pPr>
        <w:pStyle w:val="114"/>
        <w:ind w:firstLine="480"/>
      </w:pPr>
      <w:r>
        <w:t>大湾403污水站位于炉旺村东北，处理能力120m</w:t>
      </w:r>
      <w:r>
        <w:rPr>
          <w:vertAlign w:val="superscript"/>
        </w:rPr>
        <w:t>3</w:t>
      </w:r>
      <w:r>
        <w:t>/d，目前实际处理量为70~90m</w:t>
      </w:r>
      <w:r>
        <w:rPr>
          <w:vertAlign w:val="superscript"/>
        </w:rPr>
        <w:t>3</w:t>
      </w:r>
      <w:r>
        <w:t>/d，富余30～50m</w:t>
      </w:r>
      <w:r>
        <w:rPr>
          <w:vertAlign w:val="superscript"/>
        </w:rPr>
        <w:t>3</w:t>
      </w:r>
      <w:r>
        <w:t>/d。污水处理系统除硫工艺采用二氧化氯氧化工艺，主流程为：来水→压力两相污水接收及氧化罐→污水池→污水提升泵→双滤料过滤器→精细过滤器→缓冲罐→外输泵→外输管线。</w:t>
      </w:r>
    </w:p>
    <w:p>
      <w:pPr>
        <w:pStyle w:val="114"/>
        <w:ind w:firstLine="482"/>
        <w:rPr>
          <w:b/>
          <w:bCs/>
        </w:rPr>
      </w:pPr>
      <w:r>
        <w:rPr>
          <w:b/>
          <w:bCs/>
        </w:rPr>
        <w:t>（4）毛开1井污水回注站</w:t>
      </w:r>
    </w:p>
    <w:p>
      <w:pPr>
        <w:pStyle w:val="114"/>
        <w:ind w:firstLine="480"/>
      </w:pPr>
      <w:bookmarkStart w:id="109" w:name="OLE_LINK48"/>
      <w:bookmarkStart w:id="110" w:name="OLE_LINK47"/>
      <w:r>
        <w:t>毛开1井回注站位于达州市宣汉县普光镇雁口村6组旁，该井站回注层位为嘉陵江组（井段3680m～3790m）、雷口坡组（井段2235m～2350m），回注水量储集空间为226.77×10</w:t>
      </w:r>
      <w:r>
        <w:rPr>
          <w:vertAlign w:val="superscript"/>
        </w:rPr>
        <w:t>4</w:t>
      </w:r>
      <w:r>
        <w:t>m</w:t>
      </w:r>
      <w:r>
        <w:rPr>
          <w:vertAlign w:val="superscript"/>
        </w:rPr>
        <w:t>3</w:t>
      </w:r>
      <w:r>
        <w:t>，井口高压管线设计压力为37MPa，目前回注压力为28MPa，污水回注设计规模为120m</w:t>
      </w:r>
      <w:r>
        <w:rPr>
          <w:vertAlign w:val="superscript"/>
        </w:rPr>
        <w:t>3</w:t>
      </w:r>
      <w:r>
        <w:t>/d，目前回注量为70~90m</w:t>
      </w:r>
      <w:r>
        <w:rPr>
          <w:vertAlign w:val="superscript"/>
        </w:rPr>
        <w:t>3</w:t>
      </w:r>
      <w:r>
        <w:t>/d，已回注总量为</w:t>
      </w:r>
      <w:r>
        <w:rPr>
          <w:rFonts w:hint="eastAsia"/>
        </w:rPr>
        <w:t>2</w:t>
      </w:r>
      <w:r>
        <w:t>0×10</w:t>
      </w:r>
      <w:r>
        <w:rPr>
          <w:vertAlign w:val="superscript"/>
        </w:rPr>
        <w:t>4</w:t>
      </w:r>
      <w:r>
        <w:t>m</w:t>
      </w:r>
      <w:r>
        <w:rPr>
          <w:vertAlign w:val="superscript"/>
        </w:rPr>
        <w:t>3</w:t>
      </w:r>
      <w:r>
        <w:t>，</w:t>
      </w:r>
      <w:bookmarkEnd w:id="109"/>
      <w:bookmarkEnd w:id="110"/>
      <w:r>
        <w:t>剩余2</w:t>
      </w:r>
      <w:r>
        <w:rPr>
          <w:rFonts w:hint="eastAsia"/>
        </w:rPr>
        <w:t>0</w:t>
      </w:r>
      <w:r>
        <w:t>6.77×10</w:t>
      </w:r>
      <w:r>
        <w:rPr>
          <w:vertAlign w:val="superscript"/>
        </w:rPr>
        <w:t>4</w:t>
      </w:r>
      <w:r>
        <w:t>m</w:t>
      </w:r>
      <w:r>
        <w:rPr>
          <w:vertAlign w:val="superscript"/>
        </w:rPr>
        <w:t>3</w:t>
      </w:r>
      <w:r>
        <w:t>。</w:t>
      </w:r>
    </w:p>
    <w:p>
      <w:pPr>
        <w:pStyle w:val="114"/>
        <w:ind w:firstLine="480"/>
      </w:pPr>
      <w:r>
        <w:t>本项目污水站及回注站依托工程可行性见表2.3-3。</w:t>
      </w:r>
    </w:p>
    <w:p>
      <w:pPr>
        <w:pStyle w:val="39"/>
        <w:rPr>
          <w:rFonts w:cs="Times New Roman"/>
        </w:rPr>
      </w:pPr>
      <w:r>
        <w:rPr>
          <w:rFonts w:cs="Times New Roman"/>
        </w:rPr>
        <w:t>表2.3-3  本项目污水站及回注站依托可行性</w:t>
      </w:r>
    </w:p>
    <w:tbl>
      <w:tblPr>
        <w:tblStyle w:val="59"/>
        <w:tblW w:w="86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108"/>
        <w:gridCol w:w="1962"/>
        <w:gridCol w:w="1175"/>
        <w:gridCol w:w="1062"/>
        <w:gridCol w:w="1613"/>
        <w:gridCol w:w="8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atLeast"/>
          <w:tblHeader/>
          <w:jc w:val="center"/>
        </w:trPr>
        <w:tc>
          <w:tcPr>
            <w:tcW w:w="872" w:type="dxa"/>
            <w:vAlign w:val="center"/>
          </w:tcPr>
          <w:p>
            <w:pPr>
              <w:pStyle w:val="557"/>
              <w:rPr>
                <w:rFonts w:ascii="Times New Roman" w:hAnsi="Times New Roman"/>
                <w:b/>
                <w:bCs/>
              </w:rPr>
            </w:pPr>
            <w:r>
              <w:rPr>
                <w:rFonts w:ascii="Times New Roman" w:hAnsi="Times New Roman"/>
                <w:b/>
                <w:bCs/>
              </w:rPr>
              <w:t>依托工程名称</w:t>
            </w:r>
          </w:p>
        </w:tc>
        <w:tc>
          <w:tcPr>
            <w:tcW w:w="1108" w:type="dxa"/>
            <w:vAlign w:val="center"/>
          </w:tcPr>
          <w:p>
            <w:pPr>
              <w:pStyle w:val="557"/>
              <w:rPr>
                <w:rFonts w:ascii="Times New Roman" w:hAnsi="Times New Roman"/>
                <w:b/>
                <w:bCs/>
              </w:rPr>
            </w:pPr>
            <w:r>
              <w:rPr>
                <w:rFonts w:ascii="Times New Roman" w:hAnsi="Times New Roman"/>
                <w:b/>
                <w:bCs/>
              </w:rPr>
              <w:t>设计</w:t>
            </w:r>
          </w:p>
          <w:p>
            <w:pPr>
              <w:pStyle w:val="557"/>
              <w:rPr>
                <w:rFonts w:ascii="Times New Roman" w:hAnsi="Times New Roman"/>
                <w:b/>
                <w:bCs/>
              </w:rPr>
            </w:pPr>
            <w:r>
              <w:rPr>
                <w:rFonts w:ascii="Times New Roman" w:hAnsi="Times New Roman"/>
                <w:b/>
                <w:bCs/>
              </w:rPr>
              <w:t>规模（m</w:t>
            </w:r>
            <w:r>
              <w:rPr>
                <w:rFonts w:ascii="Times New Roman" w:hAnsi="Times New Roman"/>
                <w:b/>
                <w:bCs/>
                <w:vertAlign w:val="superscript"/>
              </w:rPr>
              <w:t>3</w:t>
            </w:r>
            <w:r>
              <w:rPr>
                <w:rFonts w:ascii="Times New Roman" w:hAnsi="Times New Roman"/>
                <w:b/>
                <w:bCs/>
              </w:rPr>
              <w:t>/d）</w:t>
            </w:r>
          </w:p>
        </w:tc>
        <w:tc>
          <w:tcPr>
            <w:tcW w:w="1962" w:type="dxa"/>
            <w:vAlign w:val="center"/>
          </w:tcPr>
          <w:p>
            <w:pPr>
              <w:pStyle w:val="557"/>
              <w:rPr>
                <w:rFonts w:ascii="Times New Roman" w:hAnsi="Times New Roman"/>
                <w:b/>
                <w:bCs/>
              </w:rPr>
            </w:pPr>
            <w:r>
              <w:rPr>
                <w:rFonts w:ascii="Times New Roman" w:hAnsi="Times New Roman"/>
                <w:b/>
                <w:bCs/>
              </w:rPr>
              <w:t>现处理规模</w:t>
            </w:r>
          </w:p>
          <w:p>
            <w:pPr>
              <w:pStyle w:val="557"/>
              <w:rPr>
                <w:rFonts w:ascii="Times New Roman" w:hAnsi="Times New Roman"/>
                <w:b/>
                <w:bCs/>
              </w:rPr>
            </w:pPr>
            <w:r>
              <w:rPr>
                <w:rFonts w:ascii="Times New Roman" w:hAnsi="Times New Roman"/>
                <w:b/>
                <w:bCs/>
              </w:rPr>
              <w:t>（m</w:t>
            </w:r>
            <w:r>
              <w:rPr>
                <w:rFonts w:ascii="Times New Roman" w:hAnsi="Times New Roman"/>
                <w:b/>
                <w:bCs/>
                <w:vertAlign w:val="superscript"/>
              </w:rPr>
              <w:t>3</w:t>
            </w:r>
            <w:r>
              <w:rPr>
                <w:rFonts w:ascii="Times New Roman" w:hAnsi="Times New Roman"/>
                <w:b/>
                <w:bCs/>
              </w:rPr>
              <w:t>/d）</w:t>
            </w:r>
          </w:p>
        </w:tc>
        <w:tc>
          <w:tcPr>
            <w:tcW w:w="1175" w:type="dxa"/>
            <w:vAlign w:val="center"/>
          </w:tcPr>
          <w:p>
            <w:pPr>
              <w:pStyle w:val="557"/>
              <w:rPr>
                <w:rFonts w:ascii="Times New Roman" w:hAnsi="Times New Roman"/>
                <w:b/>
                <w:bCs/>
              </w:rPr>
            </w:pPr>
            <w:r>
              <w:rPr>
                <w:rFonts w:ascii="Times New Roman" w:hAnsi="Times New Roman"/>
                <w:b/>
                <w:bCs/>
              </w:rPr>
              <w:t>在建项目处理量（m</w:t>
            </w:r>
            <w:r>
              <w:rPr>
                <w:rFonts w:ascii="Times New Roman" w:hAnsi="Times New Roman"/>
                <w:b/>
                <w:bCs/>
                <w:vertAlign w:val="superscript"/>
              </w:rPr>
              <w:t>3</w:t>
            </w:r>
            <w:r>
              <w:rPr>
                <w:rFonts w:ascii="Times New Roman" w:hAnsi="Times New Roman"/>
                <w:b/>
                <w:bCs/>
              </w:rPr>
              <w:t>/d）</w:t>
            </w:r>
          </w:p>
        </w:tc>
        <w:tc>
          <w:tcPr>
            <w:tcW w:w="1062" w:type="dxa"/>
            <w:vAlign w:val="center"/>
          </w:tcPr>
          <w:p>
            <w:pPr>
              <w:pStyle w:val="557"/>
              <w:rPr>
                <w:rFonts w:ascii="Times New Roman" w:hAnsi="Times New Roman"/>
                <w:b/>
                <w:bCs/>
              </w:rPr>
            </w:pPr>
            <w:r>
              <w:rPr>
                <w:rFonts w:ascii="Times New Roman" w:hAnsi="Times New Roman"/>
                <w:b/>
                <w:bCs/>
              </w:rPr>
              <w:t>富余</w:t>
            </w:r>
          </w:p>
          <w:p>
            <w:pPr>
              <w:pStyle w:val="557"/>
              <w:rPr>
                <w:rFonts w:ascii="Times New Roman" w:hAnsi="Times New Roman"/>
                <w:b/>
                <w:bCs/>
              </w:rPr>
            </w:pPr>
            <w:r>
              <w:rPr>
                <w:rFonts w:ascii="Times New Roman" w:hAnsi="Times New Roman"/>
                <w:b/>
                <w:bCs/>
              </w:rPr>
              <w:t>能力（m</w:t>
            </w:r>
            <w:r>
              <w:rPr>
                <w:rFonts w:ascii="Times New Roman" w:hAnsi="Times New Roman"/>
                <w:b/>
                <w:bCs/>
                <w:vertAlign w:val="superscript"/>
              </w:rPr>
              <w:t>3</w:t>
            </w:r>
            <w:r>
              <w:rPr>
                <w:rFonts w:ascii="Times New Roman" w:hAnsi="Times New Roman"/>
                <w:b/>
                <w:bCs/>
              </w:rPr>
              <w:t>/d）</w:t>
            </w:r>
          </w:p>
        </w:tc>
        <w:tc>
          <w:tcPr>
            <w:tcW w:w="1613" w:type="dxa"/>
            <w:vAlign w:val="center"/>
          </w:tcPr>
          <w:p>
            <w:pPr>
              <w:pStyle w:val="557"/>
              <w:rPr>
                <w:rFonts w:ascii="Times New Roman" w:hAnsi="Times New Roman"/>
                <w:b/>
                <w:bCs/>
              </w:rPr>
            </w:pPr>
            <w:r>
              <w:rPr>
                <w:rFonts w:ascii="Times New Roman" w:hAnsi="Times New Roman"/>
                <w:b/>
                <w:bCs/>
              </w:rPr>
              <w:t>本项目处理量（m</w:t>
            </w:r>
            <w:r>
              <w:rPr>
                <w:rFonts w:ascii="Times New Roman" w:hAnsi="Times New Roman"/>
                <w:b/>
                <w:bCs/>
                <w:vertAlign w:val="superscript"/>
              </w:rPr>
              <w:t>3</w:t>
            </w:r>
            <w:r>
              <w:rPr>
                <w:rFonts w:ascii="Times New Roman" w:hAnsi="Times New Roman"/>
                <w:b/>
                <w:bCs/>
              </w:rPr>
              <w:t>）</w:t>
            </w:r>
          </w:p>
        </w:tc>
        <w:tc>
          <w:tcPr>
            <w:tcW w:w="850" w:type="dxa"/>
            <w:vAlign w:val="center"/>
          </w:tcPr>
          <w:p>
            <w:pPr>
              <w:pStyle w:val="557"/>
              <w:rPr>
                <w:rFonts w:ascii="Times New Roman" w:hAnsi="Times New Roman"/>
                <w:b/>
                <w:bCs/>
              </w:rPr>
            </w:pPr>
            <w:r>
              <w:rPr>
                <w:rFonts w:ascii="Times New Roman" w:hAnsi="Times New Roman"/>
                <w:b/>
                <w:bCs/>
              </w:rPr>
              <w:t>是否可行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72" w:type="dxa"/>
            <w:vMerge w:val="restart"/>
            <w:vAlign w:val="center"/>
          </w:tcPr>
          <w:p>
            <w:pPr>
              <w:pStyle w:val="557"/>
              <w:rPr>
                <w:rFonts w:ascii="Times New Roman" w:hAnsi="Times New Roman"/>
              </w:rPr>
            </w:pPr>
            <w:r>
              <w:rPr>
                <w:rFonts w:ascii="Times New Roman" w:hAnsi="Times New Roman"/>
              </w:rPr>
              <w:t>大湾403污水站</w:t>
            </w:r>
          </w:p>
        </w:tc>
        <w:tc>
          <w:tcPr>
            <w:tcW w:w="1108" w:type="dxa"/>
            <w:vMerge w:val="restart"/>
            <w:vAlign w:val="center"/>
          </w:tcPr>
          <w:p>
            <w:pPr>
              <w:pStyle w:val="557"/>
              <w:rPr>
                <w:rFonts w:ascii="Times New Roman" w:hAnsi="Times New Roman"/>
              </w:rPr>
            </w:pPr>
            <w:r>
              <w:rPr>
                <w:rFonts w:ascii="Times New Roman" w:hAnsi="Times New Roman"/>
              </w:rPr>
              <w:t>120</w:t>
            </w:r>
          </w:p>
        </w:tc>
        <w:tc>
          <w:tcPr>
            <w:tcW w:w="1962" w:type="dxa"/>
            <w:vAlign w:val="center"/>
          </w:tcPr>
          <w:p>
            <w:pPr>
              <w:pStyle w:val="557"/>
              <w:rPr>
                <w:rFonts w:ascii="Times New Roman" w:hAnsi="Times New Roman"/>
              </w:rPr>
            </w:pPr>
            <w:r>
              <w:rPr>
                <w:rFonts w:ascii="Times New Roman" w:hAnsi="Times New Roman"/>
              </w:rPr>
              <w:t>M503集气站：15～20</w:t>
            </w:r>
          </w:p>
        </w:tc>
        <w:tc>
          <w:tcPr>
            <w:tcW w:w="1175" w:type="dxa"/>
            <w:vMerge w:val="restart"/>
            <w:vAlign w:val="center"/>
          </w:tcPr>
          <w:p>
            <w:pPr>
              <w:pStyle w:val="557"/>
              <w:rPr>
                <w:rFonts w:ascii="Times New Roman" w:hAnsi="Times New Roman"/>
              </w:rPr>
            </w:pPr>
            <w:r>
              <w:rPr>
                <w:rFonts w:ascii="Times New Roman" w:hAnsi="Times New Roman"/>
              </w:rPr>
              <w:t>0</w:t>
            </w:r>
          </w:p>
        </w:tc>
        <w:tc>
          <w:tcPr>
            <w:tcW w:w="1062" w:type="dxa"/>
            <w:vMerge w:val="restart"/>
            <w:vAlign w:val="center"/>
          </w:tcPr>
          <w:p>
            <w:pPr>
              <w:pStyle w:val="557"/>
              <w:rPr>
                <w:rFonts w:ascii="Times New Roman" w:hAnsi="Times New Roman"/>
              </w:rPr>
            </w:pPr>
            <w:r>
              <w:rPr>
                <w:rFonts w:ascii="Times New Roman" w:hAnsi="Times New Roman"/>
              </w:rPr>
              <w:t>30～50</w:t>
            </w:r>
          </w:p>
        </w:tc>
        <w:tc>
          <w:tcPr>
            <w:tcW w:w="1613" w:type="dxa"/>
            <w:vMerge w:val="restart"/>
            <w:vAlign w:val="center"/>
          </w:tcPr>
          <w:p>
            <w:pPr>
              <w:pStyle w:val="557"/>
              <w:rPr>
                <w:rFonts w:ascii="Times New Roman" w:hAnsi="Times New Roman"/>
              </w:rPr>
            </w:pPr>
            <w:r>
              <w:rPr>
                <w:rFonts w:ascii="Times New Roman" w:hAnsi="Times New Roman"/>
              </w:rPr>
              <w:t>施工期</w:t>
            </w:r>
            <w:r>
              <w:rPr>
                <w:rFonts w:hint="eastAsia" w:ascii="Times New Roman" w:hAnsi="Times New Roman"/>
              </w:rPr>
              <w:t>废水1121.8</w:t>
            </w:r>
            <w:r>
              <w:rPr>
                <w:rFonts w:ascii="Times New Roman" w:hAnsi="Times New Roman"/>
              </w:rPr>
              <w:t>m</w:t>
            </w:r>
            <w:r>
              <w:rPr>
                <w:rFonts w:ascii="Times New Roman" w:hAnsi="Times New Roman"/>
                <w:vertAlign w:val="superscript"/>
              </w:rPr>
              <w:t>3</w:t>
            </w:r>
            <w:r>
              <w:rPr>
                <w:rFonts w:ascii="Times New Roman" w:hAnsi="Times New Roman"/>
              </w:rPr>
              <w:t>，按处理量10m</w:t>
            </w:r>
            <w:r>
              <w:rPr>
                <w:rFonts w:ascii="Times New Roman" w:hAnsi="Times New Roman"/>
                <w:vertAlign w:val="superscript"/>
              </w:rPr>
              <w:t>3</w:t>
            </w:r>
            <w:r>
              <w:rPr>
                <w:rFonts w:ascii="Times New Roman" w:hAnsi="Times New Roman"/>
              </w:rPr>
              <w:t>/d，可</w:t>
            </w:r>
            <w:r>
              <w:rPr>
                <w:rFonts w:hint="eastAsia" w:ascii="Times New Roman" w:hAnsi="Times New Roman"/>
              </w:rPr>
              <w:t>113</w:t>
            </w:r>
            <w:r>
              <w:rPr>
                <w:rFonts w:ascii="Times New Roman" w:hAnsi="Times New Roman"/>
              </w:rPr>
              <w:t>d处理完成。项目试采期气田水产生量为</w:t>
            </w:r>
            <w:r>
              <w:rPr>
                <w:rFonts w:hint="eastAsia" w:ascii="Times New Roman" w:hAnsi="Times New Roman"/>
              </w:rPr>
              <w:t>2</w:t>
            </w:r>
            <w:r>
              <w:rPr>
                <w:rFonts w:ascii="Times New Roman" w:hAnsi="Times New Roman"/>
              </w:rPr>
              <w:t>m</w:t>
            </w:r>
            <w:r>
              <w:rPr>
                <w:rFonts w:ascii="Times New Roman" w:hAnsi="Times New Roman"/>
                <w:vertAlign w:val="superscript"/>
              </w:rPr>
              <w:t>3</w:t>
            </w:r>
            <w:r>
              <w:rPr>
                <w:rFonts w:ascii="Times New Roman" w:hAnsi="Times New Roman"/>
              </w:rPr>
              <w:t>/d，可1d处理完成。</w:t>
            </w:r>
          </w:p>
        </w:tc>
        <w:tc>
          <w:tcPr>
            <w:tcW w:w="850" w:type="dxa"/>
            <w:vMerge w:val="restart"/>
            <w:vAlign w:val="center"/>
          </w:tcPr>
          <w:p>
            <w:pPr>
              <w:pStyle w:val="557"/>
              <w:rPr>
                <w:rFonts w:ascii="Times New Roman" w:hAnsi="Times New Roman"/>
              </w:rPr>
            </w:pPr>
            <w:r>
              <w:rPr>
                <w:rFonts w:ascii="Times New Roman" w:hAnsi="Times New Roman"/>
              </w:rPr>
              <w:t>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72" w:type="dxa"/>
            <w:vMerge w:val="continue"/>
            <w:vAlign w:val="center"/>
          </w:tcPr>
          <w:p>
            <w:pPr>
              <w:pStyle w:val="557"/>
              <w:rPr>
                <w:rFonts w:ascii="Times New Roman" w:hAnsi="Times New Roman"/>
              </w:rPr>
            </w:pPr>
          </w:p>
        </w:tc>
        <w:tc>
          <w:tcPr>
            <w:tcW w:w="1108" w:type="dxa"/>
            <w:vMerge w:val="continue"/>
            <w:vAlign w:val="center"/>
          </w:tcPr>
          <w:p>
            <w:pPr>
              <w:pStyle w:val="557"/>
              <w:rPr>
                <w:rFonts w:ascii="Times New Roman" w:hAnsi="Times New Roman"/>
              </w:rPr>
            </w:pPr>
          </w:p>
        </w:tc>
        <w:tc>
          <w:tcPr>
            <w:tcW w:w="1962" w:type="dxa"/>
            <w:vAlign w:val="center"/>
          </w:tcPr>
          <w:p>
            <w:pPr>
              <w:pStyle w:val="557"/>
              <w:rPr>
                <w:rFonts w:ascii="Times New Roman" w:hAnsi="Times New Roman"/>
              </w:rPr>
            </w:pPr>
            <w:r>
              <w:rPr>
                <w:rFonts w:ascii="Times New Roman" w:hAnsi="Times New Roman"/>
              </w:rPr>
              <w:t>M502集气站：5</w:t>
            </w:r>
          </w:p>
        </w:tc>
        <w:tc>
          <w:tcPr>
            <w:tcW w:w="1175" w:type="dxa"/>
            <w:vMerge w:val="continue"/>
            <w:vAlign w:val="center"/>
          </w:tcPr>
          <w:p>
            <w:pPr>
              <w:pStyle w:val="557"/>
              <w:rPr>
                <w:rFonts w:ascii="Times New Roman" w:hAnsi="Times New Roman"/>
              </w:rPr>
            </w:pPr>
          </w:p>
        </w:tc>
        <w:tc>
          <w:tcPr>
            <w:tcW w:w="1062" w:type="dxa"/>
            <w:vMerge w:val="continue"/>
            <w:vAlign w:val="center"/>
          </w:tcPr>
          <w:p>
            <w:pPr>
              <w:pStyle w:val="557"/>
              <w:rPr>
                <w:rFonts w:ascii="Times New Roman" w:hAnsi="Times New Roman"/>
              </w:rPr>
            </w:pPr>
          </w:p>
        </w:tc>
        <w:tc>
          <w:tcPr>
            <w:tcW w:w="1613" w:type="dxa"/>
            <w:vMerge w:val="continue"/>
            <w:vAlign w:val="center"/>
          </w:tcPr>
          <w:p>
            <w:pPr>
              <w:pStyle w:val="557"/>
              <w:rPr>
                <w:rFonts w:ascii="Times New Roman" w:hAnsi="Times New Roman"/>
              </w:rPr>
            </w:pPr>
          </w:p>
        </w:tc>
        <w:tc>
          <w:tcPr>
            <w:tcW w:w="850" w:type="dxa"/>
            <w:vMerge w:val="continue"/>
            <w:vAlign w:val="center"/>
          </w:tcPr>
          <w:p>
            <w:pPr>
              <w:pStyle w:val="557"/>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72" w:type="dxa"/>
            <w:vMerge w:val="continue"/>
            <w:vAlign w:val="center"/>
          </w:tcPr>
          <w:p>
            <w:pPr>
              <w:pStyle w:val="557"/>
              <w:rPr>
                <w:rFonts w:ascii="Times New Roman" w:hAnsi="Times New Roman"/>
              </w:rPr>
            </w:pPr>
          </w:p>
        </w:tc>
        <w:tc>
          <w:tcPr>
            <w:tcW w:w="1108" w:type="dxa"/>
            <w:vMerge w:val="continue"/>
            <w:vAlign w:val="center"/>
          </w:tcPr>
          <w:p>
            <w:pPr>
              <w:pStyle w:val="557"/>
              <w:rPr>
                <w:rFonts w:ascii="Times New Roman" w:hAnsi="Times New Roman"/>
              </w:rPr>
            </w:pPr>
          </w:p>
        </w:tc>
        <w:tc>
          <w:tcPr>
            <w:tcW w:w="1962" w:type="dxa"/>
            <w:vAlign w:val="center"/>
          </w:tcPr>
          <w:p>
            <w:pPr>
              <w:pStyle w:val="557"/>
              <w:rPr>
                <w:rFonts w:ascii="Times New Roman" w:hAnsi="Times New Roman"/>
              </w:rPr>
            </w:pPr>
            <w:r>
              <w:rPr>
                <w:rFonts w:ascii="Times New Roman" w:hAnsi="Times New Roman"/>
              </w:rPr>
              <w:t>M501集气站：5～10</w:t>
            </w:r>
          </w:p>
        </w:tc>
        <w:tc>
          <w:tcPr>
            <w:tcW w:w="1175" w:type="dxa"/>
            <w:vMerge w:val="continue"/>
            <w:vAlign w:val="center"/>
          </w:tcPr>
          <w:p>
            <w:pPr>
              <w:pStyle w:val="557"/>
              <w:rPr>
                <w:rFonts w:ascii="Times New Roman" w:hAnsi="Times New Roman"/>
              </w:rPr>
            </w:pPr>
          </w:p>
        </w:tc>
        <w:tc>
          <w:tcPr>
            <w:tcW w:w="1062" w:type="dxa"/>
            <w:vMerge w:val="continue"/>
            <w:vAlign w:val="center"/>
          </w:tcPr>
          <w:p>
            <w:pPr>
              <w:pStyle w:val="557"/>
              <w:rPr>
                <w:rFonts w:ascii="Times New Roman" w:hAnsi="Times New Roman"/>
              </w:rPr>
            </w:pPr>
          </w:p>
        </w:tc>
        <w:tc>
          <w:tcPr>
            <w:tcW w:w="1613" w:type="dxa"/>
            <w:vMerge w:val="continue"/>
            <w:vAlign w:val="center"/>
          </w:tcPr>
          <w:p>
            <w:pPr>
              <w:pStyle w:val="557"/>
              <w:rPr>
                <w:rFonts w:ascii="Times New Roman" w:hAnsi="Times New Roman"/>
              </w:rPr>
            </w:pPr>
          </w:p>
        </w:tc>
        <w:tc>
          <w:tcPr>
            <w:tcW w:w="850" w:type="dxa"/>
            <w:vMerge w:val="continue"/>
            <w:vAlign w:val="center"/>
          </w:tcPr>
          <w:p>
            <w:pPr>
              <w:pStyle w:val="557"/>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72" w:type="dxa"/>
            <w:vMerge w:val="continue"/>
            <w:vAlign w:val="center"/>
          </w:tcPr>
          <w:p>
            <w:pPr>
              <w:pStyle w:val="557"/>
              <w:rPr>
                <w:rFonts w:ascii="Times New Roman" w:hAnsi="Times New Roman"/>
              </w:rPr>
            </w:pPr>
          </w:p>
        </w:tc>
        <w:tc>
          <w:tcPr>
            <w:tcW w:w="1108" w:type="dxa"/>
            <w:vMerge w:val="continue"/>
            <w:vAlign w:val="center"/>
          </w:tcPr>
          <w:p>
            <w:pPr>
              <w:pStyle w:val="557"/>
              <w:rPr>
                <w:rFonts w:ascii="Times New Roman" w:hAnsi="Times New Roman"/>
              </w:rPr>
            </w:pPr>
          </w:p>
        </w:tc>
        <w:tc>
          <w:tcPr>
            <w:tcW w:w="1962" w:type="dxa"/>
            <w:vAlign w:val="center"/>
          </w:tcPr>
          <w:p>
            <w:pPr>
              <w:pStyle w:val="557"/>
              <w:rPr>
                <w:rFonts w:ascii="Times New Roman" w:hAnsi="Times New Roman"/>
              </w:rPr>
            </w:pPr>
            <w:r>
              <w:rPr>
                <w:rFonts w:ascii="Times New Roman" w:hAnsi="Times New Roman"/>
              </w:rPr>
              <w:t>D405集气站：20～25</w:t>
            </w:r>
          </w:p>
        </w:tc>
        <w:tc>
          <w:tcPr>
            <w:tcW w:w="1175" w:type="dxa"/>
            <w:vMerge w:val="continue"/>
            <w:vAlign w:val="center"/>
          </w:tcPr>
          <w:p>
            <w:pPr>
              <w:pStyle w:val="557"/>
              <w:rPr>
                <w:rFonts w:ascii="Times New Roman" w:hAnsi="Times New Roman"/>
              </w:rPr>
            </w:pPr>
          </w:p>
        </w:tc>
        <w:tc>
          <w:tcPr>
            <w:tcW w:w="1062" w:type="dxa"/>
            <w:vMerge w:val="continue"/>
            <w:vAlign w:val="center"/>
          </w:tcPr>
          <w:p>
            <w:pPr>
              <w:pStyle w:val="557"/>
              <w:rPr>
                <w:rFonts w:ascii="Times New Roman" w:hAnsi="Times New Roman"/>
              </w:rPr>
            </w:pPr>
          </w:p>
        </w:tc>
        <w:tc>
          <w:tcPr>
            <w:tcW w:w="1613" w:type="dxa"/>
            <w:vMerge w:val="continue"/>
            <w:vAlign w:val="center"/>
          </w:tcPr>
          <w:p>
            <w:pPr>
              <w:pStyle w:val="557"/>
              <w:rPr>
                <w:rFonts w:ascii="Times New Roman" w:hAnsi="Times New Roman"/>
              </w:rPr>
            </w:pPr>
          </w:p>
        </w:tc>
        <w:tc>
          <w:tcPr>
            <w:tcW w:w="850" w:type="dxa"/>
            <w:vMerge w:val="continue"/>
            <w:vAlign w:val="center"/>
          </w:tcPr>
          <w:p>
            <w:pPr>
              <w:pStyle w:val="557"/>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72" w:type="dxa"/>
            <w:vMerge w:val="continue"/>
            <w:vAlign w:val="center"/>
          </w:tcPr>
          <w:p>
            <w:pPr>
              <w:pStyle w:val="557"/>
              <w:rPr>
                <w:rFonts w:ascii="Times New Roman" w:hAnsi="Times New Roman"/>
              </w:rPr>
            </w:pPr>
          </w:p>
        </w:tc>
        <w:tc>
          <w:tcPr>
            <w:tcW w:w="1108" w:type="dxa"/>
            <w:vMerge w:val="continue"/>
            <w:vAlign w:val="center"/>
          </w:tcPr>
          <w:p>
            <w:pPr>
              <w:pStyle w:val="557"/>
              <w:rPr>
                <w:rFonts w:ascii="Times New Roman" w:hAnsi="Times New Roman"/>
              </w:rPr>
            </w:pPr>
          </w:p>
        </w:tc>
        <w:tc>
          <w:tcPr>
            <w:tcW w:w="1962" w:type="dxa"/>
            <w:vAlign w:val="center"/>
          </w:tcPr>
          <w:p>
            <w:pPr>
              <w:pStyle w:val="557"/>
              <w:rPr>
                <w:rFonts w:ascii="Times New Roman" w:hAnsi="Times New Roman"/>
              </w:rPr>
            </w:pPr>
            <w:r>
              <w:rPr>
                <w:rFonts w:ascii="Times New Roman" w:hAnsi="Times New Roman"/>
              </w:rPr>
              <w:t>D404集气站：20</w:t>
            </w:r>
          </w:p>
        </w:tc>
        <w:tc>
          <w:tcPr>
            <w:tcW w:w="1175" w:type="dxa"/>
            <w:vMerge w:val="continue"/>
            <w:vAlign w:val="center"/>
          </w:tcPr>
          <w:p>
            <w:pPr>
              <w:pStyle w:val="557"/>
              <w:rPr>
                <w:rFonts w:ascii="Times New Roman" w:hAnsi="Times New Roman"/>
              </w:rPr>
            </w:pPr>
          </w:p>
        </w:tc>
        <w:tc>
          <w:tcPr>
            <w:tcW w:w="1062" w:type="dxa"/>
            <w:vMerge w:val="continue"/>
            <w:vAlign w:val="center"/>
          </w:tcPr>
          <w:p>
            <w:pPr>
              <w:pStyle w:val="557"/>
              <w:rPr>
                <w:rFonts w:ascii="Times New Roman" w:hAnsi="Times New Roman"/>
              </w:rPr>
            </w:pPr>
          </w:p>
        </w:tc>
        <w:tc>
          <w:tcPr>
            <w:tcW w:w="1613" w:type="dxa"/>
            <w:vMerge w:val="continue"/>
            <w:vAlign w:val="center"/>
          </w:tcPr>
          <w:p>
            <w:pPr>
              <w:pStyle w:val="557"/>
              <w:rPr>
                <w:rFonts w:ascii="Times New Roman" w:hAnsi="Times New Roman"/>
              </w:rPr>
            </w:pPr>
          </w:p>
        </w:tc>
        <w:tc>
          <w:tcPr>
            <w:tcW w:w="850" w:type="dxa"/>
            <w:vMerge w:val="continue"/>
            <w:vAlign w:val="center"/>
          </w:tcPr>
          <w:p>
            <w:pPr>
              <w:pStyle w:val="557"/>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72" w:type="dxa"/>
            <w:vMerge w:val="continue"/>
            <w:vAlign w:val="center"/>
          </w:tcPr>
          <w:p>
            <w:pPr>
              <w:pStyle w:val="557"/>
              <w:rPr>
                <w:rFonts w:ascii="Times New Roman" w:hAnsi="Times New Roman"/>
              </w:rPr>
            </w:pPr>
          </w:p>
        </w:tc>
        <w:tc>
          <w:tcPr>
            <w:tcW w:w="1108" w:type="dxa"/>
            <w:vMerge w:val="continue"/>
            <w:vAlign w:val="center"/>
          </w:tcPr>
          <w:p>
            <w:pPr>
              <w:pStyle w:val="557"/>
              <w:rPr>
                <w:rFonts w:ascii="Times New Roman" w:hAnsi="Times New Roman"/>
              </w:rPr>
            </w:pPr>
          </w:p>
        </w:tc>
        <w:tc>
          <w:tcPr>
            <w:tcW w:w="1962" w:type="dxa"/>
            <w:vAlign w:val="center"/>
          </w:tcPr>
          <w:p>
            <w:pPr>
              <w:pStyle w:val="557"/>
              <w:rPr>
                <w:rFonts w:ascii="Times New Roman" w:hAnsi="Times New Roman"/>
              </w:rPr>
            </w:pPr>
            <w:r>
              <w:rPr>
                <w:rFonts w:ascii="Times New Roman" w:hAnsi="Times New Roman"/>
              </w:rPr>
              <w:t>D403集气站：5～10</w:t>
            </w:r>
          </w:p>
        </w:tc>
        <w:tc>
          <w:tcPr>
            <w:tcW w:w="1175" w:type="dxa"/>
            <w:vMerge w:val="continue"/>
            <w:vAlign w:val="center"/>
          </w:tcPr>
          <w:p>
            <w:pPr>
              <w:pStyle w:val="557"/>
              <w:rPr>
                <w:rFonts w:ascii="Times New Roman" w:hAnsi="Times New Roman"/>
              </w:rPr>
            </w:pPr>
          </w:p>
        </w:tc>
        <w:tc>
          <w:tcPr>
            <w:tcW w:w="1062" w:type="dxa"/>
            <w:vMerge w:val="continue"/>
            <w:vAlign w:val="center"/>
          </w:tcPr>
          <w:p>
            <w:pPr>
              <w:pStyle w:val="557"/>
              <w:rPr>
                <w:rFonts w:ascii="Times New Roman" w:hAnsi="Times New Roman"/>
              </w:rPr>
            </w:pPr>
          </w:p>
        </w:tc>
        <w:tc>
          <w:tcPr>
            <w:tcW w:w="1613" w:type="dxa"/>
            <w:vMerge w:val="continue"/>
            <w:vAlign w:val="center"/>
          </w:tcPr>
          <w:p>
            <w:pPr>
              <w:pStyle w:val="557"/>
              <w:rPr>
                <w:rFonts w:ascii="Times New Roman" w:hAnsi="Times New Roman"/>
              </w:rPr>
            </w:pPr>
          </w:p>
        </w:tc>
        <w:tc>
          <w:tcPr>
            <w:tcW w:w="850" w:type="dxa"/>
            <w:vMerge w:val="continue"/>
            <w:vAlign w:val="center"/>
          </w:tcPr>
          <w:p>
            <w:pPr>
              <w:pStyle w:val="557"/>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72" w:type="dxa"/>
            <w:vMerge w:val="continue"/>
            <w:vAlign w:val="center"/>
          </w:tcPr>
          <w:p>
            <w:pPr>
              <w:pStyle w:val="557"/>
              <w:rPr>
                <w:rFonts w:ascii="Times New Roman" w:hAnsi="Times New Roman"/>
              </w:rPr>
            </w:pPr>
          </w:p>
        </w:tc>
        <w:tc>
          <w:tcPr>
            <w:tcW w:w="1108" w:type="dxa"/>
            <w:vMerge w:val="continue"/>
            <w:vAlign w:val="center"/>
          </w:tcPr>
          <w:p>
            <w:pPr>
              <w:pStyle w:val="557"/>
              <w:rPr>
                <w:rFonts w:ascii="Times New Roman" w:hAnsi="Times New Roman"/>
              </w:rPr>
            </w:pPr>
          </w:p>
        </w:tc>
        <w:tc>
          <w:tcPr>
            <w:tcW w:w="1962" w:type="dxa"/>
            <w:vAlign w:val="center"/>
          </w:tcPr>
          <w:p>
            <w:pPr>
              <w:pStyle w:val="557"/>
              <w:rPr>
                <w:rFonts w:ascii="Times New Roman" w:hAnsi="Times New Roman"/>
              </w:rPr>
            </w:pPr>
            <w:r>
              <w:rPr>
                <w:rFonts w:ascii="Times New Roman" w:hAnsi="Times New Roman"/>
              </w:rPr>
              <w:t>合计：70～90</w:t>
            </w:r>
          </w:p>
        </w:tc>
        <w:tc>
          <w:tcPr>
            <w:tcW w:w="1175" w:type="dxa"/>
            <w:vMerge w:val="continue"/>
            <w:vAlign w:val="center"/>
          </w:tcPr>
          <w:p>
            <w:pPr>
              <w:pStyle w:val="557"/>
              <w:rPr>
                <w:rFonts w:ascii="Times New Roman" w:hAnsi="Times New Roman"/>
              </w:rPr>
            </w:pPr>
          </w:p>
        </w:tc>
        <w:tc>
          <w:tcPr>
            <w:tcW w:w="1062" w:type="dxa"/>
            <w:vMerge w:val="continue"/>
            <w:vAlign w:val="center"/>
          </w:tcPr>
          <w:p>
            <w:pPr>
              <w:pStyle w:val="557"/>
              <w:rPr>
                <w:rFonts w:ascii="Times New Roman" w:hAnsi="Times New Roman"/>
              </w:rPr>
            </w:pPr>
          </w:p>
        </w:tc>
        <w:tc>
          <w:tcPr>
            <w:tcW w:w="1613" w:type="dxa"/>
            <w:vMerge w:val="continue"/>
            <w:vAlign w:val="center"/>
          </w:tcPr>
          <w:p>
            <w:pPr>
              <w:pStyle w:val="557"/>
              <w:rPr>
                <w:rFonts w:ascii="Times New Roman" w:hAnsi="Times New Roman"/>
              </w:rPr>
            </w:pPr>
          </w:p>
        </w:tc>
        <w:tc>
          <w:tcPr>
            <w:tcW w:w="850" w:type="dxa"/>
            <w:vMerge w:val="continue"/>
            <w:vAlign w:val="center"/>
          </w:tcPr>
          <w:p>
            <w:pPr>
              <w:pStyle w:val="557"/>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872" w:type="dxa"/>
            <w:vMerge w:val="restart"/>
            <w:vAlign w:val="center"/>
          </w:tcPr>
          <w:p>
            <w:pPr>
              <w:pStyle w:val="557"/>
              <w:rPr>
                <w:rFonts w:ascii="Times New Roman" w:hAnsi="Times New Roman"/>
              </w:rPr>
            </w:pPr>
            <w:r>
              <w:rPr>
                <w:rFonts w:ascii="Times New Roman" w:hAnsi="Times New Roman"/>
              </w:rPr>
              <w:t>毛开1井回注站</w:t>
            </w:r>
          </w:p>
        </w:tc>
        <w:tc>
          <w:tcPr>
            <w:tcW w:w="1108" w:type="dxa"/>
            <w:vMerge w:val="restart"/>
            <w:vAlign w:val="center"/>
          </w:tcPr>
          <w:p>
            <w:pPr>
              <w:pStyle w:val="557"/>
              <w:rPr>
                <w:rFonts w:ascii="Times New Roman" w:hAnsi="Times New Roman"/>
              </w:rPr>
            </w:pPr>
            <w:r>
              <w:rPr>
                <w:rFonts w:ascii="Times New Roman" w:hAnsi="Times New Roman"/>
              </w:rPr>
              <w:t>120</w:t>
            </w:r>
          </w:p>
        </w:tc>
        <w:tc>
          <w:tcPr>
            <w:tcW w:w="1962" w:type="dxa"/>
            <w:vAlign w:val="center"/>
          </w:tcPr>
          <w:p>
            <w:pPr>
              <w:pStyle w:val="557"/>
              <w:rPr>
                <w:rFonts w:ascii="Times New Roman" w:hAnsi="Times New Roman"/>
              </w:rPr>
            </w:pPr>
            <w:r>
              <w:rPr>
                <w:rFonts w:ascii="Times New Roman" w:hAnsi="Times New Roman"/>
              </w:rPr>
              <w:t>M503集气站：15～20</w:t>
            </w:r>
          </w:p>
        </w:tc>
        <w:tc>
          <w:tcPr>
            <w:tcW w:w="1175" w:type="dxa"/>
            <w:vMerge w:val="restart"/>
            <w:vAlign w:val="center"/>
          </w:tcPr>
          <w:p>
            <w:pPr>
              <w:pStyle w:val="557"/>
              <w:rPr>
                <w:rFonts w:ascii="Times New Roman" w:hAnsi="Times New Roman"/>
              </w:rPr>
            </w:pPr>
            <w:r>
              <w:rPr>
                <w:rFonts w:ascii="Times New Roman" w:hAnsi="Times New Roman"/>
              </w:rPr>
              <w:t>0</w:t>
            </w:r>
          </w:p>
        </w:tc>
        <w:tc>
          <w:tcPr>
            <w:tcW w:w="1062" w:type="dxa"/>
            <w:vMerge w:val="restart"/>
            <w:vAlign w:val="center"/>
          </w:tcPr>
          <w:p>
            <w:pPr>
              <w:pStyle w:val="557"/>
              <w:rPr>
                <w:rFonts w:ascii="Times New Roman" w:hAnsi="Times New Roman"/>
              </w:rPr>
            </w:pPr>
            <w:r>
              <w:rPr>
                <w:rFonts w:ascii="Times New Roman" w:hAnsi="Times New Roman"/>
              </w:rPr>
              <w:t>30～50</w:t>
            </w:r>
          </w:p>
        </w:tc>
        <w:tc>
          <w:tcPr>
            <w:tcW w:w="1613" w:type="dxa"/>
            <w:vMerge w:val="restart"/>
            <w:vAlign w:val="center"/>
          </w:tcPr>
          <w:p>
            <w:pPr>
              <w:pStyle w:val="557"/>
              <w:rPr>
                <w:rFonts w:ascii="Times New Roman" w:hAnsi="Times New Roman"/>
              </w:rPr>
            </w:pPr>
            <w:bookmarkStart w:id="111" w:name="_Hlk109861576"/>
            <w:r>
              <w:rPr>
                <w:rFonts w:ascii="Times New Roman" w:hAnsi="Times New Roman"/>
              </w:rPr>
              <w:t>施工期：</w:t>
            </w:r>
            <w:r>
              <w:rPr>
                <w:rFonts w:hint="eastAsia" w:ascii="Times New Roman" w:hAnsi="Times New Roman"/>
              </w:rPr>
              <w:t>1121.8</w:t>
            </w:r>
            <w:r>
              <w:rPr>
                <w:rFonts w:ascii="Times New Roman" w:hAnsi="Times New Roman"/>
              </w:rPr>
              <w:t>m</w:t>
            </w:r>
            <w:r>
              <w:rPr>
                <w:rFonts w:ascii="Times New Roman" w:hAnsi="Times New Roman"/>
                <w:vertAlign w:val="superscript"/>
              </w:rPr>
              <w:t>3</w:t>
            </w:r>
          </w:p>
          <w:p>
            <w:pPr>
              <w:pStyle w:val="557"/>
              <w:rPr>
                <w:rFonts w:ascii="Times New Roman" w:hAnsi="Times New Roman"/>
              </w:rPr>
            </w:pPr>
            <w:r>
              <w:rPr>
                <w:rFonts w:ascii="Times New Roman" w:hAnsi="Times New Roman"/>
              </w:rPr>
              <w:t>按回注量10m</w:t>
            </w:r>
            <w:r>
              <w:rPr>
                <w:rFonts w:ascii="Times New Roman" w:hAnsi="Times New Roman"/>
                <w:vertAlign w:val="superscript"/>
              </w:rPr>
              <w:t>3</w:t>
            </w:r>
            <w:r>
              <w:rPr>
                <w:rFonts w:ascii="Times New Roman" w:hAnsi="Times New Roman"/>
              </w:rPr>
              <w:t>/d，可</w:t>
            </w:r>
            <w:r>
              <w:rPr>
                <w:rFonts w:hint="eastAsia" w:ascii="Times New Roman" w:hAnsi="Times New Roman"/>
              </w:rPr>
              <w:t>113</w:t>
            </w:r>
            <w:r>
              <w:rPr>
                <w:rFonts w:ascii="Times New Roman" w:hAnsi="Times New Roman"/>
              </w:rPr>
              <w:t>d回注完成。</w:t>
            </w:r>
            <w:bookmarkEnd w:id="111"/>
            <w:r>
              <w:rPr>
                <w:rFonts w:ascii="Times New Roman" w:hAnsi="Times New Roman"/>
              </w:rPr>
              <w:t>项目试采期气田水产生量为</w:t>
            </w:r>
            <w:r>
              <w:rPr>
                <w:rFonts w:hint="eastAsia" w:ascii="Times New Roman" w:hAnsi="Times New Roman"/>
              </w:rPr>
              <w:t>2</w:t>
            </w:r>
            <w:r>
              <w:rPr>
                <w:rFonts w:ascii="Times New Roman" w:hAnsi="Times New Roman"/>
              </w:rPr>
              <w:t>m</w:t>
            </w:r>
            <w:r>
              <w:rPr>
                <w:rFonts w:ascii="Times New Roman" w:hAnsi="Times New Roman"/>
                <w:vertAlign w:val="superscript"/>
              </w:rPr>
              <w:t>3</w:t>
            </w:r>
            <w:r>
              <w:rPr>
                <w:rFonts w:ascii="Times New Roman" w:hAnsi="Times New Roman"/>
              </w:rPr>
              <w:t>/d，可1d处理完成。</w:t>
            </w:r>
          </w:p>
        </w:tc>
        <w:tc>
          <w:tcPr>
            <w:tcW w:w="850" w:type="dxa"/>
            <w:vMerge w:val="restart"/>
            <w:vAlign w:val="center"/>
          </w:tcPr>
          <w:p>
            <w:pPr>
              <w:pStyle w:val="557"/>
              <w:rPr>
                <w:rFonts w:ascii="Times New Roman" w:hAnsi="Times New Roman"/>
              </w:rPr>
            </w:pPr>
            <w:r>
              <w:rPr>
                <w:rFonts w:ascii="Times New Roman" w:hAnsi="Times New Roman"/>
              </w:rPr>
              <w:t>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72" w:type="dxa"/>
            <w:vMerge w:val="continue"/>
            <w:vAlign w:val="center"/>
          </w:tcPr>
          <w:p>
            <w:pPr>
              <w:pStyle w:val="557"/>
              <w:rPr>
                <w:rFonts w:ascii="Times New Roman" w:hAnsi="Times New Roman"/>
              </w:rPr>
            </w:pPr>
          </w:p>
        </w:tc>
        <w:tc>
          <w:tcPr>
            <w:tcW w:w="1108" w:type="dxa"/>
            <w:vMerge w:val="continue"/>
            <w:vAlign w:val="center"/>
          </w:tcPr>
          <w:p>
            <w:pPr>
              <w:pStyle w:val="557"/>
              <w:rPr>
                <w:rFonts w:ascii="Times New Roman" w:hAnsi="Times New Roman"/>
              </w:rPr>
            </w:pPr>
          </w:p>
        </w:tc>
        <w:tc>
          <w:tcPr>
            <w:tcW w:w="1962" w:type="dxa"/>
            <w:vAlign w:val="center"/>
          </w:tcPr>
          <w:p>
            <w:pPr>
              <w:pStyle w:val="557"/>
              <w:rPr>
                <w:rFonts w:ascii="Times New Roman" w:hAnsi="Times New Roman"/>
              </w:rPr>
            </w:pPr>
            <w:r>
              <w:rPr>
                <w:rFonts w:ascii="Times New Roman" w:hAnsi="Times New Roman"/>
              </w:rPr>
              <w:t>M502集气站：5</w:t>
            </w:r>
          </w:p>
        </w:tc>
        <w:tc>
          <w:tcPr>
            <w:tcW w:w="1175" w:type="dxa"/>
            <w:vMerge w:val="continue"/>
            <w:vAlign w:val="center"/>
          </w:tcPr>
          <w:p>
            <w:pPr>
              <w:pStyle w:val="557"/>
              <w:rPr>
                <w:rFonts w:ascii="Times New Roman" w:hAnsi="Times New Roman"/>
              </w:rPr>
            </w:pPr>
          </w:p>
        </w:tc>
        <w:tc>
          <w:tcPr>
            <w:tcW w:w="1062" w:type="dxa"/>
            <w:vMerge w:val="continue"/>
            <w:vAlign w:val="center"/>
          </w:tcPr>
          <w:p>
            <w:pPr>
              <w:pStyle w:val="557"/>
              <w:rPr>
                <w:rFonts w:ascii="Times New Roman" w:hAnsi="Times New Roman"/>
              </w:rPr>
            </w:pPr>
          </w:p>
        </w:tc>
        <w:tc>
          <w:tcPr>
            <w:tcW w:w="1613" w:type="dxa"/>
            <w:vMerge w:val="continue"/>
            <w:vAlign w:val="center"/>
          </w:tcPr>
          <w:p>
            <w:pPr>
              <w:pStyle w:val="557"/>
              <w:rPr>
                <w:rFonts w:ascii="Times New Roman" w:hAnsi="Times New Roman"/>
              </w:rPr>
            </w:pPr>
          </w:p>
        </w:tc>
        <w:tc>
          <w:tcPr>
            <w:tcW w:w="850" w:type="dxa"/>
            <w:vMerge w:val="continue"/>
            <w:vAlign w:val="center"/>
          </w:tcPr>
          <w:p>
            <w:pPr>
              <w:pStyle w:val="557"/>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72" w:type="dxa"/>
            <w:vMerge w:val="continue"/>
            <w:vAlign w:val="center"/>
          </w:tcPr>
          <w:p>
            <w:pPr>
              <w:pStyle w:val="557"/>
              <w:rPr>
                <w:rFonts w:ascii="Times New Roman" w:hAnsi="Times New Roman"/>
              </w:rPr>
            </w:pPr>
          </w:p>
        </w:tc>
        <w:tc>
          <w:tcPr>
            <w:tcW w:w="1108" w:type="dxa"/>
            <w:vMerge w:val="continue"/>
            <w:vAlign w:val="center"/>
          </w:tcPr>
          <w:p>
            <w:pPr>
              <w:pStyle w:val="557"/>
              <w:rPr>
                <w:rFonts w:ascii="Times New Roman" w:hAnsi="Times New Roman"/>
              </w:rPr>
            </w:pPr>
          </w:p>
        </w:tc>
        <w:tc>
          <w:tcPr>
            <w:tcW w:w="1962" w:type="dxa"/>
            <w:vAlign w:val="center"/>
          </w:tcPr>
          <w:p>
            <w:pPr>
              <w:pStyle w:val="557"/>
              <w:rPr>
                <w:rFonts w:ascii="Times New Roman" w:hAnsi="Times New Roman"/>
              </w:rPr>
            </w:pPr>
            <w:r>
              <w:rPr>
                <w:rFonts w:ascii="Times New Roman" w:hAnsi="Times New Roman"/>
              </w:rPr>
              <w:t>M501集气站：5～10</w:t>
            </w:r>
          </w:p>
        </w:tc>
        <w:tc>
          <w:tcPr>
            <w:tcW w:w="1175" w:type="dxa"/>
            <w:vMerge w:val="continue"/>
            <w:vAlign w:val="center"/>
          </w:tcPr>
          <w:p>
            <w:pPr>
              <w:pStyle w:val="557"/>
              <w:rPr>
                <w:rFonts w:ascii="Times New Roman" w:hAnsi="Times New Roman"/>
              </w:rPr>
            </w:pPr>
          </w:p>
        </w:tc>
        <w:tc>
          <w:tcPr>
            <w:tcW w:w="1062" w:type="dxa"/>
            <w:vMerge w:val="continue"/>
            <w:vAlign w:val="center"/>
          </w:tcPr>
          <w:p>
            <w:pPr>
              <w:pStyle w:val="557"/>
              <w:rPr>
                <w:rFonts w:ascii="Times New Roman" w:hAnsi="Times New Roman"/>
              </w:rPr>
            </w:pPr>
          </w:p>
        </w:tc>
        <w:tc>
          <w:tcPr>
            <w:tcW w:w="1613" w:type="dxa"/>
            <w:vMerge w:val="continue"/>
            <w:vAlign w:val="center"/>
          </w:tcPr>
          <w:p>
            <w:pPr>
              <w:pStyle w:val="557"/>
              <w:rPr>
                <w:rFonts w:ascii="Times New Roman" w:hAnsi="Times New Roman"/>
              </w:rPr>
            </w:pPr>
          </w:p>
        </w:tc>
        <w:tc>
          <w:tcPr>
            <w:tcW w:w="850" w:type="dxa"/>
            <w:vMerge w:val="continue"/>
            <w:vAlign w:val="center"/>
          </w:tcPr>
          <w:p>
            <w:pPr>
              <w:pStyle w:val="557"/>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72" w:type="dxa"/>
            <w:vMerge w:val="continue"/>
            <w:vAlign w:val="center"/>
          </w:tcPr>
          <w:p>
            <w:pPr>
              <w:pStyle w:val="557"/>
              <w:rPr>
                <w:rFonts w:ascii="Times New Roman" w:hAnsi="Times New Roman"/>
              </w:rPr>
            </w:pPr>
          </w:p>
        </w:tc>
        <w:tc>
          <w:tcPr>
            <w:tcW w:w="1108" w:type="dxa"/>
            <w:vMerge w:val="continue"/>
            <w:vAlign w:val="center"/>
          </w:tcPr>
          <w:p>
            <w:pPr>
              <w:pStyle w:val="557"/>
              <w:rPr>
                <w:rFonts w:ascii="Times New Roman" w:hAnsi="Times New Roman"/>
              </w:rPr>
            </w:pPr>
          </w:p>
        </w:tc>
        <w:tc>
          <w:tcPr>
            <w:tcW w:w="1962" w:type="dxa"/>
            <w:vAlign w:val="center"/>
          </w:tcPr>
          <w:p>
            <w:pPr>
              <w:pStyle w:val="557"/>
              <w:rPr>
                <w:rFonts w:ascii="Times New Roman" w:hAnsi="Times New Roman"/>
              </w:rPr>
            </w:pPr>
            <w:r>
              <w:rPr>
                <w:rFonts w:ascii="Times New Roman" w:hAnsi="Times New Roman"/>
              </w:rPr>
              <w:t>D405集气站：20～25</w:t>
            </w:r>
          </w:p>
        </w:tc>
        <w:tc>
          <w:tcPr>
            <w:tcW w:w="1175" w:type="dxa"/>
            <w:vMerge w:val="continue"/>
            <w:vAlign w:val="center"/>
          </w:tcPr>
          <w:p>
            <w:pPr>
              <w:pStyle w:val="557"/>
              <w:rPr>
                <w:rFonts w:ascii="Times New Roman" w:hAnsi="Times New Roman"/>
              </w:rPr>
            </w:pPr>
          </w:p>
        </w:tc>
        <w:tc>
          <w:tcPr>
            <w:tcW w:w="1062" w:type="dxa"/>
            <w:vMerge w:val="continue"/>
            <w:vAlign w:val="center"/>
          </w:tcPr>
          <w:p>
            <w:pPr>
              <w:pStyle w:val="557"/>
              <w:rPr>
                <w:rFonts w:ascii="Times New Roman" w:hAnsi="Times New Roman"/>
              </w:rPr>
            </w:pPr>
          </w:p>
        </w:tc>
        <w:tc>
          <w:tcPr>
            <w:tcW w:w="1613" w:type="dxa"/>
            <w:vMerge w:val="continue"/>
            <w:vAlign w:val="center"/>
          </w:tcPr>
          <w:p>
            <w:pPr>
              <w:pStyle w:val="557"/>
              <w:rPr>
                <w:rFonts w:ascii="Times New Roman" w:hAnsi="Times New Roman"/>
              </w:rPr>
            </w:pPr>
          </w:p>
        </w:tc>
        <w:tc>
          <w:tcPr>
            <w:tcW w:w="850" w:type="dxa"/>
            <w:vMerge w:val="continue"/>
            <w:vAlign w:val="center"/>
          </w:tcPr>
          <w:p>
            <w:pPr>
              <w:pStyle w:val="557"/>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72" w:type="dxa"/>
            <w:vMerge w:val="continue"/>
            <w:vAlign w:val="center"/>
          </w:tcPr>
          <w:p>
            <w:pPr>
              <w:pStyle w:val="557"/>
              <w:rPr>
                <w:rFonts w:ascii="Times New Roman" w:hAnsi="Times New Roman"/>
              </w:rPr>
            </w:pPr>
          </w:p>
        </w:tc>
        <w:tc>
          <w:tcPr>
            <w:tcW w:w="1108" w:type="dxa"/>
            <w:vMerge w:val="continue"/>
            <w:vAlign w:val="center"/>
          </w:tcPr>
          <w:p>
            <w:pPr>
              <w:pStyle w:val="557"/>
              <w:rPr>
                <w:rFonts w:ascii="Times New Roman" w:hAnsi="Times New Roman"/>
              </w:rPr>
            </w:pPr>
          </w:p>
        </w:tc>
        <w:tc>
          <w:tcPr>
            <w:tcW w:w="1962" w:type="dxa"/>
            <w:vAlign w:val="center"/>
          </w:tcPr>
          <w:p>
            <w:pPr>
              <w:pStyle w:val="557"/>
              <w:rPr>
                <w:rFonts w:ascii="Times New Roman" w:hAnsi="Times New Roman"/>
              </w:rPr>
            </w:pPr>
            <w:r>
              <w:rPr>
                <w:rFonts w:ascii="Times New Roman" w:hAnsi="Times New Roman"/>
              </w:rPr>
              <w:t>D404集气站：20</w:t>
            </w:r>
          </w:p>
        </w:tc>
        <w:tc>
          <w:tcPr>
            <w:tcW w:w="1175" w:type="dxa"/>
            <w:vMerge w:val="continue"/>
            <w:vAlign w:val="center"/>
          </w:tcPr>
          <w:p>
            <w:pPr>
              <w:pStyle w:val="557"/>
              <w:rPr>
                <w:rFonts w:ascii="Times New Roman" w:hAnsi="Times New Roman"/>
              </w:rPr>
            </w:pPr>
          </w:p>
        </w:tc>
        <w:tc>
          <w:tcPr>
            <w:tcW w:w="1062" w:type="dxa"/>
            <w:vMerge w:val="continue"/>
            <w:vAlign w:val="center"/>
          </w:tcPr>
          <w:p>
            <w:pPr>
              <w:pStyle w:val="557"/>
              <w:rPr>
                <w:rFonts w:ascii="Times New Roman" w:hAnsi="Times New Roman"/>
              </w:rPr>
            </w:pPr>
          </w:p>
        </w:tc>
        <w:tc>
          <w:tcPr>
            <w:tcW w:w="1613" w:type="dxa"/>
            <w:vMerge w:val="continue"/>
            <w:vAlign w:val="center"/>
          </w:tcPr>
          <w:p>
            <w:pPr>
              <w:pStyle w:val="557"/>
              <w:rPr>
                <w:rFonts w:ascii="Times New Roman" w:hAnsi="Times New Roman"/>
              </w:rPr>
            </w:pPr>
          </w:p>
        </w:tc>
        <w:tc>
          <w:tcPr>
            <w:tcW w:w="850" w:type="dxa"/>
            <w:vMerge w:val="continue"/>
            <w:vAlign w:val="center"/>
          </w:tcPr>
          <w:p>
            <w:pPr>
              <w:pStyle w:val="557"/>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72" w:type="dxa"/>
            <w:vMerge w:val="continue"/>
            <w:vAlign w:val="center"/>
          </w:tcPr>
          <w:p>
            <w:pPr>
              <w:pStyle w:val="557"/>
              <w:rPr>
                <w:rFonts w:ascii="Times New Roman" w:hAnsi="Times New Roman"/>
              </w:rPr>
            </w:pPr>
          </w:p>
        </w:tc>
        <w:tc>
          <w:tcPr>
            <w:tcW w:w="1108" w:type="dxa"/>
            <w:vMerge w:val="continue"/>
            <w:vAlign w:val="center"/>
          </w:tcPr>
          <w:p>
            <w:pPr>
              <w:pStyle w:val="557"/>
              <w:rPr>
                <w:rFonts w:ascii="Times New Roman" w:hAnsi="Times New Roman"/>
              </w:rPr>
            </w:pPr>
          </w:p>
        </w:tc>
        <w:tc>
          <w:tcPr>
            <w:tcW w:w="1962" w:type="dxa"/>
            <w:vAlign w:val="center"/>
          </w:tcPr>
          <w:p>
            <w:pPr>
              <w:pStyle w:val="557"/>
              <w:rPr>
                <w:rFonts w:ascii="Times New Roman" w:hAnsi="Times New Roman"/>
              </w:rPr>
            </w:pPr>
            <w:r>
              <w:rPr>
                <w:rFonts w:ascii="Times New Roman" w:hAnsi="Times New Roman"/>
              </w:rPr>
              <w:t>D403集气站：5～10</w:t>
            </w:r>
          </w:p>
        </w:tc>
        <w:tc>
          <w:tcPr>
            <w:tcW w:w="1175" w:type="dxa"/>
            <w:vMerge w:val="continue"/>
            <w:vAlign w:val="center"/>
          </w:tcPr>
          <w:p>
            <w:pPr>
              <w:pStyle w:val="557"/>
              <w:rPr>
                <w:rFonts w:ascii="Times New Roman" w:hAnsi="Times New Roman"/>
              </w:rPr>
            </w:pPr>
          </w:p>
        </w:tc>
        <w:tc>
          <w:tcPr>
            <w:tcW w:w="1062" w:type="dxa"/>
            <w:vMerge w:val="continue"/>
            <w:vAlign w:val="center"/>
          </w:tcPr>
          <w:p>
            <w:pPr>
              <w:pStyle w:val="557"/>
              <w:rPr>
                <w:rFonts w:ascii="Times New Roman" w:hAnsi="Times New Roman"/>
              </w:rPr>
            </w:pPr>
          </w:p>
        </w:tc>
        <w:tc>
          <w:tcPr>
            <w:tcW w:w="1613" w:type="dxa"/>
            <w:vMerge w:val="continue"/>
            <w:vAlign w:val="center"/>
          </w:tcPr>
          <w:p>
            <w:pPr>
              <w:pStyle w:val="557"/>
              <w:rPr>
                <w:rFonts w:ascii="Times New Roman" w:hAnsi="Times New Roman"/>
              </w:rPr>
            </w:pPr>
          </w:p>
        </w:tc>
        <w:tc>
          <w:tcPr>
            <w:tcW w:w="850" w:type="dxa"/>
            <w:vMerge w:val="continue"/>
            <w:vAlign w:val="center"/>
          </w:tcPr>
          <w:p>
            <w:pPr>
              <w:pStyle w:val="557"/>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72" w:type="dxa"/>
            <w:vMerge w:val="continue"/>
            <w:vAlign w:val="center"/>
          </w:tcPr>
          <w:p>
            <w:pPr>
              <w:pStyle w:val="557"/>
              <w:rPr>
                <w:rFonts w:ascii="Times New Roman" w:hAnsi="Times New Roman"/>
              </w:rPr>
            </w:pPr>
          </w:p>
        </w:tc>
        <w:tc>
          <w:tcPr>
            <w:tcW w:w="1108" w:type="dxa"/>
            <w:vMerge w:val="continue"/>
            <w:vAlign w:val="center"/>
          </w:tcPr>
          <w:p>
            <w:pPr>
              <w:pStyle w:val="557"/>
              <w:rPr>
                <w:rFonts w:ascii="Times New Roman" w:hAnsi="Times New Roman"/>
              </w:rPr>
            </w:pPr>
          </w:p>
        </w:tc>
        <w:tc>
          <w:tcPr>
            <w:tcW w:w="1962" w:type="dxa"/>
            <w:vAlign w:val="center"/>
          </w:tcPr>
          <w:p>
            <w:pPr>
              <w:pStyle w:val="557"/>
              <w:rPr>
                <w:rFonts w:ascii="Times New Roman" w:hAnsi="Times New Roman"/>
              </w:rPr>
            </w:pPr>
            <w:r>
              <w:rPr>
                <w:rFonts w:ascii="Times New Roman" w:hAnsi="Times New Roman"/>
              </w:rPr>
              <w:t>合计：</w:t>
            </w:r>
            <w:bookmarkStart w:id="112" w:name="OLE_LINK97"/>
            <w:bookmarkStart w:id="113" w:name="OLE_LINK88"/>
            <w:r>
              <w:rPr>
                <w:rFonts w:ascii="Times New Roman" w:hAnsi="Times New Roman"/>
              </w:rPr>
              <w:t>70</w:t>
            </w:r>
            <w:bookmarkEnd w:id="112"/>
            <w:bookmarkEnd w:id="113"/>
            <w:r>
              <w:rPr>
                <w:rFonts w:ascii="Times New Roman" w:hAnsi="Times New Roman"/>
              </w:rPr>
              <w:t>～90</w:t>
            </w:r>
          </w:p>
        </w:tc>
        <w:tc>
          <w:tcPr>
            <w:tcW w:w="1175" w:type="dxa"/>
            <w:vMerge w:val="continue"/>
            <w:vAlign w:val="center"/>
          </w:tcPr>
          <w:p>
            <w:pPr>
              <w:pStyle w:val="557"/>
              <w:rPr>
                <w:rFonts w:ascii="Times New Roman" w:hAnsi="Times New Roman"/>
              </w:rPr>
            </w:pPr>
          </w:p>
        </w:tc>
        <w:tc>
          <w:tcPr>
            <w:tcW w:w="1062" w:type="dxa"/>
            <w:vMerge w:val="continue"/>
            <w:vAlign w:val="center"/>
          </w:tcPr>
          <w:p>
            <w:pPr>
              <w:pStyle w:val="557"/>
              <w:rPr>
                <w:rFonts w:ascii="Times New Roman" w:hAnsi="Times New Roman"/>
              </w:rPr>
            </w:pPr>
          </w:p>
        </w:tc>
        <w:tc>
          <w:tcPr>
            <w:tcW w:w="1613" w:type="dxa"/>
            <w:vMerge w:val="continue"/>
            <w:vAlign w:val="center"/>
          </w:tcPr>
          <w:p>
            <w:pPr>
              <w:pStyle w:val="557"/>
              <w:rPr>
                <w:rFonts w:ascii="Times New Roman" w:hAnsi="Times New Roman"/>
              </w:rPr>
            </w:pPr>
          </w:p>
        </w:tc>
        <w:tc>
          <w:tcPr>
            <w:tcW w:w="850" w:type="dxa"/>
            <w:vMerge w:val="continue"/>
            <w:vAlign w:val="center"/>
          </w:tcPr>
          <w:p>
            <w:pPr>
              <w:pStyle w:val="557"/>
              <w:rPr>
                <w:rFonts w:ascii="Times New Roman" w:hAnsi="Times New Roman"/>
              </w:rPr>
            </w:pPr>
          </w:p>
        </w:tc>
      </w:tr>
    </w:tbl>
    <w:p>
      <w:pPr>
        <w:pStyle w:val="114"/>
        <w:ind w:firstLine="480"/>
      </w:pPr>
      <w:r>
        <w:t>根据现场调查，现阶段P108集气站内来气脱水分离产生的气田水酸液缓冲罐收集，然后通过密闭罐车拉运至大湾403污水站处理达到《气田水回注方法》（SY/T 6596-2016）中注入水基本要求后管输至毛开1井回注站回注处理，不外排，得到妥善处置，未发生环境污染事故。根据现场P108集气站运行情况表明，P108-2H、P108-3井来气脱水分离产生的气田水依托 P</w:t>
      </w:r>
      <w:r>
        <w:rPr>
          <w:rFonts w:hint="eastAsia"/>
        </w:rPr>
        <w:t>108</w:t>
      </w:r>
      <w:r>
        <w:t>集气站既有处置模式有效可行。</w:t>
      </w:r>
    </w:p>
    <w:p>
      <w:pPr>
        <w:pStyle w:val="555"/>
      </w:pPr>
    </w:p>
    <w:p>
      <w:pPr>
        <w:pStyle w:val="39"/>
        <w:rPr>
          <w:rFonts w:cs="Times New Roman"/>
        </w:rPr>
        <w:sectPr>
          <w:headerReference r:id="rId21" w:type="first"/>
          <w:footerReference r:id="rId23" w:type="first"/>
          <w:headerReference r:id="rId19" w:type="default"/>
          <w:headerReference r:id="rId20" w:type="even"/>
          <w:footerReference r:id="rId22" w:type="even"/>
          <w:pgSz w:w="11910" w:h="16840"/>
          <w:pgMar w:top="1417" w:right="1417" w:bottom="1417" w:left="1701" w:header="885" w:footer="1097" w:gutter="0"/>
          <w:pgBorders>
            <w:top w:val="none" w:sz="0" w:space="0"/>
            <w:left w:val="none" w:sz="0" w:space="0"/>
            <w:bottom w:val="none" w:sz="0" w:space="0"/>
            <w:right w:val="none" w:sz="0" w:space="0"/>
          </w:pgBorders>
          <w:pgNumType w:chapStyle="2"/>
          <w:cols w:space="720" w:num="1"/>
          <w:docGrid w:linePitch="326" w:charSpace="0"/>
        </w:sectPr>
      </w:pPr>
    </w:p>
    <w:p>
      <w:pPr>
        <w:pStyle w:val="2"/>
        <w:spacing w:before="0" w:beforeAutospacing="0" w:after="0" w:afterAutospacing="0"/>
        <w:rPr>
          <w:rFonts w:eastAsia="宋体"/>
        </w:rPr>
      </w:pPr>
      <w:bookmarkStart w:id="114" w:name="_Toc19815947"/>
      <w:bookmarkStart w:id="115" w:name="_Toc12288392"/>
      <w:bookmarkStart w:id="116" w:name="_Toc29948"/>
      <w:r>
        <w:rPr>
          <w:rFonts w:eastAsia="宋体"/>
        </w:rPr>
        <w:t>3 项目</w:t>
      </w:r>
      <w:bookmarkEnd w:id="114"/>
      <w:bookmarkEnd w:id="115"/>
      <w:r>
        <w:rPr>
          <w:rFonts w:eastAsia="宋体"/>
        </w:rPr>
        <w:t>概况</w:t>
      </w:r>
      <w:bookmarkEnd w:id="116"/>
    </w:p>
    <w:p>
      <w:pPr>
        <w:pStyle w:val="3"/>
        <w:spacing w:before="120"/>
        <w:rPr>
          <w:rFonts w:cs="Times New Roman"/>
        </w:rPr>
      </w:pPr>
      <w:bookmarkStart w:id="117" w:name="_Toc12288393"/>
      <w:bookmarkStart w:id="118" w:name="_Toc19815948"/>
      <w:bookmarkStart w:id="119" w:name="_Toc8161"/>
      <w:r>
        <w:rPr>
          <w:rFonts w:cs="Times New Roman"/>
        </w:rPr>
        <w:t xml:space="preserve">3.1 </w:t>
      </w:r>
      <w:bookmarkEnd w:id="117"/>
      <w:bookmarkEnd w:id="118"/>
      <w:r>
        <w:rPr>
          <w:rFonts w:cs="Times New Roman"/>
        </w:rPr>
        <w:t>基本情况</w:t>
      </w:r>
      <w:bookmarkEnd w:id="119"/>
    </w:p>
    <w:p>
      <w:pPr>
        <w:pStyle w:val="114"/>
        <w:ind w:firstLine="480"/>
      </w:pPr>
      <w:bookmarkStart w:id="120" w:name="_Hlk81419011"/>
      <w:r>
        <w:t>项目名称：普光气田P108井台钻井及试采工程</w:t>
      </w:r>
    </w:p>
    <w:bookmarkEnd w:id="120"/>
    <w:p>
      <w:pPr>
        <w:pStyle w:val="114"/>
        <w:ind w:firstLine="480"/>
      </w:pPr>
      <w:r>
        <w:t>建设单位：中国石油化工股份有限公司中原油田普光分公司</w:t>
      </w:r>
    </w:p>
    <w:p>
      <w:pPr>
        <w:pStyle w:val="114"/>
        <w:ind w:firstLine="480"/>
      </w:pPr>
      <w:bookmarkStart w:id="121" w:name="_Hlk81419008"/>
      <w:r>
        <w:t>建设地点：四川省达州市宣汉县普光镇</w:t>
      </w:r>
      <w:r>
        <w:rPr>
          <w:rFonts w:hint="eastAsia"/>
        </w:rPr>
        <w:t>塔娅村</w:t>
      </w:r>
    </w:p>
    <w:p>
      <w:pPr>
        <w:pStyle w:val="114"/>
        <w:ind w:firstLine="480"/>
      </w:pPr>
      <w:r>
        <w:t>项目性质：新建</w:t>
      </w:r>
    </w:p>
    <w:bookmarkEnd w:id="121"/>
    <w:p>
      <w:pPr>
        <w:pStyle w:val="114"/>
        <w:ind w:firstLine="480"/>
      </w:pPr>
      <w:r>
        <w:t>建设规模：</w:t>
      </w:r>
    </w:p>
    <w:p>
      <w:pPr>
        <w:pStyle w:val="114"/>
        <w:ind w:firstLine="480"/>
      </w:pPr>
      <w:r>
        <w:t>本项目</w:t>
      </w:r>
      <w:r>
        <w:rPr>
          <w:rFonts w:hint="eastAsia"/>
        </w:rPr>
        <w:t>总体采用酸气集输方案，</w:t>
      </w:r>
      <w:r>
        <w:t>采用“全湿气加热保温混输工艺”，动用天然气地质储量6.95亿立方米，P108-2H井配产</w:t>
      </w:r>
      <w:r>
        <w:rPr>
          <w:rFonts w:hint="eastAsia"/>
        </w:rPr>
        <w:t>20</w:t>
      </w:r>
      <w:r>
        <w:t>×10</w:t>
      </w:r>
      <w:r>
        <w:rPr>
          <w:vertAlign w:val="superscript"/>
        </w:rPr>
        <w:t>4</w:t>
      </w:r>
      <w:r>
        <w:t>m</w:t>
      </w:r>
      <w:r>
        <w:rPr>
          <w:vertAlign w:val="superscript"/>
        </w:rPr>
        <w:t>3</w:t>
      </w:r>
      <w:r>
        <w:t>/d、P108-3井配产</w:t>
      </w:r>
      <w:r>
        <w:rPr>
          <w:rFonts w:hint="eastAsia"/>
        </w:rPr>
        <w:t>20</w:t>
      </w:r>
      <w:r>
        <w:t>×10</w:t>
      </w:r>
      <w:r>
        <w:rPr>
          <w:vertAlign w:val="superscript"/>
        </w:rPr>
        <w:t>4</w:t>
      </w:r>
      <w:r>
        <w:t>m</w:t>
      </w:r>
      <w:r>
        <w:rPr>
          <w:vertAlign w:val="superscript"/>
        </w:rPr>
        <w:t>3</w:t>
      </w:r>
      <w:r>
        <w:t>/d，试采期为2年，预期期末累产气6.95亿立方米。</w:t>
      </w:r>
    </w:p>
    <w:p>
      <w:pPr>
        <w:pStyle w:val="114"/>
        <w:ind w:firstLine="480"/>
      </w:pPr>
      <w:r>
        <w:t>本项目总投资18987万元，其中环保投资500万元，占项目总投资的2.63%。</w:t>
      </w:r>
    </w:p>
    <w:p>
      <w:pPr>
        <w:pStyle w:val="3"/>
        <w:spacing w:before="120"/>
        <w:rPr>
          <w:rFonts w:cs="Times New Roman"/>
        </w:rPr>
      </w:pPr>
      <w:bookmarkStart w:id="122" w:name="bookmark11"/>
      <w:bookmarkEnd w:id="122"/>
      <w:bookmarkStart w:id="123" w:name="bookmark12"/>
      <w:bookmarkEnd w:id="123"/>
      <w:bookmarkStart w:id="124" w:name="_Toc19815950"/>
      <w:bookmarkStart w:id="125" w:name="_Toc30864"/>
      <w:bookmarkStart w:id="126" w:name="_Toc12288395"/>
      <w:r>
        <w:rPr>
          <w:rFonts w:cs="Times New Roman"/>
        </w:rPr>
        <w:t>3.2 工程规模及项目组成</w:t>
      </w:r>
      <w:bookmarkEnd w:id="124"/>
      <w:bookmarkEnd w:id="125"/>
      <w:bookmarkEnd w:id="126"/>
    </w:p>
    <w:p>
      <w:pPr>
        <w:pStyle w:val="4"/>
        <w:rPr>
          <w:rFonts w:eastAsia="宋体"/>
        </w:rPr>
      </w:pPr>
      <w:bookmarkStart w:id="127" w:name="_Toc12288396"/>
      <w:bookmarkStart w:id="128" w:name="_Toc19815951"/>
      <w:r>
        <w:rPr>
          <w:rFonts w:eastAsia="宋体"/>
        </w:rPr>
        <w:t>3.2.1 工程规模</w:t>
      </w:r>
      <w:bookmarkEnd w:id="127"/>
      <w:bookmarkEnd w:id="128"/>
    </w:p>
    <w:p>
      <w:pPr>
        <w:pStyle w:val="114"/>
        <w:ind w:firstLine="480"/>
      </w:pPr>
      <w:bookmarkStart w:id="129" w:name="_Hlk26520136"/>
      <w:r>
        <w:t>本项目采用“全湿气加热保温混输工艺”。针对P108-2H、P108-3井采用湿气加热保温、气液混输工艺，井口天然气经采气树节流后经过两级加热节流，计量后依托现有酸气管线接入P108集气站，经已建管线进入11#阀室与上游来气一同输往集气总站。本项目P108-2H、P108-3井配产均为</w:t>
      </w:r>
      <w:r>
        <w:rPr>
          <w:rFonts w:hint="eastAsia"/>
        </w:rPr>
        <w:t>20</w:t>
      </w:r>
      <w:r>
        <w:t>×10</w:t>
      </w:r>
      <w:r>
        <w:rPr>
          <w:vertAlign w:val="superscript"/>
        </w:rPr>
        <w:t>4</w:t>
      </w:r>
      <w:r>
        <w:t>m</w:t>
      </w:r>
      <w:r>
        <w:rPr>
          <w:vertAlign w:val="superscript"/>
        </w:rPr>
        <w:t>3</w:t>
      </w:r>
      <w:r>
        <w:t>/d，试采期为2年。具体建设内容为：</w:t>
      </w:r>
    </w:p>
    <w:p>
      <w:pPr>
        <w:pStyle w:val="114"/>
        <w:ind w:firstLine="480"/>
        <w:rPr>
          <w:rFonts w:eastAsia="汉仪书宋二简"/>
        </w:rPr>
      </w:pPr>
      <w:r>
        <w:t>（1）气藏地质与气藏工程</w:t>
      </w:r>
    </w:p>
    <w:p>
      <w:pPr>
        <w:pStyle w:val="114"/>
        <w:ind w:firstLine="480"/>
      </w:pPr>
      <w:r>
        <w:t>P108-2H、P108-3井设计目的：落实大湾南部相变带储层展布范围，提高储量动用程度，本井预计钻遇气层共计1185米，可实现井区储量全部动用，日产气均为</w:t>
      </w:r>
      <w:r>
        <w:rPr>
          <w:rFonts w:hint="eastAsia"/>
        </w:rPr>
        <w:t>20</w:t>
      </w:r>
      <w:r>
        <w:t>×10</w:t>
      </w:r>
      <w:r>
        <w:rPr>
          <w:vertAlign w:val="superscript"/>
        </w:rPr>
        <w:t>4</w:t>
      </w:r>
      <w:r>
        <w:t>m</w:t>
      </w:r>
      <w:r>
        <w:rPr>
          <w:vertAlign w:val="superscript"/>
        </w:rPr>
        <w:t>3</w:t>
      </w:r>
      <w:r>
        <w:t>/d，预期期末累产气6.95亿立方米。</w:t>
      </w:r>
    </w:p>
    <w:p>
      <w:pPr>
        <w:pStyle w:val="114"/>
        <w:ind w:firstLine="480"/>
      </w:pPr>
      <w:r>
        <w:t>（2）钻前工程</w:t>
      </w:r>
    </w:p>
    <w:p>
      <w:pPr>
        <w:pStyle w:val="114"/>
        <w:ind w:firstLine="480"/>
      </w:pPr>
      <w:r>
        <w:rPr>
          <w:bCs/>
        </w:rPr>
        <w:t>主要利用P108集气站已建井场</w:t>
      </w:r>
      <w:r>
        <w:rPr>
          <w:rFonts w:hint="eastAsia"/>
          <w:bCs/>
        </w:rPr>
        <w:t>并扩建</w:t>
      </w:r>
      <w:r>
        <w:rPr>
          <w:bCs/>
        </w:rPr>
        <w:t>井场</w:t>
      </w:r>
      <w:r>
        <w:rPr>
          <w:rFonts w:hint="eastAsia"/>
          <w:bCs/>
        </w:rPr>
        <w:t>东</w:t>
      </w:r>
      <w:r>
        <w:rPr>
          <w:bCs/>
        </w:rPr>
        <w:t>侧</w:t>
      </w:r>
      <w:r>
        <w:rPr>
          <w:rFonts w:hint="eastAsia"/>
          <w:bCs/>
        </w:rPr>
        <w:t>区域</w:t>
      </w:r>
      <w:r>
        <w:rPr>
          <w:bCs/>
        </w:rPr>
        <w:t>，对</w:t>
      </w:r>
      <w:r>
        <w:rPr>
          <w:rFonts w:hint="eastAsia"/>
          <w:bCs/>
        </w:rPr>
        <w:t>现有</w:t>
      </w:r>
      <w:r>
        <w:rPr>
          <w:bCs/>
        </w:rPr>
        <w:t>废水池采用土方填埋，填埋后作为井场用地。井场前场填方区采用“1:1.5填方放坡+格构护坡+护脚墙”支护方式，井场后场清理碎石20cm厚，井场后场设备基础间采用20cm厚C30混凝土进行硬化，井场除设备基础外均采用20cm厚6%水泥稳定碎石铺筑，场内南侧区域新建方井2座（P108-2H、P108-3井）</w:t>
      </w:r>
      <w:r>
        <w:t>。</w:t>
      </w:r>
      <w:r>
        <w:rPr>
          <w:rFonts w:hint="eastAsia"/>
        </w:rPr>
        <w:t>井场南侧新建废水池，容积为1000m</w:t>
      </w:r>
      <w:r>
        <w:rPr>
          <w:rFonts w:hint="eastAsia"/>
          <w:vertAlign w:val="superscript"/>
        </w:rPr>
        <w:t>3</w:t>
      </w:r>
      <w:r>
        <w:rPr>
          <w:rFonts w:hint="eastAsia"/>
        </w:rPr>
        <w:t>，依托现有进场道路，表土堆放区位于井场东南侧约70m处。</w:t>
      </w:r>
    </w:p>
    <w:p>
      <w:pPr>
        <w:pStyle w:val="114"/>
        <w:ind w:firstLine="480"/>
        <w:rPr>
          <w:bCs/>
        </w:rPr>
      </w:pPr>
      <w:r>
        <w:t>（3）</w:t>
      </w:r>
      <w:r>
        <w:rPr>
          <w:bCs/>
        </w:rPr>
        <w:t>钻井工程</w:t>
      </w:r>
    </w:p>
    <w:p>
      <w:pPr>
        <w:pStyle w:val="114"/>
        <w:ind w:firstLine="480"/>
      </w:pPr>
      <w:r>
        <w:rPr>
          <w:bCs/>
        </w:rPr>
        <w:t>设计井别为勘探井（试采期结束后若满足开发需求，则再转为开发井，并另行办理相关环保手续），P108-2H井目的层为飞仙关组，井型为水平井，设计水平段长1670m，预计钻遇气层490m，采用三开井身结构，套管完井，设计井深5988米</w:t>
      </w:r>
      <w:r>
        <w:t>。P108-3井目的层为飞仙关组，井型为水平井，设计水平段长2352m，预计钻遇气层695m，采用三开井身结构，套管完井，设计井深6670米。</w:t>
      </w:r>
    </w:p>
    <w:p>
      <w:pPr>
        <w:pStyle w:val="114"/>
        <w:ind w:firstLine="480"/>
      </w:pPr>
      <w:r>
        <w:t>（4）</w:t>
      </w:r>
      <w:r>
        <w:rPr>
          <w:rFonts w:hint="eastAsia"/>
          <w:lang w:val="en-US" w:eastAsia="zh-CN"/>
        </w:rPr>
        <w:t>采气</w:t>
      </w:r>
      <w:r>
        <w:rPr>
          <w:rFonts w:hint="eastAsia"/>
        </w:rPr>
        <w:t>工程</w:t>
      </w:r>
    </w:p>
    <w:p>
      <w:pPr>
        <w:pStyle w:val="114"/>
        <w:ind w:firstLine="480"/>
      </w:pPr>
      <w:r>
        <w:rPr>
          <w:bCs/>
        </w:rPr>
        <w:t>采用“钻采一体化”投产模式，Φ102mm防硫射孔枪、1米射孔弹一次性射开储层，下入分段多级酸（压）化-生产一体化完井管柱。Ⅰ靶井段采用酸化-控水一体化滑套，分段封隔器4及以上完井油管采用Φ88.9×6.45mm 4c类镍基合金油管；分段封隔器4以下采用Φ88.9×6.45mm 110SS油管。分5段10级进行酸（压）化，其中两端采用酸化改造，中部差层采用多级注入酸压改造。采用HH级105兆帕采气井口，配套70兆帕地面控制系统。施工排量5-7立方米/分钟，井口最高压力95兆帕，总液量2000立方米</w:t>
      </w:r>
      <w:r>
        <w:t>。</w:t>
      </w:r>
    </w:p>
    <w:p>
      <w:pPr>
        <w:pStyle w:val="114"/>
        <w:ind w:firstLine="480"/>
      </w:pPr>
      <w:r>
        <w:t>（5）试采工程</w:t>
      </w:r>
    </w:p>
    <w:p>
      <w:pPr>
        <w:pStyle w:val="114"/>
        <w:ind w:firstLine="480"/>
      </w:pPr>
      <w:r>
        <w:rPr>
          <w:bCs/>
        </w:rPr>
        <w:t>P108-2H、P108-3井口</w:t>
      </w:r>
      <w:r>
        <w:rPr>
          <w:rFonts w:hint="eastAsia"/>
          <w:bCs/>
        </w:rPr>
        <w:t>天然气单井计量后混合输送至分水分离器，气相进入水套加热炉节流，P108-1T井口流程改为接入水套炉出口与节流、加热后的P108-2H、P108-3井口天然气混合后外输</w:t>
      </w:r>
      <w:r>
        <w:rPr>
          <w:bCs/>
        </w:rPr>
        <w:t>，最终通至11#阀室的酸气管道外输至天然气净化厂。新建井口流程，并配套通信、自控、防腐等</w:t>
      </w:r>
      <w:r>
        <w:t>。</w:t>
      </w:r>
    </w:p>
    <w:bookmarkEnd w:id="129"/>
    <w:p>
      <w:pPr>
        <w:pStyle w:val="4"/>
        <w:rPr>
          <w:rFonts w:eastAsia="宋体"/>
        </w:rPr>
      </w:pPr>
      <w:bookmarkStart w:id="130" w:name="_Toc19815952"/>
      <w:bookmarkStart w:id="131" w:name="_Toc12288397"/>
      <w:r>
        <w:rPr>
          <w:rFonts w:eastAsia="宋体"/>
        </w:rPr>
        <w:t>3.2.2 项目组成</w:t>
      </w:r>
      <w:bookmarkEnd w:id="130"/>
      <w:bookmarkEnd w:id="131"/>
    </w:p>
    <w:p>
      <w:pPr>
        <w:pStyle w:val="114"/>
        <w:ind w:firstLine="480"/>
      </w:pPr>
      <w:r>
        <w:t>本项目为天然气钻井及试采工程，工程建设内容主要分为</w:t>
      </w:r>
      <w:bookmarkStart w:id="132" w:name="OLE_LINK112"/>
      <w:bookmarkStart w:id="133" w:name="OLE_LINK111"/>
      <w:r>
        <w:t>钻前工程、钻前工程、</w:t>
      </w:r>
      <w:r>
        <w:rPr>
          <w:rFonts w:hint="eastAsia"/>
          <w:lang w:val="en-US" w:eastAsia="zh-CN"/>
        </w:rPr>
        <w:t>采气</w:t>
      </w:r>
      <w:r>
        <w:rPr>
          <w:rFonts w:hint="eastAsia"/>
        </w:rPr>
        <w:t>工程</w:t>
      </w:r>
      <w:r>
        <w:t>和试采工程</w:t>
      </w:r>
      <w:bookmarkEnd w:id="132"/>
      <w:bookmarkEnd w:id="133"/>
      <w:r>
        <w:t>。本项目的项目组成详见表3.2-1。</w:t>
      </w:r>
    </w:p>
    <w:p>
      <w:pPr>
        <w:pStyle w:val="39"/>
        <w:rPr>
          <w:rFonts w:cs="Times New Roman"/>
        </w:rPr>
        <w:sectPr>
          <w:pgSz w:w="11910" w:h="16840"/>
          <w:pgMar w:top="1417" w:right="1417" w:bottom="1417" w:left="1701" w:header="885" w:footer="1097" w:gutter="0"/>
          <w:pgBorders>
            <w:top w:val="none" w:sz="0" w:space="0"/>
            <w:left w:val="none" w:sz="0" w:space="0"/>
            <w:bottom w:val="none" w:sz="0" w:space="0"/>
            <w:right w:val="none" w:sz="0" w:space="0"/>
          </w:pgBorders>
          <w:pgNumType w:chapStyle="2"/>
          <w:cols w:space="720" w:num="1"/>
          <w:docGrid w:linePitch="326" w:charSpace="0"/>
        </w:sectPr>
      </w:pPr>
    </w:p>
    <w:p>
      <w:pPr>
        <w:pStyle w:val="39"/>
        <w:rPr>
          <w:rFonts w:cs="Times New Roman"/>
        </w:rPr>
      </w:pPr>
      <w:r>
        <w:rPr>
          <w:rFonts w:cs="Times New Roman"/>
        </w:rPr>
        <w:t>表3.2-1  项目组成及主要环境问题</w:t>
      </w:r>
    </w:p>
    <w:tbl>
      <w:tblPr>
        <w:tblStyle w:val="59"/>
        <w:tblW w:w="4997"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615"/>
        <w:gridCol w:w="1129"/>
        <w:gridCol w:w="821"/>
        <w:gridCol w:w="7439"/>
        <w:gridCol w:w="1591"/>
        <w:gridCol w:w="1092"/>
        <w:gridCol w:w="1311"/>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tblHeader/>
          <w:jc w:val="center"/>
        </w:trPr>
        <w:tc>
          <w:tcPr>
            <w:tcW w:w="220" w:type="pct"/>
            <w:vMerge w:val="restart"/>
            <w:vAlign w:val="center"/>
          </w:tcPr>
          <w:p>
            <w:pPr>
              <w:pStyle w:val="97"/>
              <w:rPr>
                <w:b/>
                <w:bCs/>
              </w:rPr>
            </w:pPr>
            <w:r>
              <w:rPr>
                <w:b/>
                <w:bCs/>
              </w:rPr>
              <w:t>名称</w:t>
            </w:r>
          </w:p>
        </w:tc>
        <w:tc>
          <w:tcPr>
            <w:tcW w:w="3352" w:type="pct"/>
            <w:gridSpan w:val="3"/>
            <w:vMerge w:val="restart"/>
            <w:vAlign w:val="center"/>
          </w:tcPr>
          <w:p>
            <w:pPr>
              <w:pStyle w:val="97"/>
              <w:rPr>
                <w:b/>
                <w:bCs/>
              </w:rPr>
            </w:pPr>
            <w:r>
              <w:rPr>
                <w:b/>
                <w:bCs/>
              </w:rPr>
              <w:t>建设内容及规模项目</w:t>
            </w:r>
          </w:p>
        </w:tc>
        <w:tc>
          <w:tcPr>
            <w:tcW w:w="958" w:type="pct"/>
            <w:gridSpan w:val="2"/>
            <w:vAlign w:val="center"/>
          </w:tcPr>
          <w:p>
            <w:pPr>
              <w:pStyle w:val="97"/>
              <w:rPr>
                <w:b/>
                <w:bCs/>
              </w:rPr>
            </w:pPr>
            <w:r>
              <w:rPr>
                <w:b/>
                <w:bCs/>
              </w:rPr>
              <w:t>可能产生的环境影响</w:t>
            </w:r>
          </w:p>
        </w:tc>
        <w:tc>
          <w:tcPr>
            <w:tcW w:w="468" w:type="pct"/>
            <w:vMerge w:val="restart"/>
            <w:vAlign w:val="center"/>
          </w:tcPr>
          <w:p>
            <w:pPr>
              <w:pStyle w:val="97"/>
              <w:rPr>
                <w:b/>
                <w:bCs/>
              </w:rPr>
            </w:pPr>
            <w:r>
              <w:rPr>
                <w:rFonts w:hint="eastAsia"/>
                <w:b/>
                <w:bCs/>
              </w:rPr>
              <w:t>备注</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tblHeader/>
          <w:jc w:val="center"/>
        </w:trPr>
        <w:tc>
          <w:tcPr>
            <w:tcW w:w="220" w:type="pct"/>
            <w:vMerge w:val="continue"/>
            <w:vAlign w:val="center"/>
          </w:tcPr>
          <w:p>
            <w:pPr>
              <w:pStyle w:val="97"/>
              <w:rPr>
                <w:b/>
                <w:bCs/>
              </w:rPr>
            </w:pPr>
          </w:p>
        </w:tc>
        <w:tc>
          <w:tcPr>
            <w:tcW w:w="3352" w:type="pct"/>
            <w:gridSpan w:val="3"/>
            <w:vMerge w:val="continue"/>
            <w:vAlign w:val="center"/>
          </w:tcPr>
          <w:p>
            <w:pPr>
              <w:pStyle w:val="97"/>
              <w:rPr>
                <w:b/>
                <w:bCs/>
              </w:rPr>
            </w:pPr>
          </w:p>
        </w:tc>
        <w:tc>
          <w:tcPr>
            <w:tcW w:w="568" w:type="pct"/>
            <w:vAlign w:val="center"/>
          </w:tcPr>
          <w:p>
            <w:pPr>
              <w:pStyle w:val="97"/>
              <w:rPr>
                <w:b/>
                <w:bCs/>
              </w:rPr>
            </w:pPr>
            <w:r>
              <w:rPr>
                <w:b/>
                <w:bCs/>
              </w:rPr>
              <w:t>施工期</w:t>
            </w:r>
          </w:p>
        </w:tc>
        <w:tc>
          <w:tcPr>
            <w:tcW w:w="390" w:type="pct"/>
            <w:vAlign w:val="center"/>
          </w:tcPr>
          <w:p>
            <w:pPr>
              <w:pStyle w:val="97"/>
              <w:rPr>
                <w:b/>
                <w:bCs/>
              </w:rPr>
            </w:pPr>
            <w:r>
              <w:rPr>
                <w:b/>
                <w:bCs/>
              </w:rPr>
              <w:t>试采期</w:t>
            </w:r>
          </w:p>
        </w:tc>
        <w:tc>
          <w:tcPr>
            <w:tcW w:w="468" w:type="pct"/>
            <w:vMerge w:val="continue"/>
            <w:vAlign w:val="center"/>
          </w:tcPr>
          <w:p>
            <w:pPr>
              <w:pStyle w:val="97"/>
              <w:rPr>
                <w:b/>
                <w:bCs/>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20" w:type="pct"/>
            <w:vMerge w:val="restart"/>
            <w:vAlign w:val="center"/>
          </w:tcPr>
          <w:p>
            <w:pPr>
              <w:pStyle w:val="97"/>
            </w:pPr>
            <w:r>
              <w:t>主体工程</w:t>
            </w:r>
          </w:p>
        </w:tc>
        <w:tc>
          <w:tcPr>
            <w:tcW w:w="403" w:type="pct"/>
            <w:vAlign w:val="center"/>
          </w:tcPr>
          <w:p>
            <w:pPr>
              <w:pStyle w:val="97"/>
              <w:rPr>
                <w:szCs w:val="21"/>
              </w:rPr>
            </w:pPr>
            <w:r>
              <w:rPr>
                <w:szCs w:val="21"/>
              </w:rPr>
              <w:t>气藏地质与气藏工程</w:t>
            </w:r>
          </w:p>
        </w:tc>
        <w:tc>
          <w:tcPr>
            <w:tcW w:w="2949" w:type="pct"/>
            <w:gridSpan w:val="2"/>
            <w:vAlign w:val="center"/>
          </w:tcPr>
          <w:p>
            <w:pPr>
              <w:pStyle w:val="97"/>
              <w:jc w:val="both"/>
              <w:rPr>
                <w:szCs w:val="21"/>
              </w:rPr>
            </w:pPr>
            <w:r>
              <w:rPr>
                <w:szCs w:val="21"/>
              </w:rPr>
              <w:t>P108-2H、P108-3设计目的：落实普光108井区III类储层展布、动用状况及产能，探索采气工艺适用性，P108-2H预计钻遇气层4</w:t>
            </w:r>
            <w:r>
              <w:rPr>
                <w:rFonts w:hint="eastAsia"/>
                <w:szCs w:val="21"/>
              </w:rPr>
              <w:t>9</w:t>
            </w:r>
            <w:r>
              <w:rPr>
                <w:szCs w:val="21"/>
              </w:rPr>
              <w:t>0m，日产气</w:t>
            </w:r>
            <w:r>
              <w:rPr>
                <w:rFonts w:hint="eastAsia"/>
                <w:szCs w:val="21"/>
              </w:rPr>
              <w:t>20</w:t>
            </w:r>
            <w:r>
              <w:rPr>
                <w:szCs w:val="21"/>
              </w:rPr>
              <w:t>×10</w:t>
            </w:r>
            <w:r>
              <w:rPr>
                <w:szCs w:val="21"/>
                <w:vertAlign w:val="superscript"/>
              </w:rPr>
              <w:t>4</w:t>
            </w:r>
            <w:r>
              <w:rPr>
                <w:szCs w:val="21"/>
              </w:rPr>
              <w:t>m</w:t>
            </w:r>
            <w:r>
              <w:rPr>
                <w:szCs w:val="21"/>
                <w:vertAlign w:val="superscript"/>
              </w:rPr>
              <w:t>3</w:t>
            </w:r>
            <w:r>
              <w:rPr>
                <w:szCs w:val="21"/>
              </w:rPr>
              <w:t>/d，预期期末累产气3.57×10</w:t>
            </w:r>
            <w:r>
              <w:rPr>
                <w:szCs w:val="21"/>
                <w:vertAlign w:val="superscript"/>
              </w:rPr>
              <w:t>8</w:t>
            </w:r>
            <w:r>
              <w:rPr>
                <w:szCs w:val="21"/>
              </w:rPr>
              <w:t>m</w:t>
            </w:r>
            <w:r>
              <w:rPr>
                <w:szCs w:val="21"/>
                <w:vertAlign w:val="superscript"/>
              </w:rPr>
              <w:t>3</w:t>
            </w:r>
            <w:r>
              <w:rPr>
                <w:szCs w:val="21"/>
              </w:rPr>
              <w:t>；P108-3预计钻遇气层</w:t>
            </w:r>
            <w:r>
              <w:rPr>
                <w:rFonts w:hint="eastAsia"/>
                <w:szCs w:val="21"/>
              </w:rPr>
              <w:t>695</w:t>
            </w:r>
            <w:r>
              <w:rPr>
                <w:szCs w:val="21"/>
              </w:rPr>
              <w:t>m，日产气</w:t>
            </w:r>
            <w:r>
              <w:rPr>
                <w:rFonts w:hint="eastAsia"/>
                <w:szCs w:val="21"/>
              </w:rPr>
              <w:t>20</w:t>
            </w:r>
            <w:r>
              <w:rPr>
                <w:szCs w:val="21"/>
              </w:rPr>
              <w:t>×10</w:t>
            </w:r>
            <w:r>
              <w:rPr>
                <w:szCs w:val="21"/>
                <w:vertAlign w:val="superscript"/>
              </w:rPr>
              <w:t>4</w:t>
            </w:r>
            <w:r>
              <w:rPr>
                <w:szCs w:val="21"/>
              </w:rPr>
              <w:t>m</w:t>
            </w:r>
            <w:r>
              <w:rPr>
                <w:szCs w:val="21"/>
                <w:vertAlign w:val="superscript"/>
              </w:rPr>
              <w:t>3</w:t>
            </w:r>
            <w:r>
              <w:rPr>
                <w:szCs w:val="21"/>
              </w:rPr>
              <w:t>/d，预期期末累产气3.38×10</w:t>
            </w:r>
            <w:r>
              <w:rPr>
                <w:szCs w:val="21"/>
                <w:vertAlign w:val="superscript"/>
              </w:rPr>
              <w:t>8</w:t>
            </w:r>
            <w:r>
              <w:rPr>
                <w:szCs w:val="21"/>
              </w:rPr>
              <w:t>m</w:t>
            </w:r>
            <w:r>
              <w:rPr>
                <w:szCs w:val="21"/>
                <w:vertAlign w:val="superscript"/>
              </w:rPr>
              <w:t>3</w:t>
            </w:r>
            <w:r>
              <w:rPr>
                <w:szCs w:val="21"/>
              </w:rPr>
              <w:t>。</w:t>
            </w:r>
          </w:p>
        </w:tc>
        <w:tc>
          <w:tcPr>
            <w:tcW w:w="568" w:type="pct"/>
            <w:tcBorders>
              <w:bottom w:val="single" w:color="auto" w:sz="4" w:space="0"/>
            </w:tcBorders>
            <w:vAlign w:val="center"/>
          </w:tcPr>
          <w:p>
            <w:pPr>
              <w:pStyle w:val="97"/>
            </w:pPr>
            <w:r>
              <w:t>/</w:t>
            </w:r>
          </w:p>
        </w:tc>
        <w:tc>
          <w:tcPr>
            <w:tcW w:w="390" w:type="pct"/>
            <w:tcBorders>
              <w:bottom w:val="single" w:color="auto" w:sz="4" w:space="0"/>
            </w:tcBorders>
            <w:vAlign w:val="center"/>
          </w:tcPr>
          <w:p>
            <w:pPr>
              <w:pStyle w:val="97"/>
            </w:pPr>
            <w:r>
              <w:t>/</w:t>
            </w:r>
          </w:p>
        </w:tc>
        <w:tc>
          <w:tcPr>
            <w:tcW w:w="468" w:type="pct"/>
            <w:tcBorders>
              <w:bottom w:val="single" w:color="auto" w:sz="4" w:space="0"/>
            </w:tcBorders>
            <w:vAlign w:val="center"/>
          </w:tcPr>
          <w:p>
            <w:pPr>
              <w:pStyle w:val="97"/>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20" w:type="pct"/>
            <w:vMerge w:val="continue"/>
            <w:vAlign w:val="center"/>
          </w:tcPr>
          <w:p>
            <w:pPr>
              <w:pStyle w:val="97"/>
            </w:pPr>
          </w:p>
        </w:tc>
        <w:tc>
          <w:tcPr>
            <w:tcW w:w="403" w:type="pct"/>
            <w:vAlign w:val="center"/>
          </w:tcPr>
          <w:p>
            <w:pPr>
              <w:pStyle w:val="97"/>
              <w:rPr>
                <w:szCs w:val="21"/>
              </w:rPr>
            </w:pPr>
            <w:r>
              <w:rPr>
                <w:szCs w:val="21"/>
              </w:rPr>
              <w:t>钻前工程</w:t>
            </w:r>
          </w:p>
        </w:tc>
        <w:tc>
          <w:tcPr>
            <w:tcW w:w="2949" w:type="pct"/>
            <w:gridSpan w:val="2"/>
            <w:vAlign w:val="center"/>
          </w:tcPr>
          <w:p>
            <w:pPr>
              <w:pStyle w:val="97"/>
              <w:jc w:val="both"/>
              <w:rPr>
                <w:szCs w:val="21"/>
              </w:rPr>
            </w:pPr>
            <w:r>
              <w:rPr>
                <w:bCs/>
              </w:rPr>
              <w:t>主要利用P108集气站已建井场并扩建井场东侧区域，对现有废水池采用土方填埋，填埋后作为井场用地。井场前场填方区采用“1:1.5填方放坡+格构护坡+护脚墙”支护方式，井场后场清理碎石20cm厚，井场后场设备基础间采用20cm厚C30混凝土进行硬化，井场除设备基础外均采用20cm厚6%水泥稳定碎石铺筑，场内南侧区域新建方井2座（P108-2H、P108-3井）。井场南侧新建废水池，容积为1000m3，依托现有进场道路，表土堆放区位于井场东南侧约70m处</w:t>
            </w:r>
            <w:r>
              <w:rPr>
                <w:rFonts w:hint="eastAsia"/>
                <w:bCs/>
              </w:rPr>
              <w:t>。</w:t>
            </w:r>
          </w:p>
        </w:tc>
        <w:tc>
          <w:tcPr>
            <w:tcW w:w="568" w:type="pct"/>
            <w:tcBorders>
              <w:top w:val="single" w:color="auto" w:sz="4" w:space="0"/>
              <w:bottom w:val="single" w:color="auto" w:sz="4" w:space="0"/>
            </w:tcBorders>
            <w:vAlign w:val="center"/>
          </w:tcPr>
          <w:p>
            <w:pPr>
              <w:pStyle w:val="97"/>
            </w:pPr>
            <w:r>
              <w:t>占用土地、施工扬尘、施工废水、生活污水、施工噪声、生活垃圾、水土流失、弃渣、损坏植被</w:t>
            </w:r>
          </w:p>
        </w:tc>
        <w:tc>
          <w:tcPr>
            <w:tcW w:w="390" w:type="pct"/>
            <w:tcBorders>
              <w:top w:val="single" w:color="auto" w:sz="4" w:space="0"/>
              <w:bottom w:val="single" w:color="auto" w:sz="4" w:space="0"/>
            </w:tcBorders>
            <w:vAlign w:val="center"/>
          </w:tcPr>
          <w:p>
            <w:pPr>
              <w:pStyle w:val="97"/>
            </w:pPr>
            <w:r>
              <w:t>/</w:t>
            </w:r>
          </w:p>
        </w:tc>
        <w:tc>
          <w:tcPr>
            <w:tcW w:w="468" w:type="pct"/>
            <w:tcBorders>
              <w:top w:val="single" w:color="auto" w:sz="4" w:space="0"/>
              <w:bottom w:val="single" w:color="auto" w:sz="4" w:space="0"/>
            </w:tcBorders>
            <w:vAlign w:val="center"/>
          </w:tcPr>
          <w:p>
            <w:pPr>
              <w:pStyle w:val="97"/>
            </w:pPr>
            <w:r>
              <w:rPr>
                <w:rFonts w:hint="eastAsia"/>
              </w:rPr>
              <w:t>依托+新建</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20" w:type="pct"/>
            <w:vMerge w:val="continue"/>
            <w:vAlign w:val="center"/>
          </w:tcPr>
          <w:p>
            <w:pPr>
              <w:pStyle w:val="97"/>
            </w:pPr>
          </w:p>
        </w:tc>
        <w:tc>
          <w:tcPr>
            <w:tcW w:w="403" w:type="pct"/>
            <w:vAlign w:val="center"/>
          </w:tcPr>
          <w:p>
            <w:pPr>
              <w:pStyle w:val="97"/>
              <w:rPr>
                <w:szCs w:val="21"/>
              </w:rPr>
            </w:pPr>
            <w:r>
              <w:rPr>
                <w:bCs/>
              </w:rPr>
              <w:t>钻井工程</w:t>
            </w:r>
          </w:p>
        </w:tc>
        <w:tc>
          <w:tcPr>
            <w:tcW w:w="2949" w:type="pct"/>
            <w:gridSpan w:val="2"/>
            <w:vAlign w:val="center"/>
          </w:tcPr>
          <w:p>
            <w:pPr>
              <w:pStyle w:val="97"/>
              <w:jc w:val="both"/>
              <w:rPr>
                <w:szCs w:val="21"/>
              </w:rPr>
            </w:pPr>
            <w:r>
              <w:rPr>
                <w:bCs/>
                <w:szCs w:val="21"/>
              </w:rPr>
              <w:t>设计井别为勘探井（试采期结束后若满足开发需求，则再转为开发井，并另行办理相关环保手续），P108-2H井目的层为飞仙关组，井型为水平井，设计水平段长1670m，预计钻遇气层490m，采用三开井身结构，套管完井，设计井深5988米。P108-3井目的层为飞仙关组，井型为水平井，设计水平段长2352m，预计钻遇气层695m，采用三开井身结构，套管完井，设计井深6670米</w:t>
            </w:r>
            <w:r>
              <w:rPr>
                <w:szCs w:val="21"/>
              </w:rPr>
              <w:t>。</w:t>
            </w:r>
          </w:p>
        </w:tc>
        <w:tc>
          <w:tcPr>
            <w:tcW w:w="568" w:type="pct"/>
            <w:tcBorders>
              <w:top w:val="single" w:color="auto" w:sz="4" w:space="0"/>
              <w:bottom w:val="single" w:color="auto" w:sz="4" w:space="0"/>
            </w:tcBorders>
            <w:vAlign w:val="center"/>
          </w:tcPr>
          <w:p>
            <w:pPr>
              <w:pStyle w:val="97"/>
            </w:pPr>
            <w:r>
              <w:t>尘、钻井废水、生活污水、钻井噪声、生活垃圾、废泥浆、废岩屑、废油、环境风险</w:t>
            </w:r>
          </w:p>
        </w:tc>
        <w:tc>
          <w:tcPr>
            <w:tcW w:w="390" w:type="pct"/>
            <w:tcBorders>
              <w:top w:val="single" w:color="auto" w:sz="4" w:space="0"/>
              <w:bottom w:val="single" w:color="auto" w:sz="4" w:space="0"/>
            </w:tcBorders>
            <w:vAlign w:val="center"/>
          </w:tcPr>
          <w:p>
            <w:pPr>
              <w:pStyle w:val="97"/>
            </w:pPr>
            <w:r>
              <w:t>/</w:t>
            </w:r>
          </w:p>
        </w:tc>
        <w:tc>
          <w:tcPr>
            <w:tcW w:w="468" w:type="pct"/>
            <w:tcBorders>
              <w:top w:val="single" w:color="auto" w:sz="4" w:space="0"/>
              <w:bottom w:val="single" w:color="auto" w:sz="4" w:space="0"/>
            </w:tcBorders>
            <w:vAlign w:val="center"/>
          </w:tcPr>
          <w:p>
            <w:pPr>
              <w:pStyle w:val="97"/>
            </w:pPr>
            <w:r>
              <w:rPr>
                <w:rFonts w:hint="eastAsia"/>
              </w:rPr>
              <w:t>新建</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20" w:type="pct"/>
            <w:vMerge w:val="continue"/>
            <w:vAlign w:val="center"/>
          </w:tcPr>
          <w:p>
            <w:pPr>
              <w:pStyle w:val="97"/>
            </w:pPr>
          </w:p>
        </w:tc>
        <w:tc>
          <w:tcPr>
            <w:tcW w:w="403" w:type="pct"/>
            <w:vAlign w:val="center"/>
          </w:tcPr>
          <w:p>
            <w:pPr>
              <w:pStyle w:val="97"/>
              <w:rPr>
                <w:rFonts w:hint="eastAsia" w:eastAsia="宋体"/>
                <w:lang w:eastAsia="zh-CN"/>
              </w:rPr>
            </w:pPr>
            <w:r>
              <w:rPr>
                <w:rFonts w:hint="eastAsia"/>
                <w:lang w:eastAsia="zh-CN"/>
              </w:rPr>
              <w:t>采气工程</w:t>
            </w:r>
          </w:p>
        </w:tc>
        <w:tc>
          <w:tcPr>
            <w:tcW w:w="2949" w:type="pct"/>
            <w:gridSpan w:val="2"/>
            <w:vAlign w:val="center"/>
          </w:tcPr>
          <w:p>
            <w:pPr>
              <w:pStyle w:val="97"/>
              <w:jc w:val="both"/>
              <w:rPr>
                <w:szCs w:val="21"/>
              </w:rPr>
            </w:pPr>
            <w:r>
              <w:rPr>
                <w:bCs/>
              </w:rPr>
              <w:t>采用“钻采一体化”投产模式，Φ102mm防硫射孔枪、1米射孔弹一次性射开储层，下入分段多级酸（压）化-生产一体化完井管柱。Ⅰ靶井段采用酸化-控水一体化滑套，分段封隔器4及以上完井油管采用Φ88.9×6.45mm 4c类镍基合金油管；分段封隔器4以下采用Φ88.9×6.45mm 110SS油管。分5段10级进行酸（压）化，其中两端采用酸化改造，中部差层采用多级注入酸压改造。采用HH级105兆帕采气井口，配套70兆帕地面控制系统。施工排量5-7立方米/分钟，井口最高压力95兆帕，总液量2000立方米</w:t>
            </w:r>
            <w:r>
              <w:rPr>
                <w:bCs/>
                <w:szCs w:val="21"/>
              </w:rPr>
              <w:t>。</w:t>
            </w:r>
          </w:p>
        </w:tc>
        <w:tc>
          <w:tcPr>
            <w:tcW w:w="568" w:type="pct"/>
            <w:tcBorders>
              <w:top w:val="single" w:color="auto" w:sz="4" w:space="0"/>
              <w:bottom w:val="single" w:color="auto" w:sz="4" w:space="0"/>
            </w:tcBorders>
            <w:vAlign w:val="center"/>
          </w:tcPr>
          <w:p>
            <w:pPr>
              <w:pStyle w:val="97"/>
              <w:rPr>
                <w:szCs w:val="21"/>
              </w:rPr>
            </w:pPr>
            <w:r>
              <w:rPr>
                <w:szCs w:val="21"/>
              </w:rPr>
              <w:t>测试放喷废气</w:t>
            </w:r>
          </w:p>
          <w:p>
            <w:pPr>
              <w:pStyle w:val="97"/>
              <w:rPr>
                <w:szCs w:val="21"/>
              </w:rPr>
            </w:pPr>
            <w:r>
              <w:rPr>
                <w:szCs w:val="21"/>
              </w:rPr>
              <w:t>压裂废水</w:t>
            </w:r>
          </w:p>
          <w:p>
            <w:pPr>
              <w:pStyle w:val="97"/>
              <w:rPr>
                <w:szCs w:val="21"/>
              </w:rPr>
            </w:pPr>
            <w:r>
              <w:rPr>
                <w:szCs w:val="21"/>
              </w:rPr>
              <w:t>洗井废水</w:t>
            </w:r>
          </w:p>
          <w:p>
            <w:pPr>
              <w:pStyle w:val="97"/>
            </w:pPr>
            <w:r>
              <w:rPr>
                <w:szCs w:val="21"/>
              </w:rPr>
              <w:t>环境风险</w:t>
            </w:r>
          </w:p>
        </w:tc>
        <w:tc>
          <w:tcPr>
            <w:tcW w:w="390" w:type="pct"/>
            <w:tcBorders>
              <w:top w:val="single" w:color="auto" w:sz="4" w:space="0"/>
              <w:bottom w:val="single" w:color="auto" w:sz="4" w:space="0"/>
            </w:tcBorders>
            <w:vAlign w:val="center"/>
          </w:tcPr>
          <w:p>
            <w:pPr>
              <w:pStyle w:val="97"/>
            </w:pPr>
            <w:r>
              <w:t>/</w:t>
            </w:r>
          </w:p>
        </w:tc>
        <w:tc>
          <w:tcPr>
            <w:tcW w:w="468" w:type="pct"/>
            <w:tcBorders>
              <w:top w:val="single" w:color="auto" w:sz="4" w:space="0"/>
              <w:bottom w:val="single" w:color="auto" w:sz="4" w:space="0"/>
            </w:tcBorders>
            <w:vAlign w:val="center"/>
          </w:tcPr>
          <w:p>
            <w:pPr>
              <w:pStyle w:val="97"/>
            </w:pPr>
            <w:r>
              <w:t>新建</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20" w:type="pct"/>
            <w:vMerge w:val="continue"/>
            <w:vAlign w:val="center"/>
          </w:tcPr>
          <w:p>
            <w:pPr>
              <w:pStyle w:val="97"/>
            </w:pPr>
          </w:p>
        </w:tc>
        <w:tc>
          <w:tcPr>
            <w:tcW w:w="403" w:type="pct"/>
            <w:vAlign w:val="center"/>
          </w:tcPr>
          <w:p>
            <w:pPr>
              <w:pStyle w:val="97"/>
            </w:pPr>
            <w:r>
              <w:t>试采工程</w:t>
            </w:r>
          </w:p>
        </w:tc>
        <w:tc>
          <w:tcPr>
            <w:tcW w:w="2949" w:type="pct"/>
            <w:gridSpan w:val="2"/>
            <w:vAlign w:val="center"/>
          </w:tcPr>
          <w:p>
            <w:pPr>
              <w:pStyle w:val="97"/>
              <w:jc w:val="both"/>
            </w:pPr>
            <w:r>
              <w:rPr>
                <w:bCs/>
              </w:rPr>
              <w:t>P108-2H、P108-3井口来气经采气树节流、计量后接入P108集气站的酸气管道，依托P108集气站已有临时分酸、加热、节流流程，外输至天然气净化厂。新建井口流程；并配套通信、自控、防腐等</w:t>
            </w:r>
            <w:r>
              <w:t>。</w:t>
            </w:r>
          </w:p>
        </w:tc>
        <w:tc>
          <w:tcPr>
            <w:tcW w:w="568" w:type="pct"/>
            <w:tcBorders>
              <w:top w:val="single" w:color="auto" w:sz="4" w:space="0"/>
            </w:tcBorders>
            <w:vAlign w:val="center"/>
          </w:tcPr>
          <w:p>
            <w:pPr>
              <w:pStyle w:val="97"/>
            </w:pPr>
            <w:r>
              <w:t>/</w:t>
            </w:r>
          </w:p>
        </w:tc>
        <w:tc>
          <w:tcPr>
            <w:tcW w:w="390" w:type="pct"/>
            <w:tcBorders>
              <w:top w:val="single" w:color="auto" w:sz="4" w:space="0"/>
            </w:tcBorders>
            <w:vAlign w:val="center"/>
          </w:tcPr>
          <w:p>
            <w:pPr>
              <w:pStyle w:val="97"/>
            </w:pPr>
            <w:r>
              <w:t>噪声、废水</w:t>
            </w:r>
          </w:p>
          <w:p>
            <w:pPr>
              <w:pStyle w:val="97"/>
            </w:pPr>
            <w:r>
              <w:t>环境风险</w:t>
            </w:r>
          </w:p>
          <w:p>
            <w:pPr>
              <w:pStyle w:val="97"/>
            </w:pPr>
            <w:r>
              <w:t>废气</w:t>
            </w:r>
          </w:p>
        </w:tc>
        <w:tc>
          <w:tcPr>
            <w:tcW w:w="468" w:type="pct"/>
            <w:tcBorders>
              <w:top w:val="single" w:color="auto" w:sz="4" w:space="0"/>
            </w:tcBorders>
            <w:vAlign w:val="center"/>
          </w:tcPr>
          <w:p>
            <w:pPr>
              <w:pStyle w:val="97"/>
            </w:pPr>
            <w:r>
              <w:rPr>
                <w:rFonts w:hint="eastAsia"/>
              </w:rPr>
              <w:t>依托</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20" w:type="pct"/>
            <w:vMerge w:val="restart"/>
            <w:vAlign w:val="center"/>
          </w:tcPr>
          <w:p>
            <w:pPr>
              <w:pStyle w:val="97"/>
            </w:pPr>
            <w:r>
              <w:t>辅助工程</w:t>
            </w:r>
          </w:p>
        </w:tc>
        <w:tc>
          <w:tcPr>
            <w:tcW w:w="403" w:type="pct"/>
            <w:vAlign w:val="center"/>
          </w:tcPr>
          <w:p>
            <w:pPr>
              <w:pStyle w:val="97"/>
            </w:pPr>
            <w:r>
              <w:t>通讯工程</w:t>
            </w:r>
          </w:p>
        </w:tc>
        <w:tc>
          <w:tcPr>
            <w:tcW w:w="2949" w:type="pct"/>
            <w:gridSpan w:val="2"/>
            <w:vAlign w:val="center"/>
          </w:tcPr>
          <w:p>
            <w:pPr>
              <w:snapToGrid w:val="0"/>
              <w:spacing w:line="240" w:lineRule="auto"/>
              <w:ind w:firstLine="0" w:firstLineChars="0"/>
              <w:rPr>
                <w:rFonts w:ascii="Times New Roman" w:cs="Times New Roman"/>
                <w:kern w:val="2"/>
                <w:sz w:val="21"/>
              </w:rPr>
            </w:pPr>
            <w:r>
              <w:rPr>
                <w:rFonts w:ascii="Times New Roman" w:cs="Times New Roman"/>
                <w:kern w:val="2"/>
                <w:sz w:val="21"/>
              </w:rPr>
              <w:t>含光缆线路、光传输系统、工业以太网、站场广播对讲系统（PA/GA）、工业电视监控系统、周界报警系统、办公网及语音系统、气象系统、紧急疏散广播系统扩容、通信基站。</w:t>
            </w:r>
          </w:p>
        </w:tc>
        <w:tc>
          <w:tcPr>
            <w:tcW w:w="568" w:type="pct"/>
            <w:vMerge w:val="restart"/>
            <w:vAlign w:val="center"/>
          </w:tcPr>
          <w:p>
            <w:pPr>
              <w:pStyle w:val="97"/>
            </w:pPr>
            <w:r>
              <w:t>噪声</w:t>
            </w:r>
          </w:p>
          <w:p>
            <w:pPr>
              <w:pStyle w:val="97"/>
            </w:pPr>
            <w:r>
              <w:t>水土流失</w:t>
            </w:r>
          </w:p>
          <w:p>
            <w:pPr>
              <w:pStyle w:val="97"/>
            </w:pPr>
            <w:r>
              <w:t>植物破坏</w:t>
            </w:r>
          </w:p>
        </w:tc>
        <w:tc>
          <w:tcPr>
            <w:tcW w:w="390" w:type="pct"/>
            <w:tcBorders>
              <w:bottom w:val="single" w:color="000000" w:sz="2" w:space="0"/>
            </w:tcBorders>
            <w:vAlign w:val="center"/>
          </w:tcPr>
          <w:p>
            <w:pPr>
              <w:pStyle w:val="97"/>
            </w:pPr>
            <w:r>
              <w:t>/</w:t>
            </w:r>
          </w:p>
        </w:tc>
        <w:tc>
          <w:tcPr>
            <w:tcW w:w="468" w:type="pct"/>
            <w:tcBorders>
              <w:bottom w:val="single" w:color="000000" w:sz="2" w:space="0"/>
            </w:tcBorders>
            <w:vAlign w:val="center"/>
          </w:tcPr>
          <w:p>
            <w:pPr>
              <w:pStyle w:val="97"/>
            </w:pPr>
            <w:r>
              <w:t>新建</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20" w:type="pct"/>
            <w:vMerge w:val="continue"/>
            <w:vAlign w:val="center"/>
          </w:tcPr>
          <w:p>
            <w:pPr>
              <w:pStyle w:val="97"/>
            </w:pPr>
          </w:p>
        </w:tc>
        <w:tc>
          <w:tcPr>
            <w:tcW w:w="403" w:type="pct"/>
            <w:vAlign w:val="center"/>
          </w:tcPr>
          <w:p>
            <w:pPr>
              <w:pStyle w:val="97"/>
            </w:pPr>
            <w:r>
              <w:t>自动控制</w:t>
            </w:r>
          </w:p>
        </w:tc>
        <w:tc>
          <w:tcPr>
            <w:tcW w:w="2949" w:type="pct"/>
            <w:gridSpan w:val="2"/>
            <w:vAlign w:val="center"/>
          </w:tcPr>
          <w:p>
            <w:pPr>
              <w:snapToGrid w:val="0"/>
              <w:spacing w:line="240" w:lineRule="auto"/>
              <w:ind w:firstLine="0" w:firstLineChars="0"/>
              <w:rPr>
                <w:rFonts w:ascii="Times New Roman" w:cs="Times New Roman"/>
                <w:kern w:val="2"/>
                <w:sz w:val="21"/>
              </w:rPr>
            </w:pPr>
            <w:r>
              <w:rPr>
                <w:rFonts w:ascii="Times New Roman" w:cs="Times New Roman"/>
                <w:kern w:val="2"/>
                <w:sz w:val="21"/>
              </w:rPr>
              <w:t>过程控制系统（PCS）和安全仪表系统（SIS）</w:t>
            </w:r>
          </w:p>
        </w:tc>
        <w:tc>
          <w:tcPr>
            <w:tcW w:w="568" w:type="pct"/>
            <w:vMerge w:val="continue"/>
            <w:vAlign w:val="center"/>
          </w:tcPr>
          <w:p>
            <w:pPr>
              <w:pStyle w:val="97"/>
            </w:pPr>
          </w:p>
        </w:tc>
        <w:tc>
          <w:tcPr>
            <w:tcW w:w="390" w:type="pct"/>
            <w:tcBorders>
              <w:top w:val="single" w:color="000000" w:sz="2" w:space="0"/>
              <w:bottom w:val="single" w:color="000000" w:sz="2" w:space="0"/>
            </w:tcBorders>
            <w:vAlign w:val="center"/>
          </w:tcPr>
          <w:p>
            <w:pPr>
              <w:pStyle w:val="97"/>
            </w:pPr>
            <w:r>
              <w:t>/</w:t>
            </w:r>
          </w:p>
        </w:tc>
        <w:tc>
          <w:tcPr>
            <w:tcW w:w="468" w:type="pct"/>
            <w:tcBorders>
              <w:top w:val="single" w:color="000000" w:sz="2" w:space="0"/>
              <w:bottom w:val="single" w:color="000000" w:sz="2" w:space="0"/>
            </w:tcBorders>
            <w:vAlign w:val="center"/>
          </w:tcPr>
          <w:p>
            <w:pPr>
              <w:pStyle w:val="97"/>
            </w:pPr>
            <w:r>
              <w:t>新建</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20" w:type="pct"/>
            <w:vMerge w:val="continue"/>
            <w:vAlign w:val="center"/>
          </w:tcPr>
          <w:p>
            <w:pPr>
              <w:pStyle w:val="97"/>
            </w:pPr>
          </w:p>
        </w:tc>
        <w:tc>
          <w:tcPr>
            <w:tcW w:w="403" w:type="pct"/>
            <w:vAlign w:val="center"/>
          </w:tcPr>
          <w:p>
            <w:pPr>
              <w:pStyle w:val="97"/>
            </w:pPr>
            <w:r>
              <w:t>给排水工程</w:t>
            </w:r>
          </w:p>
        </w:tc>
        <w:tc>
          <w:tcPr>
            <w:tcW w:w="2949" w:type="pct"/>
            <w:gridSpan w:val="2"/>
            <w:vAlign w:val="center"/>
          </w:tcPr>
          <w:p>
            <w:pPr>
              <w:snapToGrid w:val="0"/>
              <w:spacing w:line="240" w:lineRule="auto"/>
              <w:ind w:firstLine="0" w:firstLineChars="0"/>
              <w:rPr>
                <w:rFonts w:ascii="Times New Roman" w:cs="Times New Roman"/>
                <w:kern w:val="2"/>
                <w:sz w:val="21"/>
              </w:rPr>
            </w:pPr>
            <w:r>
              <w:rPr>
                <w:rFonts w:ascii="Times New Roman" w:cs="Times New Roman"/>
                <w:kern w:val="2"/>
                <w:sz w:val="21"/>
              </w:rPr>
              <w:t>井场生活、生产用水采用罐车拉水的方式，车拉水卸至站场高架水箱，由水箱供给单井站生产生活用水；施工期</w:t>
            </w:r>
            <w:r>
              <w:rPr>
                <w:rFonts w:hint="eastAsia" w:ascii="Times New Roman" w:cs="Times New Roman"/>
                <w:kern w:val="2"/>
                <w:sz w:val="21"/>
                <w:szCs w:val="21"/>
                <w:lang w:eastAsia="zh-CN"/>
              </w:rPr>
              <w:t>人员</w:t>
            </w:r>
            <w:r>
              <w:rPr>
                <w:rFonts w:ascii="Times New Roman" w:cs="Times New Roman"/>
                <w:kern w:val="2"/>
                <w:sz w:val="21"/>
                <w:szCs w:val="21"/>
              </w:rPr>
              <w:t>生活污水依托经</w:t>
            </w:r>
            <w:r>
              <w:rPr>
                <w:rFonts w:ascii="Times New Roman" w:cs="Times New Roman"/>
                <w:bCs/>
                <w:kern w:val="2"/>
                <w:sz w:val="21"/>
                <w:szCs w:val="21"/>
              </w:rPr>
              <w:t>生态环保厕所收集处理</w:t>
            </w:r>
            <w:r>
              <w:rPr>
                <w:rFonts w:ascii="Times New Roman" w:cs="Times New Roman"/>
                <w:kern w:val="2"/>
                <w:sz w:val="21"/>
                <w:szCs w:val="21"/>
              </w:rPr>
              <w:t>后，用作周边农肥，不外排；员工洗澡、食堂废水经单独收集后拉运至普光镇场镇污水处理厂处理</w:t>
            </w:r>
            <w:r>
              <w:rPr>
                <w:rFonts w:ascii="Times New Roman" w:cs="Times New Roman"/>
                <w:kern w:val="2"/>
                <w:sz w:val="21"/>
              </w:rPr>
              <w:t>；雨水依托站内排水沟散排。</w:t>
            </w:r>
          </w:p>
        </w:tc>
        <w:tc>
          <w:tcPr>
            <w:tcW w:w="568" w:type="pct"/>
            <w:vMerge w:val="continue"/>
            <w:vAlign w:val="center"/>
          </w:tcPr>
          <w:p>
            <w:pPr>
              <w:pStyle w:val="97"/>
            </w:pPr>
          </w:p>
        </w:tc>
        <w:tc>
          <w:tcPr>
            <w:tcW w:w="390" w:type="pct"/>
            <w:tcBorders>
              <w:top w:val="single" w:color="000000" w:sz="2" w:space="0"/>
              <w:bottom w:val="single" w:color="000000" w:sz="2" w:space="0"/>
            </w:tcBorders>
            <w:vAlign w:val="center"/>
          </w:tcPr>
          <w:p>
            <w:pPr>
              <w:pStyle w:val="97"/>
            </w:pPr>
            <w:r>
              <w:t>/</w:t>
            </w:r>
          </w:p>
        </w:tc>
        <w:tc>
          <w:tcPr>
            <w:tcW w:w="468" w:type="pct"/>
            <w:tcBorders>
              <w:top w:val="single" w:color="000000" w:sz="2" w:space="0"/>
              <w:bottom w:val="single" w:color="000000" w:sz="2" w:space="0"/>
            </w:tcBorders>
            <w:vAlign w:val="center"/>
          </w:tcPr>
          <w:p>
            <w:pPr>
              <w:pStyle w:val="97"/>
            </w:pPr>
            <w:r>
              <w:t>新建</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20" w:type="pct"/>
            <w:vMerge w:val="continue"/>
            <w:vAlign w:val="center"/>
          </w:tcPr>
          <w:p>
            <w:pPr>
              <w:pStyle w:val="97"/>
            </w:pPr>
          </w:p>
        </w:tc>
        <w:tc>
          <w:tcPr>
            <w:tcW w:w="403" w:type="pct"/>
            <w:vAlign w:val="center"/>
          </w:tcPr>
          <w:p>
            <w:pPr>
              <w:pStyle w:val="97"/>
            </w:pPr>
            <w:r>
              <w:t>供配电</w:t>
            </w:r>
          </w:p>
        </w:tc>
        <w:tc>
          <w:tcPr>
            <w:tcW w:w="2949" w:type="pct"/>
            <w:gridSpan w:val="2"/>
            <w:vAlign w:val="center"/>
          </w:tcPr>
          <w:p>
            <w:pPr>
              <w:snapToGrid w:val="0"/>
              <w:spacing w:line="240" w:lineRule="auto"/>
              <w:ind w:firstLine="0" w:firstLineChars="0"/>
              <w:rPr>
                <w:rFonts w:ascii="Times New Roman" w:cs="Times New Roman"/>
                <w:kern w:val="2"/>
                <w:sz w:val="21"/>
              </w:rPr>
            </w:pPr>
            <w:r>
              <w:rPr>
                <w:rFonts w:ascii="Times New Roman" w:cs="Times New Roman"/>
                <w:kern w:val="2"/>
                <w:sz w:val="21"/>
              </w:rPr>
              <w:t>站内设电力小屋1座，内设35kV高压开关柜、干式变压器柜、低压配电柜和UPS装置。</w:t>
            </w:r>
          </w:p>
        </w:tc>
        <w:tc>
          <w:tcPr>
            <w:tcW w:w="568" w:type="pct"/>
            <w:vMerge w:val="continue"/>
            <w:vAlign w:val="center"/>
          </w:tcPr>
          <w:p>
            <w:pPr>
              <w:pStyle w:val="97"/>
            </w:pPr>
          </w:p>
        </w:tc>
        <w:tc>
          <w:tcPr>
            <w:tcW w:w="390" w:type="pct"/>
            <w:tcBorders>
              <w:top w:val="single" w:color="000000" w:sz="2" w:space="0"/>
              <w:bottom w:val="single" w:color="000000" w:sz="2" w:space="0"/>
            </w:tcBorders>
            <w:vAlign w:val="center"/>
          </w:tcPr>
          <w:p>
            <w:pPr>
              <w:pStyle w:val="97"/>
            </w:pPr>
            <w:r>
              <w:t>/</w:t>
            </w:r>
          </w:p>
        </w:tc>
        <w:tc>
          <w:tcPr>
            <w:tcW w:w="468" w:type="pct"/>
            <w:tcBorders>
              <w:top w:val="single" w:color="000000" w:sz="2" w:space="0"/>
              <w:bottom w:val="single" w:color="000000" w:sz="2" w:space="0"/>
            </w:tcBorders>
            <w:vAlign w:val="center"/>
          </w:tcPr>
          <w:p>
            <w:pPr>
              <w:pStyle w:val="97"/>
            </w:pPr>
            <w:r>
              <w:t>新建</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20" w:type="pct"/>
            <w:vMerge w:val="continue"/>
            <w:vAlign w:val="center"/>
          </w:tcPr>
          <w:p>
            <w:pPr>
              <w:pStyle w:val="97"/>
            </w:pPr>
          </w:p>
        </w:tc>
        <w:tc>
          <w:tcPr>
            <w:tcW w:w="403" w:type="pct"/>
            <w:vAlign w:val="center"/>
          </w:tcPr>
          <w:p>
            <w:pPr>
              <w:pStyle w:val="97"/>
              <w:rPr>
                <w:szCs w:val="21"/>
              </w:rPr>
            </w:pPr>
            <w:r>
              <w:rPr>
                <w:szCs w:val="21"/>
              </w:rPr>
              <w:t>燃气返输管线</w:t>
            </w:r>
          </w:p>
        </w:tc>
        <w:tc>
          <w:tcPr>
            <w:tcW w:w="2949" w:type="pct"/>
            <w:gridSpan w:val="2"/>
            <w:tcBorders>
              <w:bottom w:val="single" w:color="000000" w:sz="2" w:space="0"/>
            </w:tcBorders>
            <w:vAlign w:val="center"/>
          </w:tcPr>
          <w:p>
            <w:pPr>
              <w:snapToGrid w:val="0"/>
              <w:spacing w:line="240" w:lineRule="auto"/>
              <w:ind w:firstLine="0" w:firstLineChars="0"/>
              <w:rPr>
                <w:rFonts w:ascii="Times New Roman" w:cs="Times New Roman"/>
                <w:kern w:val="2"/>
                <w:sz w:val="21"/>
                <w:szCs w:val="21"/>
              </w:rPr>
            </w:pPr>
            <w:bookmarkStart w:id="134" w:name="OLE_LINK107"/>
            <w:bookmarkStart w:id="135" w:name="OLE_LINK108"/>
            <w:r>
              <w:rPr>
                <w:rFonts w:ascii="Times New Roman" w:cs="Times New Roman"/>
                <w:kern w:val="2"/>
                <w:sz w:val="21"/>
                <w:szCs w:val="21"/>
              </w:rPr>
              <w:t>依托现有燃气返输管线，燃料气管线</w:t>
            </w:r>
            <w:r>
              <w:rPr>
                <w:rFonts w:ascii="Times New Roman" w:cs="Times New Roman"/>
                <w:bCs/>
                <w:kern w:val="2"/>
                <w:sz w:val="21"/>
                <w:szCs w:val="21"/>
              </w:rPr>
              <w:t>φ60.3×5GB/T 8163-20无缝钢管</w:t>
            </w:r>
            <w:r>
              <w:rPr>
                <w:rFonts w:ascii="Times New Roman" w:cs="Times New Roman"/>
                <w:kern w:val="2"/>
                <w:sz w:val="21"/>
                <w:szCs w:val="21"/>
              </w:rPr>
              <w:t>，设计压力4MPa，现有燃料气管线与现有集气管道同沟敷设，从11#阀室站出来后，沿着集气管道的路由输送到P108集气站。</w:t>
            </w:r>
            <w:bookmarkEnd w:id="134"/>
            <w:bookmarkEnd w:id="135"/>
          </w:p>
        </w:tc>
        <w:tc>
          <w:tcPr>
            <w:tcW w:w="568" w:type="pct"/>
            <w:vMerge w:val="continue"/>
            <w:vAlign w:val="center"/>
          </w:tcPr>
          <w:p>
            <w:pPr>
              <w:spacing w:line="240" w:lineRule="auto"/>
              <w:ind w:firstLine="0" w:firstLineChars="0"/>
              <w:rPr>
                <w:rFonts w:ascii="Times New Roman" w:cs="Times New Roman"/>
                <w:kern w:val="2"/>
              </w:rPr>
            </w:pPr>
          </w:p>
        </w:tc>
        <w:tc>
          <w:tcPr>
            <w:tcW w:w="390" w:type="pct"/>
            <w:tcBorders>
              <w:top w:val="single" w:color="000000" w:sz="2" w:space="0"/>
              <w:bottom w:val="single" w:color="000000" w:sz="2" w:space="0"/>
            </w:tcBorders>
            <w:vAlign w:val="center"/>
          </w:tcPr>
          <w:p>
            <w:pPr>
              <w:spacing w:line="240" w:lineRule="auto"/>
              <w:ind w:firstLine="0" w:firstLineChars="0"/>
              <w:rPr>
                <w:rFonts w:ascii="Times New Roman" w:cs="Times New Roman"/>
                <w:kern w:val="2"/>
              </w:rPr>
            </w:pPr>
            <w:r>
              <w:rPr>
                <w:rFonts w:ascii="Times New Roman" w:cs="Times New Roman"/>
                <w:kern w:val="2"/>
              </w:rPr>
              <w:t>/</w:t>
            </w:r>
          </w:p>
        </w:tc>
        <w:tc>
          <w:tcPr>
            <w:tcW w:w="468" w:type="pct"/>
            <w:tcBorders>
              <w:top w:val="single" w:color="000000" w:sz="2" w:space="0"/>
              <w:bottom w:val="single" w:color="000000" w:sz="2" w:space="0"/>
            </w:tcBorders>
            <w:vAlign w:val="center"/>
          </w:tcPr>
          <w:p>
            <w:pPr>
              <w:spacing w:line="240" w:lineRule="auto"/>
              <w:ind w:firstLine="0" w:firstLineChars="0"/>
              <w:jc w:val="center"/>
              <w:rPr>
                <w:rFonts w:ascii="Times New Roman" w:cs="Times New Roman"/>
                <w:kern w:val="2"/>
              </w:rPr>
            </w:pPr>
            <w:r>
              <w:rPr>
                <w:rFonts w:hint="eastAsia" w:ascii="Times New Roman" w:cs="Times New Roman"/>
                <w:kern w:val="2"/>
              </w:rPr>
              <w:t>依托</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20" w:type="pct"/>
            <w:vMerge w:val="continue"/>
            <w:vAlign w:val="center"/>
          </w:tcPr>
          <w:p>
            <w:pPr>
              <w:pStyle w:val="97"/>
            </w:pPr>
          </w:p>
        </w:tc>
        <w:tc>
          <w:tcPr>
            <w:tcW w:w="403" w:type="pct"/>
            <w:vAlign w:val="center"/>
          </w:tcPr>
          <w:p>
            <w:pPr>
              <w:pStyle w:val="97"/>
            </w:pPr>
            <w:r>
              <w:t>进场道路</w:t>
            </w:r>
          </w:p>
        </w:tc>
        <w:tc>
          <w:tcPr>
            <w:tcW w:w="2949" w:type="pct"/>
            <w:gridSpan w:val="2"/>
            <w:tcBorders>
              <w:top w:val="single" w:color="000000" w:sz="2" w:space="0"/>
            </w:tcBorders>
            <w:vAlign w:val="center"/>
          </w:tcPr>
          <w:p>
            <w:pPr>
              <w:pStyle w:val="97"/>
              <w:jc w:val="both"/>
            </w:pPr>
            <w:r>
              <w:t>依托井场南侧现有进场道路112m，宽4m</w:t>
            </w:r>
          </w:p>
        </w:tc>
        <w:tc>
          <w:tcPr>
            <w:tcW w:w="568" w:type="pct"/>
            <w:vMerge w:val="continue"/>
            <w:vAlign w:val="center"/>
          </w:tcPr>
          <w:p>
            <w:pPr>
              <w:pStyle w:val="97"/>
            </w:pPr>
          </w:p>
        </w:tc>
        <w:tc>
          <w:tcPr>
            <w:tcW w:w="390" w:type="pct"/>
            <w:tcBorders>
              <w:top w:val="single" w:color="000000" w:sz="2" w:space="0"/>
            </w:tcBorders>
            <w:vAlign w:val="center"/>
          </w:tcPr>
          <w:p>
            <w:pPr>
              <w:pStyle w:val="97"/>
            </w:pPr>
            <w:r>
              <w:t>/</w:t>
            </w:r>
          </w:p>
        </w:tc>
        <w:tc>
          <w:tcPr>
            <w:tcW w:w="468" w:type="pct"/>
            <w:tcBorders>
              <w:top w:val="single" w:color="000000" w:sz="2" w:space="0"/>
            </w:tcBorders>
            <w:vAlign w:val="center"/>
          </w:tcPr>
          <w:p>
            <w:pPr>
              <w:pStyle w:val="97"/>
            </w:pPr>
            <w:r>
              <w:rPr>
                <w:rFonts w:hint="eastAsia"/>
              </w:rPr>
              <w:t>依托</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20" w:type="pct"/>
            <w:vAlign w:val="center"/>
          </w:tcPr>
          <w:p>
            <w:pPr>
              <w:pStyle w:val="97"/>
            </w:pPr>
            <w:r>
              <w:t>仓储工程</w:t>
            </w:r>
          </w:p>
        </w:tc>
        <w:tc>
          <w:tcPr>
            <w:tcW w:w="403" w:type="pct"/>
            <w:vAlign w:val="center"/>
          </w:tcPr>
          <w:p>
            <w:pPr>
              <w:pStyle w:val="97"/>
            </w:pPr>
            <w:r>
              <w:rPr>
                <w:bCs/>
              </w:rPr>
              <w:t>柴油储罐</w:t>
            </w:r>
          </w:p>
        </w:tc>
        <w:tc>
          <w:tcPr>
            <w:tcW w:w="2949" w:type="pct"/>
            <w:gridSpan w:val="2"/>
            <w:tcBorders>
              <w:top w:val="single" w:color="000000" w:sz="2" w:space="0"/>
            </w:tcBorders>
            <w:vAlign w:val="center"/>
          </w:tcPr>
          <w:p>
            <w:pPr>
              <w:pStyle w:val="97"/>
              <w:jc w:val="both"/>
            </w:pPr>
            <w:r>
              <w:t>新建1个柴油罐区，容积20m</w:t>
            </w:r>
            <w:r>
              <w:rPr>
                <w:vertAlign w:val="superscript"/>
              </w:rPr>
              <w:t>3</w:t>
            </w:r>
          </w:p>
        </w:tc>
        <w:tc>
          <w:tcPr>
            <w:tcW w:w="568" w:type="pct"/>
            <w:vAlign w:val="center"/>
          </w:tcPr>
          <w:p>
            <w:pPr>
              <w:pStyle w:val="97"/>
            </w:pPr>
            <w:r>
              <w:t>噪声</w:t>
            </w:r>
          </w:p>
          <w:p>
            <w:pPr>
              <w:pStyle w:val="97"/>
            </w:pPr>
            <w:r>
              <w:t>水土流失</w:t>
            </w:r>
          </w:p>
          <w:p>
            <w:pPr>
              <w:pStyle w:val="97"/>
            </w:pPr>
            <w:r>
              <w:t>植物破坏</w:t>
            </w:r>
          </w:p>
        </w:tc>
        <w:tc>
          <w:tcPr>
            <w:tcW w:w="390" w:type="pct"/>
            <w:tcBorders>
              <w:top w:val="single" w:color="000000" w:sz="2" w:space="0"/>
            </w:tcBorders>
            <w:vAlign w:val="center"/>
          </w:tcPr>
          <w:p>
            <w:pPr>
              <w:pStyle w:val="97"/>
            </w:pPr>
            <w:r>
              <w:t>废油</w:t>
            </w:r>
          </w:p>
          <w:p>
            <w:pPr>
              <w:pStyle w:val="97"/>
            </w:pPr>
            <w:r>
              <w:t>环境风险</w:t>
            </w:r>
          </w:p>
        </w:tc>
        <w:tc>
          <w:tcPr>
            <w:tcW w:w="468" w:type="pct"/>
            <w:tcBorders>
              <w:top w:val="single" w:color="000000" w:sz="2" w:space="0"/>
            </w:tcBorders>
            <w:vAlign w:val="center"/>
          </w:tcPr>
          <w:p>
            <w:pPr>
              <w:pStyle w:val="97"/>
            </w:pPr>
            <w:r>
              <w:rPr>
                <w:rFonts w:hint="eastAsia"/>
              </w:rPr>
              <w:t>新建</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20" w:type="pct"/>
            <w:vAlign w:val="center"/>
          </w:tcPr>
          <w:p>
            <w:pPr>
              <w:pStyle w:val="97"/>
            </w:pPr>
            <w:r>
              <w:t>办公工程</w:t>
            </w:r>
          </w:p>
        </w:tc>
        <w:tc>
          <w:tcPr>
            <w:tcW w:w="403" w:type="pct"/>
            <w:vAlign w:val="center"/>
          </w:tcPr>
          <w:p>
            <w:pPr>
              <w:pStyle w:val="97"/>
            </w:pPr>
            <w:r>
              <w:t>值班室</w:t>
            </w:r>
          </w:p>
        </w:tc>
        <w:tc>
          <w:tcPr>
            <w:tcW w:w="2949" w:type="pct"/>
            <w:gridSpan w:val="2"/>
            <w:tcBorders>
              <w:top w:val="single" w:color="000000" w:sz="2" w:space="0"/>
            </w:tcBorders>
            <w:vAlign w:val="center"/>
          </w:tcPr>
          <w:p>
            <w:pPr>
              <w:pStyle w:val="97"/>
              <w:jc w:val="both"/>
            </w:pPr>
            <w:r>
              <w:t>位P108集气站场西南侧内，项目试采期采取无人值守，依托现有管理人员。</w:t>
            </w:r>
          </w:p>
        </w:tc>
        <w:tc>
          <w:tcPr>
            <w:tcW w:w="568" w:type="pct"/>
            <w:vAlign w:val="center"/>
          </w:tcPr>
          <w:p>
            <w:pPr>
              <w:pStyle w:val="97"/>
            </w:pPr>
            <w:r>
              <w:t>/</w:t>
            </w:r>
          </w:p>
        </w:tc>
        <w:tc>
          <w:tcPr>
            <w:tcW w:w="390" w:type="pct"/>
            <w:tcBorders>
              <w:top w:val="single" w:color="000000" w:sz="2" w:space="0"/>
            </w:tcBorders>
            <w:vAlign w:val="center"/>
          </w:tcPr>
          <w:p>
            <w:pPr>
              <w:pStyle w:val="97"/>
            </w:pPr>
            <w:r>
              <w:t>废水</w:t>
            </w:r>
          </w:p>
        </w:tc>
        <w:tc>
          <w:tcPr>
            <w:tcW w:w="468" w:type="pct"/>
            <w:tcBorders>
              <w:top w:val="single" w:color="000000" w:sz="2" w:space="0"/>
            </w:tcBorders>
            <w:vAlign w:val="center"/>
          </w:tcPr>
          <w:p>
            <w:pPr>
              <w:pStyle w:val="97"/>
            </w:pPr>
            <w:r>
              <w:rPr>
                <w:rFonts w:hint="eastAsia"/>
              </w:rPr>
              <w:t>依托</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20" w:type="pct"/>
            <w:vMerge w:val="restart"/>
            <w:vAlign w:val="center"/>
          </w:tcPr>
          <w:p>
            <w:pPr>
              <w:pStyle w:val="97"/>
            </w:pPr>
            <w:r>
              <w:t>临时工程</w:t>
            </w:r>
          </w:p>
        </w:tc>
        <w:tc>
          <w:tcPr>
            <w:tcW w:w="403" w:type="pct"/>
            <w:vAlign w:val="center"/>
          </w:tcPr>
          <w:p>
            <w:pPr>
              <w:pStyle w:val="97"/>
            </w:pPr>
            <w:r>
              <w:t>水土保持</w:t>
            </w:r>
          </w:p>
        </w:tc>
        <w:tc>
          <w:tcPr>
            <w:tcW w:w="2949" w:type="pct"/>
            <w:gridSpan w:val="2"/>
            <w:vAlign w:val="center"/>
          </w:tcPr>
          <w:p>
            <w:pPr>
              <w:pStyle w:val="97"/>
              <w:jc w:val="both"/>
            </w:pPr>
            <w:r>
              <w:t>做好护坡、堡坎和排水设施。</w:t>
            </w:r>
          </w:p>
        </w:tc>
        <w:tc>
          <w:tcPr>
            <w:tcW w:w="568" w:type="pct"/>
            <w:vMerge w:val="restart"/>
            <w:vAlign w:val="center"/>
          </w:tcPr>
          <w:p>
            <w:pPr>
              <w:pStyle w:val="97"/>
            </w:pPr>
            <w:r>
              <w:t>水土流失</w:t>
            </w:r>
          </w:p>
          <w:p>
            <w:pPr>
              <w:pStyle w:val="97"/>
            </w:pPr>
            <w:r>
              <w:t>植物破坏</w:t>
            </w:r>
          </w:p>
        </w:tc>
        <w:tc>
          <w:tcPr>
            <w:tcW w:w="390" w:type="pct"/>
            <w:vMerge w:val="restart"/>
            <w:vAlign w:val="center"/>
          </w:tcPr>
          <w:p>
            <w:pPr>
              <w:pStyle w:val="97"/>
            </w:pPr>
            <w:r>
              <w:t>/</w:t>
            </w:r>
          </w:p>
        </w:tc>
        <w:tc>
          <w:tcPr>
            <w:tcW w:w="468" w:type="pct"/>
            <w:vAlign w:val="center"/>
          </w:tcPr>
          <w:p>
            <w:pPr>
              <w:pStyle w:val="97"/>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20" w:type="pct"/>
            <w:vMerge w:val="continue"/>
            <w:vAlign w:val="center"/>
          </w:tcPr>
          <w:p>
            <w:pPr>
              <w:pStyle w:val="97"/>
            </w:pPr>
          </w:p>
        </w:tc>
        <w:tc>
          <w:tcPr>
            <w:tcW w:w="403" w:type="pct"/>
            <w:vAlign w:val="center"/>
          </w:tcPr>
          <w:p>
            <w:pPr>
              <w:pStyle w:val="97"/>
            </w:pPr>
            <w:r>
              <w:t>弃渣场</w:t>
            </w:r>
          </w:p>
        </w:tc>
        <w:tc>
          <w:tcPr>
            <w:tcW w:w="2949" w:type="pct"/>
            <w:gridSpan w:val="2"/>
            <w:vAlign w:val="center"/>
          </w:tcPr>
          <w:p>
            <w:pPr>
              <w:pStyle w:val="97"/>
              <w:jc w:val="both"/>
            </w:pPr>
            <w:r>
              <w:t>项目不设弃渣场</w:t>
            </w:r>
          </w:p>
        </w:tc>
        <w:tc>
          <w:tcPr>
            <w:tcW w:w="568" w:type="pct"/>
            <w:vMerge w:val="continue"/>
            <w:vAlign w:val="center"/>
          </w:tcPr>
          <w:p>
            <w:pPr>
              <w:pStyle w:val="97"/>
            </w:pPr>
          </w:p>
        </w:tc>
        <w:tc>
          <w:tcPr>
            <w:tcW w:w="390" w:type="pct"/>
            <w:vMerge w:val="continue"/>
            <w:vAlign w:val="center"/>
          </w:tcPr>
          <w:p>
            <w:pPr>
              <w:pStyle w:val="97"/>
            </w:pPr>
          </w:p>
        </w:tc>
        <w:tc>
          <w:tcPr>
            <w:tcW w:w="468" w:type="pct"/>
            <w:vAlign w:val="center"/>
          </w:tcPr>
          <w:p>
            <w:pPr>
              <w:pStyle w:val="97"/>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20" w:type="pct"/>
            <w:vMerge w:val="continue"/>
            <w:vAlign w:val="center"/>
          </w:tcPr>
          <w:p>
            <w:pPr>
              <w:pStyle w:val="97"/>
            </w:pPr>
          </w:p>
        </w:tc>
        <w:tc>
          <w:tcPr>
            <w:tcW w:w="403" w:type="pct"/>
            <w:vAlign w:val="center"/>
          </w:tcPr>
          <w:p>
            <w:pPr>
              <w:pStyle w:val="97"/>
            </w:pPr>
            <w:r>
              <w:t>表土堆场</w:t>
            </w:r>
          </w:p>
        </w:tc>
        <w:tc>
          <w:tcPr>
            <w:tcW w:w="2949" w:type="pct"/>
            <w:gridSpan w:val="2"/>
            <w:vAlign w:val="center"/>
          </w:tcPr>
          <w:p>
            <w:pPr>
              <w:pStyle w:val="97"/>
              <w:jc w:val="both"/>
            </w:pPr>
            <w:r>
              <w:t>设置专门的表土堆场对表土进行暂存，表土堆场位于井场北侧，施工结束后表土全部回用于绿化、复耕盖土等。</w:t>
            </w:r>
          </w:p>
        </w:tc>
        <w:tc>
          <w:tcPr>
            <w:tcW w:w="568" w:type="pct"/>
            <w:vMerge w:val="continue"/>
            <w:vAlign w:val="center"/>
          </w:tcPr>
          <w:p>
            <w:pPr>
              <w:pStyle w:val="97"/>
            </w:pPr>
          </w:p>
        </w:tc>
        <w:tc>
          <w:tcPr>
            <w:tcW w:w="390" w:type="pct"/>
            <w:vMerge w:val="continue"/>
            <w:vAlign w:val="center"/>
          </w:tcPr>
          <w:p>
            <w:pPr>
              <w:pStyle w:val="97"/>
            </w:pPr>
          </w:p>
        </w:tc>
        <w:tc>
          <w:tcPr>
            <w:tcW w:w="468" w:type="pct"/>
            <w:vAlign w:val="center"/>
          </w:tcPr>
          <w:p>
            <w:pPr>
              <w:pStyle w:val="97"/>
            </w:pPr>
            <w:r>
              <w:t>新建</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20" w:type="pct"/>
            <w:vMerge w:val="continue"/>
            <w:vAlign w:val="center"/>
          </w:tcPr>
          <w:p>
            <w:pPr>
              <w:pStyle w:val="97"/>
            </w:pPr>
          </w:p>
        </w:tc>
        <w:tc>
          <w:tcPr>
            <w:tcW w:w="403" w:type="pct"/>
            <w:vAlign w:val="center"/>
          </w:tcPr>
          <w:p>
            <w:pPr>
              <w:pStyle w:val="97"/>
            </w:pPr>
            <w:r>
              <w:t>道路工程</w:t>
            </w:r>
          </w:p>
        </w:tc>
        <w:tc>
          <w:tcPr>
            <w:tcW w:w="2949" w:type="pct"/>
            <w:gridSpan w:val="2"/>
            <w:vAlign w:val="center"/>
          </w:tcPr>
          <w:p>
            <w:pPr>
              <w:pStyle w:val="97"/>
              <w:jc w:val="both"/>
            </w:pPr>
            <w:r>
              <w:t>利用现有道路</w:t>
            </w:r>
          </w:p>
        </w:tc>
        <w:tc>
          <w:tcPr>
            <w:tcW w:w="568" w:type="pct"/>
            <w:vMerge w:val="continue"/>
            <w:vAlign w:val="center"/>
          </w:tcPr>
          <w:p>
            <w:pPr>
              <w:pStyle w:val="97"/>
            </w:pPr>
          </w:p>
        </w:tc>
        <w:tc>
          <w:tcPr>
            <w:tcW w:w="390" w:type="pct"/>
            <w:vMerge w:val="continue"/>
            <w:vAlign w:val="center"/>
          </w:tcPr>
          <w:p>
            <w:pPr>
              <w:pStyle w:val="97"/>
            </w:pPr>
          </w:p>
        </w:tc>
        <w:tc>
          <w:tcPr>
            <w:tcW w:w="468" w:type="pct"/>
            <w:vAlign w:val="center"/>
          </w:tcPr>
          <w:p>
            <w:pPr>
              <w:pStyle w:val="97"/>
            </w:pPr>
            <w:r>
              <w:rPr>
                <w:rFonts w:hint="eastAsia"/>
              </w:rPr>
              <w:t>依托</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20" w:type="pct"/>
            <w:vMerge w:val="continue"/>
            <w:vAlign w:val="center"/>
          </w:tcPr>
          <w:p>
            <w:pPr>
              <w:pStyle w:val="97"/>
            </w:pPr>
          </w:p>
        </w:tc>
        <w:tc>
          <w:tcPr>
            <w:tcW w:w="403" w:type="pct"/>
            <w:vAlign w:val="center"/>
          </w:tcPr>
          <w:p>
            <w:pPr>
              <w:pStyle w:val="97"/>
            </w:pPr>
            <w:r>
              <w:rPr>
                <w:rFonts w:hint="eastAsia"/>
              </w:rPr>
              <w:t>生活区</w:t>
            </w:r>
          </w:p>
        </w:tc>
        <w:tc>
          <w:tcPr>
            <w:tcW w:w="2949" w:type="pct"/>
            <w:gridSpan w:val="2"/>
            <w:vAlign w:val="center"/>
          </w:tcPr>
          <w:p>
            <w:pPr>
              <w:pStyle w:val="97"/>
              <w:jc w:val="both"/>
            </w:pPr>
            <w:r>
              <w:rPr>
                <w:rFonts w:hint="eastAsia"/>
              </w:rPr>
              <w:t>本项目新建板房临时生活区，位于井场东侧。占地面积为1400m</w:t>
            </w:r>
            <w:r>
              <w:rPr>
                <w:rFonts w:hint="eastAsia"/>
                <w:vertAlign w:val="superscript"/>
              </w:rPr>
              <w:t>2</w:t>
            </w:r>
            <w:r>
              <w:rPr>
                <w:rFonts w:hint="eastAsia"/>
              </w:rPr>
              <w:t>，采用现场吊装活动板房，不涉及结构施工。</w:t>
            </w:r>
          </w:p>
        </w:tc>
        <w:tc>
          <w:tcPr>
            <w:tcW w:w="568" w:type="pct"/>
            <w:vMerge w:val="continue"/>
            <w:vAlign w:val="center"/>
          </w:tcPr>
          <w:p>
            <w:pPr>
              <w:pStyle w:val="97"/>
            </w:pPr>
          </w:p>
        </w:tc>
        <w:tc>
          <w:tcPr>
            <w:tcW w:w="390" w:type="pct"/>
            <w:vMerge w:val="continue"/>
            <w:vAlign w:val="center"/>
          </w:tcPr>
          <w:p>
            <w:pPr>
              <w:pStyle w:val="97"/>
            </w:pPr>
          </w:p>
        </w:tc>
        <w:tc>
          <w:tcPr>
            <w:tcW w:w="468" w:type="pct"/>
            <w:vAlign w:val="center"/>
          </w:tcPr>
          <w:p>
            <w:pPr>
              <w:pStyle w:val="97"/>
            </w:pPr>
            <w:r>
              <w:t>新建</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20" w:type="pct"/>
            <w:vMerge w:val="restart"/>
            <w:vAlign w:val="center"/>
          </w:tcPr>
          <w:p>
            <w:pPr>
              <w:pStyle w:val="97"/>
            </w:pPr>
            <w:r>
              <w:t>环保工程</w:t>
            </w:r>
          </w:p>
        </w:tc>
        <w:tc>
          <w:tcPr>
            <w:tcW w:w="403" w:type="pct"/>
            <w:vAlign w:val="center"/>
          </w:tcPr>
          <w:p>
            <w:pPr>
              <w:pStyle w:val="97"/>
            </w:pPr>
            <w:r>
              <w:rPr>
                <w:szCs w:val="21"/>
              </w:rPr>
              <w:t>风险防范措施</w:t>
            </w:r>
          </w:p>
        </w:tc>
        <w:tc>
          <w:tcPr>
            <w:tcW w:w="2949" w:type="pct"/>
            <w:gridSpan w:val="2"/>
            <w:vAlign w:val="center"/>
          </w:tcPr>
          <w:p>
            <w:pPr>
              <w:pStyle w:val="97"/>
              <w:jc w:val="both"/>
            </w:pPr>
            <w:r>
              <w:rPr>
                <w:szCs w:val="21"/>
              </w:rPr>
              <w:t>放喷池池底和池壁采取防渗措施；制定天然气泄漏应急救援预案并定期演练；事故状态下管线及站场内天然气通过新建放空系统燃烧排放；柴油储罐、污水缓冲罐四周设置防渗围堰。</w:t>
            </w:r>
          </w:p>
        </w:tc>
        <w:tc>
          <w:tcPr>
            <w:tcW w:w="568" w:type="pct"/>
            <w:vAlign w:val="center"/>
          </w:tcPr>
          <w:p>
            <w:pPr>
              <w:pStyle w:val="97"/>
            </w:pPr>
            <w:r>
              <w:t>/</w:t>
            </w:r>
          </w:p>
        </w:tc>
        <w:tc>
          <w:tcPr>
            <w:tcW w:w="390" w:type="pct"/>
            <w:vAlign w:val="center"/>
          </w:tcPr>
          <w:p>
            <w:pPr>
              <w:pStyle w:val="97"/>
            </w:pPr>
            <w:r>
              <w:t>/</w:t>
            </w:r>
          </w:p>
        </w:tc>
        <w:tc>
          <w:tcPr>
            <w:tcW w:w="468" w:type="pct"/>
            <w:vAlign w:val="center"/>
          </w:tcPr>
          <w:p>
            <w:pPr>
              <w:pStyle w:val="97"/>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20" w:type="pct"/>
            <w:vMerge w:val="continue"/>
            <w:vAlign w:val="center"/>
          </w:tcPr>
          <w:p>
            <w:pPr>
              <w:pStyle w:val="97"/>
            </w:pPr>
          </w:p>
        </w:tc>
        <w:tc>
          <w:tcPr>
            <w:tcW w:w="403" w:type="pct"/>
            <w:vMerge w:val="restart"/>
            <w:vAlign w:val="center"/>
          </w:tcPr>
          <w:p>
            <w:pPr>
              <w:pStyle w:val="97"/>
            </w:pPr>
            <w:r>
              <w:t>施工期</w:t>
            </w:r>
          </w:p>
        </w:tc>
        <w:tc>
          <w:tcPr>
            <w:tcW w:w="293" w:type="pct"/>
            <w:vMerge w:val="restart"/>
            <w:vAlign w:val="center"/>
          </w:tcPr>
          <w:p>
            <w:pPr>
              <w:pStyle w:val="97"/>
              <w:jc w:val="both"/>
            </w:pPr>
            <w:r>
              <w:rPr>
                <w:szCs w:val="21"/>
              </w:rPr>
              <w:t>废气</w:t>
            </w:r>
          </w:p>
        </w:tc>
        <w:tc>
          <w:tcPr>
            <w:tcW w:w="2656" w:type="pct"/>
            <w:vAlign w:val="center"/>
          </w:tcPr>
          <w:p>
            <w:pPr>
              <w:pStyle w:val="97"/>
              <w:jc w:val="both"/>
            </w:pPr>
            <w:r>
              <w:rPr>
                <w:szCs w:val="21"/>
              </w:rPr>
              <w:t>采取洒水降尘、道路洒水、车辆清洗，大风天气停止土方开挖作业，使用尾气达标机械车辆等措施。</w:t>
            </w:r>
          </w:p>
        </w:tc>
        <w:tc>
          <w:tcPr>
            <w:tcW w:w="568" w:type="pct"/>
            <w:vAlign w:val="center"/>
          </w:tcPr>
          <w:p>
            <w:pPr>
              <w:pStyle w:val="97"/>
            </w:pPr>
            <w:r>
              <w:rPr>
                <w:szCs w:val="21"/>
              </w:rPr>
              <w:t>扬尘、燃烧废气</w:t>
            </w:r>
          </w:p>
        </w:tc>
        <w:tc>
          <w:tcPr>
            <w:tcW w:w="390" w:type="pct"/>
            <w:vAlign w:val="center"/>
          </w:tcPr>
          <w:p>
            <w:pPr>
              <w:pStyle w:val="97"/>
            </w:pPr>
            <w:r>
              <w:rPr>
                <w:szCs w:val="21"/>
              </w:rPr>
              <w:t>/</w:t>
            </w:r>
          </w:p>
        </w:tc>
        <w:tc>
          <w:tcPr>
            <w:tcW w:w="468" w:type="pct"/>
            <w:vAlign w:val="center"/>
          </w:tcPr>
          <w:p>
            <w:pPr>
              <w:pStyle w:val="97"/>
              <w:rPr>
                <w:szCs w:val="21"/>
              </w:rPr>
            </w:pPr>
            <w:r>
              <w:rPr>
                <w:rFonts w:hint="eastAsia"/>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20" w:type="pct"/>
            <w:vMerge w:val="continue"/>
            <w:vAlign w:val="center"/>
          </w:tcPr>
          <w:p>
            <w:pPr>
              <w:pStyle w:val="97"/>
            </w:pPr>
          </w:p>
        </w:tc>
        <w:tc>
          <w:tcPr>
            <w:tcW w:w="403" w:type="pct"/>
            <w:vMerge w:val="continue"/>
            <w:vAlign w:val="center"/>
          </w:tcPr>
          <w:p>
            <w:pPr>
              <w:pStyle w:val="97"/>
            </w:pPr>
          </w:p>
        </w:tc>
        <w:tc>
          <w:tcPr>
            <w:tcW w:w="293" w:type="pct"/>
            <w:vMerge w:val="continue"/>
            <w:vAlign w:val="center"/>
          </w:tcPr>
          <w:p>
            <w:pPr>
              <w:pStyle w:val="97"/>
              <w:jc w:val="both"/>
              <w:rPr>
                <w:szCs w:val="21"/>
              </w:rPr>
            </w:pPr>
          </w:p>
        </w:tc>
        <w:tc>
          <w:tcPr>
            <w:tcW w:w="2656" w:type="pct"/>
            <w:vAlign w:val="center"/>
          </w:tcPr>
          <w:p>
            <w:pPr>
              <w:pStyle w:val="97"/>
              <w:jc w:val="both"/>
              <w:rPr>
                <w:szCs w:val="21"/>
              </w:rPr>
            </w:pPr>
            <w:r>
              <w:rPr>
                <w:szCs w:val="21"/>
              </w:rPr>
              <w:t>气体钻会产生少量粉尘，喷淋系统，减少粉尘排放</w:t>
            </w:r>
          </w:p>
        </w:tc>
        <w:tc>
          <w:tcPr>
            <w:tcW w:w="568" w:type="pct"/>
            <w:vAlign w:val="center"/>
          </w:tcPr>
          <w:p>
            <w:pPr>
              <w:pStyle w:val="97"/>
              <w:rPr>
                <w:szCs w:val="21"/>
              </w:rPr>
            </w:pPr>
            <w:r>
              <w:rPr>
                <w:szCs w:val="21"/>
              </w:rPr>
              <w:t>粉尘</w:t>
            </w:r>
          </w:p>
        </w:tc>
        <w:tc>
          <w:tcPr>
            <w:tcW w:w="390" w:type="pct"/>
            <w:vAlign w:val="center"/>
          </w:tcPr>
          <w:p>
            <w:pPr>
              <w:pStyle w:val="97"/>
              <w:rPr>
                <w:szCs w:val="21"/>
              </w:rPr>
            </w:pPr>
            <w:r>
              <w:rPr>
                <w:szCs w:val="21"/>
              </w:rPr>
              <w:t>/</w:t>
            </w:r>
          </w:p>
        </w:tc>
        <w:tc>
          <w:tcPr>
            <w:tcW w:w="468" w:type="pct"/>
            <w:vAlign w:val="center"/>
          </w:tcPr>
          <w:p>
            <w:pPr>
              <w:pStyle w:val="97"/>
              <w:rPr>
                <w:szCs w:val="21"/>
              </w:rPr>
            </w:pPr>
            <w:r>
              <w:rPr>
                <w:rFonts w:hint="eastAsia"/>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20" w:type="pct"/>
            <w:vMerge w:val="continue"/>
            <w:vAlign w:val="center"/>
          </w:tcPr>
          <w:p>
            <w:pPr>
              <w:pStyle w:val="97"/>
            </w:pPr>
          </w:p>
        </w:tc>
        <w:tc>
          <w:tcPr>
            <w:tcW w:w="403" w:type="pct"/>
            <w:vMerge w:val="continue"/>
            <w:vAlign w:val="center"/>
          </w:tcPr>
          <w:p>
            <w:pPr>
              <w:pStyle w:val="97"/>
            </w:pPr>
          </w:p>
        </w:tc>
        <w:tc>
          <w:tcPr>
            <w:tcW w:w="293" w:type="pct"/>
            <w:vMerge w:val="continue"/>
            <w:vAlign w:val="center"/>
          </w:tcPr>
          <w:p>
            <w:pPr>
              <w:pStyle w:val="97"/>
              <w:jc w:val="both"/>
              <w:rPr>
                <w:szCs w:val="21"/>
              </w:rPr>
            </w:pPr>
          </w:p>
        </w:tc>
        <w:tc>
          <w:tcPr>
            <w:tcW w:w="2656" w:type="pct"/>
            <w:vAlign w:val="center"/>
          </w:tcPr>
          <w:p>
            <w:pPr>
              <w:pStyle w:val="97"/>
              <w:jc w:val="both"/>
              <w:rPr>
                <w:szCs w:val="21"/>
              </w:rPr>
            </w:pPr>
            <w:r>
              <w:rPr>
                <w:szCs w:val="21"/>
              </w:rPr>
              <w:t>测试放喷废气采取地面灼烧，依托现有2座放喷池（容积均为300m</w:t>
            </w:r>
            <w:r>
              <w:rPr>
                <w:szCs w:val="21"/>
                <w:vertAlign w:val="superscript"/>
              </w:rPr>
              <w:t>3</w:t>
            </w:r>
            <w:r>
              <w:rPr>
                <w:szCs w:val="21"/>
              </w:rPr>
              <w:t>）及迎火墙</w:t>
            </w:r>
            <w:r>
              <w:t>。</w:t>
            </w:r>
          </w:p>
        </w:tc>
        <w:tc>
          <w:tcPr>
            <w:tcW w:w="568" w:type="pct"/>
            <w:vAlign w:val="center"/>
          </w:tcPr>
          <w:p>
            <w:pPr>
              <w:pStyle w:val="97"/>
              <w:rPr>
                <w:szCs w:val="21"/>
              </w:rPr>
            </w:pPr>
            <w:r>
              <w:rPr>
                <w:szCs w:val="21"/>
              </w:rPr>
              <w:t>测试放喷废气</w:t>
            </w:r>
          </w:p>
        </w:tc>
        <w:tc>
          <w:tcPr>
            <w:tcW w:w="390" w:type="pct"/>
            <w:vAlign w:val="center"/>
          </w:tcPr>
          <w:p>
            <w:pPr>
              <w:pStyle w:val="97"/>
              <w:rPr>
                <w:szCs w:val="21"/>
              </w:rPr>
            </w:pPr>
            <w:r>
              <w:rPr>
                <w:szCs w:val="21"/>
              </w:rPr>
              <w:t>/</w:t>
            </w:r>
          </w:p>
        </w:tc>
        <w:tc>
          <w:tcPr>
            <w:tcW w:w="468" w:type="pct"/>
            <w:vAlign w:val="center"/>
          </w:tcPr>
          <w:p>
            <w:pPr>
              <w:pStyle w:val="97"/>
              <w:rPr>
                <w:szCs w:val="21"/>
              </w:rPr>
            </w:pPr>
            <w:r>
              <w:rPr>
                <w:rFonts w:hint="eastAsia"/>
                <w:szCs w:val="21"/>
              </w:rPr>
              <w:t>依托</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20" w:type="pct"/>
            <w:vMerge w:val="continue"/>
            <w:vAlign w:val="center"/>
          </w:tcPr>
          <w:p>
            <w:pPr>
              <w:pStyle w:val="97"/>
            </w:pPr>
          </w:p>
        </w:tc>
        <w:tc>
          <w:tcPr>
            <w:tcW w:w="403" w:type="pct"/>
            <w:vMerge w:val="continue"/>
            <w:vAlign w:val="center"/>
          </w:tcPr>
          <w:p>
            <w:pPr>
              <w:pStyle w:val="97"/>
            </w:pPr>
          </w:p>
        </w:tc>
        <w:tc>
          <w:tcPr>
            <w:tcW w:w="293" w:type="pct"/>
            <w:vAlign w:val="center"/>
          </w:tcPr>
          <w:p>
            <w:pPr>
              <w:pStyle w:val="97"/>
              <w:jc w:val="both"/>
            </w:pPr>
            <w:r>
              <w:rPr>
                <w:szCs w:val="21"/>
              </w:rPr>
              <w:t>废水</w:t>
            </w:r>
          </w:p>
        </w:tc>
        <w:tc>
          <w:tcPr>
            <w:tcW w:w="2656" w:type="pct"/>
            <w:vAlign w:val="center"/>
          </w:tcPr>
          <w:p>
            <w:pPr>
              <w:pStyle w:val="97"/>
              <w:jc w:val="both"/>
            </w:pPr>
            <w:r>
              <w:rPr>
                <w:szCs w:val="21"/>
              </w:rPr>
              <w:t>施工期井场施工</w:t>
            </w:r>
            <w:r>
              <w:rPr>
                <w:rFonts w:hint="eastAsia"/>
                <w:szCs w:val="21"/>
                <w:lang w:eastAsia="zh-CN"/>
              </w:rPr>
              <w:t>人员</w:t>
            </w:r>
            <w:r>
              <w:rPr>
                <w:szCs w:val="21"/>
              </w:rPr>
              <w:t>生活污水依托经</w:t>
            </w:r>
            <w:r>
              <w:rPr>
                <w:bCs/>
                <w:szCs w:val="21"/>
              </w:rPr>
              <w:t>生态环保厕所收集处理</w:t>
            </w:r>
            <w:r>
              <w:t>后，用作周边农肥，不外排；员工洗澡、食堂废水经单独收集后拉运至普光镇场镇污水处理厂处理</w:t>
            </w:r>
            <w:r>
              <w:rPr>
                <w:szCs w:val="21"/>
              </w:rPr>
              <w:t>；施工生产废水经隔油沉淀池（2m</w:t>
            </w:r>
            <w:r>
              <w:rPr>
                <w:szCs w:val="21"/>
                <w:vertAlign w:val="superscript"/>
              </w:rPr>
              <w:t>3</w:t>
            </w:r>
            <w:r>
              <w:rPr>
                <w:szCs w:val="21"/>
              </w:rPr>
              <w:t>）沉淀后洒水降尘使用</w:t>
            </w:r>
            <w:r>
              <w:t>；</w:t>
            </w:r>
            <w:r>
              <w:rPr>
                <w:szCs w:val="21"/>
              </w:rPr>
              <w:t>钻井废水经清洁化操作平台预处理后装车拉运至毛开1井回注站回注</w:t>
            </w:r>
            <w:r>
              <w:t>；</w:t>
            </w:r>
            <w:r>
              <w:rPr>
                <w:szCs w:val="21"/>
              </w:rPr>
              <w:t>压裂废水和洗井废水暂存于</w:t>
            </w:r>
            <w:r>
              <w:rPr>
                <w:rFonts w:hint="eastAsia"/>
                <w:szCs w:val="21"/>
              </w:rPr>
              <w:t>废水池</w:t>
            </w:r>
            <w:r>
              <w:rPr>
                <w:szCs w:val="21"/>
              </w:rPr>
              <w:t>，</w:t>
            </w:r>
            <w:r>
              <w:rPr>
                <w:rFonts w:hint="eastAsia"/>
                <w:szCs w:val="21"/>
              </w:rPr>
              <w:t>定期</w:t>
            </w:r>
            <w:r>
              <w:rPr>
                <w:szCs w:val="21"/>
              </w:rPr>
              <w:t>装车拉运至大湾403污水站处理达标后管输至毛开1井回注站回注</w:t>
            </w:r>
            <w:r>
              <w:t>。</w:t>
            </w:r>
          </w:p>
        </w:tc>
        <w:tc>
          <w:tcPr>
            <w:tcW w:w="568" w:type="pct"/>
            <w:vAlign w:val="center"/>
          </w:tcPr>
          <w:p>
            <w:pPr>
              <w:pStyle w:val="97"/>
            </w:pPr>
            <w:r>
              <w:rPr>
                <w:szCs w:val="21"/>
              </w:rPr>
              <w:t>/</w:t>
            </w:r>
          </w:p>
        </w:tc>
        <w:tc>
          <w:tcPr>
            <w:tcW w:w="390" w:type="pct"/>
            <w:vAlign w:val="center"/>
          </w:tcPr>
          <w:p>
            <w:pPr>
              <w:pStyle w:val="97"/>
            </w:pPr>
            <w:r>
              <w:rPr>
                <w:szCs w:val="21"/>
              </w:rPr>
              <w:t>/</w:t>
            </w:r>
          </w:p>
        </w:tc>
        <w:tc>
          <w:tcPr>
            <w:tcW w:w="468" w:type="pct"/>
            <w:vAlign w:val="center"/>
          </w:tcPr>
          <w:p>
            <w:pPr>
              <w:pStyle w:val="97"/>
              <w:rPr>
                <w:szCs w:val="21"/>
              </w:rPr>
            </w:pPr>
            <w:r>
              <w:rPr>
                <w:rFonts w:hint="eastAsia"/>
                <w:szCs w:val="21"/>
              </w:rPr>
              <w:t>依托</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20" w:type="pct"/>
            <w:vMerge w:val="continue"/>
            <w:vAlign w:val="center"/>
          </w:tcPr>
          <w:p>
            <w:pPr>
              <w:pStyle w:val="97"/>
            </w:pPr>
          </w:p>
        </w:tc>
        <w:tc>
          <w:tcPr>
            <w:tcW w:w="403" w:type="pct"/>
            <w:vMerge w:val="continue"/>
            <w:vAlign w:val="center"/>
          </w:tcPr>
          <w:p>
            <w:pPr>
              <w:pStyle w:val="97"/>
            </w:pPr>
          </w:p>
        </w:tc>
        <w:tc>
          <w:tcPr>
            <w:tcW w:w="293" w:type="pct"/>
            <w:vAlign w:val="center"/>
          </w:tcPr>
          <w:p>
            <w:pPr>
              <w:pStyle w:val="97"/>
              <w:jc w:val="both"/>
              <w:rPr>
                <w:szCs w:val="21"/>
              </w:rPr>
            </w:pPr>
            <w:r>
              <w:rPr>
                <w:szCs w:val="21"/>
              </w:rPr>
              <w:t>噪声</w:t>
            </w:r>
          </w:p>
        </w:tc>
        <w:tc>
          <w:tcPr>
            <w:tcW w:w="2656" w:type="pct"/>
            <w:vAlign w:val="center"/>
          </w:tcPr>
          <w:p>
            <w:pPr>
              <w:pStyle w:val="97"/>
              <w:jc w:val="both"/>
              <w:rPr>
                <w:szCs w:val="21"/>
              </w:rPr>
            </w:pPr>
            <w:r>
              <w:rPr>
                <w:szCs w:val="21"/>
              </w:rPr>
              <w:t>采取合理安排作业时间，合理布置施工机械等措施，</w:t>
            </w:r>
            <w:r>
              <w:t>钻井施工采用网电</w:t>
            </w:r>
            <w:r>
              <w:rPr>
                <w:szCs w:val="21"/>
              </w:rPr>
              <w:t>。</w:t>
            </w:r>
          </w:p>
        </w:tc>
        <w:tc>
          <w:tcPr>
            <w:tcW w:w="568" w:type="pct"/>
            <w:vAlign w:val="center"/>
          </w:tcPr>
          <w:p>
            <w:pPr>
              <w:pStyle w:val="97"/>
              <w:rPr>
                <w:szCs w:val="21"/>
              </w:rPr>
            </w:pPr>
            <w:r>
              <w:rPr>
                <w:szCs w:val="21"/>
              </w:rPr>
              <w:t>/</w:t>
            </w:r>
          </w:p>
        </w:tc>
        <w:tc>
          <w:tcPr>
            <w:tcW w:w="390" w:type="pct"/>
            <w:vAlign w:val="center"/>
          </w:tcPr>
          <w:p>
            <w:pPr>
              <w:pStyle w:val="97"/>
              <w:rPr>
                <w:szCs w:val="21"/>
              </w:rPr>
            </w:pPr>
            <w:r>
              <w:rPr>
                <w:szCs w:val="21"/>
              </w:rPr>
              <w:t>/</w:t>
            </w:r>
          </w:p>
        </w:tc>
        <w:tc>
          <w:tcPr>
            <w:tcW w:w="468" w:type="pct"/>
            <w:vAlign w:val="center"/>
          </w:tcPr>
          <w:p>
            <w:pPr>
              <w:pStyle w:val="97"/>
              <w:rPr>
                <w:szCs w:val="21"/>
              </w:rPr>
            </w:pPr>
            <w:r>
              <w:rPr>
                <w:rFonts w:hint="eastAsia"/>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20" w:type="pct"/>
            <w:vMerge w:val="continue"/>
            <w:vAlign w:val="center"/>
          </w:tcPr>
          <w:p>
            <w:pPr>
              <w:pStyle w:val="97"/>
            </w:pPr>
          </w:p>
        </w:tc>
        <w:tc>
          <w:tcPr>
            <w:tcW w:w="403" w:type="pct"/>
            <w:vMerge w:val="continue"/>
            <w:vAlign w:val="center"/>
          </w:tcPr>
          <w:p>
            <w:pPr>
              <w:pStyle w:val="97"/>
            </w:pPr>
          </w:p>
        </w:tc>
        <w:tc>
          <w:tcPr>
            <w:tcW w:w="293" w:type="pct"/>
            <w:vAlign w:val="center"/>
          </w:tcPr>
          <w:p>
            <w:pPr>
              <w:pStyle w:val="97"/>
              <w:jc w:val="both"/>
              <w:rPr>
                <w:szCs w:val="21"/>
              </w:rPr>
            </w:pPr>
            <w:r>
              <w:rPr>
                <w:szCs w:val="21"/>
              </w:rPr>
              <w:t>固体废物</w:t>
            </w:r>
          </w:p>
        </w:tc>
        <w:tc>
          <w:tcPr>
            <w:tcW w:w="2656" w:type="pct"/>
            <w:vAlign w:val="center"/>
          </w:tcPr>
          <w:p>
            <w:pPr>
              <w:pStyle w:val="97"/>
              <w:jc w:val="both"/>
              <w:rPr>
                <w:szCs w:val="21"/>
              </w:rPr>
            </w:pPr>
            <w:r>
              <w:rPr>
                <w:szCs w:val="21"/>
              </w:rPr>
              <w:t>开挖土石方经回填后，实现挖填平衡，无弃方产生；施工人员生活垃圾交环卫处置。</w:t>
            </w:r>
            <w:r>
              <w:t>一~三开井段均采用水基钻井液：采用清洁化操作平台，并采取泥浆不落地措施，空气钻岩屑及时拉运填埋处理，项目产生的废弃泥浆与常规钻产生的废岩屑采用清洁化操作平台，并采取泥浆不落地措施，按照相关要求进行资源化利用；</w:t>
            </w:r>
            <w:r>
              <w:rPr>
                <w:szCs w:val="21"/>
              </w:rPr>
              <w:t>三开井段采用白油基钻井液：</w:t>
            </w:r>
            <w:r>
              <w:t>采用清洁化操作平台，并采取泥浆不落地措施，</w:t>
            </w:r>
            <w:r>
              <w:rPr>
                <w:bCs/>
              </w:rPr>
              <w:t>水基岩屑、</w:t>
            </w:r>
            <w:r>
              <w:t>水基泥浆按照相关要求进行资源化利用，废油基岩屑、废油基泥浆袋装后暂存于危废暂存间，面积约</w:t>
            </w:r>
            <w:r>
              <w:rPr>
                <w:rFonts w:hint="eastAsia"/>
              </w:rPr>
              <w:t>2</w:t>
            </w:r>
            <w:r>
              <w:t>5m</w:t>
            </w:r>
            <w:r>
              <w:rPr>
                <w:vertAlign w:val="superscript"/>
              </w:rPr>
              <w:t>2</w:t>
            </w:r>
            <w:r>
              <w:t>，暂存间地面采取必要的防护措施（防风、防雨、防晒、防渗、防漏、防腐）及其他环境污染防护措施，委托有资质单位处理；废油暂存于危废暂存间，面积约</w:t>
            </w:r>
            <w:r>
              <w:rPr>
                <w:rFonts w:hint="eastAsia"/>
              </w:rPr>
              <w:t>2</w:t>
            </w:r>
            <w:r>
              <w:t>5m</w:t>
            </w:r>
            <w:r>
              <w:rPr>
                <w:vertAlign w:val="superscript"/>
              </w:rPr>
              <w:t>2</w:t>
            </w:r>
            <w:r>
              <w:t>，暂存间地面采取</w:t>
            </w:r>
            <w:r>
              <w:rPr>
                <w:rFonts w:hint="eastAsia"/>
              </w:rPr>
              <w:t>必要的防护</w:t>
            </w:r>
            <w:r>
              <w:t>措施（防风、防雨、防晒、防渗</w:t>
            </w:r>
            <w:r>
              <w:rPr>
                <w:rFonts w:hint="eastAsia"/>
              </w:rPr>
              <w:t>、防</w:t>
            </w:r>
            <w:r>
              <w:t>漏</w:t>
            </w:r>
            <w:r>
              <w:rPr>
                <w:rFonts w:hint="eastAsia"/>
              </w:rPr>
              <w:t>、防腐</w:t>
            </w:r>
            <w:r>
              <w:t>）</w:t>
            </w:r>
            <w:r>
              <w:rPr>
                <w:rFonts w:hint="eastAsia"/>
              </w:rPr>
              <w:t>及其他环境污染防护措施</w:t>
            </w:r>
            <w:r>
              <w:t>，废油及时清运至企业净化厂危险废物贮存仓库，定期委托有资质单位进行处理</w:t>
            </w:r>
            <w:r>
              <w:rPr>
                <w:szCs w:val="21"/>
              </w:rPr>
              <w:t>。</w:t>
            </w:r>
          </w:p>
        </w:tc>
        <w:tc>
          <w:tcPr>
            <w:tcW w:w="568" w:type="pct"/>
            <w:vAlign w:val="center"/>
          </w:tcPr>
          <w:p>
            <w:pPr>
              <w:pStyle w:val="97"/>
              <w:rPr>
                <w:szCs w:val="21"/>
              </w:rPr>
            </w:pPr>
            <w:r>
              <w:rPr>
                <w:szCs w:val="21"/>
              </w:rPr>
              <w:t>/</w:t>
            </w:r>
          </w:p>
        </w:tc>
        <w:tc>
          <w:tcPr>
            <w:tcW w:w="390" w:type="pct"/>
            <w:vAlign w:val="center"/>
          </w:tcPr>
          <w:p>
            <w:pPr>
              <w:pStyle w:val="97"/>
              <w:rPr>
                <w:szCs w:val="21"/>
              </w:rPr>
            </w:pPr>
            <w:r>
              <w:rPr>
                <w:szCs w:val="21"/>
              </w:rPr>
              <w:t>/</w:t>
            </w:r>
          </w:p>
        </w:tc>
        <w:tc>
          <w:tcPr>
            <w:tcW w:w="468" w:type="pct"/>
            <w:vAlign w:val="center"/>
          </w:tcPr>
          <w:p>
            <w:pPr>
              <w:pStyle w:val="97"/>
              <w:rPr>
                <w:szCs w:val="21"/>
              </w:rPr>
            </w:pPr>
            <w:r>
              <w:rPr>
                <w:rFonts w:hint="eastAsia"/>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20" w:type="pct"/>
            <w:vMerge w:val="continue"/>
            <w:vAlign w:val="center"/>
          </w:tcPr>
          <w:p>
            <w:pPr>
              <w:pStyle w:val="97"/>
            </w:pPr>
          </w:p>
        </w:tc>
        <w:tc>
          <w:tcPr>
            <w:tcW w:w="403" w:type="pct"/>
            <w:vMerge w:val="continue"/>
            <w:vAlign w:val="center"/>
          </w:tcPr>
          <w:p>
            <w:pPr>
              <w:pStyle w:val="97"/>
            </w:pPr>
          </w:p>
        </w:tc>
        <w:tc>
          <w:tcPr>
            <w:tcW w:w="293" w:type="pct"/>
            <w:vAlign w:val="center"/>
          </w:tcPr>
          <w:p>
            <w:pPr>
              <w:pStyle w:val="134"/>
              <w:jc w:val="both"/>
            </w:pPr>
            <w:r>
              <w:t>生态保护</w:t>
            </w:r>
          </w:p>
        </w:tc>
        <w:tc>
          <w:tcPr>
            <w:tcW w:w="2656" w:type="pct"/>
            <w:vAlign w:val="center"/>
          </w:tcPr>
          <w:p>
            <w:pPr>
              <w:pStyle w:val="134"/>
              <w:jc w:val="both"/>
            </w:pPr>
            <w:r>
              <w:t>站场施工：井场及临时堆土区分区采取相应的表土剥离、截排水沟、排污沟、井场边沟、植草等措施，覆土、土地整治及临时措施。</w:t>
            </w:r>
          </w:p>
        </w:tc>
        <w:tc>
          <w:tcPr>
            <w:tcW w:w="568" w:type="pct"/>
            <w:vAlign w:val="center"/>
          </w:tcPr>
          <w:p>
            <w:pPr>
              <w:pStyle w:val="134"/>
            </w:pPr>
            <w:r>
              <w:t>水土流失</w:t>
            </w:r>
          </w:p>
          <w:p>
            <w:pPr>
              <w:pStyle w:val="134"/>
            </w:pPr>
            <w:r>
              <w:t>植物破坏</w:t>
            </w:r>
          </w:p>
        </w:tc>
        <w:tc>
          <w:tcPr>
            <w:tcW w:w="390" w:type="pct"/>
            <w:vAlign w:val="center"/>
          </w:tcPr>
          <w:p>
            <w:pPr>
              <w:pStyle w:val="134"/>
            </w:pPr>
            <w:r>
              <w:t>恢复地貌</w:t>
            </w:r>
          </w:p>
        </w:tc>
        <w:tc>
          <w:tcPr>
            <w:tcW w:w="468" w:type="pct"/>
            <w:vAlign w:val="center"/>
          </w:tcPr>
          <w:p>
            <w:pPr>
              <w:pStyle w:val="134"/>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20" w:type="pct"/>
            <w:vMerge w:val="continue"/>
            <w:vAlign w:val="center"/>
          </w:tcPr>
          <w:p>
            <w:pPr>
              <w:pStyle w:val="97"/>
            </w:pPr>
          </w:p>
        </w:tc>
        <w:tc>
          <w:tcPr>
            <w:tcW w:w="403" w:type="pct"/>
            <w:vMerge w:val="restart"/>
            <w:vAlign w:val="center"/>
          </w:tcPr>
          <w:p>
            <w:pPr>
              <w:pStyle w:val="97"/>
            </w:pPr>
            <w:r>
              <w:t>试采期</w:t>
            </w:r>
          </w:p>
        </w:tc>
        <w:tc>
          <w:tcPr>
            <w:tcW w:w="293" w:type="pct"/>
            <w:vMerge w:val="restart"/>
            <w:vAlign w:val="center"/>
          </w:tcPr>
          <w:p>
            <w:pPr>
              <w:pStyle w:val="134"/>
              <w:jc w:val="both"/>
            </w:pPr>
            <w:r>
              <w:t>废气</w:t>
            </w:r>
          </w:p>
        </w:tc>
        <w:tc>
          <w:tcPr>
            <w:tcW w:w="2656" w:type="pct"/>
            <w:vAlign w:val="center"/>
          </w:tcPr>
          <w:p>
            <w:pPr>
              <w:pStyle w:val="134"/>
              <w:jc w:val="both"/>
            </w:pPr>
            <w:r>
              <w:t>正常工况下无废气排放，本项目不设水套炉，依托P108集气站水套炉，燃料气为经燃气返输管线返输净化后天然气，废气主要为氮氧化物，利用水套炉自带的8m高排气筒外排。</w:t>
            </w:r>
          </w:p>
        </w:tc>
        <w:tc>
          <w:tcPr>
            <w:tcW w:w="568" w:type="pct"/>
            <w:vAlign w:val="center"/>
          </w:tcPr>
          <w:p>
            <w:pPr>
              <w:pStyle w:val="134"/>
            </w:pPr>
            <w:r>
              <w:t>/</w:t>
            </w:r>
          </w:p>
        </w:tc>
        <w:tc>
          <w:tcPr>
            <w:tcW w:w="390" w:type="pct"/>
            <w:vAlign w:val="center"/>
          </w:tcPr>
          <w:p>
            <w:pPr>
              <w:pStyle w:val="134"/>
            </w:pPr>
            <w:r>
              <w:t>/</w:t>
            </w:r>
          </w:p>
        </w:tc>
        <w:tc>
          <w:tcPr>
            <w:tcW w:w="468" w:type="pct"/>
            <w:vAlign w:val="center"/>
          </w:tcPr>
          <w:p>
            <w:pPr>
              <w:pStyle w:val="134"/>
            </w:pPr>
            <w:r>
              <w:rPr>
                <w:rFonts w:hint="eastAsia"/>
              </w:rPr>
              <w:t>依托</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20" w:type="pct"/>
            <w:vMerge w:val="continue"/>
            <w:vAlign w:val="center"/>
          </w:tcPr>
          <w:p>
            <w:pPr>
              <w:pStyle w:val="97"/>
            </w:pPr>
          </w:p>
        </w:tc>
        <w:tc>
          <w:tcPr>
            <w:tcW w:w="403" w:type="pct"/>
            <w:vMerge w:val="continue"/>
            <w:vAlign w:val="center"/>
          </w:tcPr>
          <w:p>
            <w:pPr>
              <w:pStyle w:val="97"/>
            </w:pPr>
          </w:p>
        </w:tc>
        <w:tc>
          <w:tcPr>
            <w:tcW w:w="293" w:type="pct"/>
            <w:vMerge w:val="continue"/>
            <w:vAlign w:val="center"/>
          </w:tcPr>
          <w:p>
            <w:pPr>
              <w:pStyle w:val="134"/>
              <w:jc w:val="both"/>
            </w:pPr>
          </w:p>
        </w:tc>
        <w:tc>
          <w:tcPr>
            <w:tcW w:w="2656" w:type="pct"/>
            <w:vAlign w:val="center"/>
          </w:tcPr>
          <w:p>
            <w:pPr>
              <w:pStyle w:val="134"/>
              <w:jc w:val="both"/>
            </w:pPr>
            <w:r>
              <w:t>事故/检修放空废气：P108集气站设有放空火炬区，用于集气站或管线在事故或检修状态下产生的废气的点火放空，废气经放空火炬（100m）排放。</w:t>
            </w:r>
          </w:p>
        </w:tc>
        <w:tc>
          <w:tcPr>
            <w:tcW w:w="568" w:type="pct"/>
            <w:vAlign w:val="center"/>
          </w:tcPr>
          <w:p>
            <w:pPr>
              <w:pStyle w:val="134"/>
            </w:pPr>
            <w:r>
              <w:t>/</w:t>
            </w:r>
          </w:p>
        </w:tc>
        <w:tc>
          <w:tcPr>
            <w:tcW w:w="390" w:type="pct"/>
            <w:vAlign w:val="center"/>
          </w:tcPr>
          <w:p>
            <w:pPr>
              <w:pStyle w:val="134"/>
            </w:pPr>
            <w:r>
              <w:t>/</w:t>
            </w:r>
          </w:p>
        </w:tc>
        <w:tc>
          <w:tcPr>
            <w:tcW w:w="468" w:type="pct"/>
            <w:vAlign w:val="center"/>
          </w:tcPr>
          <w:p>
            <w:pPr>
              <w:pStyle w:val="134"/>
            </w:pPr>
            <w:r>
              <w:rPr>
                <w:rFonts w:hint="eastAsia"/>
              </w:rPr>
              <w:t>依托</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20" w:type="pct"/>
            <w:vMerge w:val="continue"/>
            <w:vAlign w:val="center"/>
          </w:tcPr>
          <w:p>
            <w:pPr>
              <w:pStyle w:val="97"/>
            </w:pPr>
          </w:p>
        </w:tc>
        <w:tc>
          <w:tcPr>
            <w:tcW w:w="403" w:type="pct"/>
            <w:vMerge w:val="continue"/>
            <w:vAlign w:val="center"/>
          </w:tcPr>
          <w:p>
            <w:pPr>
              <w:pStyle w:val="97"/>
            </w:pPr>
          </w:p>
        </w:tc>
        <w:tc>
          <w:tcPr>
            <w:tcW w:w="293" w:type="pct"/>
            <w:vAlign w:val="center"/>
          </w:tcPr>
          <w:p>
            <w:pPr>
              <w:pStyle w:val="134"/>
              <w:jc w:val="both"/>
            </w:pPr>
            <w:r>
              <w:t>废水</w:t>
            </w:r>
          </w:p>
        </w:tc>
        <w:tc>
          <w:tcPr>
            <w:tcW w:w="2656" w:type="pct"/>
            <w:vAlign w:val="center"/>
          </w:tcPr>
          <w:p>
            <w:pPr>
              <w:pStyle w:val="134"/>
              <w:jc w:val="both"/>
            </w:pPr>
            <w:r>
              <w:t>本项目试采期</w:t>
            </w:r>
            <w:r>
              <w:rPr>
                <w:rFonts w:hint="eastAsia"/>
              </w:rPr>
              <w:t>产生的气田水经酸液缓冲罐收集</w:t>
            </w:r>
            <w:r>
              <w:t>，然后通过密闭罐车拉运至大湾403污水站处理达到《气田水回注方法》（SY/T 6596-2016）中注入水基本要求后管输至毛开1井回注站回注处理，不外排。</w:t>
            </w:r>
          </w:p>
        </w:tc>
        <w:tc>
          <w:tcPr>
            <w:tcW w:w="568" w:type="pct"/>
            <w:vAlign w:val="center"/>
          </w:tcPr>
          <w:p>
            <w:pPr>
              <w:pStyle w:val="134"/>
            </w:pPr>
            <w:r>
              <w:t>/</w:t>
            </w:r>
          </w:p>
        </w:tc>
        <w:tc>
          <w:tcPr>
            <w:tcW w:w="390" w:type="pct"/>
            <w:vAlign w:val="center"/>
          </w:tcPr>
          <w:p>
            <w:pPr>
              <w:pStyle w:val="134"/>
            </w:pPr>
            <w:r>
              <w:t>/</w:t>
            </w:r>
          </w:p>
        </w:tc>
        <w:tc>
          <w:tcPr>
            <w:tcW w:w="468" w:type="pct"/>
            <w:vAlign w:val="center"/>
          </w:tcPr>
          <w:p>
            <w:pPr>
              <w:pStyle w:val="134"/>
            </w:pPr>
            <w:r>
              <w:rPr>
                <w:rFonts w:hint="eastAsia"/>
              </w:rPr>
              <w:t>依托</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20" w:type="pct"/>
            <w:vMerge w:val="continue"/>
            <w:vAlign w:val="center"/>
          </w:tcPr>
          <w:p>
            <w:pPr>
              <w:pStyle w:val="97"/>
            </w:pPr>
          </w:p>
        </w:tc>
        <w:tc>
          <w:tcPr>
            <w:tcW w:w="403" w:type="pct"/>
            <w:vMerge w:val="continue"/>
            <w:vAlign w:val="center"/>
          </w:tcPr>
          <w:p>
            <w:pPr>
              <w:pStyle w:val="97"/>
            </w:pPr>
          </w:p>
        </w:tc>
        <w:tc>
          <w:tcPr>
            <w:tcW w:w="293" w:type="pct"/>
            <w:vAlign w:val="center"/>
          </w:tcPr>
          <w:p>
            <w:pPr>
              <w:pStyle w:val="134"/>
              <w:jc w:val="both"/>
            </w:pPr>
            <w:r>
              <w:t>噪声</w:t>
            </w:r>
          </w:p>
        </w:tc>
        <w:tc>
          <w:tcPr>
            <w:tcW w:w="2656" w:type="pct"/>
            <w:vAlign w:val="center"/>
          </w:tcPr>
          <w:p>
            <w:pPr>
              <w:pStyle w:val="134"/>
              <w:jc w:val="both"/>
            </w:pPr>
            <w:r>
              <w:rPr>
                <w:szCs w:val="21"/>
              </w:rPr>
              <w:t>选用低噪声设备。</w:t>
            </w:r>
          </w:p>
        </w:tc>
        <w:tc>
          <w:tcPr>
            <w:tcW w:w="568" w:type="pct"/>
            <w:vAlign w:val="center"/>
          </w:tcPr>
          <w:p>
            <w:pPr>
              <w:pStyle w:val="134"/>
            </w:pPr>
            <w:r>
              <w:t>/</w:t>
            </w:r>
          </w:p>
        </w:tc>
        <w:tc>
          <w:tcPr>
            <w:tcW w:w="390" w:type="pct"/>
            <w:vAlign w:val="center"/>
          </w:tcPr>
          <w:p>
            <w:pPr>
              <w:pStyle w:val="134"/>
            </w:pPr>
            <w:r>
              <w:t>/</w:t>
            </w:r>
          </w:p>
        </w:tc>
        <w:tc>
          <w:tcPr>
            <w:tcW w:w="468" w:type="pct"/>
            <w:vAlign w:val="center"/>
          </w:tcPr>
          <w:p>
            <w:pPr>
              <w:pStyle w:val="134"/>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20" w:type="pct"/>
            <w:vMerge w:val="continue"/>
            <w:vAlign w:val="center"/>
          </w:tcPr>
          <w:p>
            <w:pPr>
              <w:pStyle w:val="97"/>
            </w:pPr>
          </w:p>
        </w:tc>
        <w:tc>
          <w:tcPr>
            <w:tcW w:w="403" w:type="pct"/>
            <w:vMerge w:val="continue"/>
            <w:vAlign w:val="center"/>
          </w:tcPr>
          <w:p>
            <w:pPr>
              <w:pStyle w:val="97"/>
            </w:pPr>
          </w:p>
        </w:tc>
        <w:tc>
          <w:tcPr>
            <w:tcW w:w="293" w:type="pct"/>
            <w:vAlign w:val="center"/>
          </w:tcPr>
          <w:p>
            <w:pPr>
              <w:pStyle w:val="134"/>
              <w:jc w:val="both"/>
            </w:pPr>
            <w:r>
              <w:t>地下水</w:t>
            </w:r>
          </w:p>
        </w:tc>
        <w:tc>
          <w:tcPr>
            <w:tcW w:w="2656" w:type="pct"/>
            <w:vAlign w:val="center"/>
          </w:tcPr>
          <w:p>
            <w:pPr>
              <w:pStyle w:val="134"/>
              <w:jc w:val="both"/>
            </w:pPr>
            <w:r>
              <w:rPr>
                <w:szCs w:val="21"/>
              </w:rPr>
              <w:t>放喷池：池底和池壁采取充电防渗措施；</w:t>
            </w:r>
            <w:r>
              <w:t>柴油储罐、污水缓冲罐四周设置防渗围堰。</w:t>
            </w:r>
          </w:p>
        </w:tc>
        <w:tc>
          <w:tcPr>
            <w:tcW w:w="568" w:type="pct"/>
            <w:vAlign w:val="center"/>
          </w:tcPr>
          <w:p>
            <w:pPr>
              <w:pStyle w:val="134"/>
            </w:pPr>
            <w:r>
              <w:t>/</w:t>
            </w:r>
          </w:p>
        </w:tc>
        <w:tc>
          <w:tcPr>
            <w:tcW w:w="390" w:type="pct"/>
            <w:vAlign w:val="center"/>
          </w:tcPr>
          <w:p>
            <w:pPr>
              <w:pStyle w:val="134"/>
            </w:pPr>
            <w:r>
              <w:t>/</w:t>
            </w:r>
          </w:p>
        </w:tc>
        <w:tc>
          <w:tcPr>
            <w:tcW w:w="468" w:type="pct"/>
            <w:vAlign w:val="center"/>
          </w:tcPr>
          <w:p>
            <w:pPr>
              <w:pStyle w:val="134"/>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20" w:type="pct"/>
            <w:vMerge w:val="continue"/>
            <w:vAlign w:val="center"/>
          </w:tcPr>
          <w:p>
            <w:pPr>
              <w:pStyle w:val="97"/>
            </w:pPr>
          </w:p>
        </w:tc>
        <w:tc>
          <w:tcPr>
            <w:tcW w:w="403" w:type="pct"/>
            <w:vMerge w:val="continue"/>
            <w:vAlign w:val="center"/>
          </w:tcPr>
          <w:p>
            <w:pPr>
              <w:pStyle w:val="97"/>
            </w:pPr>
          </w:p>
        </w:tc>
        <w:tc>
          <w:tcPr>
            <w:tcW w:w="293" w:type="pct"/>
            <w:vAlign w:val="center"/>
          </w:tcPr>
          <w:p>
            <w:pPr>
              <w:pStyle w:val="134"/>
              <w:jc w:val="both"/>
            </w:pPr>
            <w:r>
              <w:t>风险</w:t>
            </w:r>
          </w:p>
        </w:tc>
        <w:tc>
          <w:tcPr>
            <w:tcW w:w="2656" w:type="pct"/>
            <w:vAlign w:val="center"/>
          </w:tcPr>
          <w:p>
            <w:pPr>
              <w:pStyle w:val="134"/>
              <w:jc w:val="both"/>
            </w:pPr>
            <w:r>
              <w:rPr>
                <w:szCs w:val="21"/>
              </w:rPr>
              <w:t>放喷池：池底和池壁采取防渗措施。</w:t>
            </w:r>
          </w:p>
          <w:p>
            <w:pPr>
              <w:pStyle w:val="134"/>
              <w:jc w:val="both"/>
            </w:pPr>
            <w:r>
              <w:t>事故放空：事故状态下管线及站场内天然气通过新建放空系统燃烧排放。</w:t>
            </w:r>
          </w:p>
          <w:p>
            <w:pPr>
              <w:pStyle w:val="134"/>
              <w:jc w:val="both"/>
            </w:pPr>
            <w:r>
              <w:t>柴油储罐、污水缓冲罐：四周设置防渗围堰。</w:t>
            </w:r>
          </w:p>
        </w:tc>
        <w:tc>
          <w:tcPr>
            <w:tcW w:w="568" w:type="pct"/>
            <w:vAlign w:val="center"/>
          </w:tcPr>
          <w:p>
            <w:pPr>
              <w:pStyle w:val="134"/>
            </w:pPr>
            <w:r>
              <w:t>/</w:t>
            </w:r>
          </w:p>
        </w:tc>
        <w:tc>
          <w:tcPr>
            <w:tcW w:w="390" w:type="pct"/>
            <w:vAlign w:val="center"/>
          </w:tcPr>
          <w:p>
            <w:pPr>
              <w:pStyle w:val="134"/>
            </w:pPr>
            <w:r>
              <w:t>/</w:t>
            </w:r>
          </w:p>
        </w:tc>
        <w:tc>
          <w:tcPr>
            <w:tcW w:w="468" w:type="pct"/>
            <w:vAlign w:val="center"/>
          </w:tcPr>
          <w:p>
            <w:pPr>
              <w:pStyle w:val="134"/>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20" w:type="pct"/>
            <w:vMerge w:val="continue"/>
            <w:vAlign w:val="center"/>
          </w:tcPr>
          <w:p>
            <w:pPr>
              <w:pStyle w:val="97"/>
            </w:pPr>
          </w:p>
        </w:tc>
        <w:tc>
          <w:tcPr>
            <w:tcW w:w="403" w:type="pct"/>
            <w:vMerge w:val="continue"/>
            <w:vAlign w:val="center"/>
          </w:tcPr>
          <w:p>
            <w:pPr>
              <w:pStyle w:val="97"/>
            </w:pPr>
          </w:p>
        </w:tc>
        <w:tc>
          <w:tcPr>
            <w:tcW w:w="293" w:type="pct"/>
            <w:vAlign w:val="center"/>
          </w:tcPr>
          <w:p>
            <w:pPr>
              <w:pStyle w:val="97"/>
              <w:jc w:val="both"/>
            </w:pPr>
            <w:r>
              <w:t>生态</w:t>
            </w:r>
          </w:p>
          <w:p>
            <w:pPr>
              <w:pStyle w:val="134"/>
              <w:jc w:val="both"/>
            </w:pPr>
            <w:r>
              <w:t>保护</w:t>
            </w:r>
          </w:p>
        </w:tc>
        <w:tc>
          <w:tcPr>
            <w:tcW w:w="2656" w:type="pct"/>
            <w:vAlign w:val="center"/>
          </w:tcPr>
          <w:p>
            <w:pPr>
              <w:pStyle w:val="134"/>
              <w:jc w:val="both"/>
            </w:pPr>
            <w:r>
              <w:t>站场周边修建排水沟，进行绿化建设</w:t>
            </w:r>
          </w:p>
        </w:tc>
        <w:tc>
          <w:tcPr>
            <w:tcW w:w="568" w:type="pct"/>
            <w:vAlign w:val="center"/>
          </w:tcPr>
          <w:p>
            <w:pPr>
              <w:pStyle w:val="134"/>
            </w:pPr>
            <w:r>
              <w:t>/</w:t>
            </w:r>
          </w:p>
        </w:tc>
        <w:tc>
          <w:tcPr>
            <w:tcW w:w="390" w:type="pct"/>
            <w:vAlign w:val="center"/>
          </w:tcPr>
          <w:p>
            <w:pPr>
              <w:pStyle w:val="134"/>
            </w:pPr>
            <w:r>
              <w:t>/</w:t>
            </w:r>
          </w:p>
        </w:tc>
        <w:tc>
          <w:tcPr>
            <w:tcW w:w="468" w:type="pct"/>
            <w:vAlign w:val="center"/>
          </w:tcPr>
          <w:p>
            <w:pPr>
              <w:pStyle w:val="134"/>
            </w:pPr>
            <w:r>
              <w:rPr>
                <w:rFonts w:hint="eastAsia"/>
              </w:rPr>
              <w:t>/</w:t>
            </w:r>
          </w:p>
        </w:tc>
      </w:tr>
    </w:tbl>
    <w:p>
      <w:pPr>
        <w:pStyle w:val="39"/>
        <w:rPr>
          <w:rFonts w:cs="Times New Roman"/>
        </w:rPr>
      </w:pPr>
      <w:bookmarkStart w:id="136" w:name="bookmark13"/>
      <w:bookmarkEnd w:id="136"/>
      <w:r>
        <w:rPr>
          <w:rFonts w:cs="Times New Roman"/>
        </w:rPr>
        <w:t>表3.2-2  项目依托可行性</w:t>
      </w:r>
    </w:p>
    <w:tbl>
      <w:tblPr>
        <w:tblStyle w:val="59"/>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740"/>
        <w:gridCol w:w="1356"/>
        <w:gridCol w:w="4013"/>
        <w:gridCol w:w="3629"/>
        <w:gridCol w:w="4268"/>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64" w:type="pct"/>
            <w:tcBorders>
              <w:tl2br w:val="nil"/>
              <w:tr2bl w:val="nil"/>
            </w:tcBorders>
            <w:vAlign w:val="center"/>
          </w:tcPr>
          <w:p>
            <w:pPr>
              <w:pStyle w:val="97"/>
              <w:rPr>
                <w:b/>
                <w:bCs/>
              </w:rPr>
            </w:pPr>
            <w:r>
              <w:rPr>
                <w:b/>
                <w:bCs/>
              </w:rPr>
              <w:t>名称</w:t>
            </w:r>
          </w:p>
        </w:tc>
        <w:tc>
          <w:tcPr>
            <w:tcW w:w="1916" w:type="pct"/>
            <w:gridSpan w:val="2"/>
            <w:tcBorders>
              <w:tl2br w:val="nil"/>
              <w:tr2bl w:val="nil"/>
            </w:tcBorders>
            <w:vAlign w:val="center"/>
          </w:tcPr>
          <w:p>
            <w:pPr>
              <w:pStyle w:val="97"/>
              <w:rPr>
                <w:b/>
                <w:bCs/>
              </w:rPr>
            </w:pPr>
            <w:r>
              <w:rPr>
                <w:b/>
                <w:bCs/>
              </w:rPr>
              <w:t>现有建设情况</w:t>
            </w:r>
          </w:p>
        </w:tc>
        <w:tc>
          <w:tcPr>
            <w:tcW w:w="1295" w:type="pct"/>
            <w:tcBorders>
              <w:tl2br w:val="nil"/>
              <w:tr2bl w:val="nil"/>
            </w:tcBorders>
            <w:vAlign w:val="center"/>
          </w:tcPr>
          <w:p>
            <w:pPr>
              <w:pStyle w:val="97"/>
              <w:rPr>
                <w:b/>
                <w:bCs/>
              </w:rPr>
            </w:pPr>
            <w:r>
              <w:rPr>
                <w:b/>
                <w:bCs/>
              </w:rPr>
              <w:t>本项目依托情况</w:t>
            </w:r>
          </w:p>
        </w:tc>
        <w:tc>
          <w:tcPr>
            <w:tcW w:w="1523" w:type="pct"/>
            <w:tcBorders>
              <w:tl2br w:val="nil"/>
              <w:tr2bl w:val="nil"/>
            </w:tcBorders>
            <w:vAlign w:val="center"/>
          </w:tcPr>
          <w:p>
            <w:pPr>
              <w:pStyle w:val="97"/>
              <w:rPr>
                <w:b/>
                <w:bCs/>
              </w:rPr>
            </w:pPr>
            <w:r>
              <w:rPr>
                <w:b/>
                <w:bCs/>
              </w:rPr>
              <w:t>依托可行性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64" w:type="pct"/>
            <w:vMerge w:val="restart"/>
            <w:tcBorders>
              <w:tl2br w:val="nil"/>
              <w:tr2bl w:val="nil"/>
            </w:tcBorders>
            <w:vAlign w:val="center"/>
          </w:tcPr>
          <w:p>
            <w:pPr>
              <w:pStyle w:val="97"/>
            </w:pPr>
            <w:r>
              <w:t>主体工程</w:t>
            </w:r>
          </w:p>
        </w:tc>
        <w:tc>
          <w:tcPr>
            <w:tcW w:w="484" w:type="pct"/>
            <w:tcBorders>
              <w:tl2br w:val="nil"/>
              <w:tr2bl w:val="nil"/>
            </w:tcBorders>
            <w:vAlign w:val="center"/>
          </w:tcPr>
          <w:p>
            <w:pPr>
              <w:pStyle w:val="97"/>
              <w:rPr>
                <w:szCs w:val="21"/>
              </w:rPr>
            </w:pPr>
            <w:r>
              <w:rPr>
                <w:szCs w:val="21"/>
              </w:rPr>
              <w:t>钻前工程</w:t>
            </w:r>
          </w:p>
        </w:tc>
        <w:tc>
          <w:tcPr>
            <w:tcW w:w="1432" w:type="pct"/>
            <w:tcBorders>
              <w:tl2br w:val="nil"/>
              <w:tr2bl w:val="nil"/>
            </w:tcBorders>
            <w:vAlign w:val="center"/>
          </w:tcPr>
          <w:p>
            <w:pPr>
              <w:pStyle w:val="97"/>
              <w:rPr>
                <w:szCs w:val="21"/>
              </w:rPr>
            </w:pPr>
            <w:r>
              <w:rPr>
                <w:bCs/>
              </w:rPr>
              <w:t>P108集气站已建场地面积约6600m</w:t>
            </w:r>
            <w:r>
              <w:rPr>
                <w:bCs/>
                <w:vertAlign w:val="superscript"/>
              </w:rPr>
              <w:t>2</w:t>
            </w:r>
            <w:r>
              <w:rPr>
                <w:bCs/>
              </w:rPr>
              <w:t>，井场尺寸：长×宽=120m×55m，已建设新建清水池（500m</w:t>
            </w:r>
            <w:r>
              <w:rPr>
                <w:bCs/>
                <w:vertAlign w:val="superscript"/>
              </w:rPr>
              <w:t>3</w:t>
            </w:r>
            <w:r>
              <w:rPr>
                <w:bCs/>
              </w:rPr>
              <w:t>）和应急池（500m</w:t>
            </w:r>
            <w:r>
              <w:rPr>
                <w:bCs/>
                <w:vertAlign w:val="superscript"/>
              </w:rPr>
              <w:t>3</w:t>
            </w:r>
            <w:r>
              <w:rPr>
                <w:bCs/>
              </w:rPr>
              <w:t>）、放喷池2座（容积均为300m</w:t>
            </w:r>
            <w:r>
              <w:rPr>
                <w:bCs/>
                <w:vertAlign w:val="superscript"/>
              </w:rPr>
              <w:t>3</w:t>
            </w:r>
            <w:r>
              <w:rPr>
                <w:bCs/>
              </w:rPr>
              <w:t>）</w:t>
            </w:r>
          </w:p>
        </w:tc>
        <w:tc>
          <w:tcPr>
            <w:tcW w:w="1295" w:type="pct"/>
            <w:tcBorders>
              <w:tl2br w:val="nil"/>
              <w:tr2bl w:val="nil"/>
            </w:tcBorders>
            <w:vAlign w:val="center"/>
          </w:tcPr>
          <w:p>
            <w:pPr>
              <w:pStyle w:val="97"/>
            </w:pPr>
            <w:r>
              <w:rPr>
                <w:bCs/>
              </w:rPr>
              <w:t>利用P108集气站</w:t>
            </w:r>
            <w:r>
              <w:rPr>
                <w:rFonts w:hint="eastAsia"/>
                <w:bCs/>
              </w:rPr>
              <w:t>并扩建井场东侧区域，</w:t>
            </w:r>
            <w:r>
              <w:rPr>
                <w:bCs/>
              </w:rPr>
              <w:t>对</w:t>
            </w:r>
            <w:r>
              <w:rPr>
                <w:rFonts w:hint="eastAsia"/>
                <w:bCs/>
              </w:rPr>
              <w:t>现有</w:t>
            </w:r>
            <w:r>
              <w:rPr>
                <w:bCs/>
              </w:rPr>
              <w:t>废水池采用土方填埋，</w:t>
            </w:r>
            <w:r>
              <w:rPr>
                <w:rFonts w:hint="eastAsia"/>
                <w:bCs/>
              </w:rPr>
              <w:t>扩建后</w:t>
            </w:r>
            <w:r>
              <w:rPr>
                <w:bCs/>
              </w:rPr>
              <w:t>井场内南侧新建方井2座，依托</w:t>
            </w:r>
            <w:r>
              <w:rPr>
                <w:rFonts w:hint="eastAsia"/>
                <w:bCs/>
              </w:rPr>
              <w:t>现有放喷</w:t>
            </w:r>
            <w:r>
              <w:t>池</w:t>
            </w:r>
            <w:r>
              <w:rPr>
                <w:rFonts w:hint="eastAsia"/>
              </w:rPr>
              <w:t>、进场道路</w:t>
            </w:r>
            <w:r>
              <w:t>，</w:t>
            </w:r>
            <w:r>
              <w:rPr>
                <w:szCs w:val="21"/>
              </w:rPr>
              <w:t>钻前工程主要进行场地平整，钻前设备安装等。</w:t>
            </w:r>
          </w:p>
        </w:tc>
        <w:tc>
          <w:tcPr>
            <w:tcW w:w="1523" w:type="pct"/>
            <w:tcBorders>
              <w:tl2br w:val="nil"/>
              <w:tr2bl w:val="nil"/>
            </w:tcBorders>
            <w:vAlign w:val="center"/>
          </w:tcPr>
          <w:p>
            <w:pPr>
              <w:pStyle w:val="97"/>
            </w:pPr>
            <w:r>
              <w:t>目前</w:t>
            </w:r>
            <w:r>
              <w:rPr>
                <w:bCs/>
              </w:rPr>
              <w:t>P108-1T井</w:t>
            </w:r>
            <w:r>
              <w:t>处于运营期，可依托现有</w:t>
            </w:r>
            <w:r>
              <w:rPr>
                <w:rFonts w:hint="eastAsia"/>
              </w:rPr>
              <w:t>井场、</w:t>
            </w:r>
            <w:r>
              <w:t>放喷池</w:t>
            </w:r>
            <w:r>
              <w:rPr>
                <w:rFonts w:hint="eastAsia"/>
              </w:rPr>
              <w:t>及进场道路</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64" w:type="pct"/>
            <w:vMerge w:val="continue"/>
            <w:tcBorders>
              <w:tl2br w:val="nil"/>
              <w:tr2bl w:val="nil"/>
            </w:tcBorders>
            <w:vAlign w:val="center"/>
          </w:tcPr>
          <w:p>
            <w:pPr>
              <w:pStyle w:val="97"/>
            </w:pPr>
          </w:p>
        </w:tc>
        <w:tc>
          <w:tcPr>
            <w:tcW w:w="484" w:type="pct"/>
            <w:tcBorders>
              <w:tl2br w:val="nil"/>
              <w:tr2bl w:val="nil"/>
            </w:tcBorders>
            <w:vAlign w:val="center"/>
          </w:tcPr>
          <w:p>
            <w:pPr>
              <w:pStyle w:val="97"/>
            </w:pPr>
            <w:r>
              <w:t>试采工程</w:t>
            </w:r>
          </w:p>
        </w:tc>
        <w:tc>
          <w:tcPr>
            <w:tcW w:w="1432" w:type="pct"/>
            <w:tcBorders>
              <w:tl2br w:val="nil"/>
              <w:tr2bl w:val="nil"/>
            </w:tcBorders>
            <w:vAlign w:val="center"/>
          </w:tcPr>
          <w:p>
            <w:pPr>
              <w:pStyle w:val="97"/>
            </w:pPr>
            <w:r>
              <w:t>现有</w:t>
            </w:r>
            <w:r>
              <w:rPr>
                <w:bCs/>
              </w:rPr>
              <w:t>P108集气站至11#阀室酸气管道</w:t>
            </w:r>
            <w:r>
              <w:t>，Φ114.3采用镍基复合管，压力17MPa</w:t>
            </w:r>
            <w:r>
              <w:rPr>
                <w:bCs/>
              </w:rPr>
              <w:t>，现有P108集气站已建设有临时分酸、加热、节流流程</w:t>
            </w:r>
          </w:p>
        </w:tc>
        <w:tc>
          <w:tcPr>
            <w:tcW w:w="1295" w:type="pct"/>
            <w:tcBorders>
              <w:tl2br w:val="nil"/>
              <w:tr2bl w:val="nil"/>
            </w:tcBorders>
            <w:vAlign w:val="center"/>
          </w:tcPr>
          <w:p>
            <w:pPr>
              <w:pStyle w:val="97"/>
            </w:pPr>
            <w:r>
              <w:rPr>
                <w:bCs/>
              </w:rPr>
              <w:t>井口来气经采气树节流、计量后接入P108集气站，经集气站至11#阀室的酸气管道，依托P108集气站已有临时分酸、加热、节流流程，外输至天然气净化厂。新建井口流程；并配套通信、自控、防腐等</w:t>
            </w:r>
            <w:r>
              <w:t>。</w:t>
            </w:r>
          </w:p>
        </w:tc>
        <w:tc>
          <w:tcPr>
            <w:tcW w:w="1523" w:type="pct"/>
            <w:tcBorders>
              <w:tl2br w:val="nil"/>
              <w:tr2bl w:val="nil"/>
            </w:tcBorders>
            <w:vAlign w:val="center"/>
          </w:tcPr>
          <w:p>
            <w:pPr>
              <w:pStyle w:val="97"/>
            </w:pPr>
            <w:r>
              <w:t>P108集气站建成并投入运行，目前站内各设备设施运行正常，原计配产45×10</w:t>
            </w:r>
            <w:r>
              <w:rPr>
                <w:vertAlign w:val="superscript"/>
              </w:rPr>
              <w:t>4</w:t>
            </w:r>
            <w:r>
              <w:t>m</w:t>
            </w:r>
            <w:r>
              <w:rPr>
                <w:vertAlign w:val="superscript"/>
              </w:rPr>
              <w:t>3</w:t>
            </w:r>
            <w:r>
              <w:t>/d，</w:t>
            </w:r>
            <w:r>
              <w:rPr>
                <w:rFonts w:hint="eastAsia"/>
                <w:lang w:val="en-US" w:eastAsia="zh-CN"/>
              </w:rPr>
              <w:t>实际建设规模为55×10</w:t>
            </w:r>
            <w:r>
              <w:rPr>
                <w:rFonts w:hint="eastAsia"/>
                <w:vertAlign w:val="superscript"/>
                <w:lang w:val="en-US" w:eastAsia="zh-CN"/>
              </w:rPr>
              <w:t>4</w:t>
            </w:r>
            <w:r>
              <w:rPr>
                <w:rFonts w:hint="eastAsia"/>
                <w:lang w:val="en-US" w:eastAsia="zh-CN"/>
              </w:rPr>
              <w:t>m</w:t>
            </w:r>
            <w:r>
              <w:rPr>
                <w:rFonts w:hint="eastAsia"/>
                <w:vertAlign w:val="superscript"/>
                <w:lang w:val="en-US" w:eastAsia="zh-CN"/>
              </w:rPr>
              <w:t>3</w:t>
            </w:r>
            <w:r>
              <w:rPr>
                <w:rFonts w:hint="eastAsia"/>
                <w:lang w:val="en-US" w:eastAsia="zh-CN"/>
              </w:rPr>
              <w:t>/d，现阶段</w:t>
            </w:r>
            <w:r>
              <w:t>P108-1T井</w:t>
            </w:r>
            <w:r>
              <w:rPr>
                <w:rFonts w:hint="eastAsia"/>
                <w:lang w:val="en-US" w:eastAsia="zh-CN"/>
              </w:rPr>
              <w:t>已间歇生产，现阶段最大</w:t>
            </w:r>
            <w:r>
              <w:t>产能为</w:t>
            </w:r>
            <w:r>
              <w:rPr>
                <w:rFonts w:hint="eastAsia"/>
                <w:lang w:val="en-US" w:eastAsia="zh-CN"/>
              </w:rPr>
              <w:t>8</w:t>
            </w:r>
            <w:r>
              <w:t>×10</w:t>
            </w:r>
            <w:r>
              <w:rPr>
                <w:vertAlign w:val="superscript"/>
              </w:rPr>
              <w:t>4</w:t>
            </w:r>
            <w:r>
              <w:t>m</w:t>
            </w:r>
            <w:r>
              <w:rPr>
                <w:vertAlign w:val="superscript"/>
              </w:rPr>
              <w:t>3</w:t>
            </w:r>
            <w:r>
              <w:t>/d。集气站剩余</w:t>
            </w:r>
            <w:r>
              <w:rPr>
                <w:rFonts w:hint="eastAsia"/>
                <w:lang w:val="en-US" w:eastAsia="zh-CN"/>
              </w:rPr>
              <w:t>47</w:t>
            </w:r>
            <w:r>
              <w:t>×10</w:t>
            </w:r>
            <w:r>
              <w:rPr>
                <w:vertAlign w:val="superscript"/>
              </w:rPr>
              <w:t>4</w:t>
            </w:r>
            <w:r>
              <w:t>m</w:t>
            </w:r>
            <w:r>
              <w:rPr>
                <w:vertAlign w:val="superscript"/>
              </w:rPr>
              <w:t>3</w:t>
            </w:r>
            <w:r>
              <w:t>/d处理能力。P108-2H、P108-3井计划产能分别为</w:t>
            </w:r>
            <w:r>
              <w:rPr>
                <w:rFonts w:hint="eastAsia"/>
              </w:rPr>
              <w:t>20</w:t>
            </w:r>
            <w:r>
              <w:t>×10</w:t>
            </w:r>
            <w:r>
              <w:rPr>
                <w:vertAlign w:val="superscript"/>
              </w:rPr>
              <w:t>4</w:t>
            </w:r>
            <w:r>
              <w:t>m</w:t>
            </w:r>
            <w:r>
              <w:rPr>
                <w:vertAlign w:val="superscript"/>
              </w:rPr>
              <w:t>3</w:t>
            </w:r>
            <w:r>
              <w:t>/d，</w:t>
            </w:r>
            <w:r>
              <w:rPr>
                <w:rFonts w:hint="eastAsia"/>
              </w:rPr>
              <w:t>且本项目将新建P108-2H、P108-3井井口流程，新建分水分离器等设备，建设完成后总处理能力将达到50×10</w:t>
            </w:r>
            <w:r>
              <w:rPr>
                <w:rFonts w:hint="eastAsia"/>
                <w:vertAlign w:val="superscript"/>
              </w:rPr>
              <w:t>4</w:t>
            </w:r>
            <w:r>
              <w:rPr>
                <w:rFonts w:hint="eastAsia"/>
              </w:rPr>
              <w:t>m</w:t>
            </w:r>
            <w:r>
              <w:rPr>
                <w:rFonts w:hint="eastAsia"/>
                <w:vertAlign w:val="superscript"/>
              </w:rPr>
              <w:t>3</w:t>
            </w:r>
            <w:r>
              <w:rPr>
                <w:rFonts w:hint="eastAsia"/>
              </w:rPr>
              <w:t>/d，</w:t>
            </w:r>
            <w:r>
              <w:t>故P108集气站处理规模满足使用需求，依托可行。</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64" w:type="pct"/>
            <w:vMerge w:val="restart"/>
            <w:tcBorders>
              <w:tl2br w:val="nil"/>
              <w:tr2bl w:val="nil"/>
            </w:tcBorders>
            <w:vAlign w:val="center"/>
          </w:tcPr>
          <w:p>
            <w:pPr>
              <w:pStyle w:val="97"/>
            </w:pPr>
            <w:r>
              <w:t>辅助工程</w:t>
            </w:r>
          </w:p>
        </w:tc>
        <w:tc>
          <w:tcPr>
            <w:tcW w:w="484" w:type="pct"/>
            <w:tcBorders>
              <w:tl2br w:val="nil"/>
              <w:tr2bl w:val="nil"/>
            </w:tcBorders>
            <w:vAlign w:val="center"/>
          </w:tcPr>
          <w:p>
            <w:pPr>
              <w:pStyle w:val="97"/>
              <w:rPr>
                <w:szCs w:val="21"/>
              </w:rPr>
            </w:pPr>
            <w:r>
              <w:rPr>
                <w:szCs w:val="21"/>
              </w:rPr>
              <w:t>燃气返输管线</w:t>
            </w:r>
          </w:p>
        </w:tc>
        <w:tc>
          <w:tcPr>
            <w:tcW w:w="1432" w:type="pct"/>
            <w:tcBorders>
              <w:tl2br w:val="nil"/>
              <w:tr2bl w:val="nil"/>
            </w:tcBorders>
            <w:vAlign w:val="center"/>
          </w:tcPr>
          <w:p>
            <w:pPr>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现有燃气</w:t>
            </w:r>
            <w:r>
              <w:rPr>
                <w:rFonts w:ascii="Times New Roman" w:cs="Times New Roman"/>
                <w:bCs/>
                <w:kern w:val="2"/>
                <w:sz w:val="21"/>
                <w:szCs w:val="21"/>
              </w:rPr>
              <w:t>φ60.3×5GB/T 8163-20无缝钢管</w:t>
            </w:r>
            <w:r>
              <w:rPr>
                <w:rFonts w:ascii="Times New Roman" w:cs="Times New Roman"/>
                <w:kern w:val="2"/>
                <w:sz w:val="21"/>
                <w:szCs w:val="21"/>
              </w:rPr>
              <w:t>，设计压力4MPa，现有燃料气管线与现有集气管道同沟敷设，从11#阀室出来后，沿着集气管道的路由输送到P108集气站。</w:t>
            </w:r>
          </w:p>
        </w:tc>
        <w:tc>
          <w:tcPr>
            <w:tcW w:w="1295" w:type="pct"/>
            <w:tcBorders>
              <w:tl2br w:val="nil"/>
              <w:tr2bl w:val="nil"/>
            </w:tcBorders>
            <w:vAlign w:val="center"/>
          </w:tcPr>
          <w:p>
            <w:pPr>
              <w:pStyle w:val="97"/>
            </w:pPr>
            <w:r>
              <w:rPr>
                <w:szCs w:val="21"/>
              </w:rPr>
              <w:t>依托现有燃气返输管线</w:t>
            </w:r>
          </w:p>
        </w:tc>
        <w:tc>
          <w:tcPr>
            <w:tcW w:w="1523" w:type="pct"/>
            <w:tcBorders>
              <w:tl2br w:val="nil"/>
              <w:tr2bl w:val="nil"/>
            </w:tcBorders>
            <w:vAlign w:val="center"/>
          </w:tcPr>
          <w:p>
            <w:pPr>
              <w:pStyle w:val="97"/>
            </w:pPr>
            <w:r>
              <w:t>可进行依托</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64" w:type="pct"/>
            <w:vMerge w:val="continue"/>
            <w:tcBorders>
              <w:tl2br w:val="nil"/>
              <w:tr2bl w:val="nil"/>
            </w:tcBorders>
            <w:vAlign w:val="center"/>
          </w:tcPr>
          <w:p>
            <w:pPr>
              <w:pStyle w:val="97"/>
            </w:pPr>
          </w:p>
        </w:tc>
        <w:tc>
          <w:tcPr>
            <w:tcW w:w="484" w:type="pct"/>
            <w:tcBorders>
              <w:tl2br w:val="nil"/>
              <w:tr2bl w:val="nil"/>
            </w:tcBorders>
            <w:vAlign w:val="center"/>
          </w:tcPr>
          <w:p>
            <w:pPr>
              <w:pStyle w:val="97"/>
            </w:pPr>
            <w:r>
              <w:t>进场道路</w:t>
            </w:r>
          </w:p>
        </w:tc>
        <w:tc>
          <w:tcPr>
            <w:tcW w:w="1432" w:type="pct"/>
            <w:tcBorders>
              <w:tl2br w:val="nil"/>
              <w:tr2bl w:val="nil"/>
            </w:tcBorders>
            <w:vAlign w:val="center"/>
          </w:tcPr>
          <w:p>
            <w:pPr>
              <w:pStyle w:val="97"/>
            </w:pPr>
            <w:r>
              <w:t>井场南侧现有进场道路112m，宽4m</w:t>
            </w:r>
          </w:p>
        </w:tc>
        <w:tc>
          <w:tcPr>
            <w:tcW w:w="1295" w:type="pct"/>
            <w:tcBorders>
              <w:tl2br w:val="nil"/>
              <w:tr2bl w:val="nil"/>
            </w:tcBorders>
            <w:vAlign w:val="center"/>
          </w:tcPr>
          <w:p>
            <w:pPr>
              <w:pStyle w:val="97"/>
            </w:pPr>
            <w:r>
              <w:t>依托井场东侧现有进场道路</w:t>
            </w:r>
          </w:p>
        </w:tc>
        <w:tc>
          <w:tcPr>
            <w:tcW w:w="1523" w:type="pct"/>
            <w:tcBorders>
              <w:tl2br w:val="nil"/>
              <w:tr2bl w:val="nil"/>
            </w:tcBorders>
            <w:vAlign w:val="center"/>
          </w:tcPr>
          <w:p>
            <w:pPr>
              <w:pStyle w:val="97"/>
            </w:pPr>
            <w:r>
              <w:t>可进行依托</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64" w:type="pct"/>
            <w:tcBorders>
              <w:tl2br w:val="nil"/>
              <w:tr2bl w:val="nil"/>
            </w:tcBorders>
            <w:vAlign w:val="center"/>
          </w:tcPr>
          <w:p>
            <w:pPr>
              <w:pStyle w:val="97"/>
            </w:pPr>
            <w:r>
              <w:t>环保工程</w:t>
            </w:r>
          </w:p>
        </w:tc>
        <w:tc>
          <w:tcPr>
            <w:tcW w:w="484" w:type="pct"/>
            <w:tcBorders>
              <w:tl2br w:val="nil"/>
              <w:tr2bl w:val="nil"/>
            </w:tcBorders>
            <w:vAlign w:val="center"/>
          </w:tcPr>
          <w:p>
            <w:pPr>
              <w:pStyle w:val="97"/>
            </w:pPr>
            <w:r>
              <w:t>废气</w:t>
            </w:r>
          </w:p>
        </w:tc>
        <w:tc>
          <w:tcPr>
            <w:tcW w:w="1432" w:type="pct"/>
            <w:tcBorders>
              <w:tl2br w:val="nil"/>
              <w:tr2bl w:val="nil"/>
            </w:tcBorders>
            <w:vAlign w:val="center"/>
          </w:tcPr>
          <w:p>
            <w:pPr>
              <w:pStyle w:val="97"/>
            </w:pPr>
            <w:r>
              <w:t>P108集气站设有水套炉，燃料气为经燃气返输管线返输净化后天然气，废气主要为氮氧化物，利用水套炉自带的8m高排气筒外排</w:t>
            </w:r>
          </w:p>
        </w:tc>
        <w:tc>
          <w:tcPr>
            <w:tcW w:w="1295" w:type="pct"/>
            <w:tcBorders>
              <w:tl2br w:val="nil"/>
              <w:tr2bl w:val="nil"/>
            </w:tcBorders>
            <w:vAlign w:val="center"/>
          </w:tcPr>
          <w:p>
            <w:pPr>
              <w:pStyle w:val="97"/>
            </w:pPr>
            <w:r>
              <w:t>本项目不设水套炉，依托P108集气站水套炉，燃料气为经燃气返输管线返输净化后天然气，废气主要为氮氧化物，利用水套炉自带的8m高排气筒外排</w:t>
            </w:r>
          </w:p>
        </w:tc>
        <w:tc>
          <w:tcPr>
            <w:tcW w:w="1523" w:type="pct"/>
            <w:tcBorders>
              <w:tl2br w:val="nil"/>
              <w:tr2bl w:val="nil"/>
            </w:tcBorders>
            <w:vAlign w:val="center"/>
          </w:tcPr>
          <w:p>
            <w:pPr>
              <w:pStyle w:val="97"/>
            </w:pPr>
            <w:r>
              <w:t>可进行依托</w:t>
            </w:r>
          </w:p>
        </w:tc>
      </w:tr>
    </w:tbl>
    <w:p>
      <w:pPr>
        <w:pStyle w:val="3"/>
        <w:spacing w:before="120"/>
        <w:rPr>
          <w:rFonts w:cs="Times New Roman"/>
        </w:rPr>
        <w:sectPr>
          <w:pgSz w:w="16840" w:h="11910" w:orient="landscape"/>
          <w:pgMar w:top="1701" w:right="1417" w:bottom="1417" w:left="1417" w:header="885" w:footer="1097" w:gutter="0"/>
          <w:pgBorders>
            <w:top w:val="none" w:sz="0" w:space="0"/>
            <w:left w:val="none" w:sz="0" w:space="0"/>
            <w:bottom w:val="none" w:sz="0" w:space="0"/>
            <w:right w:val="none" w:sz="0" w:space="0"/>
          </w:pgBorders>
          <w:pgNumType w:chapStyle="2"/>
          <w:cols w:space="720" w:num="1"/>
          <w:docGrid w:linePitch="326" w:charSpace="0"/>
        </w:sectPr>
      </w:pPr>
    </w:p>
    <w:p>
      <w:pPr>
        <w:pStyle w:val="3"/>
        <w:spacing w:before="120"/>
        <w:rPr>
          <w:rFonts w:cs="Times New Roman"/>
        </w:rPr>
      </w:pPr>
      <w:bookmarkStart w:id="137" w:name="_Toc13786"/>
      <w:r>
        <w:rPr>
          <w:rFonts w:cs="Times New Roman"/>
        </w:rPr>
        <w:t>3.</w:t>
      </w:r>
      <w:bookmarkStart w:id="138" w:name="_Toc19815955"/>
      <w:bookmarkStart w:id="139" w:name="_Toc12288399"/>
      <w:r>
        <w:rPr>
          <w:rFonts w:cs="Times New Roman"/>
        </w:rPr>
        <w:t>3</w:t>
      </w:r>
      <w:bookmarkEnd w:id="138"/>
      <w:r>
        <w:rPr>
          <w:rFonts w:cs="Times New Roman"/>
        </w:rPr>
        <w:t xml:space="preserve"> 输送介质情况</w:t>
      </w:r>
      <w:bookmarkEnd w:id="137"/>
    </w:p>
    <w:bookmarkEnd w:id="139"/>
    <w:p>
      <w:pPr>
        <w:pStyle w:val="114"/>
        <w:ind w:firstLine="480"/>
      </w:pPr>
      <w:bookmarkStart w:id="140" w:name="_Hlk81422789"/>
      <w:r>
        <w:t>根据设计单位提供资料，本项目P108-1T属于</w:t>
      </w:r>
      <w:r>
        <w:rPr>
          <w:bCs/>
        </w:rPr>
        <w:t>飞仙关组，因此本项目气质数据利用P108-1T</w:t>
      </w:r>
      <w:r>
        <w:t>井气样数据进行分析。</w:t>
      </w:r>
    </w:p>
    <w:p>
      <w:pPr>
        <w:pStyle w:val="114"/>
        <w:ind w:firstLine="480"/>
      </w:pPr>
      <w:r>
        <w:t>根据P108-1T井气样分析：甲烷含量73.85%，二氧化碳含量10.79%，硫化氢含量11.54%，为高含硫、中含二氧化碳酸性天然气，输送天然气介质组份详见表3.3-1；水套炉使用的燃料气为经燃气返输管线返输净化后天然气，输送天然气介质组份详见表3.3-2。</w:t>
      </w:r>
    </w:p>
    <w:p>
      <w:pPr>
        <w:pStyle w:val="39"/>
        <w:rPr>
          <w:rFonts w:cs="Times New Roman"/>
        </w:rPr>
      </w:pPr>
      <w:r>
        <w:rPr>
          <w:rFonts w:cs="Times New Roman"/>
        </w:rPr>
        <w:t>表3.3-1原料天然气气体组分表</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399"/>
        <w:gridCol w:w="1997"/>
        <w:gridCol w:w="2307"/>
        <w:gridCol w:w="203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2460" w:type="dxa"/>
            <w:vAlign w:val="center"/>
          </w:tcPr>
          <w:p>
            <w:pPr>
              <w:pStyle w:val="134"/>
              <w:rPr>
                <w:b/>
                <w:bCs/>
              </w:rPr>
            </w:pPr>
            <w:r>
              <w:rPr>
                <w:b/>
                <w:bCs/>
              </w:rPr>
              <w:t>组分</w:t>
            </w:r>
          </w:p>
        </w:tc>
        <w:tc>
          <w:tcPr>
            <w:tcW w:w="2046" w:type="dxa"/>
            <w:vAlign w:val="center"/>
          </w:tcPr>
          <w:p>
            <w:pPr>
              <w:pStyle w:val="134"/>
              <w:rPr>
                <w:b/>
                <w:bCs/>
              </w:rPr>
            </w:pPr>
            <w:r>
              <w:rPr>
                <w:b/>
                <w:bCs/>
              </w:rPr>
              <w:t>摩尔百分数%</w:t>
            </w:r>
          </w:p>
        </w:tc>
        <w:tc>
          <w:tcPr>
            <w:tcW w:w="2365" w:type="dxa"/>
            <w:vAlign w:val="center"/>
          </w:tcPr>
          <w:p>
            <w:pPr>
              <w:pStyle w:val="134"/>
              <w:rPr>
                <w:b/>
                <w:bCs/>
              </w:rPr>
            </w:pPr>
            <w:r>
              <w:rPr>
                <w:b/>
                <w:bCs/>
              </w:rPr>
              <w:t>组分</w:t>
            </w:r>
          </w:p>
        </w:tc>
        <w:tc>
          <w:tcPr>
            <w:tcW w:w="2086" w:type="dxa"/>
            <w:vAlign w:val="center"/>
          </w:tcPr>
          <w:p>
            <w:pPr>
              <w:pStyle w:val="134"/>
              <w:rPr>
                <w:b/>
                <w:bCs/>
              </w:rPr>
            </w:pPr>
            <w:r>
              <w:rPr>
                <w:b/>
                <w:bCs/>
              </w:rPr>
              <w:t>摩尔百分数%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460" w:type="dxa"/>
            <w:vAlign w:val="center"/>
          </w:tcPr>
          <w:p>
            <w:pPr>
              <w:pStyle w:val="134"/>
            </w:pPr>
            <w:r>
              <w:t>甲烷   CH</w:t>
            </w:r>
            <w:r>
              <w:rPr>
                <w:vertAlign w:val="subscript"/>
              </w:rPr>
              <w:t xml:space="preserve">4 </w:t>
            </w:r>
          </w:p>
        </w:tc>
        <w:tc>
          <w:tcPr>
            <w:tcW w:w="2046" w:type="dxa"/>
            <w:vAlign w:val="center"/>
          </w:tcPr>
          <w:p>
            <w:pPr>
              <w:pStyle w:val="134"/>
            </w:pPr>
          </w:p>
        </w:tc>
        <w:tc>
          <w:tcPr>
            <w:tcW w:w="2365" w:type="dxa"/>
            <w:vAlign w:val="center"/>
          </w:tcPr>
          <w:p>
            <w:pPr>
              <w:pStyle w:val="134"/>
            </w:pPr>
            <w:r>
              <w:t>硫化氢  H</w:t>
            </w:r>
            <w:r>
              <w:rPr>
                <w:vertAlign w:val="subscript"/>
              </w:rPr>
              <w:t>2</w:t>
            </w:r>
            <w:r>
              <w:t>S</w:t>
            </w:r>
          </w:p>
        </w:tc>
        <w:tc>
          <w:tcPr>
            <w:tcW w:w="2086" w:type="dxa"/>
            <w:vAlign w:val="center"/>
          </w:tcPr>
          <w:p>
            <w:pPr>
              <w:pStyle w:val="134"/>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460" w:type="dxa"/>
            <w:vAlign w:val="center"/>
          </w:tcPr>
          <w:p>
            <w:pPr>
              <w:pStyle w:val="134"/>
            </w:pPr>
            <w:r>
              <w:t>乙烷  C</w:t>
            </w:r>
            <w:r>
              <w:rPr>
                <w:vertAlign w:val="subscript"/>
              </w:rPr>
              <w:t>2</w:t>
            </w:r>
            <w:r>
              <w:t>H</w:t>
            </w:r>
            <w:r>
              <w:rPr>
                <w:vertAlign w:val="subscript"/>
              </w:rPr>
              <w:t>6</w:t>
            </w:r>
          </w:p>
        </w:tc>
        <w:tc>
          <w:tcPr>
            <w:tcW w:w="2046" w:type="dxa"/>
            <w:vAlign w:val="center"/>
          </w:tcPr>
          <w:p>
            <w:pPr>
              <w:pStyle w:val="134"/>
            </w:pPr>
          </w:p>
        </w:tc>
        <w:tc>
          <w:tcPr>
            <w:tcW w:w="2365" w:type="dxa"/>
            <w:vAlign w:val="center"/>
          </w:tcPr>
          <w:p>
            <w:pPr>
              <w:pStyle w:val="134"/>
            </w:pPr>
            <w:r>
              <w:t>二氧化碳  CO</w:t>
            </w:r>
            <w:r>
              <w:rPr>
                <w:vertAlign w:val="subscript"/>
              </w:rPr>
              <w:t>2</w:t>
            </w:r>
          </w:p>
        </w:tc>
        <w:tc>
          <w:tcPr>
            <w:tcW w:w="2086" w:type="dxa"/>
            <w:vAlign w:val="center"/>
          </w:tcPr>
          <w:p>
            <w:pPr>
              <w:pStyle w:val="134"/>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460" w:type="dxa"/>
            <w:vAlign w:val="center"/>
          </w:tcPr>
          <w:p>
            <w:pPr>
              <w:pStyle w:val="134"/>
            </w:pPr>
            <w:r>
              <w:t>丙烷   C</w:t>
            </w:r>
            <w:r>
              <w:rPr>
                <w:vertAlign w:val="subscript"/>
              </w:rPr>
              <w:t>3</w:t>
            </w:r>
            <w:r>
              <w:t>H</w:t>
            </w:r>
            <w:r>
              <w:rPr>
                <w:vertAlign w:val="subscript"/>
              </w:rPr>
              <w:t xml:space="preserve">8 </w:t>
            </w:r>
          </w:p>
        </w:tc>
        <w:tc>
          <w:tcPr>
            <w:tcW w:w="2046" w:type="dxa"/>
            <w:vAlign w:val="center"/>
          </w:tcPr>
          <w:p>
            <w:pPr>
              <w:pStyle w:val="134"/>
            </w:pPr>
          </w:p>
        </w:tc>
        <w:tc>
          <w:tcPr>
            <w:tcW w:w="2365" w:type="dxa"/>
            <w:vAlign w:val="center"/>
          </w:tcPr>
          <w:p>
            <w:pPr>
              <w:pStyle w:val="134"/>
            </w:pPr>
            <w:r>
              <w:t>氮  N</w:t>
            </w:r>
            <w:r>
              <w:rPr>
                <w:vertAlign w:val="subscript"/>
              </w:rPr>
              <w:t>2</w:t>
            </w:r>
          </w:p>
        </w:tc>
        <w:tc>
          <w:tcPr>
            <w:tcW w:w="2086" w:type="dxa"/>
            <w:vAlign w:val="center"/>
          </w:tcPr>
          <w:p>
            <w:pPr>
              <w:pStyle w:val="134"/>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460" w:type="dxa"/>
            <w:vAlign w:val="center"/>
          </w:tcPr>
          <w:p>
            <w:pPr>
              <w:pStyle w:val="134"/>
            </w:pPr>
            <w:r>
              <w:t>异丁烷  iC</w:t>
            </w:r>
            <w:r>
              <w:rPr>
                <w:vertAlign w:val="subscript"/>
              </w:rPr>
              <w:t>4</w:t>
            </w:r>
            <w:r>
              <w:t>H</w:t>
            </w:r>
            <w:r>
              <w:rPr>
                <w:vertAlign w:val="subscript"/>
              </w:rPr>
              <w:t>10</w:t>
            </w:r>
          </w:p>
        </w:tc>
        <w:tc>
          <w:tcPr>
            <w:tcW w:w="2046" w:type="dxa"/>
            <w:vAlign w:val="center"/>
          </w:tcPr>
          <w:p>
            <w:pPr>
              <w:pStyle w:val="134"/>
            </w:pPr>
          </w:p>
        </w:tc>
        <w:tc>
          <w:tcPr>
            <w:tcW w:w="2365" w:type="dxa"/>
            <w:vAlign w:val="center"/>
          </w:tcPr>
          <w:p>
            <w:pPr>
              <w:pStyle w:val="134"/>
            </w:pPr>
            <w:r>
              <w:t>氦  He</w:t>
            </w:r>
          </w:p>
        </w:tc>
        <w:tc>
          <w:tcPr>
            <w:tcW w:w="2086" w:type="dxa"/>
            <w:vAlign w:val="center"/>
          </w:tcPr>
          <w:p>
            <w:pPr>
              <w:pStyle w:val="134"/>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460" w:type="dxa"/>
            <w:vAlign w:val="center"/>
          </w:tcPr>
          <w:p>
            <w:pPr>
              <w:pStyle w:val="134"/>
            </w:pPr>
            <w:r>
              <w:t>正丁烷   nC</w:t>
            </w:r>
            <w:r>
              <w:rPr>
                <w:vertAlign w:val="subscript"/>
              </w:rPr>
              <w:t>4</w:t>
            </w:r>
            <w:r>
              <w:t>H</w:t>
            </w:r>
            <w:r>
              <w:rPr>
                <w:vertAlign w:val="subscript"/>
              </w:rPr>
              <w:t>10</w:t>
            </w:r>
          </w:p>
        </w:tc>
        <w:tc>
          <w:tcPr>
            <w:tcW w:w="2046" w:type="dxa"/>
            <w:vAlign w:val="center"/>
          </w:tcPr>
          <w:p>
            <w:pPr>
              <w:pStyle w:val="134"/>
            </w:pPr>
          </w:p>
        </w:tc>
        <w:tc>
          <w:tcPr>
            <w:tcW w:w="2365" w:type="dxa"/>
            <w:vAlign w:val="center"/>
          </w:tcPr>
          <w:p>
            <w:pPr>
              <w:pStyle w:val="134"/>
            </w:pPr>
            <w:r>
              <w:t>氢  H</w:t>
            </w:r>
            <w:r>
              <w:rPr>
                <w:vertAlign w:val="subscript"/>
              </w:rPr>
              <w:t>2</w:t>
            </w:r>
          </w:p>
        </w:tc>
        <w:tc>
          <w:tcPr>
            <w:tcW w:w="2086" w:type="dxa"/>
            <w:vAlign w:val="center"/>
          </w:tcPr>
          <w:p>
            <w:pPr>
              <w:pStyle w:val="134"/>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460" w:type="dxa"/>
            <w:vAlign w:val="center"/>
          </w:tcPr>
          <w:p>
            <w:pPr>
              <w:pStyle w:val="134"/>
            </w:pPr>
            <w:r>
              <w:t>异戊烷  iC</w:t>
            </w:r>
            <w:r>
              <w:rPr>
                <w:vertAlign w:val="subscript"/>
              </w:rPr>
              <w:t>5</w:t>
            </w:r>
            <w:r>
              <w:t>H</w:t>
            </w:r>
            <w:r>
              <w:rPr>
                <w:vertAlign w:val="subscript"/>
              </w:rPr>
              <w:t>12</w:t>
            </w:r>
          </w:p>
        </w:tc>
        <w:tc>
          <w:tcPr>
            <w:tcW w:w="2046" w:type="dxa"/>
            <w:vAlign w:val="center"/>
          </w:tcPr>
          <w:p>
            <w:pPr>
              <w:pStyle w:val="134"/>
            </w:pPr>
          </w:p>
        </w:tc>
        <w:tc>
          <w:tcPr>
            <w:tcW w:w="2365" w:type="dxa"/>
            <w:vAlign w:val="center"/>
          </w:tcPr>
          <w:p>
            <w:pPr>
              <w:pStyle w:val="134"/>
            </w:pPr>
            <w:r>
              <w:t>氧+氩 O+Ar</w:t>
            </w:r>
          </w:p>
        </w:tc>
        <w:tc>
          <w:tcPr>
            <w:tcW w:w="2086" w:type="dxa"/>
            <w:vAlign w:val="center"/>
          </w:tcPr>
          <w:p>
            <w:pPr>
              <w:pStyle w:val="134"/>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460" w:type="dxa"/>
            <w:vAlign w:val="center"/>
          </w:tcPr>
          <w:p>
            <w:pPr>
              <w:pStyle w:val="134"/>
            </w:pPr>
            <w:r>
              <w:t>水</w:t>
            </w:r>
          </w:p>
        </w:tc>
        <w:tc>
          <w:tcPr>
            <w:tcW w:w="2046" w:type="dxa"/>
            <w:vAlign w:val="center"/>
          </w:tcPr>
          <w:p>
            <w:pPr>
              <w:pStyle w:val="134"/>
            </w:pPr>
          </w:p>
        </w:tc>
        <w:tc>
          <w:tcPr>
            <w:tcW w:w="2365" w:type="dxa"/>
            <w:vAlign w:val="center"/>
          </w:tcPr>
          <w:p>
            <w:pPr>
              <w:pStyle w:val="134"/>
            </w:pPr>
          </w:p>
        </w:tc>
        <w:tc>
          <w:tcPr>
            <w:tcW w:w="2086" w:type="dxa"/>
            <w:vAlign w:val="center"/>
          </w:tcPr>
          <w:p>
            <w:pPr>
              <w:pStyle w:val="134"/>
            </w:pPr>
          </w:p>
        </w:tc>
      </w:tr>
    </w:tbl>
    <w:p>
      <w:pPr>
        <w:pStyle w:val="39"/>
        <w:rPr>
          <w:rFonts w:cs="Times New Roman"/>
        </w:rPr>
      </w:pPr>
      <w:r>
        <w:rPr>
          <w:rFonts w:cs="Times New Roman"/>
        </w:rPr>
        <w:t>表3.3-2  来自净化厂的燃料气组分</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398"/>
        <w:gridCol w:w="1996"/>
        <w:gridCol w:w="2308"/>
        <w:gridCol w:w="203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435" w:type="dxa"/>
            <w:vAlign w:val="center"/>
          </w:tcPr>
          <w:p>
            <w:pPr>
              <w:pStyle w:val="134"/>
              <w:rPr>
                <w:b/>
                <w:bCs/>
              </w:rPr>
            </w:pPr>
            <w:r>
              <w:rPr>
                <w:b/>
                <w:bCs/>
              </w:rPr>
              <w:t>组分</w:t>
            </w:r>
          </w:p>
        </w:tc>
        <w:tc>
          <w:tcPr>
            <w:tcW w:w="2026" w:type="dxa"/>
            <w:vAlign w:val="center"/>
          </w:tcPr>
          <w:p>
            <w:pPr>
              <w:pStyle w:val="134"/>
              <w:rPr>
                <w:b/>
                <w:bCs/>
              </w:rPr>
            </w:pPr>
            <w:r>
              <w:rPr>
                <w:b/>
                <w:bCs/>
              </w:rPr>
              <w:t>摩尔百分数%</w:t>
            </w:r>
          </w:p>
        </w:tc>
        <w:tc>
          <w:tcPr>
            <w:tcW w:w="2343" w:type="dxa"/>
            <w:vAlign w:val="center"/>
          </w:tcPr>
          <w:p>
            <w:pPr>
              <w:pStyle w:val="134"/>
              <w:rPr>
                <w:b/>
                <w:bCs/>
              </w:rPr>
            </w:pPr>
            <w:r>
              <w:rPr>
                <w:b/>
                <w:bCs/>
              </w:rPr>
              <w:t>组分</w:t>
            </w:r>
          </w:p>
        </w:tc>
        <w:tc>
          <w:tcPr>
            <w:tcW w:w="2067" w:type="dxa"/>
            <w:vAlign w:val="center"/>
          </w:tcPr>
          <w:p>
            <w:pPr>
              <w:pStyle w:val="134"/>
              <w:rPr>
                <w:b/>
                <w:bCs/>
              </w:rPr>
            </w:pPr>
            <w:r>
              <w:rPr>
                <w:b/>
                <w:bCs/>
              </w:rPr>
              <w:t>摩尔百分数%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435" w:type="dxa"/>
            <w:vAlign w:val="center"/>
          </w:tcPr>
          <w:p>
            <w:pPr>
              <w:pStyle w:val="134"/>
            </w:pPr>
            <w:r>
              <w:t>甲烷   CH</w:t>
            </w:r>
            <w:r>
              <w:rPr>
                <w:vertAlign w:val="subscript"/>
              </w:rPr>
              <w:t xml:space="preserve">4 </w:t>
            </w:r>
          </w:p>
        </w:tc>
        <w:tc>
          <w:tcPr>
            <w:tcW w:w="2026" w:type="dxa"/>
            <w:vAlign w:val="center"/>
          </w:tcPr>
          <w:p>
            <w:pPr>
              <w:pStyle w:val="134"/>
            </w:pPr>
          </w:p>
        </w:tc>
        <w:tc>
          <w:tcPr>
            <w:tcW w:w="2343" w:type="dxa"/>
            <w:vAlign w:val="center"/>
          </w:tcPr>
          <w:p>
            <w:pPr>
              <w:pStyle w:val="134"/>
            </w:pPr>
            <w:r>
              <w:t>硫化氢  H</w:t>
            </w:r>
            <w:r>
              <w:rPr>
                <w:vertAlign w:val="subscript"/>
              </w:rPr>
              <w:t>2</w:t>
            </w:r>
            <w:r>
              <w:t>S</w:t>
            </w:r>
          </w:p>
        </w:tc>
        <w:tc>
          <w:tcPr>
            <w:tcW w:w="2067" w:type="dxa"/>
            <w:vAlign w:val="center"/>
          </w:tcPr>
          <w:p>
            <w:pPr>
              <w:pStyle w:val="134"/>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435" w:type="dxa"/>
            <w:vAlign w:val="center"/>
          </w:tcPr>
          <w:p>
            <w:pPr>
              <w:pStyle w:val="134"/>
            </w:pPr>
            <w:r>
              <w:t>乙烷  C</w:t>
            </w:r>
            <w:r>
              <w:rPr>
                <w:vertAlign w:val="subscript"/>
              </w:rPr>
              <w:t>2</w:t>
            </w:r>
            <w:r>
              <w:t>H</w:t>
            </w:r>
            <w:r>
              <w:rPr>
                <w:vertAlign w:val="subscript"/>
              </w:rPr>
              <w:t>6</w:t>
            </w:r>
          </w:p>
        </w:tc>
        <w:tc>
          <w:tcPr>
            <w:tcW w:w="2026" w:type="dxa"/>
            <w:vAlign w:val="center"/>
          </w:tcPr>
          <w:p>
            <w:pPr>
              <w:pStyle w:val="134"/>
            </w:pPr>
          </w:p>
        </w:tc>
        <w:tc>
          <w:tcPr>
            <w:tcW w:w="2343" w:type="dxa"/>
            <w:vAlign w:val="center"/>
          </w:tcPr>
          <w:p>
            <w:pPr>
              <w:pStyle w:val="134"/>
            </w:pPr>
            <w:r>
              <w:t>二氧化碳  CO</w:t>
            </w:r>
            <w:r>
              <w:rPr>
                <w:vertAlign w:val="subscript"/>
              </w:rPr>
              <w:t>2</w:t>
            </w:r>
          </w:p>
        </w:tc>
        <w:tc>
          <w:tcPr>
            <w:tcW w:w="2067" w:type="dxa"/>
            <w:vAlign w:val="center"/>
          </w:tcPr>
          <w:p>
            <w:pPr>
              <w:pStyle w:val="134"/>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435" w:type="dxa"/>
            <w:vAlign w:val="center"/>
          </w:tcPr>
          <w:p>
            <w:pPr>
              <w:pStyle w:val="134"/>
            </w:pPr>
            <w:r>
              <w:t>丙烷   C</w:t>
            </w:r>
            <w:r>
              <w:rPr>
                <w:vertAlign w:val="subscript"/>
              </w:rPr>
              <w:t>3</w:t>
            </w:r>
            <w:r>
              <w:t>H</w:t>
            </w:r>
            <w:r>
              <w:rPr>
                <w:vertAlign w:val="subscript"/>
              </w:rPr>
              <w:t xml:space="preserve">8 </w:t>
            </w:r>
          </w:p>
        </w:tc>
        <w:tc>
          <w:tcPr>
            <w:tcW w:w="2026" w:type="dxa"/>
            <w:vAlign w:val="center"/>
          </w:tcPr>
          <w:p>
            <w:pPr>
              <w:pStyle w:val="134"/>
            </w:pPr>
          </w:p>
        </w:tc>
        <w:tc>
          <w:tcPr>
            <w:tcW w:w="2343" w:type="dxa"/>
            <w:vAlign w:val="center"/>
          </w:tcPr>
          <w:p>
            <w:pPr>
              <w:pStyle w:val="134"/>
            </w:pPr>
            <w:r>
              <w:t>氮  N</w:t>
            </w:r>
            <w:r>
              <w:rPr>
                <w:vertAlign w:val="subscript"/>
              </w:rPr>
              <w:t>2</w:t>
            </w:r>
          </w:p>
        </w:tc>
        <w:tc>
          <w:tcPr>
            <w:tcW w:w="2067" w:type="dxa"/>
            <w:vAlign w:val="center"/>
          </w:tcPr>
          <w:p>
            <w:pPr>
              <w:pStyle w:val="134"/>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435" w:type="dxa"/>
            <w:vAlign w:val="center"/>
          </w:tcPr>
          <w:p>
            <w:pPr>
              <w:pStyle w:val="134"/>
            </w:pPr>
            <w:r>
              <w:t>异丁烷  iC</w:t>
            </w:r>
            <w:r>
              <w:rPr>
                <w:vertAlign w:val="subscript"/>
              </w:rPr>
              <w:t>4</w:t>
            </w:r>
            <w:r>
              <w:t>H</w:t>
            </w:r>
            <w:r>
              <w:rPr>
                <w:vertAlign w:val="subscript"/>
              </w:rPr>
              <w:t>10</w:t>
            </w:r>
          </w:p>
        </w:tc>
        <w:tc>
          <w:tcPr>
            <w:tcW w:w="2026" w:type="dxa"/>
            <w:vAlign w:val="center"/>
          </w:tcPr>
          <w:p>
            <w:pPr>
              <w:pStyle w:val="134"/>
            </w:pPr>
          </w:p>
        </w:tc>
        <w:tc>
          <w:tcPr>
            <w:tcW w:w="2343" w:type="dxa"/>
            <w:vAlign w:val="center"/>
          </w:tcPr>
          <w:p>
            <w:pPr>
              <w:pStyle w:val="134"/>
            </w:pPr>
            <w:r>
              <w:t>氦  He</w:t>
            </w:r>
          </w:p>
        </w:tc>
        <w:tc>
          <w:tcPr>
            <w:tcW w:w="2067" w:type="dxa"/>
            <w:vAlign w:val="center"/>
          </w:tcPr>
          <w:p>
            <w:pPr>
              <w:pStyle w:val="134"/>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435" w:type="dxa"/>
            <w:vAlign w:val="center"/>
          </w:tcPr>
          <w:p>
            <w:pPr>
              <w:pStyle w:val="134"/>
            </w:pPr>
            <w:r>
              <w:t>正丁烷   nC</w:t>
            </w:r>
            <w:r>
              <w:rPr>
                <w:vertAlign w:val="subscript"/>
              </w:rPr>
              <w:t>4</w:t>
            </w:r>
            <w:r>
              <w:t>H</w:t>
            </w:r>
            <w:r>
              <w:rPr>
                <w:vertAlign w:val="subscript"/>
              </w:rPr>
              <w:t xml:space="preserve">10 </w:t>
            </w:r>
          </w:p>
        </w:tc>
        <w:tc>
          <w:tcPr>
            <w:tcW w:w="2026" w:type="dxa"/>
            <w:vAlign w:val="center"/>
          </w:tcPr>
          <w:p>
            <w:pPr>
              <w:pStyle w:val="134"/>
            </w:pPr>
          </w:p>
        </w:tc>
        <w:tc>
          <w:tcPr>
            <w:tcW w:w="2343" w:type="dxa"/>
            <w:vAlign w:val="center"/>
          </w:tcPr>
          <w:p>
            <w:pPr>
              <w:pStyle w:val="134"/>
            </w:pPr>
            <w:r>
              <w:t>氢  H</w:t>
            </w:r>
            <w:r>
              <w:rPr>
                <w:vertAlign w:val="subscript"/>
              </w:rPr>
              <w:t>2</w:t>
            </w:r>
          </w:p>
        </w:tc>
        <w:tc>
          <w:tcPr>
            <w:tcW w:w="2067" w:type="dxa"/>
            <w:vAlign w:val="center"/>
          </w:tcPr>
          <w:p>
            <w:pPr>
              <w:pStyle w:val="134"/>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435" w:type="dxa"/>
            <w:vAlign w:val="center"/>
          </w:tcPr>
          <w:p>
            <w:pPr>
              <w:pStyle w:val="134"/>
            </w:pPr>
            <w:r>
              <w:t>总硫</w:t>
            </w:r>
          </w:p>
        </w:tc>
        <w:tc>
          <w:tcPr>
            <w:tcW w:w="2026" w:type="dxa"/>
            <w:vAlign w:val="center"/>
          </w:tcPr>
          <w:p>
            <w:pPr>
              <w:pStyle w:val="134"/>
            </w:pPr>
          </w:p>
        </w:tc>
        <w:tc>
          <w:tcPr>
            <w:tcW w:w="2343" w:type="dxa"/>
            <w:vAlign w:val="center"/>
          </w:tcPr>
          <w:p>
            <w:pPr>
              <w:pStyle w:val="134"/>
            </w:pPr>
          </w:p>
        </w:tc>
        <w:tc>
          <w:tcPr>
            <w:tcW w:w="2067" w:type="dxa"/>
            <w:vAlign w:val="center"/>
          </w:tcPr>
          <w:p>
            <w:pPr>
              <w:pStyle w:val="134"/>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435" w:type="dxa"/>
            <w:vAlign w:val="center"/>
          </w:tcPr>
          <w:p>
            <w:pPr>
              <w:pStyle w:val="134"/>
            </w:pPr>
            <w:r>
              <w:t>燃料气温度</w:t>
            </w:r>
          </w:p>
        </w:tc>
        <w:tc>
          <w:tcPr>
            <w:tcW w:w="2026" w:type="dxa"/>
            <w:vAlign w:val="center"/>
          </w:tcPr>
          <w:p>
            <w:pPr>
              <w:pStyle w:val="134"/>
            </w:pPr>
          </w:p>
        </w:tc>
        <w:tc>
          <w:tcPr>
            <w:tcW w:w="2343" w:type="dxa"/>
            <w:vAlign w:val="center"/>
          </w:tcPr>
          <w:p>
            <w:pPr>
              <w:pStyle w:val="134"/>
            </w:pPr>
            <w:r>
              <w:t>真实相对密度</w:t>
            </w:r>
          </w:p>
        </w:tc>
        <w:tc>
          <w:tcPr>
            <w:tcW w:w="2067" w:type="dxa"/>
            <w:vAlign w:val="center"/>
          </w:tcPr>
          <w:p>
            <w:pPr>
              <w:pStyle w:val="134"/>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435" w:type="dxa"/>
            <w:vAlign w:val="center"/>
          </w:tcPr>
          <w:p>
            <w:pPr>
              <w:pStyle w:val="134"/>
            </w:pPr>
            <w:r>
              <w:t>管道输送压力 MPa</w:t>
            </w:r>
          </w:p>
        </w:tc>
        <w:tc>
          <w:tcPr>
            <w:tcW w:w="2026" w:type="dxa"/>
            <w:vAlign w:val="center"/>
          </w:tcPr>
          <w:p>
            <w:pPr>
              <w:pStyle w:val="134"/>
            </w:pPr>
          </w:p>
        </w:tc>
        <w:tc>
          <w:tcPr>
            <w:tcW w:w="2343" w:type="dxa"/>
            <w:vAlign w:val="center"/>
          </w:tcPr>
          <w:p>
            <w:pPr>
              <w:pStyle w:val="134"/>
            </w:pPr>
            <w:r>
              <w:t>水露点 ℃</w:t>
            </w:r>
          </w:p>
        </w:tc>
        <w:tc>
          <w:tcPr>
            <w:tcW w:w="2067" w:type="dxa"/>
            <w:vAlign w:val="center"/>
          </w:tcPr>
          <w:p>
            <w:pPr>
              <w:pStyle w:val="134"/>
            </w:pPr>
          </w:p>
        </w:tc>
      </w:tr>
      <w:bookmarkEnd w:id="140"/>
    </w:tbl>
    <w:p>
      <w:pPr>
        <w:pStyle w:val="3"/>
        <w:spacing w:before="120"/>
        <w:rPr>
          <w:rFonts w:cs="Times New Roman"/>
        </w:rPr>
      </w:pPr>
      <w:bookmarkStart w:id="141" w:name="bookmark15"/>
      <w:bookmarkEnd w:id="141"/>
      <w:bookmarkStart w:id="142" w:name="_Toc28075"/>
      <w:bookmarkStart w:id="143" w:name="_Toc19815957"/>
      <w:bookmarkStart w:id="144" w:name="_Toc12288401"/>
      <w:bookmarkStart w:id="145" w:name="_Toc19815958"/>
      <w:r>
        <w:rPr>
          <w:rFonts w:cs="Times New Roman"/>
        </w:rPr>
        <w:t>3.4 钻井工程</w:t>
      </w:r>
      <w:bookmarkEnd w:id="142"/>
    </w:p>
    <w:p>
      <w:pPr>
        <w:pStyle w:val="114"/>
        <w:ind w:firstLine="480"/>
      </w:pPr>
      <w:r>
        <w:t>本项目</w:t>
      </w:r>
      <w:bookmarkStart w:id="146" w:name="OLE_LINK56"/>
      <w:bookmarkStart w:id="147" w:name="OLE_LINK55"/>
      <w:r>
        <w:t>P108-2H、P108-3井</w:t>
      </w:r>
      <w:bookmarkEnd w:id="146"/>
      <w:bookmarkEnd w:id="147"/>
      <w:r>
        <w:t>钻井工程包括钻前工程、钻井工程和完井工程。</w:t>
      </w:r>
    </w:p>
    <w:p>
      <w:pPr>
        <w:pStyle w:val="4"/>
        <w:rPr>
          <w:rFonts w:eastAsia="宋体"/>
        </w:rPr>
      </w:pPr>
      <w:r>
        <w:rPr>
          <w:rFonts w:eastAsia="宋体"/>
        </w:rPr>
        <w:t>3.4.1 钻前工程</w:t>
      </w:r>
    </w:p>
    <w:p>
      <w:pPr>
        <w:pStyle w:val="114"/>
        <w:ind w:firstLine="480"/>
      </w:pPr>
      <w:r>
        <w:t>本项目</w:t>
      </w:r>
      <w:r>
        <w:rPr>
          <w:rFonts w:hint="eastAsia"/>
        </w:rPr>
        <w:t>主要</w:t>
      </w:r>
      <w:r>
        <w:t>依托</w:t>
      </w:r>
      <w:r>
        <w:rPr>
          <w:rFonts w:hint="eastAsia"/>
        </w:rPr>
        <w:t>已建</w:t>
      </w:r>
      <w:r>
        <w:t>P108集气站，</w:t>
      </w:r>
      <w:r>
        <w:rPr>
          <w:rFonts w:hint="eastAsia"/>
        </w:rPr>
        <w:t>原集气站</w:t>
      </w:r>
      <w:r>
        <w:t>占地面积</w:t>
      </w:r>
      <w:r>
        <w:rPr>
          <w:bCs/>
        </w:rPr>
        <w:t>约</w:t>
      </w:r>
      <w:r>
        <w:rPr>
          <w:rFonts w:hint="eastAsia"/>
          <w:bCs/>
        </w:rPr>
        <w:t>18475</w:t>
      </w:r>
      <w:r>
        <w:rPr>
          <w:bCs/>
        </w:rPr>
        <w:t>m</w:t>
      </w:r>
      <w:r>
        <w:rPr>
          <w:bCs/>
          <w:vertAlign w:val="superscript"/>
        </w:rPr>
        <w:t>2</w:t>
      </w:r>
      <w:r>
        <w:t>，井场尺寸：长×宽=1</w:t>
      </w:r>
      <w:r>
        <w:rPr>
          <w:rFonts w:hint="eastAsia"/>
        </w:rPr>
        <w:t>20</w:t>
      </w:r>
      <w:r>
        <w:t>m×55m，主要进行场地平整，钻前设备安装等</w:t>
      </w:r>
      <w:r>
        <w:rPr>
          <w:rFonts w:hint="eastAsia"/>
        </w:rPr>
        <w:t>。扩建现有井场东侧区域，并对废水池采用土方填埋，填埋后作为井场用地。井场前场填方区采用“1:1.5填方放坡+格构护坡+护脚墙”支护方式，井场后场清理碎石20cm厚，井场后场设备基础间采用20cm厚C30混凝土进行硬化，井场除设备基础外均采用20cm厚6%水泥稳定碎石铺筑，扩建后井场南侧区域新建方井2座（P108-2H、P108-3井）。</w:t>
      </w:r>
      <w:r>
        <w:t>本项目依托现有放喷池2座</w:t>
      </w:r>
      <w:r>
        <w:rPr>
          <w:szCs w:val="21"/>
        </w:rPr>
        <w:t>（容积均为300m</w:t>
      </w:r>
      <w:r>
        <w:rPr>
          <w:szCs w:val="21"/>
          <w:vertAlign w:val="superscript"/>
        </w:rPr>
        <w:t>3</w:t>
      </w:r>
      <w:r>
        <w:rPr>
          <w:szCs w:val="21"/>
        </w:rPr>
        <w:t>）</w:t>
      </w:r>
      <w:r>
        <w:rPr>
          <w:rFonts w:hint="eastAsia"/>
          <w:szCs w:val="21"/>
        </w:rPr>
        <w:t>、进场道路</w:t>
      </w:r>
      <w:r>
        <w:t>等设施。</w:t>
      </w:r>
      <w:r>
        <w:rPr>
          <w:rFonts w:hint="eastAsia"/>
        </w:rPr>
        <w:t>新建废水池1座，容积为1000m</w:t>
      </w:r>
      <w:r>
        <w:rPr>
          <w:rFonts w:hint="eastAsia"/>
          <w:vertAlign w:val="superscript"/>
        </w:rPr>
        <w:t>3</w:t>
      </w:r>
      <w:r>
        <w:rPr>
          <w:rFonts w:hint="eastAsia"/>
        </w:rPr>
        <w:t>，新建表土堆放区。</w:t>
      </w:r>
    </w:p>
    <w:p>
      <w:pPr>
        <w:pStyle w:val="4"/>
        <w:rPr>
          <w:rFonts w:eastAsia="宋体"/>
        </w:rPr>
      </w:pPr>
      <w:r>
        <w:rPr>
          <w:rFonts w:eastAsia="宋体"/>
        </w:rPr>
        <w:t>3.4.2 钻井工程</w:t>
      </w:r>
    </w:p>
    <w:p>
      <w:pPr>
        <w:pStyle w:val="114"/>
        <w:ind w:firstLine="482"/>
        <w:rPr>
          <w:b/>
        </w:rPr>
      </w:pPr>
      <w:r>
        <w:rPr>
          <w:b/>
        </w:rPr>
        <w:t>（1）基础数据</w:t>
      </w:r>
    </w:p>
    <w:p>
      <w:pPr>
        <w:pStyle w:val="114"/>
        <w:ind w:firstLine="480"/>
      </w:pPr>
      <w:r>
        <w:t>1）井别：</w:t>
      </w:r>
      <w:r>
        <w:rPr>
          <w:szCs w:val="21"/>
        </w:rPr>
        <w:t>勘探井</w:t>
      </w:r>
      <w:r>
        <w:t>；</w:t>
      </w:r>
    </w:p>
    <w:p>
      <w:pPr>
        <w:pStyle w:val="114"/>
        <w:ind w:firstLine="480"/>
      </w:pPr>
      <w:r>
        <w:t>2）井型：水平井；</w:t>
      </w:r>
    </w:p>
    <w:p>
      <w:pPr>
        <w:pStyle w:val="114"/>
        <w:ind w:firstLine="480"/>
      </w:pPr>
      <w:r>
        <w:t>3）地质构造：</w:t>
      </w:r>
    </w:p>
    <w:p>
      <w:pPr>
        <w:pStyle w:val="114"/>
        <w:ind w:firstLine="480"/>
      </w:pPr>
      <w:r>
        <w:t>4）设计井深：</w:t>
      </w:r>
    </w:p>
    <w:p>
      <w:pPr>
        <w:pStyle w:val="114"/>
        <w:ind w:firstLine="480"/>
      </w:pPr>
      <w:r>
        <w:t>5）目的层：</w:t>
      </w:r>
    </w:p>
    <w:p>
      <w:pPr>
        <w:pStyle w:val="114"/>
        <w:ind w:firstLine="480"/>
      </w:pPr>
      <w:r>
        <w:t>6）完钻层位：</w:t>
      </w:r>
    </w:p>
    <w:p>
      <w:pPr>
        <w:pStyle w:val="114"/>
        <w:ind w:firstLine="480"/>
      </w:pPr>
      <w:r>
        <w:t>7）</w:t>
      </w:r>
      <w:bookmarkStart w:id="148" w:name="OLE_LINK137"/>
      <w:r>
        <w:t>钻井周期：施工周期290天，其中钻前工程30d，钻井工程140d，完井工程120d</w:t>
      </w:r>
      <w:bookmarkEnd w:id="148"/>
      <w:r>
        <w:t>。</w:t>
      </w:r>
    </w:p>
    <w:p>
      <w:pPr>
        <w:pStyle w:val="114"/>
        <w:ind w:firstLine="480"/>
      </w:pPr>
      <w:r>
        <w:t>8）劳动定员：施工期：站场施工人员数量20，钻井施工人数50人；试采期：为无人值守站，依托P108集气站职守工作人员6人。</w:t>
      </w:r>
    </w:p>
    <w:p>
      <w:pPr>
        <w:pStyle w:val="114"/>
        <w:ind w:firstLine="482"/>
        <w:rPr>
          <w:b/>
        </w:rPr>
      </w:pPr>
      <w:r>
        <w:rPr>
          <w:b/>
        </w:rPr>
        <w:t>（2）井身结构</w:t>
      </w:r>
    </w:p>
    <w:p>
      <w:pPr>
        <w:pStyle w:val="114"/>
        <w:ind w:firstLine="480"/>
        <w:jc w:val="center"/>
      </w:pPr>
    </w:p>
    <w:p>
      <w:pPr>
        <w:pStyle w:val="114"/>
        <w:ind w:firstLine="482"/>
        <w:jc w:val="center"/>
        <w:rPr>
          <w:b/>
        </w:rPr>
      </w:pPr>
      <w:r>
        <w:rPr>
          <w:b/>
        </w:rPr>
        <w:t>图3.4-1  P108-2H井井身结构图</w:t>
      </w:r>
    </w:p>
    <w:p>
      <w:pPr>
        <w:pStyle w:val="114"/>
        <w:ind w:firstLine="480"/>
        <w:jc w:val="center"/>
        <w:rPr>
          <w:b/>
        </w:rPr>
      </w:pPr>
    </w:p>
    <w:p>
      <w:pPr>
        <w:pStyle w:val="114"/>
        <w:ind w:firstLine="482"/>
        <w:jc w:val="center"/>
        <w:rPr>
          <w:b/>
        </w:rPr>
      </w:pPr>
      <w:r>
        <w:rPr>
          <w:b/>
        </w:rPr>
        <w:t>图3.4-2  P108-3井井身结构图</w:t>
      </w:r>
    </w:p>
    <w:p>
      <w:pPr>
        <w:pStyle w:val="114"/>
        <w:ind w:firstLine="482"/>
        <w:rPr>
          <w:b/>
        </w:rPr>
      </w:pPr>
      <w:bookmarkStart w:id="149" w:name="OLE_LINK52"/>
      <w:bookmarkStart w:id="150" w:name="OLE_LINK51"/>
      <w:r>
        <w:rPr>
          <w:b/>
        </w:rPr>
        <w:t>（3）钻井技术选择</w:t>
      </w:r>
    </w:p>
    <w:p>
      <w:pPr>
        <w:pStyle w:val="114"/>
        <w:ind w:firstLine="480"/>
      </w:pPr>
      <w:r>
        <w:t>1）钻井</w:t>
      </w:r>
    </w:p>
    <w:bookmarkEnd w:id="149"/>
    <w:bookmarkEnd w:id="150"/>
    <w:p>
      <w:pPr>
        <w:pStyle w:val="114"/>
        <w:ind w:firstLine="480"/>
      </w:pPr>
      <w:r>
        <w:t>根据项目区域地质特点，采用气体钻井技术和常规钻井技术相结合的方式钻井，不同井段的钻井方式见表3.4-2。设备用电使用网电</w:t>
      </w:r>
      <w:r>
        <w:rPr>
          <w:rFonts w:hint="eastAsia"/>
        </w:rPr>
        <w:t>供给</w:t>
      </w:r>
      <w:r>
        <w:t>。</w:t>
      </w:r>
    </w:p>
    <w:p>
      <w:pPr>
        <w:topLinePunct w:val="0"/>
        <w:snapToGrid w:val="0"/>
        <w:ind w:firstLine="0" w:firstLineChars="0"/>
        <w:jc w:val="center"/>
        <w:rPr>
          <w:rFonts w:ascii="Times New Roman" w:cs="Times New Roman"/>
          <w:b/>
          <w:kern w:val="2"/>
          <w:sz w:val="21"/>
          <w:szCs w:val="20"/>
        </w:rPr>
      </w:pPr>
      <w:bookmarkStart w:id="151" w:name="_Ref495937680"/>
      <w:r>
        <w:rPr>
          <w:rFonts w:ascii="Times New Roman" w:cs="Times New Roman"/>
          <w:b/>
          <w:kern w:val="2"/>
          <w:sz w:val="21"/>
          <w:szCs w:val="20"/>
        </w:rPr>
        <w:t>表</w:t>
      </w:r>
      <w:bookmarkEnd w:id="151"/>
      <w:r>
        <w:rPr>
          <w:rFonts w:ascii="Times New Roman" w:cs="Times New Roman"/>
          <w:b/>
          <w:kern w:val="2"/>
          <w:sz w:val="21"/>
          <w:szCs w:val="20"/>
        </w:rPr>
        <w:t>3.4-2  不同井段的钻井方式</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064"/>
        <w:gridCol w:w="914"/>
        <w:gridCol w:w="858"/>
        <w:gridCol w:w="982"/>
        <w:gridCol w:w="1728"/>
        <w:gridCol w:w="990"/>
        <w:gridCol w:w="11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64" w:type="dxa"/>
            <w:vAlign w:val="center"/>
          </w:tcPr>
          <w:p>
            <w:pPr>
              <w:topLinePunct w:val="0"/>
              <w:snapToGrid w:val="0"/>
              <w:spacing w:line="240" w:lineRule="auto"/>
              <w:ind w:firstLine="0" w:firstLineChars="0"/>
              <w:jc w:val="center"/>
              <w:textAlignment w:val="center"/>
              <w:rPr>
                <w:rFonts w:ascii="Times New Roman" w:cs="Times New Roman"/>
                <w:b/>
                <w:kern w:val="2"/>
                <w:sz w:val="21"/>
                <w:szCs w:val="21"/>
              </w:rPr>
            </w:pPr>
            <w:r>
              <w:rPr>
                <w:rFonts w:ascii="Times New Roman" w:cs="Times New Roman"/>
                <w:b/>
                <w:kern w:val="2"/>
                <w:sz w:val="21"/>
                <w:szCs w:val="21"/>
              </w:rPr>
              <w:t>井号</w:t>
            </w:r>
          </w:p>
        </w:tc>
        <w:tc>
          <w:tcPr>
            <w:tcW w:w="1064" w:type="dxa"/>
            <w:vAlign w:val="center"/>
          </w:tcPr>
          <w:p>
            <w:pPr>
              <w:topLinePunct w:val="0"/>
              <w:snapToGrid w:val="0"/>
              <w:spacing w:line="240" w:lineRule="auto"/>
              <w:ind w:firstLine="0" w:firstLineChars="0"/>
              <w:jc w:val="center"/>
              <w:textAlignment w:val="center"/>
              <w:rPr>
                <w:rFonts w:ascii="Times New Roman" w:cs="Times New Roman"/>
                <w:b/>
                <w:kern w:val="2"/>
                <w:sz w:val="21"/>
                <w:szCs w:val="21"/>
              </w:rPr>
            </w:pPr>
            <w:r>
              <w:rPr>
                <w:rFonts w:ascii="Times New Roman" w:cs="Times New Roman"/>
                <w:b/>
                <w:kern w:val="2"/>
                <w:sz w:val="21"/>
                <w:szCs w:val="21"/>
              </w:rPr>
              <w:t>开次</w:t>
            </w:r>
          </w:p>
        </w:tc>
        <w:tc>
          <w:tcPr>
            <w:tcW w:w="914" w:type="dxa"/>
            <w:vAlign w:val="center"/>
          </w:tcPr>
          <w:p>
            <w:pPr>
              <w:topLinePunct w:val="0"/>
              <w:snapToGrid w:val="0"/>
              <w:spacing w:line="240" w:lineRule="auto"/>
              <w:ind w:firstLine="0" w:firstLineChars="0"/>
              <w:jc w:val="center"/>
              <w:textAlignment w:val="center"/>
              <w:rPr>
                <w:rFonts w:ascii="Times New Roman" w:cs="Times New Roman"/>
                <w:b/>
                <w:kern w:val="2"/>
                <w:sz w:val="21"/>
                <w:szCs w:val="21"/>
              </w:rPr>
            </w:pPr>
            <w:r>
              <w:rPr>
                <w:rFonts w:ascii="Times New Roman" w:cs="Times New Roman"/>
                <w:b/>
                <w:kern w:val="2"/>
                <w:sz w:val="21"/>
                <w:szCs w:val="21"/>
              </w:rPr>
              <w:t>钻头尺寸</w:t>
            </w:r>
          </w:p>
          <w:p>
            <w:pPr>
              <w:topLinePunct w:val="0"/>
              <w:snapToGrid w:val="0"/>
              <w:spacing w:line="240" w:lineRule="auto"/>
              <w:ind w:firstLine="0" w:firstLineChars="0"/>
              <w:jc w:val="center"/>
              <w:textAlignment w:val="center"/>
              <w:rPr>
                <w:rFonts w:ascii="Times New Roman" w:cs="Times New Roman"/>
                <w:b/>
                <w:kern w:val="2"/>
                <w:sz w:val="21"/>
                <w:szCs w:val="21"/>
              </w:rPr>
            </w:pPr>
            <w:r>
              <w:rPr>
                <w:rFonts w:ascii="Times New Roman" w:cs="Times New Roman"/>
                <w:b/>
                <w:kern w:val="2"/>
                <w:sz w:val="21"/>
                <w:szCs w:val="21"/>
              </w:rPr>
              <w:t>（mm）</w:t>
            </w:r>
          </w:p>
        </w:tc>
        <w:tc>
          <w:tcPr>
            <w:tcW w:w="858" w:type="dxa"/>
            <w:vAlign w:val="center"/>
          </w:tcPr>
          <w:p>
            <w:pPr>
              <w:topLinePunct w:val="0"/>
              <w:snapToGrid w:val="0"/>
              <w:spacing w:line="240" w:lineRule="auto"/>
              <w:ind w:firstLine="0" w:firstLineChars="0"/>
              <w:jc w:val="center"/>
              <w:textAlignment w:val="center"/>
              <w:rPr>
                <w:rFonts w:ascii="Times New Roman" w:cs="Times New Roman"/>
                <w:b/>
                <w:kern w:val="2"/>
                <w:sz w:val="21"/>
                <w:szCs w:val="21"/>
              </w:rPr>
            </w:pPr>
            <w:r>
              <w:rPr>
                <w:rFonts w:ascii="Times New Roman" w:cs="Times New Roman"/>
                <w:b/>
                <w:kern w:val="2"/>
                <w:sz w:val="21"/>
                <w:szCs w:val="21"/>
              </w:rPr>
              <w:t>钻深</w:t>
            </w:r>
          </w:p>
          <w:p>
            <w:pPr>
              <w:topLinePunct w:val="0"/>
              <w:snapToGrid w:val="0"/>
              <w:spacing w:line="240" w:lineRule="auto"/>
              <w:ind w:firstLine="0" w:firstLineChars="0"/>
              <w:jc w:val="center"/>
              <w:textAlignment w:val="center"/>
              <w:rPr>
                <w:rFonts w:ascii="Times New Roman" w:cs="Times New Roman"/>
                <w:b/>
                <w:kern w:val="2"/>
                <w:sz w:val="21"/>
                <w:szCs w:val="21"/>
              </w:rPr>
            </w:pPr>
            <w:r>
              <w:rPr>
                <w:rFonts w:ascii="Times New Roman" w:cs="Times New Roman"/>
                <w:b/>
                <w:kern w:val="2"/>
                <w:sz w:val="21"/>
                <w:szCs w:val="21"/>
              </w:rPr>
              <w:t>（m）</w:t>
            </w:r>
          </w:p>
        </w:tc>
        <w:tc>
          <w:tcPr>
            <w:tcW w:w="982" w:type="dxa"/>
            <w:vAlign w:val="center"/>
          </w:tcPr>
          <w:p>
            <w:pPr>
              <w:topLinePunct w:val="0"/>
              <w:snapToGrid w:val="0"/>
              <w:spacing w:line="240" w:lineRule="auto"/>
              <w:ind w:firstLine="0" w:firstLineChars="0"/>
              <w:jc w:val="center"/>
              <w:textAlignment w:val="center"/>
              <w:rPr>
                <w:rFonts w:ascii="Times New Roman" w:cs="Times New Roman"/>
                <w:b/>
                <w:kern w:val="2"/>
                <w:sz w:val="21"/>
                <w:szCs w:val="21"/>
              </w:rPr>
            </w:pPr>
            <w:r>
              <w:rPr>
                <w:rFonts w:ascii="Times New Roman" w:cs="Times New Roman"/>
                <w:b/>
                <w:kern w:val="2"/>
                <w:sz w:val="21"/>
                <w:szCs w:val="21"/>
              </w:rPr>
              <w:t>套管尺寸</w:t>
            </w:r>
          </w:p>
          <w:p>
            <w:pPr>
              <w:topLinePunct w:val="0"/>
              <w:snapToGrid w:val="0"/>
              <w:spacing w:line="240" w:lineRule="auto"/>
              <w:ind w:firstLine="0" w:firstLineChars="0"/>
              <w:jc w:val="center"/>
              <w:textAlignment w:val="center"/>
              <w:rPr>
                <w:rFonts w:ascii="Times New Roman" w:cs="Times New Roman"/>
                <w:b/>
                <w:kern w:val="2"/>
                <w:sz w:val="21"/>
                <w:szCs w:val="21"/>
              </w:rPr>
            </w:pPr>
            <w:r>
              <w:rPr>
                <w:rFonts w:ascii="Times New Roman" w:cs="Times New Roman"/>
                <w:b/>
                <w:kern w:val="2"/>
                <w:sz w:val="21"/>
                <w:szCs w:val="21"/>
              </w:rPr>
              <w:t>（mm）</w:t>
            </w:r>
          </w:p>
        </w:tc>
        <w:tc>
          <w:tcPr>
            <w:tcW w:w="1728" w:type="dxa"/>
            <w:vAlign w:val="center"/>
          </w:tcPr>
          <w:p>
            <w:pPr>
              <w:topLinePunct w:val="0"/>
              <w:snapToGrid w:val="0"/>
              <w:spacing w:line="240" w:lineRule="auto"/>
              <w:ind w:firstLine="0" w:firstLineChars="0"/>
              <w:jc w:val="center"/>
              <w:textAlignment w:val="center"/>
              <w:rPr>
                <w:rFonts w:ascii="Times New Roman" w:cs="Times New Roman"/>
                <w:b/>
                <w:kern w:val="2"/>
                <w:sz w:val="21"/>
                <w:szCs w:val="21"/>
              </w:rPr>
            </w:pPr>
            <w:r>
              <w:rPr>
                <w:rFonts w:ascii="Times New Roman" w:cs="Times New Roman"/>
                <w:b/>
                <w:kern w:val="2"/>
                <w:sz w:val="21"/>
                <w:szCs w:val="21"/>
              </w:rPr>
              <w:t>套管下深</w:t>
            </w:r>
          </w:p>
          <w:p>
            <w:pPr>
              <w:topLinePunct w:val="0"/>
              <w:snapToGrid w:val="0"/>
              <w:spacing w:line="240" w:lineRule="auto"/>
              <w:ind w:firstLine="0" w:firstLineChars="0"/>
              <w:jc w:val="center"/>
              <w:textAlignment w:val="center"/>
              <w:rPr>
                <w:rFonts w:ascii="Times New Roman" w:cs="Times New Roman"/>
                <w:b/>
                <w:kern w:val="2"/>
                <w:sz w:val="21"/>
                <w:szCs w:val="21"/>
              </w:rPr>
            </w:pPr>
            <w:r>
              <w:rPr>
                <w:rFonts w:ascii="Times New Roman" w:cs="Times New Roman"/>
                <w:b/>
                <w:kern w:val="2"/>
                <w:sz w:val="21"/>
                <w:szCs w:val="21"/>
              </w:rPr>
              <w:t>（m）</w:t>
            </w:r>
          </w:p>
        </w:tc>
        <w:tc>
          <w:tcPr>
            <w:tcW w:w="990" w:type="dxa"/>
            <w:vAlign w:val="center"/>
          </w:tcPr>
          <w:p>
            <w:pPr>
              <w:topLinePunct w:val="0"/>
              <w:snapToGrid w:val="0"/>
              <w:spacing w:line="240" w:lineRule="auto"/>
              <w:ind w:firstLine="0" w:firstLineChars="0"/>
              <w:jc w:val="center"/>
              <w:textAlignment w:val="center"/>
              <w:rPr>
                <w:rFonts w:ascii="Times New Roman" w:cs="Times New Roman"/>
                <w:b/>
                <w:kern w:val="2"/>
                <w:sz w:val="21"/>
                <w:szCs w:val="21"/>
              </w:rPr>
            </w:pPr>
            <w:r>
              <w:rPr>
                <w:rFonts w:ascii="Times New Roman" w:cs="Times New Roman"/>
                <w:b/>
                <w:kern w:val="2"/>
                <w:sz w:val="21"/>
                <w:szCs w:val="21"/>
              </w:rPr>
              <w:t>水泥返高（m）</w:t>
            </w:r>
          </w:p>
        </w:tc>
        <w:tc>
          <w:tcPr>
            <w:tcW w:w="1138" w:type="dxa"/>
            <w:vAlign w:val="center"/>
          </w:tcPr>
          <w:p>
            <w:pPr>
              <w:topLinePunct w:val="0"/>
              <w:snapToGrid w:val="0"/>
              <w:spacing w:line="240" w:lineRule="auto"/>
              <w:ind w:firstLine="0" w:firstLineChars="0"/>
              <w:jc w:val="center"/>
              <w:textAlignment w:val="center"/>
              <w:rPr>
                <w:rFonts w:ascii="Times New Roman" w:cs="Times New Roman"/>
                <w:b/>
                <w:kern w:val="2"/>
                <w:sz w:val="21"/>
                <w:szCs w:val="21"/>
              </w:rPr>
            </w:pPr>
            <w:r>
              <w:rPr>
                <w:rFonts w:ascii="Times New Roman" w:cs="Times New Roman"/>
                <w:b/>
                <w:kern w:val="2"/>
                <w:sz w:val="21"/>
                <w:szCs w:val="21"/>
              </w:rPr>
              <w:t>钻井方式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4" w:type="dxa"/>
            <w:vMerge w:val="restart"/>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P108-2H井</w:t>
            </w:r>
          </w:p>
        </w:tc>
        <w:tc>
          <w:tcPr>
            <w:tcW w:w="1064"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导管</w:t>
            </w:r>
          </w:p>
        </w:tc>
        <w:tc>
          <w:tcPr>
            <w:tcW w:w="914" w:type="dxa"/>
            <w:vAlign w:val="center"/>
          </w:tcPr>
          <w:p>
            <w:pPr>
              <w:topLinePunct w:val="0"/>
              <w:adjustRightInd/>
              <w:spacing w:line="240" w:lineRule="auto"/>
              <w:ind w:firstLine="0" w:firstLineChars="0"/>
              <w:jc w:val="center"/>
              <w:rPr>
                <w:rFonts w:ascii="Times New Roman" w:cs="Times New Roman"/>
                <w:kern w:val="2"/>
                <w:sz w:val="21"/>
              </w:rPr>
            </w:pPr>
          </w:p>
        </w:tc>
        <w:tc>
          <w:tcPr>
            <w:tcW w:w="858" w:type="dxa"/>
            <w:vAlign w:val="center"/>
          </w:tcPr>
          <w:p>
            <w:pPr>
              <w:topLinePunct w:val="0"/>
              <w:adjustRightInd/>
              <w:spacing w:line="240" w:lineRule="auto"/>
              <w:ind w:firstLine="0" w:firstLineChars="0"/>
              <w:jc w:val="center"/>
              <w:rPr>
                <w:rFonts w:ascii="Times New Roman" w:cs="Times New Roman"/>
                <w:kern w:val="2"/>
                <w:sz w:val="21"/>
              </w:rPr>
            </w:pPr>
          </w:p>
        </w:tc>
        <w:tc>
          <w:tcPr>
            <w:tcW w:w="982" w:type="dxa"/>
            <w:vAlign w:val="center"/>
          </w:tcPr>
          <w:p>
            <w:pPr>
              <w:topLinePunct w:val="0"/>
              <w:adjustRightInd/>
              <w:spacing w:line="240" w:lineRule="auto"/>
              <w:ind w:firstLine="0" w:firstLineChars="0"/>
              <w:jc w:val="center"/>
              <w:rPr>
                <w:rFonts w:ascii="Times New Roman" w:cs="Times New Roman"/>
                <w:kern w:val="2"/>
                <w:sz w:val="21"/>
              </w:rPr>
            </w:pPr>
          </w:p>
        </w:tc>
        <w:tc>
          <w:tcPr>
            <w:tcW w:w="1728" w:type="dxa"/>
            <w:vAlign w:val="center"/>
          </w:tcPr>
          <w:p>
            <w:pPr>
              <w:topLinePunct w:val="0"/>
              <w:adjustRightInd/>
              <w:spacing w:line="240" w:lineRule="auto"/>
              <w:ind w:firstLine="0" w:firstLineChars="0"/>
              <w:jc w:val="center"/>
              <w:rPr>
                <w:rFonts w:ascii="Times New Roman" w:cs="Times New Roman"/>
                <w:kern w:val="2"/>
                <w:sz w:val="21"/>
              </w:rPr>
            </w:pPr>
          </w:p>
        </w:tc>
        <w:tc>
          <w:tcPr>
            <w:tcW w:w="990"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c>
          <w:tcPr>
            <w:tcW w:w="1138" w:type="dxa"/>
            <w:vAlign w:val="center"/>
          </w:tcPr>
          <w:p>
            <w:pPr>
              <w:topLinePunct w:val="0"/>
              <w:adjustRightInd/>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4" w:type="dxa"/>
            <w:vMerge w:val="continue"/>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c>
          <w:tcPr>
            <w:tcW w:w="1064"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一开</w:t>
            </w:r>
          </w:p>
        </w:tc>
        <w:tc>
          <w:tcPr>
            <w:tcW w:w="914" w:type="dxa"/>
            <w:vAlign w:val="center"/>
          </w:tcPr>
          <w:p>
            <w:pPr>
              <w:topLinePunct w:val="0"/>
              <w:adjustRightInd/>
              <w:spacing w:line="240" w:lineRule="auto"/>
              <w:ind w:firstLine="0" w:firstLineChars="0"/>
              <w:jc w:val="center"/>
              <w:rPr>
                <w:rFonts w:ascii="Times New Roman" w:cs="Times New Roman"/>
                <w:kern w:val="2"/>
                <w:sz w:val="21"/>
              </w:rPr>
            </w:pPr>
          </w:p>
        </w:tc>
        <w:tc>
          <w:tcPr>
            <w:tcW w:w="858" w:type="dxa"/>
            <w:vAlign w:val="center"/>
          </w:tcPr>
          <w:p>
            <w:pPr>
              <w:topLinePunct w:val="0"/>
              <w:adjustRightInd/>
              <w:spacing w:line="240" w:lineRule="auto"/>
              <w:ind w:firstLine="0" w:firstLineChars="0"/>
              <w:jc w:val="center"/>
              <w:rPr>
                <w:rFonts w:ascii="Times New Roman" w:cs="Times New Roman"/>
                <w:kern w:val="2"/>
                <w:sz w:val="21"/>
              </w:rPr>
            </w:pPr>
          </w:p>
        </w:tc>
        <w:tc>
          <w:tcPr>
            <w:tcW w:w="982" w:type="dxa"/>
            <w:vAlign w:val="center"/>
          </w:tcPr>
          <w:p>
            <w:pPr>
              <w:topLinePunct w:val="0"/>
              <w:adjustRightInd/>
              <w:spacing w:line="240" w:lineRule="auto"/>
              <w:ind w:firstLine="0" w:firstLineChars="0"/>
              <w:jc w:val="center"/>
              <w:rPr>
                <w:rFonts w:ascii="Times New Roman" w:cs="Times New Roman"/>
                <w:kern w:val="2"/>
                <w:sz w:val="21"/>
              </w:rPr>
            </w:pPr>
          </w:p>
        </w:tc>
        <w:tc>
          <w:tcPr>
            <w:tcW w:w="1728" w:type="dxa"/>
            <w:vAlign w:val="center"/>
          </w:tcPr>
          <w:p>
            <w:pPr>
              <w:topLinePunct w:val="0"/>
              <w:adjustRightInd/>
              <w:spacing w:line="240" w:lineRule="auto"/>
              <w:ind w:firstLine="0" w:firstLineChars="0"/>
              <w:jc w:val="center"/>
              <w:rPr>
                <w:rFonts w:ascii="Times New Roman" w:cs="Times New Roman"/>
                <w:kern w:val="2"/>
                <w:sz w:val="21"/>
              </w:rPr>
            </w:pPr>
          </w:p>
        </w:tc>
        <w:tc>
          <w:tcPr>
            <w:tcW w:w="990"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c>
          <w:tcPr>
            <w:tcW w:w="1138" w:type="dxa"/>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气体钻井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4" w:type="dxa"/>
            <w:vMerge w:val="continue"/>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c>
          <w:tcPr>
            <w:tcW w:w="1064"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二开</w:t>
            </w:r>
          </w:p>
        </w:tc>
        <w:tc>
          <w:tcPr>
            <w:tcW w:w="914" w:type="dxa"/>
            <w:vAlign w:val="center"/>
          </w:tcPr>
          <w:p>
            <w:pPr>
              <w:topLinePunct w:val="0"/>
              <w:adjustRightInd/>
              <w:spacing w:line="240" w:lineRule="auto"/>
              <w:ind w:firstLine="0" w:firstLineChars="0"/>
              <w:jc w:val="center"/>
              <w:rPr>
                <w:rFonts w:ascii="Times New Roman" w:cs="Times New Roman"/>
                <w:kern w:val="2"/>
                <w:sz w:val="21"/>
              </w:rPr>
            </w:pPr>
          </w:p>
        </w:tc>
        <w:tc>
          <w:tcPr>
            <w:tcW w:w="858" w:type="dxa"/>
            <w:vAlign w:val="center"/>
          </w:tcPr>
          <w:p>
            <w:pPr>
              <w:topLinePunct w:val="0"/>
              <w:adjustRightInd/>
              <w:spacing w:line="240" w:lineRule="auto"/>
              <w:ind w:firstLine="0" w:firstLineChars="0"/>
              <w:jc w:val="center"/>
              <w:rPr>
                <w:rFonts w:ascii="Times New Roman" w:cs="Times New Roman"/>
                <w:kern w:val="2"/>
                <w:sz w:val="21"/>
              </w:rPr>
            </w:pPr>
          </w:p>
        </w:tc>
        <w:tc>
          <w:tcPr>
            <w:tcW w:w="982" w:type="dxa"/>
            <w:vAlign w:val="center"/>
          </w:tcPr>
          <w:p>
            <w:pPr>
              <w:topLinePunct w:val="0"/>
              <w:adjustRightInd/>
              <w:spacing w:line="240" w:lineRule="auto"/>
              <w:ind w:firstLine="0" w:firstLineChars="0"/>
              <w:jc w:val="center"/>
              <w:rPr>
                <w:rFonts w:ascii="Times New Roman" w:cs="Times New Roman"/>
                <w:kern w:val="2"/>
                <w:sz w:val="21"/>
              </w:rPr>
            </w:pPr>
          </w:p>
        </w:tc>
        <w:tc>
          <w:tcPr>
            <w:tcW w:w="1728" w:type="dxa"/>
            <w:vAlign w:val="center"/>
          </w:tcPr>
          <w:p>
            <w:pPr>
              <w:topLinePunct w:val="0"/>
              <w:adjustRightInd/>
              <w:spacing w:line="240" w:lineRule="auto"/>
              <w:ind w:firstLine="0" w:firstLineChars="0"/>
              <w:jc w:val="center"/>
              <w:rPr>
                <w:rFonts w:ascii="Times New Roman" w:cs="Times New Roman"/>
                <w:kern w:val="2"/>
                <w:sz w:val="21"/>
              </w:rPr>
            </w:pPr>
          </w:p>
        </w:tc>
        <w:tc>
          <w:tcPr>
            <w:tcW w:w="990"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c>
          <w:tcPr>
            <w:tcW w:w="1138" w:type="dxa"/>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空气（氮气）钻井或常规钻井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4" w:type="dxa"/>
            <w:vMerge w:val="continue"/>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c>
          <w:tcPr>
            <w:tcW w:w="1064"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三开</w:t>
            </w:r>
          </w:p>
        </w:tc>
        <w:tc>
          <w:tcPr>
            <w:tcW w:w="914"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858"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982"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1728" w:type="dxa"/>
            <w:vAlign w:val="center"/>
          </w:tcPr>
          <w:p>
            <w:pPr>
              <w:spacing w:line="240" w:lineRule="auto"/>
              <w:ind w:firstLine="0" w:firstLineChars="0"/>
              <w:jc w:val="center"/>
              <w:rPr>
                <w:rFonts w:ascii="Times New Roman" w:cs="Times New Roman"/>
                <w:kern w:val="2"/>
                <w:sz w:val="21"/>
                <w:szCs w:val="21"/>
              </w:rPr>
            </w:pPr>
          </w:p>
        </w:tc>
        <w:tc>
          <w:tcPr>
            <w:tcW w:w="990"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c>
          <w:tcPr>
            <w:tcW w:w="1138" w:type="dxa"/>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常规钻井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4" w:type="dxa"/>
            <w:vMerge w:val="restart"/>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P108-3井</w:t>
            </w:r>
          </w:p>
        </w:tc>
        <w:tc>
          <w:tcPr>
            <w:tcW w:w="1064"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导管</w:t>
            </w:r>
          </w:p>
        </w:tc>
        <w:tc>
          <w:tcPr>
            <w:tcW w:w="914" w:type="dxa"/>
            <w:vAlign w:val="center"/>
          </w:tcPr>
          <w:p>
            <w:pPr>
              <w:topLinePunct w:val="0"/>
              <w:adjustRightInd/>
              <w:spacing w:line="240" w:lineRule="auto"/>
              <w:ind w:firstLine="0" w:firstLineChars="0"/>
              <w:jc w:val="center"/>
              <w:rPr>
                <w:rFonts w:ascii="Times New Roman" w:cs="Times New Roman"/>
                <w:kern w:val="2"/>
                <w:sz w:val="21"/>
              </w:rPr>
            </w:pPr>
          </w:p>
        </w:tc>
        <w:tc>
          <w:tcPr>
            <w:tcW w:w="858" w:type="dxa"/>
            <w:vAlign w:val="center"/>
          </w:tcPr>
          <w:p>
            <w:pPr>
              <w:topLinePunct w:val="0"/>
              <w:adjustRightInd/>
              <w:spacing w:line="240" w:lineRule="auto"/>
              <w:ind w:firstLine="0" w:firstLineChars="0"/>
              <w:jc w:val="center"/>
              <w:rPr>
                <w:rFonts w:ascii="Times New Roman" w:cs="Times New Roman"/>
                <w:kern w:val="2"/>
                <w:sz w:val="21"/>
              </w:rPr>
            </w:pPr>
          </w:p>
        </w:tc>
        <w:tc>
          <w:tcPr>
            <w:tcW w:w="982" w:type="dxa"/>
            <w:vAlign w:val="center"/>
          </w:tcPr>
          <w:p>
            <w:pPr>
              <w:topLinePunct w:val="0"/>
              <w:adjustRightInd/>
              <w:spacing w:line="240" w:lineRule="auto"/>
              <w:ind w:firstLine="0" w:firstLineChars="0"/>
              <w:jc w:val="center"/>
              <w:rPr>
                <w:rFonts w:ascii="Times New Roman" w:cs="Times New Roman"/>
                <w:kern w:val="2"/>
                <w:sz w:val="21"/>
              </w:rPr>
            </w:pPr>
          </w:p>
        </w:tc>
        <w:tc>
          <w:tcPr>
            <w:tcW w:w="1728" w:type="dxa"/>
            <w:vAlign w:val="center"/>
          </w:tcPr>
          <w:p>
            <w:pPr>
              <w:topLinePunct w:val="0"/>
              <w:adjustRightInd/>
              <w:spacing w:line="240" w:lineRule="auto"/>
              <w:ind w:firstLine="0" w:firstLineChars="0"/>
              <w:jc w:val="center"/>
              <w:rPr>
                <w:rFonts w:ascii="Times New Roman" w:cs="Times New Roman"/>
                <w:kern w:val="2"/>
                <w:sz w:val="21"/>
              </w:rPr>
            </w:pPr>
          </w:p>
        </w:tc>
        <w:tc>
          <w:tcPr>
            <w:tcW w:w="990"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c>
          <w:tcPr>
            <w:tcW w:w="1138" w:type="dxa"/>
            <w:vAlign w:val="center"/>
          </w:tcPr>
          <w:p>
            <w:pPr>
              <w:topLinePunct w:val="0"/>
              <w:adjustRightInd/>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4" w:type="dxa"/>
            <w:vMerge w:val="continue"/>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c>
          <w:tcPr>
            <w:tcW w:w="1064"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一开</w:t>
            </w:r>
          </w:p>
        </w:tc>
        <w:tc>
          <w:tcPr>
            <w:tcW w:w="914" w:type="dxa"/>
            <w:vAlign w:val="center"/>
          </w:tcPr>
          <w:p>
            <w:pPr>
              <w:topLinePunct w:val="0"/>
              <w:adjustRightInd/>
              <w:spacing w:line="240" w:lineRule="auto"/>
              <w:ind w:firstLine="0" w:firstLineChars="0"/>
              <w:jc w:val="center"/>
              <w:rPr>
                <w:rFonts w:ascii="Times New Roman" w:cs="Times New Roman"/>
                <w:kern w:val="2"/>
                <w:sz w:val="21"/>
              </w:rPr>
            </w:pPr>
          </w:p>
        </w:tc>
        <w:tc>
          <w:tcPr>
            <w:tcW w:w="858" w:type="dxa"/>
            <w:vAlign w:val="center"/>
          </w:tcPr>
          <w:p>
            <w:pPr>
              <w:topLinePunct w:val="0"/>
              <w:adjustRightInd/>
              <w:spacing w:line="240" w:lineRule="auto"/>
              <w:ind w:firstLine="0" w:firstLineChars="0"/>
              <w:jc w:val="center"/>
              <w:rPr>
                <w:rFonts w:ascii="Times New Roman" w:cs="Times New Roman"/>
                <w:kern w:val="2"/>
                <w:sz w:val="21"/>
              </w:rPr>
            </w:pPr>
          </w:p>
        </w:tc>
        <w:tc>
          <w:tcPr>
            <w:tcW w:w="982" w:type="dxa"/>
            <w:vAlign w:val="center"/>
          </w:tcPr>
          <w:p>
            <w:pPr>
              <w:topLinePunct w:val="0"/>
              <w:adjustRightInd/>
              <w:spacing w:line="240" w:lineRule="auto"/>
              <w:ind w:firstLine="0" w:firstLineChars="0"/>
              <w:jc w:val="center"/>
              <w:rPr>
                <w:rFonts w:ascii="Times New Roman" w:cs="Times New Roman"/>
                <w:kern w:val="2"/>
                <w:sz w:val="21"/>
              </w:rPr>
            </w:pPr>
          </w:p>
        </w:tc>
        <w:tc>
          <w:tcPr>
            <w:tcW w:w="1728" w:type="dxa"/>
            <w:vAlign w:val="center"/>
          </w:tcPr>
          <w:p>
            <w:pPr>
              <w:topLinePunct w:val="0"/>
              <w:adjustRightInd/>
              <w:spacing w:line="240" w:lineRule="auto"/>
              <w:ind w:firstLine="0" w:firstLineChars="0"/>
              <w:jc w:val="center"/>
              <w:rPr>
                <w:rFonts w:ascii="Times New Roman" w:cs="Times New Roman"/>
                <w:kern w:val="2"/>
                <w:sz w:val="21"/>
              </w:rPr>
            </w:pPr>
          </w:p>
        </w:tc>
        <w:tc>
          <w:tcPr>
            <w:tcW w:w="990"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c>
          <w:tcPr>
            <w:tcW w:w="1138" w:type="dxa"/>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气体钻井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4" w:type="dxa"/>
            <w:vMerge w:val="continue"/>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c>
          <w:tcPr>
            <w:tcW w:w="1064"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二开</w:t>
            </w:r>
          </w:p>
        </w:tc>
        <w:tc>
          <w:tcPr>
            <w:tcW w:w="914" w:type="dxa"/>
            <w:vAlign w:val="center"/>
          </w:tcPr>
          <w:p>
            <w:pPr>
              <w:topLinePunct w:val="0"/>
              <w:adjustRightInd/>
              <w:spacing w:line="240" w:lineRule="auto"/>
              <w:ind w:firstLine="0" w:firstLineChars="0"/>
              <w:jc w:val="center"/>
              <w:rPr>
                <w:rFonts w:ascii="Times New Roman" w:cs="Times New Roman"/>
                <w:kern w:val="2"/>
                <w:sz w:val="21"/>
              </w:rPr>
            </w:pPr>
          </w:p>
        </w:tc>
        <w:tc>
          <w:tcPr>
            <w:tcW w:w="858" w:type="dxa"/>
            <w:vAlign w:val="center"/>
          </w:tcPr>
          <w:p>
            <w:pPr>
              <w:topLinePunct w:val="0"/>
              <w:adjustRightInd/>
              <w:spacing w:line="240" w:lineRule="auto"/>
              <w:ind w:firstLine="0" w:firstLineChars="0"/>
              <w:jc w:val="center"/>
              <w:rPr>
                <w:rFonts w:ascii="Times New Roman" w:cs="Times New Roman"/>
                <w:kern w:val="2"/>
                <w:sz w:val="21"/>
              </w:rPr>
            </w:pPr>
          </w:p>
        </w:tc>
        <w:tc>
          <w:tcPr>
            <w:tcW w:w="982" w:type="dxa"/>
            <w:vAlign w:val="center"/>
          </w:tcPr>
          <w:p>
            <w:pPr>
              <w:topLinePunct w:val="0"/>
              <w:adjustRightInd/>
              <w:spacing w:line="240" w:lineRule="auto"/>
              <w:ind w:firstLine="0" w:firstLineChars="0"/>
              <w:jc w:val="center"/>
              <w:rPr>
                <w:rFonts w:ascii="Times New Roman" w:cs="Times New Roman"/>
                <w:kern w:val="2"/>
                <w:sz w:val="21"/>
              </w:rPr>
            </w:pPr>
          </w:p>
        </w:tc>
        <w:tc>
          <w:tcPr>
            <w:tcW w:w="1728" w:type="dxa"/>
            <w:vAlign w:val="center"/>
          </w:tcPr>
          <w:p>
            <w:pPr>
              <w:topLinePunct w:val="0"/>
              <w:adjustRightInd/>
              <w:spacing w:line="240" w:lineRule="auto"/>
              <w:ind w:firstLine="0" w:firstLineChars="0"/>
              <w:jc w:val="center"/>
              <w:rPr>
                <w:rFonts w:ascii="Times New Roman" w:cs="Times New Roman"/>
                <w:kern w:val="2"/>
                <w:sz w:val="21"/>
              </w:rPr>
            </w:pPr>
          </w:p>
        </w:tc>
        <w:tc>
          <w:tcPr>
            <w:tcW w:w="990"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c>
          <w:tcPr>
            <w:tcW w:w="1138" w:type="dxa"/>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空气（氮气）钻井或常规钻井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4" w:type="dxa"/>
            <w:vMerge w:val="continue"/>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c>
          <w:tcPr>
            <w:tcW w:w="1064"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三开</w:t>
            </w:r>
          </w:p>
        </w:tc>
        <w:tc>
          <w:tcPr>
            <w:tcW w:w="914"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858"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982"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1728" w:type="dxa"/>
            <w:vAlign w:val="center"/>
          </w:tcPr>
          <w:p>
            <w:pPr>
              <w:spacing w:line="240" w:lineRule="auto"/>
              <w:ind w:firstLine="0" w:firstLineChars="0"/>
              <w:jc w:val="center"/>
              <w:rPr>
                <w:rFonts w:ascii="Times New Roman" w:cs="Times New Roman"/>
                <w:kern w:val="2"/>
                <w:sz w:val="21"/>
                <w:szCs w:val="21"/>
              </w:rPr>
            </w:pPr>
          </w:p>
        </w:tc>
        <w:tc>
          <w:tcPr>
            <w:tcW w:w="990"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c>
          <w:tcPr>
            <w:tcW w:w="1138" w:type="dxa"/>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常规钻井</w:t>
            </w:r>
          </w:p>
        </w:tc>
      </w:tr>
    </w:tbl>
    <w:p>
      <w:pPr>
        <w:pStyle w:val="114"/>
        <w:ind w:firstLine="0" w:firstLineChars="0"/>
        <w:rPr>
          <w:sz w:val="21"/>
          <w:szCs w:val="21"/>
        </w:rPr>
      </w:pPr>
      <w:r>
        <w:rPr>
          <w:sz w:val="21"/>
          <w:szCs w:val="21"/>
        </w:rPr>
        <w:t>注：气体钻井根据不同情况使用的是空气或者氮气。</w:t>
      </w:r>
    </w:p>
    <w:p>
      <w:pPr>
        <w:pStyle w:val="114"/>
        <w:ind w:firstLine="480"/>
      </w:pPr>
      <w:r>
        <w:t>根据钻遇地层特点，P108-2H、P108-3井选用不同的钻井液体系，陆相地层易塌、易漏，若条件允许，优先考虑选用气体钻井方式，否则宜选用聚合物钻井液。海相地层重点是保护气层、抗温、防硫、防漏、防塌，同时防止膏盐岩污染。因此，采用封堵性聚合物润滑防塌钻井液体系，重点是提高泥饼质量，严格控制失水，提高钻井液防污染能力，尽量降低固相和液相的浸入，在气层井段实施平衡压力钻井，确保气层污染降至最低限度。本项目钻井液体系见表</w:t>
      </w:r>
      <w:bookmarkStart w:id="152" w:name="OLE_LINK58"/>
      <w:bookmarkStart w:id="153" w:name="OLE_LINK57"/>
      <w:bookmarkStart w:id="154" w:name="OLE_LINK248"/>
      <w:r>
        <w:t>3.4-3</w:t>
      </w:r>
      <w:bookmarkEnd w:id="152"/>
      <w:bookmarkEnd w:id="153"/>
      <w:bookmarkEnd w:id="154"/>
      <w:r>
        <w:t>。</w:t>
      </w:r>
    </w:p>
    <w:p>
      <w:pPr>
        <w:topLinePunct w:val="0"/>
        <w:snapToGrid w:val="0"/>
        <w:ind w:firstLine="0" w:firstLineChars="0"/>
        <w:jc w:val="center"/>
        <w:rPr>
          <w:rFonts w:ascii="Times New Roman" w:cs="Times New Roman"/>
          <w:b/>
          <w:kern w:val="2"/>
          <w:sz w:val="21"/>
          <w:szCs w:val="20"/>
        </w:rPr>
      </w:pPr>
      <w:bookmarkStart w:id="155" w:name="_Ref494447895"/>
      <w:r>
        <w:rPr>
          <w:rFonts w:ascii="Times New Roman" w:cs="Times New Roman"/>
          <w:b/>
          <w:kern w:val="2"/>
          <w:sz w:val="21"/>
          <w:szCs w:val="20"/>
        </w:rPr>
        <w:t>表</w:t>
      </w:r>
      <w:bookmarkEnd w:id="155"/>
      <w:r>
        <w:rPr>
          <w:rFonts w:ascii="Times New Roman" w:cs="Times New Roman"/>
          <w:b/>
          <w:kern w:val="2"/>
          <w:sz w:val="21"/>
          <w:szCs w:val="20"/>
        </w:rPr>
        <w:t>3.4-3  分段钻井液体系</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094"/>
        <w:gridCol w:w="1203"/>
        <w:gridCol w:w="1475"/>
        <w:gridCol w:w="38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93" w:type="dxa"/>
            <w:vAlign w:val="center"/>
          </w:tcPr>
          <w:p>
            <w:pPr>
              <w:topLinePunct w:val="0"/>
              <w:snapToGrid w:val="0"/>
              <w:spacing w:line="240" w:lineRule="auto"/>
              <w:ind w:firstLine="0" w:firstLineChars="0"/>
              <w:jc w:val="center"/>
              <w:textAlignment w:val="center"/>
              <w:rPr>
                <w:rFonts w:ascii="Times New Roman" w:cs="Times New Roman"/>
                <w:b/>
                <w:kern w:val="2"/>
                <w:sz w:val="21"/>
                <w:szCs w:val="21"/>
              </w:rPr>
            </w:pPr>
            <w:r>
              <w:rPr>
                <w:rFonts w:ascii="Times New Roman" w:cs="Times New Roman"/>
                <w:b/>
                <w:kern w:val="2"/>
                <w:sz w:val="21"/>
                <w:szCs w:val="21"/>
              </w:rPr>
              <w:t>井号</w:t>
            </w:r>
          </w:p>
        </w:tc>
        <w:tc>
          <w:tcPr>
            <w:tcW w:w="1094" w:type="dxa"/>
            <w:vAlign w:val="center"/>
          </w:tcPr>
          <w:p>
            <w:pPr>
              <w:topLinePunct w:val="0"/>
              <w:snapToGrid w:val="0"/>
              <w:spacing w:line="240" w:lineRule="auto"/>
              <w:ind w:firstLine="0" w:firstLineChars="0"/>
              <w:jc w:val="center"/>
              <w:textAlignment w:val="center"/>
              <w:rPr>
                <w:rFonts w:ascii="Times New Roman" w:cs="Times New Roman"/>
                <w:b/>
                <w:kern w:val="2"/>
                <w:sz w:val="21"/>
                <w:szCs w:val="21"/>
              </w:rPr>
            </w:pPr>
            <w:r>
              <w:rPr>
                <w:rFonts w:ascii="Times New Roman" w:cs="Times New Roman"/>
                <w:b/>
                <w:kern w:val="2"/>
                <w:sz w:val="21"/>
                <w:szCs w:val="21"/>
              </w:rPr>
              <w:t>开钻序号</w:t>
            </w:r>
          </w:p>
        </w:tc>
        <w:tc>
          <w:tcPr>
            <w:tcW w:w="1203" w:type="dxa"/>
            <w:vAlign w:val="center"/>
          </w:tcPr>
          <w:p>
            <w:pPr>
              <w:topLinePunct w:val="0"/>
              <w:snapToGrid w:val="0"/>
              <w:spacing w:line="240" w:lineRule="auto"/>
              <w:ind w:firstLine="0" w:firstLineChars="0"/>
              <w:jc w:val="center"/>
              <w:textAlignment w:val="center"/>
              <w:rPr>
                <w:rFonts w:ascii="Times New Roman" w:cs="Times New Roman"/>
                <w:b/>
                <w:kern w:val="2"/>
                <w:sz w:val="21"/>
                <w:szCs w:val="21"/>
              </w:rPr>
            </w:pPr>
            <w:r>
              <w:rPr>
                <w:rFonts w:ascii="Times New Roman" w:cs="Times New Roman"/>
                <w:b/>
                <w:kern w:val="2"/>
                <w:sz w:val="21"/>
                <w:szCs w:val="21"/>
              </w:rPr>
              <w:t>井眼尺寸（mm）</w:t>
            </w:r>
          </w:p>
        </w:tc>
        <w:tc>
          <w:tcPr>
            <w:tcW w:w="1475" w:type="dxa"/>
            <w:vAlign w:val="center"/>
          </w:tcPr>
          <w:p>
            <w:pPr>
              <w:topLinePunct w:val="0"/>
              <w:snapToGrid w:val="0"/>
              <w:spacing w:line="240" w:lineRule="auto"/>
              <w:ind w:firstLine="0" w:firstLineChars="0"/>
              <w:jc w:val="center"/>
              <w:textAlignment w:val="center"/>
              <w:rPr>
                <w:rFonts w:ascii="Times New Roman" w:cs="Times New Roman"/>
                <w:b/>
                <w:kern w:val="2"/>
                <w:sz w:val="21"/>
                <w:szCs w:val="21"/>
              </w:rPr>
            </w:pPr>
            <w:r>
              <w:rPr>
                <w:rFonts w:ascii="Times New Roman" w:cs="Times New Roman"/>
                <w:b/>
                <w:kern w:val="2"/>
                <w:sz w:val="21"/>
                <w:szCs w:val="21"/>
              </w:rPr>
              <w:t>井段（m）</w:t>
            </w:r>
          </w:p>
        </w:tc>
        <w:tc>
          <w:tcPr>
            <w:tcW w:w="3873" w:type="dxa"/>
            <w:vAlign w:val="center"/>
          </w:tcPr>
          <w:p>
            <w:pPr>
              <w:topLinePunct w:val="0"/>
              <w:snapToGrid w:val="0"/>
              <w:spacing w:line="240" w:lineRule="auto"/>
              <w:ind w:firstLine="0" w:firstLineChars="0"/>
              <w:jc w:val="center"/>
              <w:textAlignment w:val="center"/>
              <w:rPr>
                <w:rFonts w:ascii="Times New Roman" w:cs="Times New Roman"/>
                <w:b/>
                <w:kern w:val="2"/>
                <w:sz w:val="21"/>
                <w:szCs w:val="21"/>
              </w:rPr>
            </w:pPr>
            <w:r>
              <w:rPr>
                <w:rFonts w:ascii="Times New Roman" w:cs="Times New Roman"/>
                <w:b/>
                <w:kern w:val="2"/>
                <w:sz w:val="21"/>
                <w:szCs w:val="21"/>
              </w:rPr>
              <w:t>钻井液体系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restart"/>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P108-2H井</w:t>
            </w:r>
          </w:p>
        </w:tc>
        <w:tc>
          <w:tcPr>
            <w:tcW w:w="1094"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导管</w:t>
            </w:r>
          </w:p>
        </w:tc>
        <w:tc>
          <w:tcPr>
            <w:tcW w:w="1203" w:type="dxa"/>
            <w:vAlign w:val="center"/>
          </w:tcPr>
          <w:p>
            <w:pPr>
              <w:topLinePunct w:val="0"/>
              <w:adjustRightInd/>
              <w:spacing w:line="240" w:lineRule="auto"/>
              <w:ind w:firstLine="0" w:firstLineChars="0"/>
              <w:jc w:val="center"/>
              <w:rPr>
                <w:rFonts w:ascii="Times New Roman" w:cs="Times New Roman"/>
                <w:kern w:val="2"/>
                <w:sz w:val="21"/>
              </w:rPr>
            </w:pPr>
          </w:p>
        </w:tc>
        <w:tc>
          <w:tcPr>
            <w:tcW w:w="1475" w:type="dxa"/>
            <w:vAlign w:val="center"/>
          </w:tcPr>
          <w:p>
            <w:pPr>
              <w:topLinePunct w:val="0"/>
              <w:adjustRightInd/>
              <w:spacing w:line="240" w:lineRule="auto"/>
              <w:ind w:firstLine="0" w:firstLineChars="0"/>
              <w:jc w:val="center"/>
              <w:rPr>
                <w:rFonts w:ascii="Times New Roman" w:cs="Times New Roman"/>
                <w:kern w:val="2"/>
                <w:sz w:val="21"/>
              </w:rPr>
            </w:pPr>
          </w:p>
        </w:tc>
        <w:tc>
          <w:tcPr>
            <w:tcW w:w="3873"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聚合物钻井液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c>
          <w:tcPr>
            <w:tcW w:w="1094"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一开</w:t>
            </w:r>
          </w:p>
        </w:tc>
        <w:tc>
          <w:tcPr>
            <w:tcW w:w="1203" w:type="dxa"/>
            <w:vAlign w:val="center"/>
          </w:tcPr>
          <w:p>
            <w:pPr>
              <w:topLinePunct w:val="0"/>
              <w:adjustRightInd/>
              <w:spacing w:line="240" w:lineRule="auto"/>
              <w:ind w:firstLine="0" w:firstLineChars="0"/>
              <w:jc w:val="center"/>
              <w:rPr>
                <w:rFonts w:ascii="Times New Roman" w:cs="Times New Roman"/>
                <w:kern w:val="2"/>
                <w:sz w:val="21"/>
              </w:rPr>
            </w:pPr>
          </w:p>
        </w:tc>
        <w:tc>
          <w:tcPr>
            <w:tcW w:w="1475" w:type="dxa"/>
            <w:vAlign w:val="center"/>
          </w:tcPr>
          <w:p>
            <w:pPr>
              <w:topLinePunct w:val="0"/>
              <w:adjustRightInd/>
              <w:spacing w:line="240" w:lineRule="auto"/>
              <w:ind w:firstLine="0" w:firstLineChars="0"/>
              <w:jc w:val="center"/>
              <w:rPr>
                <w:rFonts w:ascii="Times New Roman" w:cs="Times New Roman"/>
                <w:kern w:val="2"/>
                <w:sz w:val="21"/>
              </w:rPr>
            </w:pPr>
          </w:p>
        </w:tc>
        <w:tc>
          <w:tcPr>
            <w:tcW w:w="3873"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气体钻井流体（或聚合物非渗透钻井液）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c>
          <w:tcPr>
            <w:tcW w:w="1094" w:type="dxa"/>
            <w:vMerge w:val="restart"/>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二开</w:t>
            </w:r>
          </w:p>
        </w:tc>
        <w:tc>
          <w:tcPr>
            <w:tcW w:w="1203" w:type="dxa"/>
            <w:vMerge w:val="restart"/>
            <w:vAlign w:val="center"/>
          </w:tcPr>
          <w:p>
            <w:pPr>
              <w:topLinePunct w:val="0"/>
              <w:adjustRightInd/>
              <w:spacing w:line="240" w:lineRule="auto"/>
              <w:ind w:firstLine="0" w:firstLineChars="0"/>
              <w:jc w:val="center"/>
              <w:rPr>
                <w:rFonts w:ascii="Times New Roman" w:cs="Times New Roman"/>
                <w:kern w:val="2"/>
                <w:sz w:val="21"/>
              </w:rPr>
            </w:pPr>
          </w:p>
        </w:tc>
        <w:tc>
          <w:tcPr>
            <w:tcW w:w="1475" w:type="dxa"/>
            <w:vAlign w:val="center"/>
          </w:tcPr>
          <w:p>
            <w:pPr>
              <w:topLinePunct w:val="0"/>
              <w:adjustRightInd/>
              <w:spacing w:line="240" w:lineRule="auto"/>
              <w:ind w:firstLine="0" w:firstLineChars="0"/>
              <w:jc w:val="center"/>
              <w:rPr>
                <w:rFonts w:ascii="Times New Roman" w:cs="Times New Roman"/>
                <w:kern w:val="2"/>
                <w:sz w:val="21"/>
              </w:rPr>
            </w:pPr>
          </w:p>
        </w:tc>
        <w:tc>
          <w:tcPr>
            <w:tcW w:w="3873"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气体钻井流体（或聚合物非渗透钻井液）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c>
          <w:tcPr>
            <w:tcW w:w="1094" w:type="dxa"/>
            <w:vMerge w:val="continue"/>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c>
          <w:tcPr>
            <w:tcW w:w="1203" w:type="dxa"/>
            <w:vMerge w:val="continue"/>
            <w:vAlign w:val="center"/>
          </w:tcPr>
          <w:p>
            <w:pPr>
              <w:topLinePunct w:val="0"/>
              <w:adjustRightInd/>
              <w:spacing w:line="240" w:lineRule="auto"/>
              <w:ind w:firstLine="0" w:firstLineChars="0"/>
              <w:jc w:val="center"/>
              <w:rPr>
                <w:rFonts w:ascii="Times New Roman" w:cs="Times New Roman"/>
                <w:kern w:val="2"/>
                <w:sz w:val="21"/>
              </w:rPr>
            </w:pPr>
          </w:p>
        </w:tc>
        <w:tc>
          <w:tcPr>
            <w:tcW w:w="1475" w:type="dxa"/>
            <w:vAlign w:val="center"/>
          </w:tcPr>
          <w:p>
            <w:pPr>
              <w:topLinePunct w:val="0"/>
              <w:adjustRightInd/>
              <w:spacing w:line="240" w:lineRule="auto"/>
              <w:ind w:firstLine="0" w:firstLineChars="0"/>
              <w:jc w:val="center"/>
              <w:rPr>
                <w:rFonts w:ascii="Times New Roman" w:cs="Times New Roman"/>
                <w:kern w:val="2"/>
                <w:sz w:val="21"/>
              </w:rPr>
            </w:pPr>
          </w:p>
        </w:tc>
        <w:tc>
          <w:tcPr>
            <w:tcW w:w="3873"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聚合物非渗透钻井液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c>
          <w:tcPr>
            <w:tcW w:w="1094"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三开</w:t>
            </w:r>
          </w:p>
        </w:tc>
        <w:tc>
          <w:tcPr>
            <w:tcW w:w="1203" w:type="dxa"/>
            <w:vAlign w:val="center"/>
          </w:tcPr>
          <w:p>
            <w:pPr>
              <w:topLinePunct w:val="0"/>
              <w:adjustRightInd/>
              <w:spacing w:line="240" w:lineRule="auto"/>
              <w:ind w:firstLine="0" w:firstLineChars="0"/>
              <w:jc w:val="center"/>
              <w:rPr>
                <w:rFonts w:ascii="Times New Roman" w:cs="Times New Roman"/>
                <w:kern w:val="2"/>
                <w:sz w:val="21"/>
              </w:rPr>
            </w:pPr>
          </w:p>
        </w:tc>
        <w:tc>
          <w:tcPr>
            <w:tcW w:w="1475" w:type="dxa"/>
            <w:vAlign w:val="center"/>
          </w:tcPr>
          <w:p>
            <w:pPr>
              <w:topLinePunct w:val="0"/>
              <w:adjustRightInd/>
              <w:spacing w:line="240" w:lineRule="auto"/>
              <w:ind w:firstLine="0" w:firstLineChars="0"/>
              <w:jc w:val="center"/>
              <w:rPr>
                <w:rFonts w:ascii="Times New Roman" w:cs="Times New Roman"/>
                <w:kern w:val="2"/>
                <w:sz w:val="21"/>
              </w:rPr>
            </w:pPr>
          </w:p>
        </w:tc>
        <w:tc>
          <w:tcPr>
            <w:tcW w:w="3873"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封堵性聚合物润滑防塌钻井液（若不能满足安全钻井要求，则更换为白油基钻井液体系）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restart"/>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P108-3井</w:t>
            </w:r>
          </w:p>
        </w:tc>
        <w:tc>
          <w:tcPr>
            <w:tcW w:w="1094"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导管</w:t>
            </w:r>
          </w:p>
        </w:tc>
        <w:tc>
          <w:tcPr>
            <w:tcW w:w="1203" w:type="dxa"/>
            <w:vAlign w:val="center"/>
          </w:tcPr>
          <w:p>
            <w:pPr>
              <w:topLinePunct w:val="0"/>
              <w:adjustRightInd/>
              <w:spacing w:line="240" w:lineRule="auto"/>
              <w:ind w:firstLine="0" w:firstLineChars="0"/>
              <w:jc w:val="center"/>
              <w:rPr>
                <w:rFonts w:ascii="Times New Roman" w:cs="Times New Roman"/>
                <w:kern w:val="2"/>
                <w:sz w:val="21"/>
              </w:rPr>
            </w:pPr>
          </w:p>
        </w:tc>
        <w:tc>
          <w:tcPr>
            <w:tcW w:w="1475" w:type="dxa"/>
            <w:vAlign w:val="center"/>
          </w:tcPr>
          <w:p>
            <w:pPr>
              <w:topLinePunct w:val="0"/>
              <w:adjustRightInd/>
              <w:spacing w:line="240" w:lineRule="auto"/>
              <w:ind w:firstLine="0" w:firstLineChars="0"/>
              <w:jc w:val="center"/>
              <w:rPr>
                <w:rFonts w:ascii="Times New Roman" w:cs="Times New Roman"/>
                <w:kern w:val="2"/>
                <w:sz w:val="21"/>
              </w:rPr>
            </w:pPr>
          </w:p>
        </w:tc>
        <w:tc>
          <w:tcPr>
            <w:tcW w:w="3873"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聚合物钻井液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c>
          <w:tcPr>
            <w:tcW w:w="1094"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一开</w:t>
            </w:r>
          </w:p>
        </w:tc>
        <w:tc>
          <w:tcPr>
            <w:tcW w:w="1203" w:type="dxa"/>
            <w:vAlign w:val="center"/>
          </w:tcPr>
          <w:p>
            <w:pPr>
              <w:topLinePunct w:val="0"/>
              <w:adjustRightInd/>
              <w:spacing w:line="240" w:lineRule="auto"/>
              <w:ind w:firstLine="0" w:firstLineChars="0"/>
              <w:jc w:val="center"/>
              <w:rPr>
                <w:rFonts w:ascii="Times New Roman" w:cs="Times New Roman"/>
                <w:kern w:val="2"/>
                <w:sz w:val="21"/>
              </w:rPr>
            </w:pPr>
          </w:p>
        </w:tc>
        <w:tc>
          <w:tcPr>
            <w:tcW w:w="1475" w:type="dxa"/>
            <w:vAlign w:val="center"/>
          </w:tcPr>
          <w:p>
            <w:pPr>
              <w:topLinePunct w:val="0"/>
              <w:adjustRightInd/>
              <w:spacing w:line="240" w:lineRule="auto"/>
              <w:ind w:firstLine="0" w:firstLineChars="0"/>
              <w:jc w:val="center"/>
              <w:rPr>
                <w:rFonts w:ascii="Times New Roman" w:cs="Times New Roman"/>
                <w:kern w:val="2"/>
                <w:sz w:val="21"/>
              </w:rPr>
            </w:pPr>
          </w:p>
        </w:tc>
        <w:tc>
          <w:tcPr>
            <w:tcW w:w="3873"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气体钻井流体（或聚合物非渗透钻井液）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c>
          <w:tcPr>
            <w:tcW w:w="1094" w:type="dxa"/>
            <w:vMerge w:val="restart"/>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二开</w:t>
            </w:r>
          </w:p>
        </w:tc>
        <w:tc>
          <w:tcPr>
            <w:tcW w:w="1203" w:type="dxa"/>
            <w:vMerge w:val="restart"/>
            <w:vAlign w:val="center"/>
          </w:tcPr>
          <w:p>
            <w:pPr>
              <w:topLinePunct w:val="0"/>
              <w:adjustRightInd/>
              <w:spacing w:line="240" w:lineRule="auto"/>
              <w:ind w:firstLine="0" w:firstLineChars="0"/>
              <w:jc w:val="center"/>
              <w:rPr>
                <w:rFonts w:ascii="Times New Roman" w:cs="Times New Roman"/>
                <w:kern w:val="2"/>
                <w:sz w:val="21"/>
              </w:rPr>
            </w:pPr>
          </w:p>
        </w:tc>
        <w:tc>
          <w:tcPr>
            <w:tcW w:w="1475" w:type="dxa"/>
            <w:vAlign w:val="center"/>
          </w:tcPr>
          <w:p>
            <w:pPr>
              <w:topLinePunct w:val="0"/>
              <w:adjustRightInd/>
              <w:spacing w:line="240" w:lineRule="auto"/>
              <w:ind w:firstLine="0" w:firstLineChars="0"/>
              <w:jc w:val="center"/>
              <w:rPr>
                <w:rFonts w:ascii="Times New Roman" w:cs="Times New Roman"/>
                <w:kern w:val="2"/>
                <w:sz w:val="21"/>
              </w:rPr>
            </w:pPr>
          </w:p>
        </w:tc>
        <w:tc>
          <w:tcPr>
            <w:tcW w:w="3873"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气体钻井流体（或聚合物非渗透钻井液）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c>
          <w:tcPr>
            <w:tcW w:w="1094" w:type="dxa"/>
            <w:vMerge w:val="continue"/>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c>
          <w:tcPr>
            <w:tcW w:w="1203" w:type="dxa"/>
            <w:vMerge w:val="continue"/>
            <w:vAlign w:val="center"/>
          </w:tcPr>
          <w:p>
            <w:pPr>
              <w:topLinePunct w:val="0"/>
              <w:adjustRightInd/>
              <w:spacing w:line="240" w:lineRule="auto"/>
              <w:ind w:firstLine="0" w:firstLineChars="0"/>
              <w:jc w:val="center"/>
              <w:rPr>
                <w:rFonts w:ascii="Times New Roman" w:cs="Times New Roman"/>
                <w:kern w:val="2"/>
                <w:sz w:val="21"/>
              </w:rPr>
            </w:pPr>
          </w:p>
        </w:tc>
        <w:tc>
          <w:tcPr>
            <w:tcW w:w="1475" w:type="dxa"/>
            <w:vAlign w:val="center"/>
          </w:tcPr>
          <w:p>
            <w:pPr>
              <w:topLinePunct w:val="0"/>
              <w:adjustRightInd/>
              <w:spacing w:line="240" w:lineRule="auto"/>
              <w:ind w:firstLine="0" w:firstLineChars="0"/>
              <w:jc w:val="center"/>
              <w:rPr>
                <w:rFonts w:ascii="Times New Roman" w:cs="Times New Roman"/>
                <w:kern w:val="2"/>
                <w:sz w:val="21"/>
              </w:rPr>
            </w:pPr>
          </w:p>
        </w:tc>
        <w:tc>
          <w:tcPr>
            <w:tcW w:w="3873"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聚合物非渗透钻井液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c>
          <w:tcPr>
            <w:tcW w:w="1094"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三开</w:t>
            </w:r>
          </w:p>
        </w:tc>
        <w:tc>
          <w:tcPr>
            <w:tcW w:w="1203" w:type="dxa"/>
            <w:vAlign w:val="center"/>
          </w:tcPr>
          <w:p>
            <w:pPr>
              <w:topLinePunct w:val="0"/>
              <w:adjustRightInd/>
              <w:spacing w:line="240" w:lineRule="auto"/>
              <w:ind w:firstLine="0" w:firstLineChars="0"/>
              <w:jc w:val="center"/>
              <w:rPr>
                <w:rFonts w:ascii="Times New Roman" w:cs="Times New Roman"/>
                <w:kern w:val="2"/>
                <w:sz w:val="21"/>
              </w:rPr>
            </w:pPr>
          </w:p>
        </w:tc>
        <w:tc>
          <w:tcPr>
            <w:tcW w:w="1475" w:type="dxa"/>
            <w:vAlign w:val="center"/>
          </w:tcPr>
          <w:p>
            <w:pPr>
              <w:topLinePunct w:val="0"/>
              <w:adjustRightInd/>
              <w:spacing w:line="240" w:lineRule="auto"/>
              <w:ind w:firstLine="0" w:firstLineChars="0"/>
              <w:jc w:val="center"/>
              <w:rPr>
                <w:rFonts w:ascii="Times New Roman" w:cs="Times New Roman"/>
                <w:kern w:val="2"/>
                <w:sz w:val="21"/>
              </w:rPr>
            </w:pPr>
          </w:p>
        </w:tc>
        <w:tc>
          <w:tcPr>
            <w:tcW w:w="3873"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封堵性聚合物润滑防塌钻井液（若不能满足安全钻井要求，则更换为白油基钻井液体系）</w:t>
            </w:r>
          </w:p>
        </w:tc>
      </w:tr>
    </w:tbl>
    <w:p>
      <w:pPr>
        <w:pStyle w:val="114"/>
        <w:ind w:firstLine="480"/>
      </w:pPr>
      <w:r>
        <w:t>各阶段钻井液性能见如下：</w:t>
      </w:r>
    </w:p>
    <w:p>
      <w:pPr>
        <w:pStyle w:val="114"/>
        <w:ind w:firstLine="480"/>
      </w:pPr>
      <w:r>
        <w:t>①导管(0～50m)</w:t>
      </w:r>
    </w:p>
    <w:p>
      <w:pPr>
        <w:pStyle w:val="114"/>
        <w:ind w:firstLine="480"/>
      </w:pPr>
      <w:r>
        <w:t>②一开井段(50～701m)</w:t>
      </w:r>
    </w:p>
    <w:p>
      <w:pPr>
        <w:pStyle w:val="114"/>
        <w:ind w:firstLine="480"/>
      </w:pPr>
      <w:r>
        <w:t>气体钻井</w:t>
      </w:r>
    </w:p>
    <w:p>
      <w:pPr>
        <w:pStyle w:val="114"/>
        <w:ind w:firstLine="480"/>
      </w:pPr>
      <w:r>
        <w:t>钻井液基本配方。</w:t>
      </w:r>
    </w:p>
    <w:p>
      <w:pPr>
        <w:pStyle w:val="114"/>
        <w:ind w:firstLine="480"/>
      </w:pPr>
      <w:r>
        <w:t>③二开井段(711～4320m)</w:t>
      </w:r>
    </w:p>
    <w:p>
      <w:pPr>
        <w:pStyle w:val="114"/>
        <w:ind w:firstLine="480"/>
      </w:pPr>
      <w:r>
        <w:t>须家河组顶部以上井段采用气体钻井。若采用钻井液钻井方式，采用以下配方。</w:t>
      </w:r>
    </w:p>
    <w:p>
      <w:pPr>
        <w:pStyle w:val="114"/>
        <w:ind w:firstLine="480"/>
      </w:pPr>
      <w:r>
        <w:t>钻井液基本配方：</w:t>
      </w:r>
    </w:p>
    <w:p>
      <w:pPr>
        <w:pStyle w:val="114"/>
        <w:ind w:firstLine="480"/>
      </w:pPr>
      <w:r>
        <w:rPr>
          <w:rFonts w:eastAsia="微软雅黑"/>
        </w:rPr>
        <w:t>④</w:t>
      </w:r>
      <w:r>
        <w:t>三开井段(4320～5988m/6670m)</w:t>
      </w:r>
    </w:p>
    <w:p>
      <w:pPr>
        <w:ind w:firstLine="480"/>
        <w:rPr>
          <w:rFonts w:ascii="Times New Roman" w:cs="Times New Roman"/>
        </w:rPr>
      </w:pPr>
      <w:r>
        <w:t>钻井液基本配方：</w:t>
      </w:r>
    </w:p>
    <w:p>
      <w:pPr>
        <w:snapToGrid w:val="0"/>
        <w:ind w:firstLine="480"/>
        <w:rPr>
          <w:rFonts w:ascii="Times New Roman" w:cs="Times New Roman"/>
        </w:rPr>
      </w:pPr>
      <w:r>
        <w:rPr>
          <w:rFonts w:ascii="Times New Roman" w:cs="Times New Roman"/>
        </w:rPr>
        <w:t>若封堵性聚合物润滑防塌钻井液不能满足三开井段安全钻井要求，则更换为白油基钻井液体系，白油基钻井液体系基础配方：</w:t>
      </w:r>
    </w:p>
    <w:p>
      <w:pPr>
        <w:snapToGrid w:val="0"/>
        <w:ind w:firstLine="480"/>
        <w:rPr>
          <w:rFonts w:ascii="Times New Roman" w:cs="Times New Roman"/>
        </w:rPr>
      </w:pPr>
      <w:r>
        <w:rPr>
          <w:rFonts w:ascii="Times New Roman" w:cs="Times New Roman"/>
        </w:rPr>
        <w:t>钻井液预计消耗情况见表</w:t>
      </w:r>
      <w:bookmarkStart w:id="156" w:name="OLE_LINK251"/>
      <w:bookmarkStart w:id="157" w:name="OLE_LINK252"/>
      <w:r>
        <w:rPr>
          <w:rFonts w:ascii="Times New Roman" w:cs="Times New Roman"/>
        </w:rPr>
        <w:t>3.4-4</w:t>
      </w:r>
      <w:bookmarkEnd w:id="156"/>
      <w:bookmarkEnd w:id="157"/>
      <w:r>
        <w:rPr>
          <w:rFonts w:ascii="Times New Roman" w:cs="Times New Roman"/>
        </w:rPr>
        <w:t>。</w:t>
      </w:r>
    </w:p>
    <w:p>
      <w:pPr>
        <w:topLinePunct w:val="0"/>
        <w:snapToGrid w:val="0"/>
        <w:spacing w:before="120" w:beforeLines="50"/>
        <w:ind w:firstLine="0" w:firstLineChars="0"/>
        <w:jc w:val="center"/>
        <w:rPr>
          <w:rFonts w:ascii="Times New Roman" w:cs="Times New Roman"/>
          <w:b/>
          <w:kern w:val="2"/>
          <w:sz w:val="21"/>
          <w:szCs w:val="21"/>
        </w:rPr>
      </w:pPr>
      <w:bookmarkStart w:id="158" w:name="_Ref496031857"/>
      <w:bookmarkStart w:id="159" w:name="_Ref524529693"/>
      <w:r>
        <w:rPr>
          <w:rFonts w:ascii="Times New Roman" w:cs="Times New Roman"/>
          <w:b/>
          <w:kern w:val="2"/>
          <w:sz w:val="21"/>
          <w:szCs w:val="21"/>
        </w:rPr>
        <w:t xml:space="preserve">表 </w:t>
      </w:r>
      <w:bookmarkEnd w:id="158"/>
      <w:bookmarkEnd w:id="159"/>
      <w:r>
        <w:rPr>
          <w:rFonts w:ascii="Times New Roman" w:cs="Times New Roman"/>
          <w:b/>
          <w:sz w:val="21"/>
          <w:szCs w:val="21"/>
        </w:rPr>
        <w:t>3.4-4</w:t>
      </w:r>
      <w:r>
        <w:rPr>
          <w:rFonts w:ascii="Times New Roman" w:cs="Times New Roman"/>
          <w:b/>
          <w:kern w:val="2"/>
          <w:sz w:val="21"/>
          <w:szCs w:val="21"/>
        </w:rPr>
        <w:t xml:space="preserve">  钻井液预计消耗情况一览表（m</w:t>
      </w:r>
      <w:r>
        <w:rPr>
          <w:rFonts w:ascii="Times New Roman" w:cs="Times New Roman"/>
          <w:b/>
          <w:kern w:val="2"/>
          <w:sz w:val="21"/>
          <w:szCs w:val="21"/>
          <w:vertAlign w:val="superscript"/>
        </w:rPr>
        <w:t>3</w:t>
      </w:r>
      <w:r>
        <w:rPr>
          <w:rFonts w:ascii="Times New Roman" w:cs="Times New Roman"/>
          <w:b/>
          <w:kern w:val="2"/>
          <w:sz w:val="21"/>
          <w:szCs w:val="21"/>
        </w:rPr>
        <w:t>）</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60"/>
        <w:gridCol w:w="1260"/>
        <w:gridCol w:w="940"/>
        <w:gridCol w:w="1103"/>
        <w:gridCol w:w="1103"/>
        <w:gridCol w:w="1108"/>
        <w:gridCol w:w="1117"/>
        <w:gridCol w:w="111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9" w:type="pct"/>
            <w:vAlign w:val="center"/>
          </w:tcPr>
          <w:p>
            <w:pPr>
              <w:topLinePunct w:val="0"/>
              <w:adjustRightInd/>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井号</w:t>
            </w:r>
          </w:p>
        </w:tc>
        <w:tc>
          <w:tcPr>
            <w:tcW w:w="699" w:type="pct"/>
            <w:vAlign w:val="center"/>
          </w:tcPr>
          <w:p>
            <w:pPr>
              <w:topLinePunct w:val="0"/>
              <w:adjustRightInd/>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井段（m）</w:t>
            </w:r>
          </w:p>
        </w:tc>
        <w:tc>
          <w:tcPr>
            <w:tcW w:w="522" w:type="pct"/>
            <w:vAlign w:val="center"/>
          </w:tcPr>
          <w:p>
            <w:pPr>
              <w:topLinePunct w:val="0"/>
              <w:adjustRightInd/>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地面系统</w:t>
            </w:r>
          </w:p>
        </w:tc>
        <w:tc>
          <w:tcPr>
            <w:tcW w:w="612" w:type="pct"/>
            <w:vAlign w:val="center"/>
          </w:tcPr>
          <w:p>
            <w:pPr>
              <w:topLinePunct w:val="0"/>
              <w:adjustRightInd/>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上层套管</w:t>
            </w:r>
          </w:p>
          <w:p>
            <w:pPr>
              <w:topLinePunct w:val="0"/>
              <w:adjustRightInd/>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容积</w:t>
            </w:r>
          </w:p>
        </w:tc>
        <w:tc>
          <w:tcPr>
            <w:tcW w:w="612" w:type="pct"/>
            <w:vAlign w:val="center"/>
          </w:tcPr>
          <w:p>
            <w:pPr>
              <w:topLinePunct w:val="0"/>
              <w:adjustRightInd/>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裸眼段</w:t>
            </w:r>
          </w:p>
          <w:p>
            <w:pPr>
              <w:topLinePunct w:val="0"/>
              <w:adjustRightInd/>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钻井液量</w:t>
            </w:r>
          </w:p>
        </w:tc>
        <w:tc>
          <w:tcPr>
            <w:tcW w:w="612" w:type="pct"/>
            <w:vAlign w:val="center"/>
          </w:tcPr>
          <w:p>
            <w:pPr>
              <w:topLinePunct w:val="0"/>
              <w:adjustRightInd/>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损耗量</w:t>
            </w:r>
          </w:p>
        </w:tc>
        <w:tc>
          <w:tcPr>
            <w:tcW w:w="620" w:type="pct"/>
            <w:vAlign w:val="center"/>
          </w:tcPr>
          <w:p>
            <w:pPr>
              <w:topLinePunct w:val="0"/>
              <w:adjustRightInd/>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总需要量</w:t>
            </w:r>
          </w:p>
        </w:tc>
        <w:tc>
          <w:tcPr>
            <w:tcW w:w="620" w:type="pct"/>
            <w:vAlign w:val="center"/>
          </w:tcPr>
          <w:p>
            <w:pPr>
              <w:topLinePunct w:val="0"/>
              <w:adjustRightInd/>
              <w:spacing w:line="240" w:lineRule="auto"/>
              <w:ind w:firstLine="0" w:firstLineChars="0"/>
              <w:jc w:val="center"/>
              <w:rPr>
                <w:rFonts w:ascii="Times New Roman" w:cs="Times New Roman"/>
                <w:b/>
                <w:kern w:val="2"/>
                <w:sz w:val="21"/>
                <w:szCs w:val="21"/>
              </w:rPr>
            </w:pPr>
            <w:r>
              <w:rPr>
                <w:rFonts w:hint="eastAsia" w:ascii="Times New Roman" w:cs="Times New Roman"/>
                <w:b/>
                <w:kern w:val="2"/>
                <w:sz w:val="21"/>
                <w:szCs w:val="21"/>
              </w:rPr>
              <w:t>合计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9" w:type="pct"/>
            <w:vMerge w:val="restar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P108-2H</w:t>
            </w:r>
          </w:p>
        </w:tc>
        <w:tc>
          <w:tcPr>
            <w:tcW w:w="699"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导管</w:t>
            </w:r>
          </w:p>
        </w:tc>
        <w:tc>
          <w:tcPr>
            <w:tcW w:w="522"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12"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12"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12"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20"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20" w:type="pct"/>
            <w:vMerge w:val="restar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9" w:type="pct"/>
            <w:vMerge w:val="continue"/>
            <w:vAlign w:val="center"/>
          </w:tcPr>
          <w:p>
            <w:pPr>
              <w:topLinePunct w:val="0"/>
              <w:adjustRightInd/>
              <w:spacing w:line="240" w:lineRule="auto"/>
              <w:ind w:firstLine="0" w:firstLineChars="0"/>
              <w:jc w:val="center"/>
              <w:rPr>
                <w:rFonts w:ascii="Times New Roman" w:cs="Times New Roman"/>
                <w:kern w:val="2"/>
                <w:sz w:val="21"/>
                <w:szCs w:val="21"/>
              </w:rPr>
            </w:pPr>
          </w:p>
        </w:tc>
        <w:tc>
          <w:tcPr>
            <w:tcW w:w="699"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一开</w:t>
            </w:r>
          </w:p>
        </w:tc>
        <w:tc>
          <w:tcPr>
            <w:tcW w:w="522"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12"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12"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12"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20"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20" w:type="pct"/>
            <w:vMerge w:val="continue"/>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9" w:type="pct"/>
            <w:vMerge w:val="continue"/>
            <w:vAlign w:val="center"/>
          </w:tcPr>
          <w:p>
            <w:pPr>
              <w:topLinePunct w:val="0"/>
              <w:adjustRightInd/>
              <w:spacing w:line="240" w:lineRule="auto"/>
              <w:ind w:firstLine="0" w:firstLineChars="0"/>
              <w:jc w:val="center"/>
              <w:rPr>
                <w:rFonts w:ascii="Times New Roman" w:cs="Times New Roman"/>
                <w:kern w:val="2"/>
                <w:sz w:val="21"/>
                <w:szCs w:val="21"/>
              </w:rPr>
            </w:pPr>
          </w:p>
        </w:tc>
        <w:tc>
          <w:tcPr>
            <w:tcW w:w="699"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二开</w:t>
            </w:r>
          </w:p>
        </w:tc>
        <w:tc>
          <w:tcPr>
            <w:tcW w:w="522"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12"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12"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12"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20"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20" w:type="pct"/>
            <w:vMerge w:val="continue"/>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9" w:type="pct"/>
            <w:vMerge w:val="continue"/>
            <w:vAlign w:val="center"/>
          </w:tcPr>
          <w:p>
            <w:pPr>
              <w:topLinePunct w:val="0"/>
              <w:adjustRightInd/>
              <w:spacing w:line="240" w:lineRule="auto"/>
              <w:ind w:firstLine="0" w:firstLineChars="0"/>
              <w:jc w:val="center"/>
              <w:rPr>
                <w:rFonts w:ascii="Times New Roman" w:cs="Times New Roman"/>
                <w:kern w:val="2"/>
                <w:sz w:val="21"/>
                <w:szCs w:val="21"/>
              </w:rPr>
            </w:pPr>
          </w:p>
        </w:tc>
        <w:tc>
          <w:tcPr>
            <w:tcW w:w="699"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三开</w:t>
            </w:r>
          </w:p>
        </w:tc>
        <w:tc>
          <w:tcPr>
            <w:tcW w:w="522"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12"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12"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12"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20"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20"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9" w:type="pct"/>
            <w:vMerge w:val="restar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P108-3</w:t>
            </w:r>
          </w:p>
        </w:tc>
        <w:tc>
          <w:tcPr>
            <w:tcW w:w="699"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导管</w:t>
            </w:r>
          </w:p>
        </w:tc>
        <w:tc>
          <w:tcPr>
            <w:tcW w:w="522"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12"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12"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12"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20"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20" w:type="pct"/>
            <w:vMerge w:val="restar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9" w:type="pct"/>
            <w:vMerge w:val="continue"/>
            <w:vAlign w:val="center"/>
          </w:tcPr>
          <w:p>
            <w:pPr>
              <w:topLinePunct w:val="0"/>
              <w:adjustRightInd/>
              <w:spacing w:line="240" w:lineRule="auto"/>
              <w:ind w:firstLine="0" w:firstLineChars="0"/>
              <w:jc w:val="center"/>
              <w:rPr>
                <w:rFonts w:ascii="Times New Roman" w:cs="Times New Roman"/>
                <w:kern w:val="2"/>
                <w:sz w:val="21"/>
                <w:szCs w:val="21"/>
              </w:rPr>
            </w:pPr>
          </w:p>
        </w:tc>
        <w:tc>
          <w:tcPr>
            <w:tcW w:w="699"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一开</w:t>
            </w:r>
          </w:p>
        </w:tc>
        <w:tc>
          <w:tcPr>
            <w:tcW w:w="522"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12"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12"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12"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20"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20" w:type="pct"/>
            <w:vMerge w:val="continue"/>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9" w:type="pct"/>
            <w:vMerge w:val="continue"/>
            <w:vAlign w:val="center"/>
          </w:tcPr>
          <w:p>
            <w:pPr>
              <w:topLinePunct w:val="0"/>
              <w:adjustRightInd/>
              <w:spacing w:line="240" w:lineRule="auto"/>
              <w:ind w:firstLine="0" w:firstLineChars="0"/>
              <w:jc w:val="center"/>
              <w:rPr>
                <w:rFonts w:ascii="Times New Roman" w:cs="Times New Roman"/>
                <w:kern w:val="2"/>
                <w:sz w:val="21"/>
                <w:szCs w:val="21"/>
              </w:rPr>
            </w:pPr>
          </w:p>
        </w:tc>
        <w:tc>
          <w:tcPr>
            <w:tcW w:w="699"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二开</w:t>
            </w:r>
          </w:p>
        </w:tc>
        <w:tc>
          <w:tcPr>
            <w:tcW w:w="522"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12"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12"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12"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20"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20" w:type="pct"/>
            <w:vMerge w:val="continue"/>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9" w:type="pct"/>
            <w:vMerge w:val="continue"/>
            <w:vAlign w:val="center"/>
          </w:tcPr>
          <w:p>
            <w:pPr>
              <w:topLinePunct w:val="0"/>
              <w:adjustRightInd/>
              <w:spacing w:line="240" w:lineRule="auto"/>
              <w:ind w:firstLine="0" w:firstLineChars="0"/>
              <w:jc w:val="center"/>
              <w:rPr>
                <w:rFonts w:ascii="Times New Roman" w:cs="Times New Roman"/>
                <w:kern w:val="2"/>
                <w:sz w:val="21"/>
                <w:szCs w:val="21"/>
              </w:rPr>
            </w:pPr>
          </w:p>
        </w:tc>
        <w:tc>
          <w:tcPr>
            <w:tcW w:w="699"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三开</w:t>
            </w:r>
          </w:p>
        </w:tc>
        <w:tc>
          <w:tcPr>
            <w:tcW w:w="522"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12"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12"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12"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20"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20"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759" w:type="pct"/>
            <w:gridSpan w:val="6"/>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合计</w:t>
            </w:r>
          </w:p>
        </w:tc>
        <w:tc>
          <w:tcPr>
            <w:tcW w:w="620"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p>
        </w:tc>
        <w:tc>
          <w:tcPr>
            <w:tcW w:w="620" w:type="pct"/>
            <w:vAlign w:val="center"/>
          </w:tcPr>
          <w:p>
            <w:pPr>
              <w:tabs>
                <w:tab w:val="center" w:pos="4153"/>
                <w:tab w:val="right" w:pos="8306"/>
              </w:tabs>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w:t>
            </w:r>
          </w:p>
        </w:tc>
      </w:tr>
    </w:tbl>
    <w:p>
      <w:pPr>
        <w:pStyle w:val="577"/>
        <w:rPr>
          <w:rFonts w:ascii="Times New Roman" w:hAnsi="Times New Roman"/>
        </w:rPr>
      </w:pPr>
      <w:r>
        <w:rPr>
          <w:rFonts w:ascii="Times New Roman" w:hAnsi="Times New Roman"/>
        </w:rPr>
        <w:t>注：①裸眼段按井径扩大10%计算，损耗量按裸眼段容积2倍计算，不包括漏失；</w:t>
      </w:r>
    </w:p>
    <w:p>
      <w:pPr>
        <w:snapToGrid w:val="0"/>
        <w:ind w:firstLine="420"/>
        <w:rPr>
          <w:rFonts w:ascii="Times New Roman" w:cs="Times New Roman"/>
          <w:sz w:val="21"/>
          <w:szCs w:val="21"/>
        </w:rPr>
      </w:pPr>
      <w:r>
        <w:rPr>
          <w:rFonts w:ascii="Times New Roman" w:cs="Times New Roman"/>
          <w:sz w:val="21"/>
          <w:szCs w:val="21"/>
        </w:rPr>
        <w:t>②未考虑气体钻井。</w:t>
      </w:r>
    </w:p>
    <w:p>
      <w:pPr>
        <w:snapToGrid w:val="0"/>
        <w:ind w:firstLine="480"/>
        <w:rPr>
          <w:rFonts w:ascii="Times New Roman" w:cs="Times New Roman"/>
        </w:rPr>
      </w:pPr>
      <w:r>
        <w:rPr>
          <w:rFonts w:ascii="Times New Roman" w:cs="Times New Roman"/>
        </w:rPr>
        <w:t>2）钻井液性质及作用</w:t>
      </w:r>
    </w:p>
    <w:p>
      <w:pPr>
        <w:snapToGrid w:val="0"/>
        <w:ind w:firstLine="480"/>
        <w:rPr>
          <w:rFonts w:ascii="Times New Roman" w:cs="Times New Roman"/>
        </w:rPr>
      </w:pPr>
      <w:r>
        <w:rPr>
          <w:rFonts w:ascii="Times New Roman" w:cs="Times New Roman"/>
        </w:rPr>
        <w:t>钻井液是钻探过程中孔内使用的循环冲洗介质。钻井液是钻井的血液，又称钻孔冲洗液。钻井液按组成成分可分为清水、泥浆、无粘土相冲洗液、乳状液、泡沫和压缩空气等。钻井液是广泛使用的钻井液，主要适用于松散、裂隙发育、易坍塌掉块、遇水膨胀剥落等孔壁不稳定岩层。</w:t>
      </w:r>
    </w:p>
    <w:p>
      <w:pPr>
        <w:pStyle w:val="114"/>
        <w:ind w:firstLine="480"/>
      </w:pPr>
      <w:r>
        <w:t>钻井液主要作用是：①冷却钻头、清净孔底、带出岩屑。②润滑钻具。③停钻时悬浮岩屑，保护孔壁防止坍塌，平衡地层压力、压住高压油气水层。④输送岩心，为孔底动力机传递破碎孔底岩石需要的动力等。钻井中钻井液的循环程序包括：钻井液罐、机泵→地面、管汇→立管→水龙带、水龙头→钻柱内→钻头→钻柱外环形空间→井口、泥浆（钻井液）槽→钻井液净化设备→钻井液罐。</w:t>
      </w:r>
    </w:p>
    <w:p>
      <w:pPr>
        <w:pStyle w:val="114"/>
        <w:ind w:firstLine="480"/>
      </w:pPr>
      <w:r>
        <w:t>2）固井</w:t>
      </w:r>
    </w:p>
    <w:p>
      <w:pPr>
        <w:pStyle w:val="114"/>
        <w:ind w:firstLine="480"/>
      </w:pPr>
      <w:r>
        <w:t>表层套管固井：采用“内插法” 或“干法”固井。</w:t>
      </w:r>
    </w:p>
    <w:p>
      <w:pPr>
        <w:pStyle w:val="114"/>
        <w:ind w:firstLine="480"/>
      </w:pPr>
      <w:r>
        <w:t>技术套管固井：根据地层承压能力确定采用单级或变密度固井方式；提高水泥浆性能；采用改良的前置液；使用变排量顶替工艺，根据设计模拟结果，控制施工压力，采用紊流+层流模式驱替，防止漏失。</w:t>
      </w:r>
    </w:p>
    <w:p>
      <w:pPr>
        <w:pStyle w:val="114"/>
        <w:ind w:firstLine="480"/>
      </w:pPr>
      <w:r>
        <w:t>产层套管固井：采用胶乳防气窜水泥浆体系，采用高效冲洗液和抗高温隔离液，提高顶替效率，下套管前，做好地层承压试验。</w:t>
      </w:r>
    </w:p>
    <w:p>
      <w:pPr>
        <w:pStyle w:val="114"/>
        <w:ind w:firstLine="482"/>
        <w:rPr>
          <w:b/>
        </w:rPr>
      </w:pPr>
      <w:r>
        <w:rPr>
          <w:b/>
        </w:rPr>
        <w:t>4钻井设备</w:t>
      </w:r>
    </w:p>
    <w:p>
      <w:pPr>
        <w:pStyle w:val="114"/>
        <w:ind w:firstLine="480"/>
      </w:pPr>
      <w:r>
        <w:t>P108-2H、P108-3井均为水平井，其中P108-2H设计井深：5988m、P108-3井设计井深6670m，选择设备负荷能力及配置满足7000m钻井需要的电动钻机，并配备顶驱。钻井设备见表</w:t>
      </w:r>
      <w:bookmarkStart w:id="160" w:name="OLE_LINK76"/>
      <w:bookmarkStart w:id="161" w:name="OLE_LINK64"/>
      <w:r>
        <w:t>3.4-</w:t>
      </w:r>
      <w:bookmarkEnd w:id="160"/>
      <w:bookmarkEnd w:id="161"/>
      <w:r>
        <w:t>5。</w:t>
      </w:r>
    </w:p>
    <w:p>
      <w:pPr>
        <w:topLinePunct w:val="0"/>
        <w:snapToGrid w:val="0"/>
        <w:spacing w:before="120" w:beforeLines="50"/>
        <w:ind w:firstLine="0" w:firstLineChars="0"/>
        <w:jc w:val="center"/>
        <w:rPr>
          <w:rFonts w:ascii="Times New Roman" w:cs="Times New Roman"/>
          <w:b/>
          <w:kern w:val="2"/>
          <w:sz w:val="21"/>
          <w:szCs w:val="20"/>
        </w:rPr>
      </w:pPr>
      <w:bookmarkStart w:id="162" w:name="OLE_LINK60"/>
      <w:bookmarkStart w:id="163" w:name="OLE_LINK59"/>
      <w:r>
        <w:rPr>
          <w:rFonts w:ascii="Times New Roman" w:cs="Times New Roman"/>
          <w:b/>
          <w:sz w:val="21"/>
          <w:szCs w:val="21"/>
        </w:rPr>
        <w:t>3.4-5</w:t>
      </w:r>
      <w:r>
        <w:rPr>
          <w:rFonts w:ascii="Times New Roman" w:cs="Times New Roman"/>
          <w:b/>
          <w:kern w:val="2"/>
          <w:sz w:val="21"/>
          <w:szCs w:val="21"/>
        </w:rPr>
        <w:t xml:space="preserve">  </w:t>
      </w:r>
      <w:r>
        <w:rPr>
          <w:rFonts w:ascii="Times New Roman" w:cs="Times New Roman"/>
          <w:b/>
          <w:kern w:val="2"/>
          <w:sz w:val="21"/>
          <w:szCs w:val="20"/>
        </w:rPr>
        <w:t>钻井设备一览表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77"/>
        <w:gridCol w:w="1988"/>
        <w:gridCol w:w="1562"/>
        <w:gridCol w:w="772"/>
        <w:gridCol w:w="370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24" w:type="dxa"/>
            <w:vAlign w:val="center"/>
          </w:tcPr>
          <w:p>
            <w:pPr>
              <w:topLinePunct w:val="0"/>
              <w:adjustRightInd/>
              <w:spacing w:line="240" w:lineRule="auto"/>
              <w:ind w:firstLine="0" w:firstLineChars="0"/>
              <w:jc w:val="center"/>
              <w:rPr>
                <w:rFonts w:ascii="Times New Roman" w:cs="Times New Roman"/>
                <w:b/>
                <w:kern w:val="2"/>
                <w:sz w:val="21"/>
                <w:szCs w:val="21"/>
              </w:rPr>
            </w:pPr>
            <w:bookmarkStart w:id="164" w:name="OLE_LINK62"/>
            <w:bookmarkStart w:id="165" w:name="OLE_LINK61"/>
            <w:r>
              <w:rPr>
                <w:rFonts w:ascii="Times New Roman" w:cs="Times New Roman"/>
                <w:b/>
                <w:kern w:val="2"/>
                <w:sz w:val="21"/>
                <w:szCs w:val="21"/>
              </w:rPr>
              <w:t>序号</w:t>
            </w:r>
          </w:p>
        </w:tc>
        <w:tc>
          <w:tcPr>
            <w:tcW w:w="1882" w:type="dxa"/>
            <w:vAlign w:val="center"/>
          </w:tcPr>
          <w:p>
            <w:pPr>
              <w:topLinePunct w:val="0"/>
              <w:adjustRightInd/>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名称</w:t>
            </w:r>
          </w:p>
        </w:tc>
        <w:tc>
          <w:tcPr>
            <w:tcW w:w="1478" w:type="dxa"/>
            <w:vAlign w:val="center"/>
          </w:tcPr>
          <w:p>
            <w:pPr>
              <w:topLinePunct w:val="0"/>
              <w:adjustRightInd/>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功率或负荷</w:t>
            </w:r>
          </w:p>
        </w:tc>
        <w:tc>
          <w:tcPr>
            <w:tcW w:w="731" w:type="dxa"/>
            <w:vAlign w:val="center"/>
          </w:tcPr>
          <w:p>
            <w:pPr>
              <w:topLinePunct w:val="0"/>
              <w:adjustRightInd/>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数量</w:t>
            </w:r>
          </w:p>
        </w:tc>
        <w:tc>
          <w:tcPr>
            <w:tcW w:w="3511" w:type="dxa"/>
            <w:vAlign w:val="center"/>
          </w:tcPr>
          <w:p>
            <w:pPr>
              <w:topLinePunct w:val="0"/>
              <w:adjustRightInd/>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井架</w:t>
            </w:r>
          </w:p>
        </w:tc>
        <w:tc>
          <w:tcPr>
            <w:tcW w:w="1478" w:type="dxa"/>
          </w:tcPr>
          <w:p>
            <w:pPr>
              <w:topLinePunct w:val="0"/>
              <w:adjustRightInd/>
              <w:spacing w:line="240" w:lineRule="auto"/>
              <w:ind w:firstLine="0" w:firstLineChars="0"/>
              <w:jc w:val="center"/>
              <w:rPr>
                <w:rFonts w:ascii="Times New Roman" w:cs="Times New Roman"/>
                <w:kern w:val="2"/>
                <w:sz w:val="21"/>
                <w:szCs w:val="21"/>
              </w:rPr>
            </w:pPr>
            <w:bookmarkStart w:id="166" w:name="OLE_LINK66"/>
            <w:bookmarkStart w:id="167" w:name="OLE_LINK65"/>
            <w:r>
              <w:rPr>
                <w:rFonts w:ascii="Times New Roman" w:cs="Times New Roman"/>
                <w:kern w:val="2"/>
                <w:sz w:val="21"/>
                <w:szCs w:val="21"/>
              </w:rPr>
              <w:t>4500</w:t>
            </w:r>
            <w:bookmarkEnd w:id="166"/>
            <w:bookmarkEnd w:id="167"/>
            <w:r>
              <w:rPr>
                <w:rFonts w:ascii="Times New Roman" w:cs="Times New Roman"/>
                <w:kern w:val="2"/>
                <w:sz w:val="21"/>
                <w:szCs w:val="21"/>
              </w:rPr>
              <w:t>kN</w:t>
            </w:r>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天车</w:t>
            </w:r>
          </w:p>
        </w:tc>
        <w:tc>
          <w:tcPr>
            <w:tcW w:w="1478" w:type="dxa"/>
          </w:tcPr>
          <w:p>
            <w:pPr>
              <w:topLinePunct w:val="0"/>
              <w:adjustRightInd/>
              <w:spacing w:line="240" w:lineRule="auto"/>
              <w:ind w:firstLine="0" w:firstLineChars="0"/>
              <w:jc w:val="center"/>
              <w:rPr>
                <w:rFonts w:ascii="Times New Roman" w:cs="Times New Roman"/>
                <w:kern w:val="2"/>
                <w:sz w:val="21"/>
                <w:szCs w:val="21"/>
              </w:rPr>
            </w:pPr>
            <w:bookmarkStart w:id="168" w:name="OLE_LINK67"/>
            <w:bookmarkStart w:id="169" w:name="OLE_LINK68"/>
            <w:r>
              <w:rPr>
                <w:rFonts w:ascii="Times New Roman" w:cs="Times New Roman"/>
                <w:kern w:val="2"/>
                <w:sz w:val="21"/>
                <w:szCs w:val="21"/>
              </w:rPr>
              <w:t>4500kN</w:t>
            </w:r>
            <w:bookmarkEnd w:id="168"/>
            <w:bookmarkEnd w:id="169"/>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游动滑车</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4500kN</w:t>
            </w:r>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大钩</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4500kN</w:t>
            </w:r>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水龙头</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4500kN</w:t>
            </w:r>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6</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转盘</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4500kN</w:t>
            </w:r>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7</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绞车</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1470kW</w:t>
            </w:r>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8</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顶驱</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4500kN</w:t>
            </w:r>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三开定向段开始使用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9</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电磁刹车</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10</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钻井泵</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1193kW</w:t>
            </w:r>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11</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柴油机</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1320kW</w:t>
            </w:r>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12</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发电机</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320kW</w:t>
            </w:r>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13</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双闸板防喷器</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bookmarkStart w:id="170" w:name="OLE_LINK69"/>
            <w:bookmarkStart w:id="171" w:name="OLE_LINK70"/>
            <w:r>
              <w:rPr>
                <w:rFonts w:ascii="Times New Roman" w:cs="Times New Roman"/>
                <w:kern w:val="2"/>
                <w:sz w:val="21"/>
                <w:szCs w:val="21"/>
              </w:rPr>
              <w:t>70MPa</w:t>
            </w:r>
            <w:bookmarkEnd w:id="170"/>
            <w:bookmarkEnd w:id="171"/>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二开、三开使用 35-70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14</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环型防喷器</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35MPa</w:t>
            </w:r>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二开、三开使用 35-35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15</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旋转防喷器</w:t>
            </w:r>
          </w:p>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FX54-7.5/14</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7.5/14</w:t>
            </w:r>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一开使用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16</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旋转防喷器</w:t>
            </w:r>
          </w:p>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FX35-17.5/35</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17.5/35</w:t>
            </w:r>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二开使用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17</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压井管汇</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70MPa</w:t>
            </w:r>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18</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节流管汇</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70MPa</w:t>
            </w:r>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19</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液气分离器</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20</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自动点火装置</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21</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手动点火装置</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22</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司钻控制台</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23</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节流控制箱</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24</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远程控制台</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25</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除砂器</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bookmarkStart w:id="172" w:name="OLE_LINK72"/>
            <w:bookmarkStart w:id="173" w:name="OLE_LINK71"/>
            <w:r>
              <w:rPr>
                <w:rFonts w:ascii="Times New Roman" w:cs="Times New Roman"/>
                <w:kern w:val="2"/>
                <w:sz w:val="21"/>
                <w:szCs w:val="21"/>
              </w:rPr>
              <w:t>55kW</w:t>
            </w:r>
            <w:bookmarkEnd w:id="172"/>
            <w:bookmarkEnd w:id="173"/>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26</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除泥器</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55kW</w:t>
            </w:r>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28</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振动筛</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4kW</w:t>
            </w:r>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处理量大于55L/s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29</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除气器</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排气管线接出井场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30</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离心机</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69m</w:t>
            </w:r>
            <w:r>
              <w:rPr>
                <w:rFonts w:ascii="Times New Roman" w:cs="Times New Roman"/>
                <w:kern w:val="2"/>
                <w:sz w:val="21"/>
                <w:szCs w:val="21"/>
                <w:vertAlign w:val="superscript"/>
              </w:rPr>
              <w:t>3</w:t>
            </w:r>
            <w:r>
              <w:rPr>
                <w:rFonts w:ascii="Times New Roman" w:cs="Times New Roman"/>
                <w:kern w:val="2"/>
                <w:sz w:val="21"/>
                <w:szCs w:val="21"/>
              </w:rPr>
              <w:t>/h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31</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液压大钳</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32</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搅拌机</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49</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33</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灌浆装置</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小罐计量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34</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循环罐</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80m</w:t>
            </w:r>
            <w:r>
              <w:rPr>
                <w:rFonts w:ascii="Times New Roman" w:cs="Times New Roman"/>
                <w:kern w:val="2"/>
                <w:sz w:val="21"/>
                <w:szCs w:val="21"/>
                <w:vertAlign w:val="superscript"/>
              </w:rPr>
              <w:t>3</w:t>
            </w:r>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锥形罐除外、带搅拌机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35</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储备罐</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60m</w:t>
            </w:r>
            <w:r>
              <w:rPr>
                <w:rFonts w:ascii="Times New Roman" w:cs="Times New Roman"/>
                <w:kern w:val="2"/>
                <w:sz w:val="21"/>
                <w:szCs w:val="21"/>
                <w:vertAlign w:val="superscript"/>
              </w:rPr>
              <w:t>3</w:t>
            </w:r>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14</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36</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加重装置</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2套</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气动下料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37</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钻井参数仪</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钻压、扭矩、转速、泵压、泵冲、悬重、泥浆体积等八道参数以上，司钻台、监督房、工程师房内有显示屏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38</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二层台逃生装置</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39</w:t>
            </w:r>
          </w:p>
        </w:tc>
        <w:tc>
          <w:tcPr>
            <w:tcW w:w="1882"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测斜绞车/测斜仪</w:t>
            </w:r>
          </w:p>
        </w:tc>
        <w:tc>
          <w:tcPr>
            <w:tcW w:w="1478"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7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3511" w:type="dxa"/>
            <w:vAlign w:val="center"/>
          </w:tcPr>
          <w:p>
            <w:pPr>
              <w:topLinePunct w:val="0"/>
              <w:adjustRightInd/>
              <w:spacing w:line="240" w:lineRule="auto"/>
              <w:ind w:firstLine="0" w:firstLineChars="0"/>
              <w:jc w:val="center"/>
              <w:rPr>
                <w:rFonts w:ascii="Times New Roman" w:cs="Times New Roman"/>
                <w:kern w:val="2"/>
                <w:sz w:val="21"/>
                <w:szCs w:val="21"/>
              </w:rPr>
            </w:pPr>
          </w:p>
        </w:tc>
      </w:tr>
      <w:bookmarkEnd w:id="162"/>
      <w:bookmarkEnd w:id="163"/>
      <w:bookmarkEnd w:id="164"/>
      <w:bookmarkEnd w:id="165"/>
    </w:tbl>
    <w:p>
      <w:pPr>
        <w:pStyle w:val="4"/>
        <w:rPr>
          <w:rFonts w:eastAsia="宋体"/>
        </w:rPr>
      </w:pPr>
      <w:r>
        <w:rPr>
          <w:rFonts w:eastAsia="宋体"/>
        </w:rPr>
        <w:t>3.4.3 完井工程（</w:t>
      </w:r>
      <w:r>
        <w:rPr>
          <w:rFonts w:hint="eastAsia" w:eastAsia="宋体"/>
          <w:lang w:eastAsia="zh-CN"/>
        </w:rPr>
        <w:t>采气工程</w:t>
      </w:r>
      <w:r>
        <w:rPr>
          <w:rFonts w:eastAsia="宋体"/>
        </w:rPr>
        <w:t>）</w:t>
      </w:r>
    </w:p>
    <w:p>
      <w:pPr>
        <w:snapToGrid w:val="0"/>
        <w:ind w:firstLine="480"/>
        <w:rPr>
          <w:rFonts w:ascii="Times New Roman" w:cs="Times New Roman"/>
        </w:rPr>
      </w:pPr>
      <w:bookmarkStart w:id="174" w:name="OLE_LINK74"/>
      <w:r>
        <w:rPr>
          <w:rFonts w:ascii="Times New Roman" w:cs="Times New Roman"/>
        </w:rPr>
        <w:t>完井作业采用套管射孔完井、洗井等工艺，完井后设备搬迁。</w:t>
      </w:r>
    </w:p>
    <w:p>
      <w:pPr>
        <w:snapToGrid w:val="0"/>
        <w:ind w:firstLine="480"/>
        <w:rPr>
          <w:rFonts w:ascii="Times New Roman" w:cs="Times New Roman"/>
        </w:rPr>
      </w:pPr>
      <w:r>
        <w:rPr>
          <w:rFonts w:ascii="Times New Roman" w:cs="Times New Roman"/>
        </w:rPr>
        <w:t>完井工程共分为6个工艺，分别为：井筒处理、模拟通井、下完井管柱、安装采气树、压裂酸化、放喷测试。</w:t>
      </w:r>
    </w:p>
    <w:p>
      <w:pPr>
        <w:snapToGrid w:val="0"/>
        <w:ind w:firstLine="480"/>
        <w:rPr>
          <w:rFonts w:ascii="Times New Roman" w:cs="Times New Roman"/>
        </w:rPr>
      </w:pPr>
      <w:r>
        <w:rPr>
          <w:rFonts w:ascii="Times New Roman" w:cs="Times New Roman"/>
        </w:rPr>
        <w:t>（1）井筒处理</w:t>
      </w:r>
    </w:p>
    <w:p>
      <w:pPr>
        <w:snapToGrid w:val="0"/>
        <w:ind w:firstLine="480"/>
        <w:rPr>
          <w:rFonts w:ascii="Times New Roman" w:cs="Times New Roman"/>
        </w:rPr>
      </w:pPr>
      <w:r>
        <w:rPr>
          <w:rFonts w:ascii="Times New Roman" w:cs="Times New Roman"/>
        </w:rPr>
        <w:t>井筒处理包括钻塞、通井、刮削和洗井。</w:t>
      </w:r>
    </w:p>
    <w:p>
      <w:pPr>
        <w:snapToGrid w:val="0"/>
        <w:ind w:firstLine="480"/>
        <w:rPr>
          <w:rFonts w:ascii="Times New Roman" w:cs="Times New Roman"/>
        </w:rPr>
      </w:pPr>
      <w:r>
        <w:rPr>
          <w:rFonts w:ascii="Times New Roman" w:cs="Times New Roman"/>
        </w:rPr>
        <w:t>采用“钻头+螺杆钻”落实灰面并钻掉套管内水泥塞及浮箍，钻掉套管内水泥塞后，采用通井规对套管实施通井，采用刮削器对钻塞井段和合金套管段进行刮削，清理套管内壁残余水泥块，循环洗井。</w:t>
      </w:r>
    </w:p>
    <w:p>
      <w:pPr>
        <w:snapToGrid w:val="0"/>
        <w:ind w:firstLine="480"/>
        <w:rPr>
          <w:rFonts w:ascii="Times New Roman" w:cs="Times New Roman"/>
        </w:rPr>
      </w:pPr>
      <w:r>
        <w:rPr>
          <w:rFonts w:ascii="Times New Roman" w:cs="Times New Roman"/>
        </w:rPr>
        <w:t>（2）模拟通井</w:t>
      </w:r>
    </w:p>
    <w:p>
      <w:pPr>
        <w:snapToGrid w:val="0"/>
        <w:ind w:firstLine="480"/>
        <w:rPr>
          <w:rFonts w:ascii="Times New Roman" w:cs="Times New Roman"/>
        </w:rPr>
      </w:pPr>
      <w:r>
        <w:rPr>
          <w:rFonts w:ascii="Times New Roman" w:cs="Times New Roman"/>
        </w:rPr>
        <w:t>采用钻头通井、单铣柱模拟通井、双铣柱模拟通井三趟通井工艺，确保井眼光滑，为分段完井管柱下井提供顺畅的井筒条件。</w:t>
      </w:r>
    </w:p>
    <w:p>
      <w:pPr>
        <w:snapToGrid w:val="0"/>
        <w:ind w:firstLine="480"/>
        <w:rPr>
          <w:rFonts w:ascii="Times New Roman" w:cs="Times New Roman"/>
        </w:rPr>
      </w:pPr>
      <w:r>
        <w:rPr>
          <w:rFonts w:ascii="Times New Roman" w:cs="Times New Roman"/>
        </w:rPr>
        <w:t>（3）下完井管柱</w:t>
      </w:r>
    </w:p>
    <w:p>
      <w:pPr>
        <w:pStyle w:val="114"/>
        <w:ind w:firstLine="199" w:firstLineChars="83"/>
      </w:pPr>
      <w:r>
        <w:t>先采用钻杆携带悬挂封及以下分段管柱下井，完成管柱坐封，再下回接管柱完井。井下作业主要设备见表</w:t>
      </w:r>
      <w:bookmarkStart w:id="175" w:name="OLE_LINK79"/>
      <w:bookmarkStart w:id="176" w:name="OLE_LINK80"/>
      <w:r>
        <w:t>3.4-</w:t>
      </w:r>
      <w:bookmarkEnd w:id="175"/>
      <w:bookmarkEnd w:id="176"/>
      <w:r>
        <w:t>6。</w:t>
      </w:r>
      <w:bookmarkEnd w:id="174"/>
    </w:p>
    <w:p>
      <w:pPr>
        <w:topLinePunct w:val="0"/>
        <w:snapToGrid w:val="0"/>
        <w:spacing w:before="120" w:beforeLines="50"/>
        <w:ind w:firstLine="0" w:firstLineChars="0"/>
        <w:jc w:val="center"/>
        <w:rPr>
          <w:rFonts w:ascii="Times New Roman" w:cs="Times New Roman"/>
          <w:b/>
          <w:kern w:val="2"/>
          <w:sz w:val="21"/>
          <w:szCs w:val="20"/>
        </w:rPr>
      </w:pPr>
      <w:bookmarkStart w:id="177" w:name="_Ref505766830"/>
      <w:r>
        <w:rPr>
          <w:rFonts w:ascii="Times New Roman" w:cs="Times New Roman"/>
          <w:b/>
          <w:kern w:val="2"/>
          <w:sz w:val="21"/>
          <w:szCs w:val="20"/>
        </w:rPr>
        <w:t>表</w:t>
      </w:r>
      <w:bookmarkEnd w:id="177"/>
      <w:r>
        <w:rPr>
          <w:rFonts w:ascii="Times New Roman" w:cs="Times New Roman"/>
          <w:b/>
          <w:sz w:val="21"/>
          <w:szCs w:val="21"/>
        </w:rPr>
        <w:t>3.4-6</w:t>
      </w:r>
      <w:r>
        <w:rPr>
          <w:rFonts w:ascii="Times New Roman" w:cs="Times New Roman"/>
          <w:b/>
          <w:kern w:val="2"/>
          <w:sz w:val="21"/>
          <w:szCs w:val="20"/>
        </w:rPr>
        <w:t xml:space="preserve">  井下作业主要设备一览表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953"/>
        <w:gridCol w:w="3400"/>
        <w:gridCol w:w="964"/>
        <w:gridCol w:w="19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tblHeader/>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b/>
                <w:kern w:val="2"/>
                <w:sz w:val="21"/>
              </w:rPr>
            </w:pPr>
            <w:r>
              <w:rPr>
                <w:rFonts w:ascii="Times New Roman" w:cs="Times New Roman"/>
                <w:b/>
                <w:kern w:val="2"/>
                <w:sz w:val="21"/>
              </w:rPr>
              <w:t>序号</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b/>
                <w:kern w:val="2"/>
                <w:sz w:val="21"/>
              </w:rPr>
            </w:pPr>
            <w:r>
              <w:rPr>
                <w:rFonts w:ascii="Times New Roman" w:cs="Times New Roman"/>
                <w:b/>
                <w:kern w:val="2"/>
                <w:sz w:val="21"/>
              </w:rPr>
              <w:t>名称</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b/>
                <w:kern w:val="2"/>
                <w:sz w:val="21"/>
              </w:rPr>
            </w:pPr>
            <w:r>
              <w:rPr>
                <w:rFonts w:ascii="Times New Roman" w:cs="Times New Roman"/>
                <w:b/>
                <w:kern w:val="2"/>
                <w:sz w:val="21"/>
              </w:rPr>
              <w:t>规格型号</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b/>
                <w:kern w:val="2"/>
                <w:sz w:val="21"/>
              </w:rPr>
            </w:pPr>
            <w:r>
              <w:rPr>
                <w:rFonts w:ascii="Times New Roman" w:cs="Times New Roman"/>
                <w:b/>
                <w:kern w:val="2"/>
                <w:sz w:val="21"/>
              </w:rPr>
              <w:t>数量</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b/>
                <w:kern w:val="2"/>
                <w:sz w:val="21"/>
              </w:rPr>
            </w:pPr>
            <w:r>
              <w:rPr>
                <w:rFonts w:ascii="Times New Roman" w:cs="Times New Roman"/>
                <w:b/>
                <w:kern w:val="2"/>
                <w:sz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Φ88.9mm斜坡钻杆</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spacing w:val="6"/>
                <w:kern w:val="2"/>
                <w:sz w:val="21"/>
              </w:rPr>
              <w:t>G105</w:t>
            </w:r>
            <w:r>
              <w:rPr>
                <w:rFonts w:ascii="Times New Roman" w:cs="Times New Roman"/>
                <w:kern w:val="2"/>
                <w:sz w:val="21"/>
              </w:rPr>
              <w:t>壁厚9.35</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6500m</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处理井筒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套管通井规</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lang w:val="el-GR"/>
              </w:rPr>
            </w:pPr>
            <w:r>
              <w:rPr>
                <w:rFonts w:ascii="Times New Roman" w:cs="Times New Roman"/>
                <w:kern w:val="2"/>
                <w:sz w:val="21"/>
                <w:lang w:val="el-GR"/>
              </w:rPr>
              <w:t>Φ1</w:t>
            </w:r>
            <w:r>
              <w:rPr>
                <w:rFonts w:ascii="Times New Roman" w:cs="Times New Roman"/>
                <w:kern w:val="2"/>
                <w:sz w:val="21"/>
              </w:rPr>
              <w:t>46mm×4m</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1支</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3</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套管刮削器</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GX-T178</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1支</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4</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钻头</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牙轮、刮刀Φ149.2mm</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各2支</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抗硫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5</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加重钻杆</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Φ88.9mm</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24根</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抗硫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6</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钻铤</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Φ104.8mm</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2根</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抗硫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7</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无磁钻铤</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Φ120.7mm</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2根</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抗硫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8</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单弯螺杆</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1.25°  Φ120.7mm</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2只</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抗硫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9</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止回阀</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lang w:val="el-GR"/>
              </w:rPr>
              <w:t>Φ</w:t>
            </w:r>
            <w:r>
              <w:rPr>
                <w:rFonts w:ascii="Times New Roman" w:cs="Times New Roman"/>
                <w:kern w:val="2"/>
                <w:sz w:val="21"/>
              </w:rPr>
              <w:t>120.7mm</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各2只</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抗硫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10</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打捞震击器</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Φ120.7mm</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1只</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抗硫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11</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西瓜皮铣柱</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lang w:val="el-GR"/>
              </w:rPr>
            </w:pPr>
            <w:r>
              <w:rPr>
                <w:rFonts w:ascii="Times New Roman" w:cs="Times New Roman"/>
                <w:kern w:val="2"/>
                <w:sz w:val="21"/>
              </w:rPr>
              <w:t>Φ</w:t>
            </w:r>
            <w:r>
              <w:rPr>
                <w:rFonts w:ascii="Times New Roman" w:cs="Times New Roman"/>
                <w:kern w:val="2"/>
                <w:sz w:val="21"/>
                <w:lang w:val="el-GR"/>
              </w:rPr>
              <w:t>146</w:t>
            </w:r>
            <w:r>
              <w:rPr>
                <w:rFonts w:ascii="Times New Roman" w:cs="Times New Roman"/>
                <w:kern w:val="2"/>
                <w:sz w:val="21"/>
              </w:rPr>
              <w:t>mm</w:t>
            </w:r>
            <w:r>
              <w:rPr>
                <w:rFonts w:ascii="Times New Roman" w:cs="Times New Roman"/>
                <w:kern w:val="2"/>
                <w:sz w:val="21"/>
                <w:lang w:val="el-GR"/>
              </w:rPr>
              <w:t>×1.2</w:t>
            </w:r>
            <w:r>
              <w:rPr>
                <w:rFonts w:ascii="Times New Roman" w:cs="Times New Roman"/>
                <w:kern w:val="2"/>
                <w:sz w:val="21"/>
              </w:rPr>
              <w:t>m</w:t>
            </w:r>
            <w:r>
              <w:rPr>
                <w:rFonts w:ascii="Times New Roman" w:cs="Times New Roman"/>
                <w:kern w:val="2"/>
                <w:sz w:val="21"/>
                <w:lang w:val="el-GR"/>
              </w:rPr>
              <w:t>、</w:t>
            </w:r>
            <w:r>
              <w:rPr>
                <w:rFonts w:ascii="Times New Roman" w:cs="Times New Roman"/>
                <w:kern w:val="2"/>
                <w:sz w:val="21"/>
              </w:rPr>
              <w:t>Φ</w:t>
            </w:r>
            <w:r>
              <w:rPr>
                <w:rFonts w:ascii="Times New Roman" w:cs="Times New Roman"/>
                <w:kern w:val="2"/>
                <w:sz w:val="21"/>
                <w:lang w:val="el-GR"/>
              </w:rPr>
              <w:t>148</w:t>
            </w:r>
            <w:r>
              <w:rPr>
                <w:rFonts w:ascii="Times New Roman" w:cs="Times New Roman"/>
                <w:kern w:val="2"/>
                <w:sz w:val="21"/>
              </w:rPr>
              <w:t>mm</w:t>
            </w:r>
            <w:r>
              <w:rPr>
                <w:rFonts w:ascii="Times New Roman" w:cs="Times New Roman"/>
                <w:kern w:val="2"/>
                <w:sz w:val="21"/>
                <w:lang w:val="el-GR"/>
              </w:rPr>
              <w:t>×1.2</w:t>
            </w:r>
            <w:r>
              <w:rPr>
                <w:rFonts w:ascii="Times New Roman" w:cs="Times New Roman"/>
                <w:kern w:val="2"/>
                <w:sz w:val="21"/>
              </w:rPr>
              <w:t>m</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各2支</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12</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液压钳</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1200型、600型</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各1台</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13</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活门吊卡</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250吨（Φ88.9mm加厚、平式）</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各2只</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14</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扭角吊卡</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250吨（Φ88.9mm加厚）</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2只</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15</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卡盘</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250吨（Φ88.9mm）</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1套</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16</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微牙痕液压油管钳</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bCs/>
                <w:kern w:val="2"/>
                <w:sz w:val="21"/>
              </w:rPr>
              <w:t>8-5/8"，最大扭矩：45000N.M 1575mm×940mm×1699mm</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1台</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bCs/>
                <w:kern w:val="2"/>
                <w:sz w:val="21"/>
              </w:rPr>
              <w:t>包括各种尺寸钳头、微牙痕牙板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17</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合金油管吊卡</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Φ88.9mm</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3台</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18</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摩擦钳</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Φ88.9mm</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2把</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19</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布袋钳</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bCs/>
                <w:kern w:val="2"/>
                <w:sz w:val="21"/>
              </w:rPr>
            </w:pPr>
            <w:r>
              <w:rPr>
                <w:rFonts w:ascii="Times New Roman" w:cs="Times New Roman"/>
                <w:kern w:val="2"/>
                <w:sz w:val="21"/>
              </w:rPr>
              <w:t>Φ88.9mm</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2把</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20</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扭矩监测仪</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A150</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2台</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21</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传感器</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5T</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2套</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22</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液压动力站</w:t>
            </w:r>
          </w:p>
        </w:tc>
        <w:tc>
          <w:tcPr>
            <w:tcW w:w="1887"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Y250、37kW、380V</w:t>
            </w:r>
          </w:p>
        </w:tc>
        <w:tc>
          <w:tcPr>
            <w:tcW w:w="535"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1台</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23</w:t>
            </w:r>
          </w:p>
        </w:tc>
        <w:tc>
          <w:tcPr>
            <w:tcW w:w="1084"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防碰胶垫</w:t>
            </w:r>
          </w:p>
        </w:tc>
        <w:tc>
          <w:tcPr>
            <w:tcW w:w="1887" w:type="pct"/>
            <w:vAlign w:val="center"/>
          </w:tcPr>
          <w:p>
            <w:pPr>
              <w:topLinePunct w:val="0"/>
              <w:snapToGrid w:val="0"/>
              <w:spacing w:line="240" w:lineRule="auto"/>
              <w:ind w:firstLine="0" w:firstLineChars="0"/>
              <w:jc w:val="center"/>
              <w:rPr>
                <w:rFonts w:ascii="Times New Roman" w:cs="Times New Roman"/>
                <w:bCs/>
                <w:kern w:val="2"/>
                <w:sz w:val="21"/>
              </w:rPr>
            </w:pPr>
          </w:p>
        </w:tc>
        <w:tc>
          <w:tcPr>
            <w:tcW w:w="535"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若干</w:t>
            </w:r>
          </w:p>
        </w:tc>
        <w:tc>
          <w:tcPr>
            <w:tcW w:w="1064" w:type="pct"/>
            <w:vAlign w:val="center"/>
          </w:tcPr>
          <w:p>
            <w:pPr>
              <w:topLinePunct w:val="0"/>
              <w:snapToGrid w:val="0"/>
              <w:spacing w:line="240" w:lineRule="auto"/>
              <w:ind w:left="-3" w:leftChars="-10" w:hanging="21" w:hangingChars="10"/>
              <w:jc w:val="center"/>
              <w:rPr>
                <w:rFonts w:ascii="Times New Roman" w:cs="Times New Roman"/>
                <w:bCs/>
                <w:kern w:val="2"/>
                <w:sz w:val="21"/>
              </w:rPr>
            </w:pPr>
            <w:r>
              <w:rPr>
                <w:rFonts w:ascii="Times New Roman" w:cs="Times New Roman"/>
                <w:bCs/>
                <w:kern w:val="2"/>
                <w:sz w:val="21"/>
              </w:rPr>
              <w:t>钻机配套，保护钻台滑道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24</w:t>
            </w:r>
          </w:p>
        </w:tc>
        <w:tc>
          <w:tcPr>
            <w:tcW w:w="1084"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鼠洞保护胶筒</w:t>
            </w:r>
          </w:p>
        </w:tc>
        <w:tc>
          <w:tcPr>
            <w:tcW w:w="1887"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7"</w:t>
            </w:r>
          </w:p>
        </w:tc>
        <w:tc>
          <w:tcPr>
            <w:tcW w:w="535"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1根</w:t>
            </w:r>
          </w:p>
        </w:tc>
        <w:tc>
          <w:tcPr>
            <w:tcW w:w="1064" w:type="pct"/>
            <w:vAlign w:val="center"/>
          </w:tcPr>
          <w:p>
            <w:pPr>
              <w:topLinePunct w:val="0"/>
              <w:snapToGrid w:val="0"/>
              <w:spacing w:line="240" w:lineRule="auto"/>
              <w:ind w:firstLine="71" w:firstLineChars="34"/>
              <w:jc w:val="center"/>
              <w:rPr>
                <w:rFonts w:ascii="Times New Roman" w:cs="Times New Roman"/>
                <w:bCs/>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25</w:t>
            </w:r>
          </w:p>
        </w:tc>
        <w:tc>
          <w:tcPr>
            <w:tcW w:w="1084"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泥浆压井液</w:t>
            </w:r>
          </w:p>
        </w:tc>
        <w:tc>
          <w:tcPr>
            <w:tcW w:w="1887" w:type="pct"/>
            <w:vAlign w:val="center"/>
          </w:tcPr>
          <w:p>
            <w:pPr>
              <w:topLinePunct w:val="0"/>
              <w:snapToGrid w:val="0"/>
              <w:spacing w:line="240" w:lineRule="auto"/>
              <w:ind w:firstLine="0" w:firstLineChars="0"/>
              <w:jc w:val="center"/>
              <w:rPr>
                <w:rFonts w:ascii="Times New Roman" w:cs="Times New Roman"/>
                <w:kern w:val="2"/>
                <w:sz w:val="21"/>
              </w:rPr>
            </w:pPr>
          </w:p>
        </w:tc>
        <w:tc>
          <w:tcPr>
            <w:tcW w:w="535"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330m</w:t>
            </w:r>
            <w:r>
              <w:rPr>
                <w:rFonts w:ascii="Times New Roman" w:cs="Times New Roman"/>
                <w:bCs/>
                <w:kern w:val="2"/>
                <w:sz w:val="21"/>
                <w:vertAlign w:val="superscript"/>
              </w:rPr>
              <w:t>3</w:t>
            </w:r>
          </w:p>
        </w:tc>
        <w:tc>
          <w:tcPr>
            <w:tcW w:w="1064" w:type="pct"/>
            <w:vAlign w:val="center"/>
          </w:tcPr>
          <w:p>
            <w:pPr>
              <w:topLinePunct w:val="0"/>
              <w:snapToGrid w:val="0"/>
              <w:spacing w:line="240" w:lineRule="auto"/>
              <w:ind w:firstLine="71" w:firstLineChars="34"/>
              <w:jc w:val="center"/>
              <w:rPr>
                <w:rFonts w:ascii="Times New Roman" w:cs="Times New Roman"/>
                <w:bCs/>
                <w:kern w:val="2"/>
                <w:sz w:val="21"/>
              </w:rPr>
            </w:pPr>
            <w:r>
              <w:rPr>
                <w:rFonts w:ascii="Times New Roman" w:cs="Times New Roman"/>
                <w:bCs/>
                <w:kern w:val="2"/>
                <w:sz w:val="21"/>
              </w:rPr>
              <w:t>密度1.09g/cm</w:t>
            </w:r>
            <w:r>
              <w:rPr>
                <w:rFonts w:ascii="Times New Roman" w:cs="Times New Roman"/>
                <w:bCs/>
                <w:kern w:val="2"/>
                <w:sz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26</w:t>
            </w:r>
          </w:p>
        </w:tc>
        <w:tc>
          <w:tcPr>
            <w:tcW w:w="1084"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重浆</w:t>
            </w:r>
          </w:p>
        </w:tc>
        <w:tc>
          <w:tcPr>
            <w:tcW w:w="1887" w:type="pct"/>
            <w:vAlign w:val="center"/>
          </w:tcPr>
          <w:p>
            <w:pPr>
              <w:topLinePunct w:val="0"/>
              <w:snapToGrid w:val="0"/>
              <w:spacing w:line="240" w:lineRule="auto"/>
              <w:ind w:firstLine="0" w:firstLineChars="0"/>
              <w:jc w:val="center"/>
              <w:rPr>
                <w:rFonts w:ascii="Times New Roman" w:cs="Times New Roman"/>
                <w:kern w:val="2"/>
                <w:sz w:val="21"/>
              </w:rPr>
            </w:pPr>
          </w:p>
        </w:tc>
        <w:tc>
          <w:tcPr>
            <w:tcW w:w="535"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250m</w:t>
            </w:r>
            <w:r>
              <w:rPr>
                <w:rFonts w:ascii="Times New Roman" w:cs="Times New Roman"/>
                <w:bCs/>
                <w:kern w:val="2"/>
                <w:sz w:val="21"/>
                <w:vertAlign w:val="superscript"/>
              </w:rPr>
              <w:t>3</w:t>
            </w:r>
          </w:p>
        </w:tc>
        <w:tc>
          <w:tcPr>
            <w:tcW w:w="1064" w:type="pct"/>
            <w:vAlign w:val="center"/>
          </w:tcPr>
          <w:p>
            <w:pPr>
              <w:topLinePunct w:val="0"/>
              <w:snapToGrid w:val="0"/>
              <w:spacing w:line="240" w:lineRule="auto"/>
              <w:ind w:firstLine="71" w:firstLineChars="34"/>
              <w:jc w:val="center"/>
              <w:rPr>
                <w:rFonts w:ascii="Times New Roman" w:cs="Times New Roman"/>
                <w:bCs/>
                <w:kern w:val="2"/>
                <w:sz w:val="21"/>
              </w:rPr>
            </w:pPr>
            <w:r>
              <w:rPr>
                <w:rFonts w:ascii="Times New Roman" w:cs="Times New Roman"/>
                <w:bCs/>
                <w:kern w:val="2"/>
                <w:sz w:val="21"/>
              </w:rPr>
              <w:t>密度1.29g/cm</w:t>
            </w:r>
            <w:r>
              <w:rPr>
                <w:rFonts w:ascii="Times New Roman" w:cs="Times New Roman"/>
                <w:bCs/>
                <w:kern w:val="2"/>
                <w:sz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27</w:t>
            </w:r>
          </w:p>
        </w:tc>
        <w:tc>
          <w:tcPr>
            <w:tcW w:w="1084"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环空保护液</w:t>
            </w:r>
          </w:p>
        </w:tc>
        <w:tc>
          <w:tcPr>
            <w:tcW w:w="1887" w:type="pct"/>
            <w:vAlign w:val="center"/>
          </w:tcPr>
          <w:p>
            <w:pPr>
              <w:topLinePunct w:val="0"/>
              <w:snapToGrid w:val="0"/>
              <w:spacing w:line="240" w:lineRule="auto"/>
              <w:ind w:firstLine="0" w:firstLineChars="0"/>
              <w:jc w:val="center"/>
              <w:rPr>
                <w:rFonts w:ascii="Times New Roman" w:cs="Times New Roman"/>
                <w:kern w:val="2"/>
                <w:sz w:val="21"/>
              </w:rPr>
            </w:pPr>
          </w:p>
        </w:tc>
        <w:tc>
          <w:tcPr>
            <w:tcW w:w="535"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140m</w:t>
            </w:r>
            <w:r>
              <w:rPr>
                <w:rFonts w:ascii="Times New Roman" w:cs="Times New Roman"/>
                <w:bCs/>
                <w:kern w:val="2"/>
                <w:sz w:val="21"/>
                <w:vertAlign w:val="superscript"/>
              </w:rPr>
              <w:t>3</w:t>
            </w:r>
          </w:p>
        </w:tc>
        <w:tc>
          <w:tcPr>
            <w:tcW w:w="1064" w:type="pct"/>
            <w:vAlign w:val="center"/>
          </w:tcPr>
          <w:p>
            <w:pPr>
              <w:topLinePunct w:val="0"/>
              <w:snapToGrid w:val="0"/>
              <w:spacing w:line="240" w:lineRule="auto"/>
              <w:ind w:firstLine="71" w:firstLineChars="34"/>
              <w:jc w:val="center"/>
              <w:rPr>
                <w:rFonts w:ascii="Times New Roman" w:cs="Times New Roman"/>
                <w:bCs/>
                <w:kern w:val="2"/>
                <w:sz w:val="21"/>
              </w:rPr>
            </w:pPr>
            <w:r>
              <w:rPr>
                <w:rFonts w:ascii="Times New Roman" w:cs="Times New Roman"/>
                <w:bCs/>
                <w:kern w:val="2"/>
                <w:sz w:val="21"/>
              </w:rPr>
              <w:t>密度1.09g/cm</w:t>
            </w:r>
            <w:r>
              <w:rPr>
                <w:rFonts w:ascii="Times New Roman" w:cs="Times New Roman"/>
                <w:bCs/>
                <w:kern w:val="2"/>
                <w:sz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28</w:t>
            </w:r>
          </w:p>
        </w:tc>
        <w:tc>
          <w:tcPr>
            <w:tcW w:w="1084"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无固相压井液</w:t>
            </w:r>
          </w:p>
        </w:tc>
        <w:tc>
          <w:tcPr>
            <w:tcW w:w="1887" w:type="pct"/>
            <w:vAlign w:val="center"/>
          </w:tcPr>
          <w:p>
            <w:pPr>
              <w:topLinePunct w:val="0"/>
              <w:snapToGrid w:val="0"/>
              <w:spacing w:line="240" w:lineRule="auto"/>
              <w:ind w:firstLine="0" w:firstLineChars="0"/>
              <w:jc w:val="center"/>
              <w:rPr>
                <w:rFonts w:ascii="Times New Roman" w:cs="Times New Roman"/>
                <w:kern w:val="2"/>
                <w:sz w:val="21"/>
              </w:rPr>
            </w:pPr>
          </w:p>
        </w:tc>
        <w:tc>
          <w:tcPr>
            <w:tcW w:w="535"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100m</w:t>
            </w:r>
            <w:r>
              <w:rPr>
                <w:rFonts w:ascii="Times New Roman" w:cs="Times New Roman"/>
                <w:bCs/>
                <w:kern w:val="2"/>
                <w:sz w:val="21"/>
                <w:vertAlign w:val="superscript"/>
              </w:rPr>
              <w:t>3</w:t>
            </w:r>
          </w:p>
        </w:tc>
        <w:tc>
          <w:tcPr>
            <w:tcW w:w="1064" w:type="pct"/>
            <w:vAlign w:val="center"/>
          </w:tcPr>
          <w:p>
            <w:pPr>
              <w:topLinePunct w:val="0"/>
              <w:snapToGrid w:val="0"/>
              <w:spacing w:line="240" w:lineRule="auto"/>
              <w:ind w:firstLine="71" w:firstLineChars="34"/>
              <w:jc w:val="center"/>
              <w:rPr>
                <w:rFonts w:ascii="Times New Roman" w:cs="Times New Roman"/>
                <w:bCs/>
                <w:kern w:val="2"/>
                <w:sz w:val="21"/>
              </w:rPr>
            </w:pPr>
            <w:r>
              <w:rPr>
                <w:rFonts w:ascii="Times New Roman" w:cs="Times New Roman"/>
                <w:bCs/>
                <w:kern w:val="2"/>
                <w:sz w:val="21"/>
              </w:rPr>
              <w:t>密度1.09g/cm</w:t>
            </w:r>
            <w:r>
              <w:rPr>
                <w:rFonts w:ascii="Times New Roman" w:cs="Times New Roman"/>
                <w:bCs/>
                <w:kern w:val="2"/>
                <w:sz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29</w:t>
            </w:r>
          </w:p>
        </w:tc>
        <w:tc>
          <w:tcPr>
            <w:tcW w:w="1084"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酸液</w:t>
            </w:r>
          </w:p>
        </w:tc>
        <w:tc>
          <w:tcPr>
            <w:tcW w:w="1887" w:type="pct"/>
            <w:vAlign w:val="center"/>
          </w:tcPr>
          <w:p>
            <w:pPr>
              <w:topLinePunct w:val="0"/>
              <w:snapToGrid w:val="0"/>
              <w:spacing w:line="240" w:lineRule="auto"/>
              <w:ind w:firstLine="0" w:firstLineChars="0"/>
              <w:jc w:val="center"/>
              <w:rPr>
                <w:rFonts w:ascii="Times New Roman" w:cs="Times New Roman"/>
                <w:kern w:val="2"/>
                <w:sz w:val="21"/>
              </w:rPr>
            </w:pPr>
          </w:p>
        </w:tc>
        <w:tc>
          <w:tcPr>
            <w:tcW w:w="535"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700/180m</w:t>
            </w:r>
            <w:r>
              <w:rPr>
                <w:rFonts w:ascii="Times New Roman" w:cs="Times New Roman"/>
                <w:bCs/>
                <w:kern w:val="2"/>
                <w:sz w:val="21"/>
                <w:vertAlign w:val="superscript"/>
              </w:rPr>
              <w:t>3</w:t>
            </w:r>
          </w:p>
        </w:tc>
        <w:tc>
          <w:tcPr>
            <w:tcW w:w="1064" w:type="pct"/>
            <w:vAlign w:val="center"/>
          </w:tcPr>
          <w:p>
            <w:pPr>
              <w:topLinePunct w:val="0"/>
              <w:snapToGrid w:val="0"/>
              <w:spacing w:line="240" w:lineRule="auto"/>
              <w:ind w:firstLine="105" w:firstLineChars="50"/>
              <w:jc w:val="center"/>
              <w:rPr>
                <w:rFonts w:ascii="Times New Roman" w:cs="Times New Roman"/>
                <w:bCs/>
                <w:kern w:val="2"/>
                <w:sz w:val="21"/>
              </w:rPr>
            </w:pPr>
            <w:r>
              <w:rPr>
                <w:rFonts w:ascii="Times New Roman" w:cs="Times New Roman"/>
                <w:bCs/>
                <w:kern w:val="2"/>
                <w:sz w:val="21"/>
              </w:rPr>
              <w:t>前置酸/清洁酸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30</w:t>
            </w:r>
          </w:p>
        </w:tc>
        <w:tc>
          <w:tcPr>
            <w:tcW w:w="1084"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液氮</w:t>
            </w:r>
          </w:p>
        </w:tc>
        <w:tc>
          <w:tcPr>
            <w:tcW w:w="1887" w:type="pct"/>
            <w:vAlign w:val="center"/>
          </w:tcPr>
          <w:p>
            <w:pPr>
              <w:topLinePunct w:val="0"/>
              <w:snapToGrid w:val="0"/>
              <w:spacing w:line="240" w:lineRule="auto"/>
              <w:ind w:firstLine="0" w:firstLineChars="0"/>
              <w:jc w:val="center"/>
              <w:rPr>
                <w:rFonts w:ascii="Times New Roman" w:cs="Times New Roman"/>
                <w:kern w:val="2"/>
                <w:sz w:val="21"/>
              </w:rPr>
            </w:pPr>
          </w:p>
        </w:tc>
        <w:tc>
          <w:tcPr>
            <w:tcW w:w="535"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40m</w:t>
            </w:r>
            <w:r>
              <w:rPr>
                <w:rFonts w:ascii="Times New Roman" w:cs="Times New Roman"/>
                <w:bCs/>
                <w:kern w:val="2"/>
                <w:sz w:val="21"/>
                <w:vertAlign w:val="superscript"/>
              </w:rPr>
              <w:t>3</w:t>
            </w:r>
          </w:p>
        </w:tc>
        <w:tc>
          <w:tcPr>
            <w:tcW w:w="1064" w:type="pct"/>
            <w:vAlign w:val="center"/>
          </w:tcPr>
          <w:p>
            <w:pPr>
              <w:topLinePunct w:val="0"/>
              <w:snapToGrid w:val="0"/>
              <w:spacing w:line="240" w:lineRule="auto"/>
              <w:ind w:firstLine="105" w:firstLineChars="50"/>
              <w:jc w:val="center"/>
              <w:rPr>
                <w:rFonts w:ascii="Times New Roman" w:cs="Times New Roman"/>
                <w:bCs/>
                <w:kern w:val="2"/>
                <w:sz w:val="21"/>
              </w:rPr>
            </w:pPr>
            <w:r>
              <w:rPr>
                <w:rFonts w:ascii="Times New Roman" w:cs="Times New Roman"/>
                <w:bCs/>
                <w:kern w:val="2"/>
                <w:sz w:val="21"/>
              </w:rPr>
              <w:t>储存量10m</w:t>
            </w:r>
            <w:r>
              <w:rPr>
                <w:rFonts w:ascii="Times New Roman" w:cs="Times New Roman"/>
                <w:bCs/>
                <w:kern w:val="2"/>
                <w:sz w:val="21"/>
                <w:vertAlign w:val="superscript"/>
              </w:rPr>
              <w:t>3</w:t>
            </w:r>
          </w:p>
        </w:tc>
      </w:tr>
    </w:tbl>
    <w:p>
      <w:pPr>
        <w:topLinePunct w:val="0"/>
        <w:snapToGrid w:val="0"/>
        <w:spacing w:line="331" w:lineRule="auto"/>
        <w:ind w:left="476" w:firstLine="0" w:firstLineChars="0"/>
        <w:rPr>
          <w:rFonts w:ascii="Times New Roman" w:cs="Times New Roman"/>
          <w:kern w:val="2"/>
        </w:rPr>
      </w:pPr>
      <w:r>
        <w:rPr>
          <w:rFonts w:ascii="Times New Roman" w:cs="Times New Roman"/>
          <w:kern w:val="2"/>
        </w:rPr>
        <w:t>（4）安装采气树</w:t>
      </w:r>
    </w:p>
    <w:p>
      <w:pPr>
        <w:topLinePunct w:val="0"/>
        <w:snapToGrid w:val="0"/>
        <w:ind w:firstLine="480"/>
        <w:rPr>
          <w:rFonts w:ascii="Times New Roman" w:cs="Times New Roman"/>
          <w:kern w:val="2"/>
        </w:rPr>
      </w:pPr>
      <w:r>
        <w:rPr>
          <w:rFonts w:ascii="Times New Roman" w:cs="Times New Roman"/>
          <w:kern w:val="2"/>
        </w:rPr>
        <w:t>安装采气树并进行试压。依据压裂酸化排量及地面泵压预测结果（最高泵压65.15MPa）、地层压力（50.9MPa），选用70MPa HH级采气井口，双翼双阀结构，单翼生产，主、侧通径3-1/16″，油管四通70-70MPa。主要设备见表</w:t>
      </w:r>
      <w:bookmarkStart w:id="178" w:name="OLE_LINK83"/>
      <w:bookmarkStart w:id="179" w:name="OLE_LINK84"/>
      <w:r>
        <w:rPr>
          <w:rFonts w:ascii="Times New Roman" w:cs="Times New Roman"/>
        </w:rPr>
        <w:t>3.4-</w:t>
      </w:r>
      <w:bookmarkEnd w:id="178"/>
      <w:bookmarkEnd w:id="179"/>
      <w:r>
        <w:rPr>
          <w:rFonts w:ascii="Times New Roman" w:cs="Times New Roman"/>
        </w:rPr>
        <w:t>7</w:t>
      </w:r>
      <w:r>
        <w:rPr>
          <w:rFonts w:ascii="Times New Roman" w:cs="Times New Roman"/>
          <w:kern w:val="2"/>
        </w:rPr>
        <w:t>。</w:t>
      </w:r>
    </w:p>
    <w:p>
      <w:pPr>
        <w:topLinePunct w:val="0"/>
        <w:snapToGrid w:val="0"/>
        <w:ind w:firstLine="480"/>
        <w:rPr>
          <w:rFonts w:ascii="Times New Roman" w:cs="Times New Roman"/>
          <w:kern w:val="2"/>
        </w:rPr>
      </w:pPr>
    </w:p>
    <w:p>
      <w:pPr>
        <w:topLinePunct w:val="0"/>
        <w:snapToGrid w:val="0"/>
        <w:spacing w:before="120" w:beforeLines="50"/>
        <w:ind w:firstLine="0" w:firstLineChars="0"/>
        <w:jc w:val="center"/>
        <w:rPr>
          <w:rFonts w:ascii="Times New Roman" w:cs="Times New Roman"/>
          <w:b/>
          <w:kern w:val="2"/>
          <w:sz w:val="21"/>
          <w:szCs w:val="20"/>
        </w:rPr>
      </w:pPr>
      <w:bookmarkStart w:id="180" w:name="_Ref505766946"/>
      <w:r>
        <w:rPr>
          <w:rFonts w:ascii="Times New Roman" w:cs="Times New Roman"/>
          <w:b/>
          <w:kern w:val="2"/>
          <w:sz w:val="21"/>
          <w:szCs w:val="20"/>
        </w:rPr>
        <w:t>表</w:t>
      </w:r>
      <w:bookmarkEnd w:id="180"/>
      <w:r>
        <w:rPr>
          <w:rFonts w:ascii="Times New Roman" w:cs="Times New Roman"/>
          <w:b/>
          <w:kern w:val="2"/>
          <w:sz w:val="21"/>
          <w:szCs w:val="20"/>
        </w:rPr>
        <w:t>3.4-7  采气主要设备一览表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370"/>
        <w:gridCol w:w="1320"/>
        <w:gridCol w:w="1394"/>
        <w:gridCol w:w="1394"/>
        <w:gridCol w:w="669"/>
        <w:gridCol w:w="16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44" w:type="dxa"/>
            <w:vAlign w:val="center"/>
          </w:tcPr>
          <w:p>
            <w:pPr>
              <w:topLinePunct w:val="0"/>
              <w:snapToGrid w:val="0"/>
              <w:spacing w:line="240" w:lineRule="auto"/>
              <w:ind w:firstLine="0" w:firstLineChars="0"/>
              <w:jc w:val="center"/>
              <w:textAlignment w:val="center"/>
              <w:rPr>
                <w:rFonts w:ascii="Times New Roman" w:cs="Times New Roman"/>
                <w:b/>
                <w:kern w:val="2"/>
                <w:sz w:val="21"/>
                <w:szCs w:val="21"/>
              </w:rPr>
            </w:pPr>
            <w:r>
              <w:rPr>
                <w:rFonts w:ascii="Times New Roman" w:cs="Times New Roman"/>
                <w:b/>
                <w:kern w:val="2"/>
                <w:sz w:val="21"/>
                <w:szCs w:val="21"/>
              </w:rPr>
              <w:t>名称</w:t>
            </w:r>
          </w:p>
        </w:tc>
        <w:tc>
          <w:tcPr>
            <w:tcW w:w="1361" w:type="dxa"/>
            <w:vAlign w:val="center"/>
          </w:tcPr>
          <w:p>
            <w:pPr>
              <w:topLinePunct w:val="0"/>
              <w:snapToGrid w:val="0"/>
              <w:spacing w:line="240" w:lineRule="auto"/>
              <w:ind w:firstLine="0" w:firstLineChars="0"/>
              <w:jc w:val="center"/>
              <w:textAlignment w:val="center"/>
              <w:rPr>
                <w:rFonts w:ascii="Times New Roman" w:cs="Times New Roman"/>
                <w:b/>
                <w:kern w:val="2"/>
                <w:sz w:val="21"/>
                <w:szCs w:val="21"/>
              </w:rPr>
            </w:pPr>
            <w:r>
              <w:rPr>
                <w:rFonts w:ascii="Times New Roman" w:cs="Times New Roman"/>
                <w:b/>
                <w:kern w:val="2"/>
                <w:sz w:val="21"/>
                <w:szCs w:val="21"/>
              </w:rPr>
              <w:t>型号规格</w:t>
            </w:r>
          </w:p>
        </w:tc>
        <w:tc>
          <w:tcPr>
            <w:tcW w:w="1435" w:type="dxa"/>
            <w:tcMar>
              <w:top w:w="0" w:type="dxa"/>
              <w:left w:w="28" w:type="dxa"/>
              <w:bottom w:w="0" w:type="dxa"/>
              <w:right w:w="28" w:type="dxa"/>
            </w:tcMar>
            <w:vAlign w:val="center"/>
          </w:tcPr>
          <w:p>
            <w:pPr>
              <w:topLinePunct w:val="0"/>
              <w:snapToGrid w:val="0"/>
              <w:spacing w:line="240" w:lineRule="auto"/>
              <w:ind w:firstLine="0" w:firstLineChars="0"/>
              <w:jc w:val="center"/>
              <w:textAlignment w:val="center"/>
              <w:rPr>
                <w:rFonts w:ascii="Times New Roman" w:cs="Times New Roman"/>
                <w:b/>
                <w:kern w:val="2"/>
                <w:sz w:val="21"/>
                <w:szCs w:val="21"/>
              </w:rPr>
            </w:pPr>
            <w:r>
              <w:rPr>
                <w:rFonts w:ascii="Times New Roman" w:cs="Times New Roman"/>
                <w:b/>
                <w:kern w:val="2"/>
                <w:sz w:val="21"/>
                <w:szCs w:val="21"/>
              </w:rPr>
              <w:t>压力级别</w:t>
            </w:r>
          </w:p>
        </w:tc>
        <w:tc>
          <w:tcPr>
            <w:tcW w:w="1435" w:type="dxa"/>
            <w:tcMar>
              <w:top w:w="0" w:type="dxa"/>
              <w:left w:w="28" w:type="dxa"/>
              <w:bottom w:w="0" w:type="dxa"/>
              <w:right w:w="28" w:type="dxa"/>
            </w:tcMar>
            <w:vAlign w:val="center"/>
          </w:tcPr>
          <w:p>
            <w:pPr>
              <w:topLinePunct w:val="0"/>
              <w:snapToGrid w:val="0"/>
              <w:spacing w:line="240" w:lineRule="auto"/>
              <w:ind w:firstLine="0" w:firstLineChars="0"/>
              <w:jc w:val="center"/>
              <w:textAlignment w:val="center"/>
              <w:rPr>
                <w:rFonts w:ascii="Times New Roman" w:cs="Times New Roman"/>
                <w:b/>
                <w:kern w:val="2"/>
                <w:sz w:val="21"/>
                <w:szCs w:val="21"/>
              </w:rPr>
            </w:pPr>
            <w:r>
              <w:rPr>
                <w:rFonts w:ascii="Times New Roman" w:cs="Times New Roman"/>
                <w:b/>
                <w:kern w:val="2"/>
                <w:sz w:val="21"/>
                <w:szCs w:val="21"/>
              </w:rPr>
              <w:t>材料级别</w:t>
            </w:r>
          </w:p>
        </w:tc>
        <w:tc>
          <w:tcPr>
            <w:tcW w:w="689" w:type="dxa"/>
            <w:vAlign w:val="center"/>
          </w:tcPr>
          <w:p>
            <w:pPr>
              <w:topLinePunct w:val="0"/>
              <w:snapToGrid w:val="0"/>
              <w:spacing w:line="240" w:lineRule="auto"/>
              <w:ind w:firstLine="0" w:firstLineChars="0"/>
              <w:jc w:val="center"/>
              <w:textAlignment w:val="center"/>
              <w:rPr>
                <w:rFonts w:ascii="Times New Roman" w:cs="Times New Roman"/>
                <w:b/>
                <w:kern w:val="2"/>
                <w:sz w:val="21"/>
                <w:szCs w:val="21"/>
              </w:rPr>
            </w:pPr>
            <w:r>
              <w:rPr>
                <w:rFonts w:ascii="Times New Roman" w:cs="Times New Roman"/>
                <w:b/>
                <w:kern w:val="2"/>
                <w:sz w:val="21"/>
                <w:szCs w:val="21"/>
              </w:rPr>
              <w:t>数量</w:t>
            </w:r>
          </w:p>
        </w:tc>
        <w:tc>
          <w:tcPr>
            <w:tcW w:w="1696" w:type="dxa"/>
            <w:vAlign w:val="center"/>
          </w:tcPr>
          <w:p>
            <w:pPr>
              <w:topLinePunct w:val="0"/>
              <w:snapToGrid w:val="0"/>
              <w:spacing w:line="240" w:lineRule="auto"/>
              <w:ind w:firstLine="0" w:firstLineChars="0"/>
              <w:jc w:val="center"/>
              <w:textAlignment w:val="center"/>
              <w:rPr>
                <w:rFonts w:ascii="Times New Roman" w:cs="Times New Roman"/>
                <w:b/>
                <w:kern w:val="2"/>
                <w:sz w:val="21"/>
                <w:szCs w:val="21"/>
              </w:rPr>
            </w:pPr>
            <w:r>
              <w:rPr>
                <w:rFonts w:ascii="Times New Roman" w:cs="Times New Roman"/>
                <w:b/>
                <w:kern w:val="2"/>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44"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采气树</w:t>
            </w:r>
          </w:p>
        </w:tc>
        <w:tc>
          <w:tcPr>
            <w:tcW w:w="1361"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3-1/16″</w:t>
            </w:r>
          </w:p>
        </w:tc>
        <w:tc>
          <w:tcPr>
            <w:tcW w:w="1435" w:type="dxa"/>
            <w:tcMar>
              <w:top w:w="0" w:type="dxa"/>
              <w:left w:w="28" w:type="dxa"/>
              <w:bottom w:w="0" w:type="dxa"/>
              <w:right w:w="28" w:type="dxa"/>
            </w:tcMar>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70MPa</w:t>
            </w:r>
          </w:p>
        </w:tc>
        <w:tc>
          <w:tcPr>
            <w:tcW w:w="1435" w:type="dxa"/>
            <w:tcMar>
              <w:top w:w="0" w:type="dxa"/>
              <w:left w:w="28" w:type="dxa"/>
              <w:bottom w:w="0" w:type="dxa"/>
              <w:right w:w="28" w:type="dxa"/>
            </w:tcMar>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HH级</w:t>
            </w:r>
          </w:p>
        </w:tc>
        <w:tc>
          <w:tcPr>
            <w:tcW w:w="689"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2套</w:t>
            </w:r>
          </w:p>
        </w:tc>
        <w:tc>
          <w:tcPr>
            <w:tcW w:w="1696"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带配件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44"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油管四通</w:t>
            </w:r>
          </w:p>
        </w:tc>
        <w:tc>
          <w:tcPr>
            <w:tcW w:w="1361"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c>
          <w:tcPr>
            <w:tcW w:w="1435" w:type="dxa"/>
            <w:tcMar>
              <w:top w:w="0" w:type="dxa"/>
              <w:left w:w="28" w:type="dxa"/>
              <w:bottom w:w="0" w:type="dxa"/>
              <w:right w:w="28" w:type="dxa"/>
            </w:tcMar>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70-70MPa</w:t>
            </w:r>
          </w:p>
        </w:tc>
        <w:tc>
          <w:tcPr>
            <w:tcW w:w="1435" w:type="dxa"/>
            <w:tcMar>
              <w:top w:w="0" w:type="dxa"/>
              <w:left w:w="28" w:type="dxa"/>
              <w:bottom w:w="0" w:type="dxa"/>
              <w:right w:w="28" w:type="dxa"/>
            </w:tcMar>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HH级</w:t>
            </w:r>
          </w:p>
        </w:tc>
        <w:tc>
          <w:tcPr>
            <w:tcW w:w="689"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2套</w:t>
            </w:r>
          </w:p>
        </w:tc>
        <w:tc>
          <w:tcPr>
            <w:tcW w:w="1696"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44"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生产油管悬挂器</w:t>
            </w:r>
          </w:p>
        </w:tc>
        <w:tc>
          <w:tcPr>
            <w:tcW w:w="1361"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c>
          <w:tcPr>
            <w:tcW w:w="1435" w:type="dxa"/>
            <w:tcMar>
              <w:top w:w="0" w:type="dxa"/>
              <w:left w:w="28" w:type="dxa"/>
              <w:bottom w:w="0" w:type="dxa"/>
              <w:right w:w="28" w:type="dxa"/>
            </w:tcMar>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70MPa</w:t>
            </w:r>
          </w:p>
        </w:tc>
        <w:tc>
          <w:tcPr>
            <w:tcW w:w="1435" w:type="dxa"/>
            <w:tcMar>
              <w:top w:w="0" w:type="dxa"/>
              <w:left w:w="28" w:type="dxa"/>
              <w:bottom w:w="0" w:type="dxa"/>
              <w:right w:w="28" w:type="dxa"/>
            </w:tcMar>
            <w:vAlign w:val="center"/>
          </w:tcPr>
          <w:p>
            <w:pPr>
              <w:topLinePunct w:val="0"/>
              <w:snapToGrid w:val="0"/>
              <w:spacing w:line="240" w:lineRule="auto"/>
              <w:ind w:firstLine="0" w:firstLineChars="0"/>
              <w:jc w:val="center"/>
              <w:textAlignment w:val="center"/>
              <w:rPr>
                <w:rFonts w:ascii="Times New Roman" w:cs="Times New Roman"/>
                <w:kern w:val="2"/>
                <w:sz w:val="21"/>
                <w:szCs w:val="21"/>
                <w:lang w:val="pt-BR"/>
              </w:rPr>
            </w:pPr>
            <w:r>
              <w:rPr>
                <w:rFonts w:ascii="Times New Roman" w:cs="Times New Roman"/>
                <w:kern w:val="2"/>
                <w:sz w:val="21"/>
                <w:szCs w:val="21"/>
              </w:rPr>
              <w:t>HH级</w:t>
            </w:r>
          </w:p>
        </w:tc>
        <w:tc>
          <w:tcPr>
            <w:tcW w:w="689"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2套</w:t>
            </w:r>
          </w:p>
        </w:tc>
        <w:tc>
          <w:tcPr>
            <w:tcW w:w="1696" w:type="dxa"/>
            <w:vAlign w:val="center"/>
          </w:tcPr>
          <w:p>
            <w:pPr>
              <w:topLinePunct w:val="0"/>
              <w:snapToGrid w:val="0"/>
              <w:spacing w:line="240" w:lineRule="auto"/>
              <w:ind w:firstLine="0" w:firstLineChars="0"/>
              <w:jc w:val="center"/>
              <w:textAlignment w:val="center"/>
              <w:rPr>
                <w:rFonts w:ascii="Times New Roman" w:cs="Times New Roman"/>
                <w:kern w:val="2"/>
                <w:sz w:val="21"/>
                <w:szCs w:val="21"/>
                <w:lang w:val="pt-BR"/>
              </w:rPr>
            </w:pPr>
            <w:r>
              <w:rPr>
                <w:rFonts w:ascii="Times New Roman" w:cs="Times New Roman"/>
                <w:kern w:val="2"/>
                <w:sz w:val="21"/>
                <w:szCs w:val="21"/>
                <w:lang w:val="pt-BR"/>
              </w:rPr>
              <w:t>带双公短节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44"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地面控制系统</w:t>
            </w:r>
          </w:p>
        </w:tc>
        <w:tc>
          <w:tcPr>
            <w:tcW w:w="1361"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c>
          <w:tcPr>
            <w:tcW w:w="1435" w:type="dxa"/>
            <w:tcMar>
              <w:top w:w="0" w:type="dxa"/>
              <w:left w:w="28" w:type="dxa"/>
              <w:bottom w:w="0" w:type="dxa"/>
              <w:right w:w="28" w:type="dxa"/>
            </w:tcMar>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c>
          <w:tcPr>
            <w:tcW w:w="1435" w:type="dxa"/>
            <w:tcMar>
              <w:top w:w="0" w:type="dxa"/>
              <w:left w:w="28" w:type="dxa"/>
              <w:bottom w:w="0" w:type="dxa"/>
              <w:right w:w="28" w:type="dxa"/>
            </w:tcMar>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c>
          <w:tcPr>
            <w:tcW w:w="689"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2套</w:t>
            </w:r>
          </w:p>
        </w:tc>
        <w:tc>
          <w:tcPr>
            <w:tcW w:w="1696" w:type="dxa"/>
            <w:vAlign w:val="center"/>
          </w:tcPr>
          <w:p>
            <w:pPr>
              <w:topLinePunct w:val="0"/>
              <w:snapToGrid w:val="0"/>
              <w:spacing w:line="240" w:lineRule="auto"/>
              <w:ind w:firstLine="0" w:firstLineChars="0"/>
              <w:jc w:val="center"/>
              <w:textAlignment w:val="center"/>
              <w:rPr>
                <w:rFonts w:ascii="Times New Roman" w:cs="Times New Roman"/>
                <w:kern w:val="2"/>
                <w:sz w:val="21"/>
                <w:szCs w:val="21"/>
                <w:lang w:val="pt-BR"/>
              </w:rPr>
            </w:pPr>
          </w:p>
        </w:tc>
      </w:tr>
    </w:tbl>
    <w:p>
      <w:pPr>
        <w:topLinePunct w:val="0"/>
        <w:snapToGrid w:val="0"/>
        <w:spacing w:line="331" w:lineRule="auto"/>
        <w:ind w:left="476" w:firstLine="0" w:firstLineChars="0"/>
        <w:rPr>
          <w:rFonts w:ascii="Times New Roman" w:cs="Times New Roman"/>
          <w:kern w:val="2"/>
        </w:rPr>
      </w:pPr>
      <w:r>
        <w:rPr>
          <w:rFonts w:ascii="Times New Roman" w:cs="Times New Roman"/>
          <w:kern w:val="2"/>
        </w:rPr>
        <w:t>（5）压裂酸化</w:t>
      </w:r>
    </w:p>
    <w:p>
      <w:pPr>
        <w:topLinePunct w:val="0"/>
        <w:snapToGrid w:val="0"/>
        <w:ind w:firstLine="480"/>
        <w:rPr>
          <w:rFonts w:ascii="Times New Roman" w:cs="Times New Roman"/>
          <w:kern w:val="2"/>
        </w:rPr>
      </w:pPr>
      <w:r>
        <w:rPr>
          <w:rFonts w:ascii="Times New Roman" w:cs="Times New Roman"/>
          <w:kern w:val="2"/>
        </w:rPr>
        <w:t>本项目采用分段压裂酸化改造，以达到均匀布酸、减少前期作业对储层的污染、沟通近井地带储集空间的目标。酸液采用清洁酸，主要成分为水、盐酸，设计</w:t>
      </w:r>
      <w:r>
        <w:rPr>
          <w:rFonts w:ascii="Times New Roman" w:cs="Times New Roman"/>
          <w:bCs/>
          <w:kern w:val="2"/>
        </w:rPr>
        <w:t>总液量2000</w:t>
      </w:r>
      <w:r>
        <w:rPr>
          <w:rFonts w:ascii="Times New Roman" w:cs="Times New Roman"/>
          <w:kern w:val="2"/>
        </w:rPr>
        <w:t>m</w:t>
      </w:r>
      <w:r>
        <w:rPr>
          <w:rFonts w:ascii="Times New Roman" w:cs="Times New Roman"/>
          <w:kern w:val="2"/>
          <w:vertAlign w:val="superscript"/>
        </w:rPr>
        <w:t>3</w:t>
      </w:r>
      <w:r>
        <w:rPr>
          <w:rFonts w:ascii="Times New Roman" w:cs="Times New Roman"/>
          <w:bCs/>
          <w:kern w:val="2"/>
        </w:rPr>
        <w:t>。压裂酸化设备见</w:t>
      </w:r>
      <w:r>
        <w:rPr>
          <w:rFonts w:ascii="Times New Roman" w:cs="Times New Roman"/>
          <w:kern w:val="2"/>
        </w:rPr>
        <w:t>表</w:t>
      </w:r>
      <w:bookmarkStart w:id="181" w:name="OLE_LINK86"/>
      <w:bookmarkStart w:id="182" w:name="OLE_LINK85"/>
      <w:r>
        <w:rPr>
          <w:rFonts w:ascii="Times New Roman" w:cs="Times New Roman"/>
        </w:rPr>
        <w:t>3.4-</w:t>
      </w:r>
      <w:bookmarkEnd w:id="181"/>
      <w:bookmarkEnd w:id="182"/>
      <w:r>
        <w:rPr>
          <w:rFonts w:ascii="Times New Roman" w:cs="Times New Roman"/>
        </w:rPr>
        <w:t>8</w:t>
      </w:r>
      <w:r>
        <w:rPr>
          <w:rFonts w:ascii="Times New Roman" w:cs="Times New Roman"/>
          <w:kern w:val="2"/>
        </w:rPr>
        <w:t>。</w:t>
      </w:r>
    </w:p>
    <w:p>
      <w:pPr>
        <w:topLinePunct w:val="0"/>
        <w:snapToGrid w:val="0"/>
        <w:spacing w:before="120" w:beforeLines="50"/>
        <w:ind w:firstLine="0" w:firstLineChars="0"/>
        <w:jc w:val="center"/>
        <w:rPr>
          <w:rFonts w:ascii="Times New Roman" w:cs="Times New Roman"/>
          <w:b/>
          <w:kern w:val="2"/>
          <w:sz w:val="21"/>
          <w:szCs w:val="21"/>
        </w:rPr>
      </w:pPr>
      <w:bookmarkStart w:id="183" w:name="_Ref505766585"/>
      <w:r>
        <w:rPr>
          <w:rFonts w:ascii="Times New Roman" w:cs="Times New Roman"/>
          <w:b/>
          <w:kern w:val="2"/>
          <w:sz w:val="21"/>
          <w:szCs w:val="21"/>
        </w:rPr>
        <w:t>表</w:t>
      </w:r>
      <w:bookmarkEnd w:id="183"/>
      <w:r>
        <w:rPr>
          <w:rFonts w:ascii="Times New Roman" w:cs="Times New Roman"/>
          <w:b/>
          <w:sz w:val="21"/>
          <w:szCs w:val="21"/>
        </w:rPr>
        <w:t>3.4-8</w:t>
      </w:r>
      <w:r>
        <w:rPr>
          <w:rFonts w:ascii="Times New Roman" w:cs="Times New Roman"/>
          <w:b/>
          <w:kern w:val="2"/>
          <w:sz w:val="21"/>
          <w:szCs w:val="21"/>
        </w:rPr>
        <w:t xml:space="preserve">  压裂酸化设备一览表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 w:type="dxa"/>
          <w:bottom w:w="0" w:type="dxa"/>
          <w:right w:w="10" w:type="dxa"/>
        </w:tblCellMar>
      </w:tblPr>
      <w:tblGrid>
        <w:gridCol w:w="646"/>
        <w:gridCol w:w="1632"/>
        <w:gridCol w:w="647"/>
        <w:gridCol w:w="647"/>
        <w:gridCol w:w="524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369" w:hRule="atLeast"/>
          <w:jc w:val="center"/>
        </w:trPr>
        <w:tc>
          <w:tcPr>
            <w:tcW w:w="367" w:type="pct"/>
            <w:vAlign w:val="center"/>
          </w:tcPr>
          <w:p>
            <w:pPr>
              <w:topLinePunct w:val="0"/>
              <w:autoSpaceDE w:val="0"/>
              <w:autoSpaceDN w:val="0"/>
              <w:adjustRightInd/>
              <w:spacing w:line="240" w:lineRule="auto"/>
              <w:ind w:firstLine="0" w:firstLineChars="0"/>
              <w:jc w:val="center"/>
              <w:rPr>
                <w:rFonts w:ascii="Times New Roman" w:cs="Times New Roman"/>
                <w:b/>
                <w:kern w:val="2"/>
                <w:sz w:val="21"/>
              </w:rPr>
            </w:pPr>
            <w:r>
              <w:rPr>
                <w:rFonts w:ascii="Times New Roman" w:cs="Times New Roman"/>
                <w:b/>
                <w:kern w:val="2"/>
                <w:sz w:val="21"/>
                <w:lang w:val="zh-CN"/>
              </w:rPr>
              <w:t>序号</w:t>
            </w:r>
          </w:p>
        </w:tc>
        <w:tc>
          <w:tcPr>
            <w:tcW w:w="926" w:type="pct"/>
            <w:vAlign w:val="center"/>
          </w:tcPr>
          <w:p>
            <w:pPr>
              <w:topLinePunct w:val="0"/>
              <w:autoSpaceDE w:val="0"/>
              <w:autoSpaceDN w:val="0"/>
              <w:adjustRightInd/>
              <w:spacing w:line="240" w:lineRule="auto"/>
              <w:ind w:firstLine="0" w:firstLineChars="0"/>
              <w:jc w:val="center"/>
              <w:rPr>
                <w:rFonts w:ascii="Times New Roman" w:cs="Times New Roman"/>
                <w:b/>
                <w:kern w:val="2"/>
                <w:sz w:val="21"/>
              </w:rPr>
            </w:pPr>
            <w:r>
              <w:rPr>
                <w:rFonts w:ascii="Times New Roman" w:cs="Times New Roman"/>
                <w:b/>
                <w:kern w:val="2"/>
                <w:sz w:val="21"/>
                <w:lang w:val="zh-CN"/>
              </w:rPr>
              <w:t>设备名称</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b/>
                <w:kern w:val="2"/>
                <w:sz w:val="21"/>
              </w:rPr>
            </w:pPr>
            <w:r>
              <w:rPr>
                <w:rFonts w:ascii="Times New Roman" w:cs="Times New Roman"/>
                <w:b/>
                <w:kern w:val="2"/>
                <w:sz w:val="21"/>
                <w:lang w:val="zh-CN"/>
              </w:rPr>
              <w:t>单位</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b/>
                <w:kern w:val="2"/>
                <w:sz w:val="21"/>
              </w:rPr>
            </w:pPr>
            <w:r>
              <w:rPr>
                <w:rFonts w:ascii="Times New Roman" w:cs="Times New Roman"/>
                <w:b/>
                <w:kern w:val="2"/>
                <w:sz w:val="21"/>
                <w:lang w:val="zh-CN"/>
              </w:rPr>
              <w:t>数量</w:t>
            </w:r>
          </w:p>
        </w:tc>
        <w:tc>
          <w:tcPr>
            <w:tcW w:w="2973" w:type="pct"/>
            <w:vAlign w:val="center"/>
          </w:tcPr>
          <w:p>
            <w:pPr>
              <w:topLinePunct w:val="0"/>
              <w:autoSpaceDE w:val="0"/>
              <w:autoSpaceDN w:val="0"/>
              <w:adjustRightInd/>
              <w:spacing w:line="240" w:lineRule="auto"/>
              <w:ind w:firstLine="0" w:firstLineChars="0"/>
              <w:jc w:val="center"/>
              <w:rPr>
                <w:rFonts w:ascii="Times New Roman" w:cs="Times New Roman"/>
                <w:b/>
                <w:kern w:val="2"/>
                <w:sz w:val="21"/>
              </w:rPr>
            </w:pPr>
            <w:r>
              <w:rPr>
                <w:rFonts w:ascii="Times New Roman" w:cs="Times New Roman"/>
                <w:b/>
                <w:kern w:val="2"/>
                <w:sz w:val="21"/>
                <w:lang w:val="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369" w:hRule="atLeast"/>
          <w:jc w:val="center"/>
        </w:trPr>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1</w:t>
            </w:r>
          </w:p>
        </w:tc>
        <w:tc>
          <w:tcPr>
            <w:tcW w:w="926"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压裂泵车</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台</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3</w:t>
            </w:r>
          </w:p>
        </w:tc>
        <w:tc>
          <w:tcPr>
            <w:tcW w:w="2973"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满足改造需要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369" w:hRule="atLeast"/>
          <w:jc w:val="center"/>
        </w:trPr>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2</w:t>
            </w:r>
          </w:p>
        </w:tc>
        <w:tc>
          <w:tcPr>
            <w:tcW w:w="926"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仪表车</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台</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1</w:t>
            </w:r>
          </w:p>
        </w:tc>
        <w:tc>
          <w:tcPr>
            <w:tcW w:w="2973"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369" w:hRule="atLeast"/>
          <w:jc w:val="center"/>
        </w:trPr>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3</w:t>
            </w:r>
          </w:p>
        </w:tc>
        <w:tc>
          <w:tcPr>
            <w:tcW w:w="926"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管汇车</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台</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1</w:t>
            </w:r>
          </w:p>
        </w:tc>
        <w:tc>
          <w:tcPr>
            <w:tcW w:w="2973"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369" w:hRule="atLeast"/>
          <w:jc w:val="center"/>
        </w:trPr>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4</w:t>
            </w:r>
          </w:p>
        </w:tc>
        <w:tc>
          <w:tcPr>
            <w:tcW w:w="926"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撬装酸泵</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台</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2</w:t>
            </w:r>
          </w:p>
        </w:tc>
        <w:tc>
          <w:tcPr>
            <w:tcW w:w="2973"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满足酸液配制及大排量循环需要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369" w:hRule="atLeast"/>
          <w:jc w:val="center"/>
        </w:trPr>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5</w:t>
            </w:r>
          </w:p>
        </w:tc>
        <w:tc>
          <w:tcPr>
            <w:tcW w:w="926"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灌注泵</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台</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1</w:t>
            </w:r>
          </w:p>
        </w:tc>
        <w:tc>
          <w:tcPr>
            <w:tcW w:w="2973"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369" w:hRule="atLeast"/>
          <w:jc w:val="center"/>
        </w:trPr>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6</w:t>
            </w:r>
          </w:p>
        </w:tc>
        <w:tc>
          <w:tcPr>
            <w:tcW w:w="926"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700</w:t>
            </w:r>
            <w:r>
              <w:rPr>
                <w:rFonts w:ascii="Times New Roman" w:cs="Times New Roman"/>
                <w:kern w:val="2"/>
                <w:sz w:val="21"/>
                <w:lang w:val="zh-CN"/>
              </w:rPr>
              <w:t>型平衡泵车</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台</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1</w:t>
            </w:r>
          </w:p>
        </w:tc>
        <w:tc>
          <w:tcPr>
            <w:tcW w:w="2973"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打平衡用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369" w:hRule="atLeast"/>
          <w:jc w:val="center"/>
        </w:trPr>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7</w:t>
            </w:r>
          </w:p>
        </w:tc>
        <w:tc>
          <w:tcPr>
            <w:tcW w:w="926"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酸罐</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具</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1</w:t>
            </w:r>
          </w:p>
        </w:tc>
        <w:tc>
          <w:tcPr>
            <w:tcW w:w="2973"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满足施工要求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369" w:hRule="atLeast"/>
          <w:jc w:val="center"/>
        </w:trPr>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8</w:t>
            </w:r>
          </w:p>
        </w:tc>
        <w:tc>
          <w:tcPr>
            <w:tcW w:w="926"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液罐</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具</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1</w:t>
            </w:r>
          </w:p>
        </w:tc>
        <w:tc>
          <w:tcPr>
            <w:tcW w:w="2973"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满足施工要求，</w:t>
            </w:r>
            <w:r>
              <w:rPr>
                <w:rFonts w:ascii="Times New Roman" w:cs="Times New Roman"/>
                <w:kern w:val="2"/>
                <w:sz w:val="21"/>
              </w:rPr>
              <w:t>活性水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369" w:hRule="atLeast"/>
          <w:jc w:val="center"/>
        </w:trPr>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9</w:t>
            </w:r>
          </w:p>
        </w:tc>
        <w:tc>
          <w:tcPr>
            <w:tcW w:w="926"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随车吊</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台</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1</w:t>
            </w:r>
          </w:p>
        </w:tc>
        <w:tc>
          <w:tcPr>
            <w:tcW w:w="2973"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369" w:hRule="atLeast"/>
          <w:jc w:val="center"/>
        </w:trPr>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10</w:t>
            </w:r>
          </w:p>
        </w:tc>
        <w:tc>
          <w:tcPr>
            <w:tcW w:w="926"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30t</w:t>
            </w:r>
            <w:r>
              <w:rPr>
                <w:rFonts w:ascii="Times New Roman" w:cs="Times New Roman"/>
                <w:kern w:val="2"/>
                <w:sz w:val="21"/>
                <w:lang w:val="zh-CN"/>
              </w:rPr>
              <w:t>吊车</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台</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1</w:t>
            </w:r>
          </w:p>
        </w:tc>
        <w:tc>
          <w:tcPr>
            <w:tcW w:w="2973"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369" w:hRule="atLeast"/>
          <w:jc w:val="center"/>
        </w:trPr>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11</w:t>
            </w:r>
          </w:p>
        </w:tc>
        <w:tc>
          <w:tcPr>
            <w:tcW w:w="926"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液氮泵车</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lang w:val="zh-CN"/>
              </w:rPr>
            </w:pPr>
            <w:r>
              <w:rPr>
                <w:rFonts w:ascii="Times New Roman" w:cs="Times New Roman"/>
                <w:kern w:val="2"/>
                <w:sz w:val="21"/>
                <w:lang w:val="zh-CN"/>
              </w:rPr>
              <w:t>台</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1</w:t>
            </w:r>
          </w:p>
        </w:tc>
        <w:tc>
          <w:tcPr>
            <w:tcW w:w="2973"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满足施工要求</w:t>
            </w:r>
          </w:p>
        </w:tc>
      </w:tr>
    </w:tbl>
    <w:p>
      <w:pPr>
        <w:topLinePunct w:val="0"/>
        <w:snapToGrid w:val="0"/>
        <w:ind w:firstLine="480"/>
        <w:rPr>
          <w:rFonts w:ascii="Times New Roman" w:cs="Times New Roman"/>
        </w:rPr>
      </w:pPr>
      <w:r>
        <w:rPr>
          <w:rFonts w:ascii="Times New Roman" w:cs="Times New Roman"/>
        </w:rPr>
        <w:t>（6）放喷测试</w:t>
      </w:r>
    </w:p>
    <w:p>
      <w:pPr>
        <w:topLinePunct w:val="0"/>
        <w:snapToGrid w:val="0"/>
        <w:ind w:firstLine="480"/>
        <w:rPr>
          <w:rFonts w:ascii="Times New Roman" w:cs="Times New Roman"/>
          <w:kern w:val="2"/>
        </w:rPr>
      </w:pPr>
      <w:r>
        <w:rPr>
          <w:rFonts w:ascii="Times New Roman" w:cs="Times New Roman"/>
        </w:rPr>
        <w:t>选用70MPa～35MPa、EE级二级降压放喷流程，放喷排液后求产。放喷主要设备见</w:t>
      </w:r>
      <w:r>
        <w:rPr>
          <w:rFonts w:ascii="Times New Roman" w:cs="Times New Roman"/>
          <w:kern w:val="2"/>
        </w:rPr>
        <w:t>表</w:t>
      </w:r>
      <w:r>
        <w:rPr>
          <w:rFonts w:ascii="Times New Roman" w:cs="Times New Roman"/>
        </w:rPr>
        <w:t>3.4-9</w:t>
      </w:r>
      <w:r>
        <w:rPr>
          <w:rFonts w:ascii="Times New Roman" w:cs="Times New Roman"/>
          <w:kern w:val="2"/>
        </w:rPr>
        <w:t>。</w:t>
      </w:r>
    </w:p>
    <w:p>
      <w:pPr>
        <w:topLinePunct w:val="0"/>
        <w:snapToGrid w:val="0"/>
        <w:spacing w:before="120" w:beforeLines="50"/>
        <w:ind w:firstLine="0" w:firstLineChars="0"/>
        <w:jc w:val="center"/>
        <w:rPr>
          <w:rFonts w:ascii="Times New Roman" w:cs="Times New Roman"/>
          <w:b/>
          <w:kern w:val="2"/>
          <w:sz w:val="21"/>
          <w:szCs w:val="20"/>
        </w:rPr>
      </w:pPr>
      <w:bookmarkStart w:id="184" w:name="_Ref505766702"/>
      <w:r>
        <w:rPr>
          <w:rFonts w:ascii="Times New Roman" w:cs="Times New Roman"/>
          <w:b/>
          <w:kern w:val="2"/>
          <w:sz w:val="21"/>
          <w:szCs w:val="21"/>
        </w:rPr>
        <w:t>表</w:t>
      </w:r>
      <w:bookmarkEnd w:id="184"/>
      <w:r>
        <w:rPr>
          <w:rFonts w:ascii="Times New Roman" w:cs="Times New Roman"/>
          <w:b/>
          <w:sz w:val="21"/>
          <w:szCs w:val="21"/>
        </w:rPr>
        <w:t>3.4-9</w:t>
      </w:r>
      <w:r>
        <w:rPr>
          <w:rFonts w:ascii="Times New Roman" w:cs="Times New Roman"/>
          <w:b/>
          <w:kern w:val="2"/>
          <w:sz w:val="21"/>
          <w:szCs w:val="21"/>
        </w:rPr>
        <w:t xml:space="preserve">  放喷主要设备一览</w:t>
      </w:r>
      <w:r>
        <w:rPr>
          <w:rFonts w:ascii="Times New Roman" w:cs="Times New Roman"/>
          <w:b/>
          <w:kern w:val="2"/>
          <w:sz w:val="21"/>
          <w:szCs w:val="20"/>
        </w:rPr>
        <w:t>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38"/>
        <w:gridCol w:w="1639"/>
        <w:gridCol w:w="5572"/>
        <w:gridCol w:w="8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417" w:type="pct"/>
            <w:vAlign w:val="center"/>
          </w:tcPr>
          <w:p>
            <w:pPr>
              <w:topLinePunct w:val="0"/>
              <w:spacing w:line="240" w:lineRule="auto"/>
              <w:ind w:firstLine="0" w:firstLineChars="0"/>
              <w:jc w:val="center"/>
              <w:rPr>
                <w:rFonts w:ascii="Times New Roman" w:cs="Times New Roman"/>
                <w:b/>
                <w:kern w:val="2"/>
                <w:sz w:val="21"/>
              </w:rPr>
            </w:pPr>
            <w:r>
              <w:rPr>
                <w:rFonts w:ascii="Times New Roman" w:cs="Times New Roman"/>
                <w:b/>
                <w:kern w:val="2"/>
                <w:sz w:val="21"/>
              </w:rPr>
              <w:t>序号</w:t>
            </w:r>
          </w:p>
        </w:tc>
        <w:tc>
          <w:tcPr>
            <w:tcW w:w="926" w:type="pct"/>
            <w:vAlign w:val="center"/>
          </w:tcPr>
          <w:p>
            <w:pPr>
              <w:topLinePunct w:val="0"/>
              <w:spacing w:line="240" w:lineRule="auto"/>
              <w:ind w:firstLine="211" w:firstLineChars="100"/>
              <w:jc w:val="center"/>
              <w:rPr>
                <w:rFonts w:ascii="Times New Roman" w:cs="Times New Roman"/>
                <w:b/>
                <w:kern w:val="2"/>
                <w:sz w:val="21"/>
              </w:rPr>
            </w:pPr>
            <w:r>
              <w:rPr>
                <w:rFonts w:ascii="Times New Roman" w:cs="Times New Roman"/>
                <w:b/>
                <w:kern w:val="2"/>
                <w:sz w:val="21"/>
              </w:rPr>
              <w:t>设备名称</w:t>
            </w:r>
          </w:p>
        </w:tc>
        <w:tc>
          <w:tcPr>
            <w:tcW w:w="3149" w:type="pct"/>
            <w:vAlign w:val="center"/>
          </w:tcPr>
          <w:p>
            <w:pPr>
              <w:topLinePunct w:val="0"/>
              <w:spacing w:line="240" w:lineRule="auto"/>
              <w:ind w:firstLine="420" w:firstLineChars="0"/>
              <w:jc w:val="center"/>
              <w:rPr>
                <w:rFonts w:ascii="Times New Roman" w:cs="Times New Roman"/>
                <w:b/>
                <w:kern w:val="2"/>
                <w:sz w:val="21"/>
              </w:rPr>
            </w:pPr>
            <w:r>
              <w:rPr>
                <w:rFonts w:ascii="Times New Roman" w:cs="Times New Roman"/>
                <w:b/>
                <w:kern w:val="2"/>
                <w:sz w:val="21"/>
              </w:rPr>
              <w:t>指标</w:t>
            </w:r>
          </w:p>
        </w:tc>
        <w:tc>
          <w:tcPr>
            <w:tcW w:w="508" w:type="pct"/>
            <w:vAlign w:val="center"/>
          </w:tcPr>
          <w:p>
            <w:pPr>
              <w:topLinePunct w:val="0"/>
              <w:spacing w:line="240" w:lineRule="auto"/>
              <w:ind w:firstLine="0" w:firstLineChars="0"/>
              <w:jc w:val="center"/>
              <w:rPr>
                <w:rFonts w:ascii="Times New Roman" w:cs="Times New Roman"/>
                <w:b/>
                <w:kern w:val="2"/>
                <w:sz w:val="21"/>
              </w:rPr>
            </w:pPr>
            <w:r>
              <w:rPr>
                <w:rFonts w:ascii="Times New Roman" w:cs="Times New Roman"/>
                <w:b/>
                <w:kern w:val="2"/>
                <w:sz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7"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1</w:t>
            </w:r>
          </w:p>
        </w:tc>
        <w:tc>
          <w:tcPr>
            <w:tcW w:w="926"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二级节流系统</w:t>
            </w:r>
          </w:p>
        </w:tc>
        <w:tc>
          <w:tcPr>
            <w:tcW w:w="3149"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工作压力70-35MPa，内径76mm</w:t>
            </w:r>
          </w:p>
        </w:tc>
        <w:tc>
          <w:tcPr>
            <w:tcW w:w="508"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7"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2</w:t>
            </w:r>
          </w:p>
        </w:tc>
        <w:tc>
          <w:tcPr>
            <w:tcW w:w="926"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分离器</w:t>
            </w:r>
          </w:p>
        </w:tc>
        <w:tc>
          <w:tcPr>
            <w:tcW w:w="3149"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工作压力14.9MPa、温度-10℃-125℃，日处理气100×10</w:t>
            </w:r>
            <w:r>
              <w:rPr>
                <w:rFonts w:ascii="Times New Roman" w:cs="Times New Roman"/>
                <w:kern w:val="2"/>
                <w:sz w:val="21"/>
                <w:vertAlign w:val="superscript"/>
              </w:rPr>
              <w:t>4</w:t>
            </w:r>
            <w:r>
              <w:rPr>
                <w:rFonts w:ascii="Times New Roman" w:cs="Times New Roman"/>
                <w:kern w:val="2"/>
                <w:sz w:val="21"/>
              </w:rPr>
              <w:t>m</w:t>
            </w:r>
            <w:r>
              <w:rPr>
                <w:rFonts w:ascii="Times New Roman" w:cs="Times New Roman"/>
                <w:kern w:val="2"/>
                <w:sz w:val="21"/>
                <w:vertAlign w:val="superscript"/>
              </w:rPr>
              <w:t>3</w:t>
            </w:r>
            <w:r>
              <w:rPr>
                <w:rFonts w:ascii="Times New Roman" w:cs="Times New Roman"/>
                <w:kern w:val="2"/>
                <w:sz w:val="21"/>
              </w:rPr>
              <w:t>、日处理水大于240m</w:t>
            </w:r>
            <w:r>
              <w:rPr>
                <w:rFonts w:ascii="Times New Roman" w:cs="Times New Roman"/>
                <w:kern w:val="2"/>
                <w:sz w:val="21"/>
                <w:vertAlign w:val="superscript"/>
              </w:rPr>
              <w:t>3</w:t>
            </w:r>
          </w:p>
        </w:tc>
        <w:tc>
          <w:tcPr>
            <w:tcW w:w="508"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7"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3</w:t>
            </w:r>
          </w:p>
        </w:tc>
        <w:tc>
          <w:tcPr>
            <w:tcW w:w="926"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热交换器</w:t>
            </w:r>
          </w:p>
        </w:tc>
        <w:tc>
          <w:tcPr>
            <w:tcW w:w="3149"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工作压力35MPa，热交换量2.51×10</w:t>
            </w:r>
            <w:r>
              <w:rPr>
                <w:rFonts w:ascii="Times New Roman" w:cs="Times New Roman"/>
                <w:kern w:val="2"/>
                <w:sz w:val="21"/>
                <w:vertAlign w:val="superscript"/>
              </w:rPr>
              <w:t>6</w:t>
            </w:r>
            <w:r>
              <w:rPr>
                <w:rFonts w:ascii="Times New Roman" w:cs="Times New Roman"/>
                <w:kern w:val="2"/>
                <w:sz w:val="21"/>
              </w:rPr>
              <w:t>kJ</w:t>
            </w:r>
          </w:p>
        </w:tc>
        <w:tc>
          <w:tcPr>
            <w:tcW w:w="508"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7"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4</w:t>
            </w:r>
          </w:p>
        </w:tc>
        <w:tc>
          <w:tcPr>
            <w:tcW w:w="926"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安全控制阀</w:t>
            </w:r>
          </w:p>
        </w:tc>
        <w:tc>
          <w:tcPr>
            <w:tcW w:w="3149"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工作压力：70MPa</w:t>
            </w:r>
          </w:p>
        </w:tc>
        <w:tc>
          <w:tcPr>
            <w:tcW w:w="508"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7"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5</w:t>
            </w:r>
          </w:p>
        </w:tc>
        <w:tc>
          <w:tcPr>
            <w:tcW w:w="926"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数据采集系统</w:t>
            </w:r>
          </w:p>
        </w:tc>
        <w:tc>
          <w:tcPr>
            <w:tcW w:w="3149"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时间/压力/温度/流量数据同步采集，压力级别：70MPa，温度级别：-28.9℃～121℃</w:t>
            </w:r>
          </w:p>
        </w:tc>
        <w:tc>
          <w:tcPr>
            <w:tcW w:w="508"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7"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6</w:t>
            </w:r>
          </w:p>
        </w:tc>
        <w:tc>
          <w:tcPr>
            <w:tcW w:w="926"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化学注入泵</w:t>
            </w:r>
          </w:p>
        </w:tc>
        <w:tc>
          <w:tcPr>
            <w:tcW w:w="3149"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工作温度：-28.9℃～121℃，排量：0.01-0.19m</w:t>
            </w:r>
            <w:r>
              <w:rPr>
                <w:rFonts w:ascii="Times New Roman" w:cs="Times New Roman"/>
                <w:kern w:val="2"/>
                <w:sz w:val="21"/>
                <w:vertAlign w:val="superscript"/>
              </w:rPr>
              <w:t>3</w:t>
            </w:r>
            <w:r>
              <w:rPr>
                <w:rFonts w:ascii="Times New Roman" w:cs="Times New Roman"/>
                <w:kern w:val="2"/>
                <w:sz w:val="21"/>
              </w:rPr>
              <w:t>/h，排放压力：70MPa，化学剂罐容积0.04m</w:t>
            </w:r>
            <w:r>
              <w:rPr>
                <w:rFonts w:ascii="Times New Roman" w:cs="Times New Roman"/>
                <w:kern w:val="2"/>
                <w:sz w:val="21"/>
                <w:vertAlign w:val="superscript"/>
              </w:rPr>
              <w:t>3</w:t>
            </w:r>
          </w:p>
        </w:tc>
        <w:tc>
          <w:tcPr>
            <w:tcW w:w="508"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7"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7</w:t>
            </w:r>
          </w:p>
        </w:tc>
        <w:tc>
          <w:tcPr>
            <w:tcW w:w="926"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环空监测系统</w:t>
            </w:r>
          </w:p>
        </w:tc>
        <w:tc>
          <w:tcPr>
            <w:tcW w:w="3149"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耐压：70MPa</w:t>
            </w:r>
          </w:p>
        </w:tc>
        <w:tc>
          <w:tcPr>
            <w:tcW w:w="508"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7"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8</w:t>
            </w:r>
          </w:p>
        </w:tc>
        <w:tc>
          <w:tcPr>
            <w:tcW w:w="926"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压井系统</w:t>
            </w:r>
          </w:p>
        </w:tc>
        <w:tc>
          <w:tcPr>
            <w:tcW w:w="3149"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耐压：70MPa</w:t>
            </w:r>
          </w:p>
        </w:tc>
        <w:tc>
          <w:tcPr>
            <w:tcW w:w="508"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7"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9</w:t>
            </w:r>
          </w:p>
        </w:tc>
        <w:tc>
          <w:tcPr>
            <w:tcW w:w="926"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点火装置</w:t>
            </w:r>
          </w:p>
        </w:tc>
        <w:tc>
          <w:tcPr>
            <w:tcW w:w="3149"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长明火，自动点火装置</w:t>
            </w:r>
          </w:p>
        </w:tc>
        <w:tc>
          <w:tcPr>
            <w:tcW w:w="508"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若干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7"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10</w:t>
            </w:r>
          </w:p>
        </w:tc>
        <w:tc>
          <w:tcPr>
            <w:tcW w:w="926"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火把</w:t>
            </w:r>
          </w:p>
        </w:tc>
        <w:tc>
          <w:tcPr>
            <w:tcW w:w="3149" w:type="pct"/>
            <w:vAlign w:val="center"/>
          </w:tcPr>
          <w:p>
            <w:pPr>
              <w:topLinePunct w:val="0"/>
              <w:spacing w:line="240" w:lineRule="auto"/>
              <w:ind w:firstLine="0" w:firstLineChars="0"/>
              <w:jc w:val="center"/>
              <w:rPr>
                <w:rFonts w:ascii="Times New Roman" w:cs="Times New Roman"/>
                <w:kern w:val="2"/>
                <w:sz w:val="21"/>
              </w:rPr>
            </w:pPr>
          </w:p>
        </w:tc>
        <w:tc>
          <w:tcPr>
            <w:tcW w:w="508"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12个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7"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11</w:t>
            </w:r>
          </w:p>
        </w:tc>
        <w:tc>
          <w:tcPr>
            <w:tcW w:w="926"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放喷管线及配件</w:t>
            </w:r>
          </w:p>
        </w:tc>
        <w:tc>
          <w:tcPr>
            <w:tcW w:w="3149"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直径3-1/2″</w:t>
            </w:r>
          </w:p>
        </w:tc>
        <w:tc>
          <w:tcPr>
            <w:tcW w:w="508"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1200m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7"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12</w:t>
            </w:r>
          </w:p>
        </w:tc>
        <w:tc>
          <w:tcPr>
            <w:tcW w:w="926"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立式燃烧筒</w:t>
            </w:r>
          </w:p>
        </w:tc>
        <w:tc>
          <w:tcPr>
            <w:tcW w:w="3149" w:type="pct"/>
            <w:vAlign w:val="center"/>
          </w:tcPr>
          <w:p>
            <w:pPr>
              <w:topLinePunct w:val="0"/>
              <w:spacing w:line="240" w:lineRule="auto"/>
              <w:ind w:firstLine="0" w:firstLineChars="0"/>
              <w:jc w:val="center"/>
              <w:rPr>
                <w:rFonts w:ascii="Times New Roman" w:cs="Times New Roman"/>
                <w:kern w:val="2"/>
                <w:sz w:val="21"/>
              </w:rPr>
            </w:pPr>
          </w:p>
        </w:tc>
        <w:tc>
          <w:tcPr>
            <w:tcW w:w="508"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7"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13</w:t>
            </w:r>
          </w:p>
        </w:tc>
        <w:tc>
          <w:tcPr>
            <w:tcW w:w="926"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卧式燃烧筒</w:t>
            </w:r>
          </w:p>
        </w:tc>
        <w:tc>
          <w:tcPr>
            <w:tcW w:w="3149" w:type="pct"/>
            <w:vAlign w:val="center"/>
          </w:tcPr>
          <w:p>
            <w:pPr>
              <w:topLinePunct w:val="0"/>
              <w:spacing w:line="240" w:lineRule="auto"/>
              <w:ind w:firstLine="0" w:firstLineChars="0"/>
              <w:jc w:val="center"/>
              <w:rPr>
                <w:rFonts w:ascii="Times New Roman" w:cs="Times New Roman"/>
                <w:kern w:val="2"/>
                <w:sz w:val="21"/>
              </w:rPr>
            </w:pPr>
          </w:p>
        </w:tc>
        <w:tc>
          <w:tcPr>
            <w:tcW w:w="508"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7"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14</w:t>
            </w:r>
          </w:p>
        </w:tc>
        <w:tc>
          <w:tcPr>
            <w:tcW w:w="926"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连接管线</w:t>
            </w:r>
          </w:p>
        </w:tc>
        <w:tc>
          <w:tcPr>
            <w:tcW w:w="3149"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70MPa的管线</w:t>
            </w:r>
          </w:p>
        </w:tc>
        <w:tc>
          <w:tcPr>
            <w:tcW w:w="508" w:type="pct"/>
            <w:vAlign w:val="center"/>
          </w:tcPr>
          <w:p>
            <w:pPr>
              <w:topLinePunct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若干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7"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15</w:t>
            </w:r>
          </w:p>
        </w:tc>
        <w:tc>
          <w:tcPr>
            <w:tcW w:w="926"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管线连接件</w:t>
            </w:r>
          </w:p>
        </w:tc>
        <w:tc>
          <w:tcPr>
            <w:tcW w:w="3149" w:type="pct"/>
            <w:vAlign w:val="center"/>
          </w:tcPr>
          <w:p>
            <w:pPr>
              <w:topLinePunct w:val="0"/>
              <w:spacing w:line="240" w:lineRule="auto"/>
              <w:ind w:firstLine="0" w:firstLineChars="0"/>
              <w:jc w:val="center"/>
              <w:rPr>
                <w:rFonts w:ascii="Times New Roman" w:cs="Times New Roman"/>
                <w:kern w:val="2"/>
                <w:sz w:val="21"/>
              </w:rPr>
            </w:pPr>
            <w:r>
              <w:rPr>
                <w:rFonts w:ascii="Times New Roman" w:cs="Times New Roman"/>
                <w:kern w:val="2"/>
                <w:sz w:val="21"/>
              </w:rPr>
              <w:t>包含各个压力级别的弯头、三通、四通、短节等</w:t>
            </w:r>
          </w:p>
        </w:tc>
        <w:tc>
          <w:tcPr>
            <w:tcW w:w="508" w:type="pct"/>
            <w:vAlign w:val="center"/>
          </w:tcPr>
          <w:p>
            <w:pPr>
              <w:topLinePunct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若干</w:t>
            </w:r>
          </w:p>
        </w:tc>
      </w:tr>
    </w:tbl>
    <w:p>
      <w:pPr>
        <w:pStyle w:val="3"/>
        <w:spacing w:before="120"/>
        <w:rPr>
          <w:rFonts w:cs="Times New Roman"/>
        </w:rPr>
      </w:pPr>
      <w:bookmarkStart w:id="185" w:name="_Toc26138"/>
      <w:r>
        <w:rPr>
          <w:rFonts w:cs="Times New Roman"/>
        </w:rPr>
        <w:t>3.5主要原辅材料及能源消耗情况</w:t>
      </w:r>
      <w:bookmarkEnd w:id="185"/>
    </w:p>
    <w:p>
      <w:pPr>
        <w:pStyle w:val="114"/>
        <w:ind w:firstLine="0" w:firstLineChars="0"/>
        <w:outlineLvl w:val="2"/>
        <w:rPr>
          <w:b/>
          <w:bCs/>
        </w:rPr>
      </w:pPr>
      <w:r>
        <w:rPr>
          <w:b/>
          <w:bCs/>
        </w:rPr>
        <w:t>3.5.1钻井工程</w:t>
      </w:r>
    </w:p>
    <w:p>
      <w:pPr>
        <w:pStyle w:val="114"/>
        <w:ind w:firstLine="480"/>
      </w:pPr>
      <w:r>
        <w:t>钻井材料用量详见表</w:t>
      </w:r>
      <w:r>
        <w:rPr>
          <w:rFonts w:hint="eastAsia"/>
        </w:rPr>
        <w:t>3.5-1</w:t>
      </w:r>
      <w:r>
        <w:t>。</w:t>
      </w:r>
    </w:p>
    <w:p>
      <w:pPr>
        <w:pStyle w:val="114"/>
        <w:ind w:firstLine="422"/>
        <w:jc w:val="center"/>
        <w:rPr>
          <w:b/>
          <w:kern w:val="2"/>
          <w:sz w:val="21"/>
          <w:szCs w:val="21"/>
        </w:rPr>
        <w:sectPr>
          <w:pgSz w:w="11910" w:h="16840"/>
          <w:pgMar w:top="1417" w:right="1417" w:bottom="1417" w:left="1701" w:header="885" w:footer="1097" w:gutter="0"/>
          <w:pgBorders>
            <w:top w:val="none" w:sz="0" w:space="0"/>
            <w:left w:val="none" w:sz="0" w:space="0"/>
            <w:bottom w:val="none" w:sz="0" w:space="0"/>
            <w:right w:val="none" w:sz="0" w:space="0"/>
          </w:pgBorders>
          <w:pgNumType w:chapStyle="2"/>
          <w:cols w:space="720" w:num="1"/>
          <w:docGrid w:linePitch="326" w:charSpace="0"/>
        </w:sectPr>
      </w:pPr>
    </w:p>
    <w:p>
      <w:pPr>
        <w:pStyle w:val="114"/>
        <w:ind w:firstLine="422"/>
        <w:jc w:val="center"/>
        <w:rPr>
          <w:b/>
          <w:kern w:val="2"/>
          <w:sz w:val="21"/>
          <w:szCs w:val="21"/>
        </w:rPr>
      </w:pPr>
      <w:r>
        <w:rPr>
          <w:b/>
          <w:kern w:val="2"/>
          <w:sz w:val="21"/>
          <w:szCs w:val="21"/>
        </w:rPr>
        <w:t xml:space="preserve">表 </w:t>
      </w:r>
      <w:r>
        <w:rPr>
          <w:rFonts w:hint="eastAsia"/>
          <w:b/>
          <w:kern w:val="2"/>
          <w:sz w:val="21"/>
          <w:szCs w:val="21"/>
        </w:rPr>
        <w:t>3.5-1</w:t>
      </w:r>
      <w:r>
        <w:rPr>
          <w:b/>
          <w:kern w:val="2"/>
          <w:sz w:val="21"/>
          <w:szCs w:val="21"/>
        </w:rPr>
        <w:t xml:space="preserve"> </w:t>
      </w:r>
      <w:r>
        <w:rPr>
          <w:rFonts w:hint="eastAsia"/>
          <w:b/>
          <w:kern w:val="2"/>
          <w:sz w:val="21"/>
          <w:szCs w:val="21"/>
        </w:rPr>
        <w:t>个井段</w:t>
      </w:r>
      <w:r>
        <w:rPr>
          <w:b/>
          <w:kern w:val="2"/>
          <w:sz w:val="21"/>
          <w:szCs w:val="21"/>
        </w:rPr>
        <w:t>钻井液</w:t>
      </w:r>
      <w:r>
        <w:rPr>
          <w:rFonts w:hint="eastAsia"/>
          <w:b/>
          <w:kern w:val="2"/>
          <w:sz w:val="21"/>
          <w:szCs w:val="21"/>
        </w:rPr>
        <w:t>主要材料用量</w:t>
      </w:r>
      <w:r>
        <w:rPr>
          <w:b/>
          <w:kern w:val="2"/>
          <w:sz w:val="21"/>
          <w:szCs w:val="21"/>
        </w:rPr>
        <w:t>情况一览表（m</w:t>
      </w:r>
      <w:r>
        <w:rPr>
          <w:b/>
          <w:kern w:val="2"/>
          <w:sz w:val="21"/>
          <w:szCs w:val="21"/>
          <w:vertAlign w:val="superscript"/>
        </w:rPr>
        <w:t>3</w:t>
      </w:r>
      <w:r>
        <w:rPr>
          <w:b/>
          <w:kern w:val="2"/>
          <w:sz w:val="21"/>
          <w:szCs w:val="21"/>
        </w:rPr>
        <w:t>）</w:t>
      </w:r>
    </w:p>
    <w:tbl>
      <w:tblPr>
        <w:tblStyle w:val="59"/>
        <w:tblW w:w="5000" w:type="pct"/>
        <w:jc w:val="center"/>
        <w:tblLayout w:type="fixed"/>
        <w:tblCellMar>
          <w:top w:w="0" w:type="dxa"/>
          <w:left w:w="108" w:type="dxa"/>
          <w:bottom w:w="0" w:type="dxa"/>
          <w:right w:w="108" w:type="dxa"/>
        </w:tblCellMar>
      </w:tblPr>
      <w:tblGrid>
        <w:gridCol w:w="808"/>
        <w:gridCol w:w="915"/>
        <w:gridCol w:w="788"/>
        <w:gridCol w:w="750"/>
        <w:gridCol w:w="1175"/>
        <w:gridCol w:w="800"/>
        <w:gridCol w:w="837"/>
        <w:gridCol w:w="1275"/>
        <w:gridCol w:w="808"/>
        <w:gridCol w:w="667"/>
        <w:gridCol w:w="1156"/>
        <w:gridCol w:w="808"/>
        <w:gridCol w:w="809"/>
        <w:gridCol w:w="1008"/>
        <w:gridCol w:w="809"/>
        <w:gridCol w:w="809"/>
      </w:tblGrid>
      <w:tr>
        <w:tblPrEx>
          <w:tblCellMar>
            <w:top w:w="0" w:type="dxa"/>
            <w:left w:w="108" w:type="dxa"/>
            <w:bottom w:w="0" w:type="dxa"/>
            <w:right w:w="108" w:type="dxa"/>
          </w:tblCellMar>
        </w:tblPrEx>
        <w:trPr>
          <w:trHeight w:val="369" w:hRule="atLeast"/>
          <w:jc w:val="center"/>
        </w:trPr>
        <w:tc>
          <w:tcPr>
            <w:tcW w:w="808" w:type="dxa"/>
            <w:vMerge w:val="restart"/>
            <w:tcBorders>
              <w:top w:val="single" w:color="000000" w:sz="12" w:space="0"/>
              <w:left w:val="nil"/>
              <w:bottom w:val="single" w:color="000000" w:sz="8" w:space="0"/>
              <w:right w:val="single" w:color="000000" w:sz="8" w:space="0"/>
            </w:tcBorders>
            <w:shd w:val="clear" w:color="auto" w:fill="auto"/>
            <w:vAlign w:val="center"/>
          </w:tcPr>
          <w:p>
            <w:pPr>
              <w:pStyle w:val="114"/>
              <w:spacing w:line="240" w:lineRule="auto"/>
              <w:ind w:firstLine="0" w:firstLineChars="0"/>
              <w:jc w:val="center"/>
              <w:rPr>
                <w:b/>
                <w:kern w:val="2"/>
                <w:sz w:val="21"/>
                <w:szCs w:val="21"/>
              </w:rPr>
            </w:pPr>
            <w:r>
              <w:rPr>
                <w:b/>
                <w:kern w:val="2"/>
                <w:sz w:val="21"/>
                <w:szCs w:val="21"/>
              </w:rPr>
              <w:t>序号</w:t>
            </w:r>
          </w:p>
        </w:tc>
        <w:tc>
          <w:tcPr>
            <w:tcW w:w="2453" w:type="dxa"/>
            <w:gridSpan w:val="3"/>
            <w:tcBorders>
              <w:top w:val="single" w:color="000000" w:sz="12"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
                <w:kern w:val="2"/>
                <w:sz w:val="21"/>
                <w:szCs w:val="21"/>
              </w:rPr>
            </w:pPr>
            <w:r>
              <w:rPr>
                <w:b/>
                <w:kern w:val="2"/>
                <w:sz w:val="21"/>
                <w:szCs w:val="21"/>
              </w:rPr>
              <w:t>导管段</w:t>
            </w:r>
          </w:p>
        </w:tc>
        <w:tc>
          <w:tcPr>
            <w:tcW w:w="2812" w:type="dxa"/>
            <w:gridSpan w:val="3"/>
            <w:tcBorders>
              <w:top w:val="single" w:color="000000" w:sz="12"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
                <w:kern w:val="2"/>
                <w:sz w:val="21"/>
                <w:szCs w:val="21"/>
              </w:rPr>
            </w:pPr>
            <w:r>
              <w:rPr>
                <w:b/>
                <w:kern w:val="2"/>
                <w:sz w:val="21"/>
                <w:szCs w:val="21"/>
              </w:rPr>
              <w:t>一开段</w:t>
            </w:r>
          </w:p>
        </w:tc>
        <w:tc>
          <w:tcPr>
            <w:tcW w:w="2750" w:type="dxa"/>
            <w:gridSpan w:val="3"/>
            <w:tcBorders>
              <w:top w:val="single" w:color="000000" w:sz="12"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
                <w:kern w:val="2"/>
                <w:sz w:val="21"/>
                <w:szCs w:val="21"/>
              </w:rPr>
            </w:pPr>
            <w:r>
              <w:rPr>
                <w:b/>
                <w:kern w:val="2"/>
                <w:sz w:val="21"/>
                <w:szCs w:val="21"/>
              </w:rPr>
              <w:t>二开段</w:t>
            </w:r>
          </w:p>
        </w:tc>
        <w:tc>
          <w:tcPr>
            <w:tcW w:w="2773" w:type="dxa"/>
            <w:gridSpan w:val="3"/>
            <w:tcBorders>
              <w:top w:val="single" w:color="000000" w:sz="12"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
                <w:kern w:val="2"/>
                <w:sz w:val="21"/>
                <w:szCs w:val="21"/>
              </w:rPr>
            </w:pPr>
            <w:r>
              <w:rPr>
                <w:b/>
                <w:kern w:val="2"/>
                <w:sz w:val="21"/>
                <w:szCs w:val="21"/>
              </w:rPr>
              <w:t>三开段（水基钻井液）</w:t>
            </w:r>
          </w:p>
        </w:tc>
        <w:tc>
          <w:tcPr>
            <w:tcW w:w="2626" w:type="dxa"/>
            <w:gridSpan w:val="3"/>
            <w:tcBorders>
              <w:top w:val="single" w:color="000000" w:sz="12" w:space="0"/>
              <w:left w:val="single" w:color="000000" w:sz="8" w:space="0"/>
              <w:bottom w:val="single" w:color="000000" w:sz="8" w:space="0"/>
              <w:right w:val="nil"/>
            </w:tcBorders>
            <w:shd w:val="clear" w:color="auto" w:fill="auto"/>
            <w:vAlign w:val="center"/>
          </w:tcPr>
          <w:p>
            <w:pPr>
              <w:pStyle w:val="114"/>
              <w:spacing w:line="240" w:lineRule="auto"/>
              <w:ind w:firstLine="0" w:firstLineChars="0"/>
              <w:jc w:val="center"/>
              <w:rPr>
                <w:b/>
                <w:kern w:val="2"/>
                <w:sz w:val="21"/>
                <w:szCs w:val="21"/>
              </w:rPr>
            </w:pPr>
            <w:r>
              <w:rPr>
                <w:b/>
                <w:kern w:val="2"/>
                <w:sz w:val="21"/>
                <w:szCs w:val="21"/>
              </w:rPr>
              <w:t>三开段（油基钻井液）</w:t>
            </w:r>
          </w:p>
        </w:tc>
      </w:tr>
      <w:tr>
        <w:tblPrEx>
          <w:tblCellMar>
            <w:top w:w="0" w:type="dxa"/>
            <w:left w:w="108" w:type="dxa"/>
            <w:bottom w:w="0" w:type="dxa"/>
            <w:right w:w="108" w:type="dxa"/>
          </w:tblCellMar>
        </w:tblPrEx>
        <w:trPr>
          <w:trHeight w:val="369" w:hRule="atLeast"/>
          <w:jc w:val="center"/>
        </w:trPr>
        <w:tc>
          <w:tcPr>
            <w:tcW w:w="808" w:type="dxa"/>
            <w:vMerge w:val="continue"/>
            <w:tcBorders>
              <w:top w:val="single" w:color="000000" w:sz="12" w:space="0"/>
              <w:left w:val="nil"/>
              <w:bottom w:val="single" w:color="000000" w:sz="8" w:space="0"/>
              <w:right w:val="single" w:color="000000" w:sz="8" w:space="0"/>
            </w:tcBorders>
            <w:shd w:val="clear" w:color="auto" w:fill="auto"/>
            <w:vAlign w:val="center"/>
          </w:tcPr>
          <w:p>
            <w:pPr>
              <w:pStyle w:val="114"/>
              <w:spacing w:line="240" w:lineRule="auto"/>
              <w:ind w:firstLine="0" w:firstLineChars="0"/>
              <w:jc w:val="center"/>
              <w:rPr>
                <w:b/>
                <w:kern w:val="2"/>
                <w:sz w:val="21"/>
                <w:szCs w:val="21"/>
              </w:rPr>
            </w:pPr>
          </w:p>
        </w:tc>
        <w:tc>
          <w:tcPr>
            <w:tcW w:w="91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
                <w:kern w:val="2"/>
                <w:sz w:val="21"/>
                <w:szCs w:val="21"/>
              </w:rPr>
            </w:pPr>
            <w:r>
              <w:rPr>
                <w:b/>
                <w:kern w:val="2"/>
                <w:sz w:val="21"/>
                <w:szCs w:val="21"/>
              </w:rPr>
              <w:t>材料名称</w:t>
            </w:r>
          </w:p>
        </w:tc>
        <w:tc>
          <w:tcPr>
            <w:tcW w:w="78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
                <w:kern w:val="2"/>
                <w:sz w:val="21"/>
                <w:szCs w:val="21"/>
              </w:rPr>
            </w:pPr>
            <w:r>
              <w:rPr>
                <w:b/>
                <w:kern w:val="2"/>
                <w:sz w:val="21"/>
                <w:szCs w:val="21"/>
              </w:rPr>
              <w:t>用量</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
                <w:kern w:val="2"/>
                <w:sz w:val="21"/>
                <w:szCs w:val="21"/>
              </w:rPr>
            </w:pPr>
            <w:r>
              <w:rPr>
                <w:b/>
                <w:kern w:val="2"/>
                <w:sz w:val="21"/>
                <w:szCs w:val="21"/>
              </w:rPr>
              <w:t>储存量</w:t>
            </w:r>
          </w:p>
        </w:tc>
        <w:tc>
          <w:tcPr>
            <w:tcW w:w="117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
                <w:kern w:val="2"/>
                <w:sz w:val="21"/>
                <w:szCs w:val="21"/>
              </w:rPr>
            </w:pPr>
            <w:r>
              <w:rPr>
                <w:b/>
                <w:kern w:val="2"/>
                <w:sz w:val="21"/>
                <w:szCs w:val="21"/>
              </w:rPr>
              <w:t>材料名称</w:t>
            </w:r>
          </w:p>
        </w:tc>
        <w:tc>
          <w:tcPr>
            <w:tcW w:w="800"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
                <w:kern w:val="2"/>
                <w:sz w:val="21"/>
                <w:szCs w:val="21"/>
              </w:rPr>
            </w:pPr>
            <w:r>
              <w:rPr>
                <w:b/>
                <w:kern w:val="2"/>
                <w:sz w:val="21"/>
                <w:szCs w:val="21"/>
              </w:rPr>
              <w:t>用量</w:t>
            </w:r>
          </w:p>
        </w:tc>
        <w:tc>
          <w:tcPr>
            <w:tcW w:w="83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
                <w:kern w:val="2"/>
                <w:sz w:val="21"/>
                <w:szCs w:val="21"/>
              </w:rPr>
            </w:pPr>
            <w:r>
              <w:rPr>
                <w:b/>
                <w:kern w:val="2"/>
                <w:sz w:val="21"/>
                <w:szCs w:val="21"/>
              </w:rPr>
              <w:t>储存量</w:t>
            </w:r>
          </w:p>
        </w:tc>
        <w:tc>
          <w:tcPr>
            <w:tcW w:w="127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
                <w:kern w:val="2"/>
                <w:sz w:val="21"/>
                <w:szCs w:val="21"/>
              </w:rPr>
            </w:pPr>
            <w:r>
              <w:rPr>
                <w:b/>
                <w:kern w:val="2"/>
                <w:sz w:val="21"/>
                <w:szCs w:val="21"/>
              </w:rPr>
              <w:t>材料名称</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
                <w:kern w:val="2"/>
                <w:sz w:val="21"/>
                <w:szCs w:val="21"/>
              </w:rPr>
            </w:pPr>
            <w:r>
              <w:rPr>
                <w:b/>
                <w:kern w:val="2"/>
                <w:sz w:val="21"/>
                <w:szCs w:val="21"/>
              </w:rPr>
              <w:t>用量</w:t>
            </w:r>
          </w:p>
        </w:tc>
        <w:tc>
          <w:tcPr>
            <w:tcW w:w="66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
                <w:kern w:val="2"/>
                <w:sz w:val="21"/>
                <w:szCs w:val="21"/>
              </w:rPr>
            </w:pPr>
            <w:r>
              <w:rPr>
                <w:b/>
                <w:kern w:val="2"/>
                <w:sz w:val="21"/>
                <w:szCs w:val="21"/>
              </w:rPr>
              <w:t>储存量</w:t>
            </w:r>
          </w:p>
        </w:tc>
        <w:tc>
          <w:tcPr>
            <w:tcW w:w="1156"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
                <w:kern w:val="2"/>
                <w:sz w:val="21"/>
                <w:szCs w:val="21"/>
              </w:rPr>
            </w:pPr>
            <w:r>
              <w:rPr>
                <w:b/>
                <w:kern w:val="2"/>
                <w:sz w:val="21"/>
                <w:szCs w:val="21"/>
              </w:rPr>
              <w:t>材料名称</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
                <w:kern w:val="2"/>
                <w:sz w:val="21"/>
                <w:szCs w:val="21"/>
              </w:rPr>
            </w:pPr>
            <w:r>
              <w:rPr>
                <w:b/>
                <w:kern w:val="2"/>
                <w:sz w:val="21"/>
                <w:szCs w:val="21"/>
              </w:rPr>
              <w:t>用量</w:t>
            </w: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
                <w:kern w:val="2"/>
                <w:sz w:val="21"/>
                <w:szCs w:val="21"/>
              </w:rPr>
            </w:pPr>
            <w:r>
              <w:rPr>
                <w:b/>
                <w:kern w:val="2"/>
                <w:sz w:val="21"/>
                <w:szCs w:val="21"/>
              </w:rPr>
              <w:t>储存量</w:t>
            </w:r>
          </w:p>
        </w:tc>
        <w:tc>
          <w:tcPr>
            <w:tcW w:w="10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
                <w:kern w:val="2"/>
                <w:sz w:val="21"/>
                <w:szCs w:val="21"/>
              </w:rPr>
            </w:pPr>
            <w:r>
              <w:rPr>
                <w:b/>
                <w:kern w:val="2"/>
                <w:sz w:val="21"/>
                <w:szCs w:val="21"/>
              </w:rPr>
              <w:t>材料名称</w:t>
            </w: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
                <w:kern w:val="2"/>
                <w:sz w:val="21"/>
                <w:szCs w:val="21"/>
              </w:rPr>
            </w:pPr>
            <w:r>
              <w:rPr>
                <w:b/>
                <w:kern w:val="2"/>
                <w:sz w:val="21"/>
                <w:szCs w:val="21"/>
              </w:rPr>
              <w:t>用量</w:t>
            </w:r>
          </w:p>
        </w:tc>
        <w:tc>
          <w:tcPr>
            <w:tcW w:w="809" w:type="dxa"/>
            <w:tcBorders>
              <w:top w:val="single" w:color="000000" w:sz="8" w:space="0"/>
              <w:left w:val="single" w:color="000000" w:sz="8" w:space="0"/>
              <w:bottom w:val="single" w:color="000000" w:sz="8" w:space="0"/>
              <w:right w:val="nil"/>
            </w:tcBorders>
            <w:shd w:val="clear" w:color="auto" w:fill="auto"/>
            <w:vAlign w:val="center"/>
          </w:tcPr>
          <w:p>
            <w:pPr>
              <w:pStyle w:val="114"/>
              <w:spacing w:line="240" w:lineRule="auto"/>
              <w:ind w:firstLine="0" w:firstLineChars="0"/>
              <w:jc w:val="center"/>
              <w:rPr>
                <w:b/>
                <w:kern w:val="2"/>
                <w:sz w:val="21"/>
                <w:szCs w:val="21"/>
              </w:rPr>
            </w:pPr>
            <w:r>
              <w:rPr>
                <w:b/>
                <w:kern w:val="2"/>
                <w:sz w:val="21"/>
                <w:szCs w:val="21"/>
              </w:rPr>
              <w:t>储存量</w:t>
            </w:r>
          </w:p>
        </w:tc>
      </w:tr>
      <w:tr>
        <w:tblPrEx>
          <w:tblCellMar>
            <w:top w:w="0" w:type="dxa"/>
            <w:left w:w="108" w:type="dxa"/>
            <w:bottom w:w="0" w:type="dxa"/>
            <w:right w:w="108" w:type="dxa"/>
          </w:tblCellMar>
        </w:tblPrEx>
        <w:trPr>
          <w:trHeight w:val="369" w:hRule="atLeast"/>
          <w:jc w:val="center"/>
        </w:trPr>
        <w:tc>
          <w:tcPr>
            <w:tcW w:w="808" w:type="dxa"/>
            <w:tcBorders>
              <w:top w:val="single" w:color="000000" w:sz="8" w:space="0"/>
              <w:left w:val="nil"/>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1</w:t>
            </w:r>
          </w:p>
        </w:tc>
        <w:tc>
          <w:tcPr>
            <w:tcW w:w="91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膨润土</w:t>
            </w:r>
          </w:p>
        </w:tc>
        <w:tc>
          <w:tcPr>
            <w:tcW w:w="78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17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膨润土</w:t>
            </w:r>
          </w:p>
        </w:tc>
        <w:tc>
          <w:tcPr>
            <w:tcW w:w="800"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3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27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膨润土</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66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156"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膨润土</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0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白油（油水比 75:25～90:10）</w:t>
            </w: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09" w:type="dxa"/>
            <w:tcBorders>
              <w:top w:val="single" w:color="000000" w:sz="8" w:space="0"/>
              <w:left w:val="single" w:color="000000" w:sz="8" w:space="0"/>
              <w:bottom w:val="single" w:color="000000" w:sz="8" w:space="0"/>
              <w:right w:val="nil"/>
            </w:tcBorders>
            <w:shd w:val="clear" w:color="auto" w:fill="auto"/>
            <w:vAlign w:val="center"/>
          </w:tcPr>
          <w:p>
            <w:pPr>
              <w:pStyle w:val="114"/>
              <w:spacing w:line="240" w:lineRule="auto"/>
              <w:ind w:firstLine="0" w:firstLineChars="0"/>
              <w:jc w:val="center"/>
              <w:rPr>
                <w:bCs/>
                <w:kern w:val="2"/>
                <w:sz w:val="21"/>
                <w:szCs w:val="21"/>
              </w:rPr>
            </w:pPr>
          </w:p>
        </w:tc>
      </w:tr>
      <w:tr>
        <w:tblPrEx>
          <w:tblCellMar>
            <w:top w:w="0" w:type="dxa"/>
            <w:left w:w="108" w:type="dxa"/>
            <w:bottom w:w="0" w:type="dxa"/>
            <w:right w:w="108" w:type="dxa"/>
          </w:tblCellMar>
        </w:tblPrEx>
        <w:trPr>
          <w:trHeight w:val="369" w:hRule="atLeast"/>
          <w:jc w:val="center"/>
        </w:trPr>
        <w:tc>
          <w:tcPr>
            <w:tcW w:w="808" w:type="dxa"/>
            <w:tcBorders>
              <w:top w:val="single" w:color="000000" w:sz="8" w:space="0"/>
              <w:left w:val="nil"/>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2</w:t>
            </w:r>
          </w:p>
        </w:tc>
        <w:tc>
          <w:tcPr>
            <w:tcW w:w="91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Na</w:t>
            </w:r>
            <w:r>
              <w:rPr>
                <w:bCs/>
                <w:kern w:val="2"/>
                <w:sz w:val="21"/>
                <w:szCs w:val="21"/>
                <w:vertAlign w:val="subscript"/>
              </w:rPr>
              <w:t>2</w:t>
            </w:r>
            <w:r>
              <w:rPr>
                <w:bCs/>
                <w:kern w:val="2"/>
                <w:sz w:val="21"/>
                <w:szCs w:val="21"/>
              </w:rPr>
              <w:t>CO</w:t>
            </w:r>
            <w:r>
              <w:rPr>
                <w:bCs/>
                <w:kern w:val="2"/>
                <w:sz w:val="21"/>
                <w:szCs w:val="21"/>
                <w:vertAlign w:val="subscript"/>
              </w:rPr>
              <w:t>3</w:t>
            </w:r>
          </w:p>
        </w:tc>
        <w:tc>
          <w:tcPr>
            <w:tcW w:w="78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17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Na</w:t>
            </w:r>
            <w:r>
              <w:rPr>
                <w:bCs/>
                <w:kern w:val="2"/>
                <w:sz w:val="21"/>
                <w:szCs w:val="21"/>
                <w:vertAlign w:val="subscript"/>
              </w:rPr>
              <w:t>2</w:t>
            </w:r>
            <w:r>
              <w:rPr>
                <w:bCs/>
                <w:kern w:val="2"/>
                <w:sz w:val="21"/>
                <w:szCs w:val="21"/>
              </w:rPr>
              <w:t>CO</w:t>
            </w:r>
            <w:r>
              <w:rPr>
                <w:bCs/>
                <w:kern w:val="2"/>
                <w:sz w:val="21"/>
                <w:szCs w:val="21"/>
                <w:vertAlign w:val="subscript"/>
              </w:rPr>
              <w:t>3</w:t>
            </w:r>
          </w:p>
        </w:tc>
        <w:tc>
          <w:tcPr>
            <w:tcW w:w="800"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3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27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CMP-1</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66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156"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NaOH</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0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主乳化剂</w:t>
            </w: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09" w:type="dxa"/>
            <w:tcBorders>
              <w:top w:val="single" w:color="000000" w:sz="8" w:space="0"/>
              <w:left w:val="single" w:color="000000" w:sz="8" w:space="0"/>
              <w:bottom w:val="single" w:color="000000" w:sz="8" w:space="0"/>
              <w:right w:val="nil"/>
            </w:tcBorders>
            <w:shd w:val="clear" w:color="auto" w:fill="auto"/>
            <w:vAlign w:val="center"/>
          </w:tcPr>
          <w:p>
            <w:pPr>
              <w:pStyle w:val="114"/>
              <w:spacing w:line="240" w:lineRule="auto"/>
              <w:ind w:firstLine="0" w:firstLineChars="0"/>
              <w:jc w:val="center"/>
              <w:rPr>
                <w:bCs/>
                <w:kern w:val="2"/>
                <w:sz w:val="21"/>
                <w:szCs w:val="21"/>
              </w:rPr>
            </w:pPr>
          </w:p>
        </w:tc>
      </w:tr>
      <w:tr>
        <w:tblPrEx>
          <w:tblCellMar>
            <w:top w:w="0" w:type="dxa"/>
            <w:left w:w="108" w:type="dxa"/>
            <w:bottom w:w="0" w:type="dxa"/>
            <w:right w:w="108" w:type="dxa"/>
          </w:tblCellMar>
        </w:tblPrEx>
        <w:trPr>
          <w:trHeight w:val="369" w:hRule="atLeast"/>
          <w:jc w:val="center"/>
        </w:trPr>
        <w:tc>
          <w:tcPr>
            <w:tcW w:w="808" w:type="dxa"/>
            <w:tcBorders>
              <w:top w:val="single" w:color="000000" w:sz="8" w:space="0"/>
              <w:left w:val="nil"/>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3</w:t>
            </w:r>
          </w:p>
        </w:tc>
        <w:tc>
          <w:tcPr>
            <w:tcW w:w="91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HV-CMC</w:t>
            </w:r>
          </w:p>
        </w:tc>
        <w:tc>
          <w:tcPr>
            <w:tcW w:w="78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17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HV-CMC</w:t>
            </w:r>
          </w:p>
        </w:tc>
        <w:tc>
          <w:tcPr>
            <w:tcW w:w="800"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3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27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DR-Ⅱ(或 JMP-1)</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66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156"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CMP-1</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0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辅乳化剂</w:t>
            </w: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09" w:type="dxa"/>
            <w:tcBorders>
              <w:top w:val="single" w:color="000000" w:sz="8" w:space="0"/>
              <w:left w:val="single" w:color="000000" w:sz="8" w:space="0"/>
              <w:bottom w:val="single" w:color="000000" w:sz="8" w:space="0"/>
              <w:right w:val="nil"/>
            </w:tcBorders>
            <w:shd w:val="clear" w:color="auto" w:fill="auto"/>
            <w:vAlign w:val="center"/>
          </w:tcPr>
          <w:p>
            <w:pPr>
              <w:pStyle w:val="114"/>
              <w:spacing w:line="240" w:lineRule="auto"/>
              <w:ind w:firstLine="0" w:firstLineChars="0"/>
              <w:jc w:val="center"/>
              <w:rPr>
                <w:bCs/>
                <w:kern w:val="2"/>
                <w:sz w:val="21"/>
                <w:szCs w:val="21"/>
              </w:rPr>
            </w:pPr>
          </w:p>
        </w:tc>
      </w:tr>
      <w:tr>
        <w:tblPrEx>
          <w:tblCellMar>
            <w:top w:w="0" w:type="dxa"/>
            <w:left w:w="108" w:type="dxa"/>
            <w:bottom w:w="0" w:type="dxa"/>
            <w:right w:w="108" w:type="dxa"/>
          </w:tblCellMar>
        </w:tblPrEx>
        <w:trPr>
          <w:trHeight w:val="369" w:hRule="atLeast"/>
          <w:jc w:val="center"/>
        </w:trPr>
        <w:tc>
          <w:tcPr>
            <w:tcW w:w="808" w:type="dxa"/>
            <w:tcBorders>
              <w:top w:val="single" w:color="000000" w:sz="8" w:space="0"/>
              <w:left w:val="nil"/>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4</w:t>
            </w:r>
          </w:p>
        </w:tc>
        <w:tc>
          <w:tcPr>
            <w:tcW w:w="91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CMP-1(或 LS-AOF)</w:t>
            </w:r>
          </w:p>
        </w:tc>
        <w:tc>
          <w:tcPr>
            <w:tcW w:w="78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17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 xml:space="preserve"> CMP1(或 LS-AOF)</w:t>
            </w:r>
          </w:p>
        </w:tc>
        <w:tc>
          <w:tcPr>
            <w:tcW w:w="800"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3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27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抗盐抗高温降失水剂</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66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156"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DR-Ⅱ (或JMP-1)</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0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润湿剂</w:t>
            </w: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09" w:type="dxa"/>
            <w:tcBorders>
              <w:top w:val="single" w:color="000000" w:sz="8" w:space="0"/>
              <w:left w:val="single" w:color="000000" w:sz="8" w:space="0"/>
              <w:bottom w:val="single" w:color="000000" w:sz="8" w:space="0"/>
              <w:right w:val="nil"/>
            </w:tcBorders>
            <w:shd w:val="clear" w:color="auto" w:fill="auto"/>
            <w:vAlign w:val="center"/>
          </w:tcPr>
          <w:p>
            <w:pPr>
              <w:pStyle w:val="114"/>
              <w:spacing w:line="240" w:lineRule="auto"/>
              <w:ind w:firstLine="0" w:firstLineChars="0"/>
              <w:jc w:val="center"/>
              <w:rPr>
                <w:bCs/>
                <w:kern w:val="2"/>
                <w:sz w:val="21"/>
                <w:szCs w:val="21"/>
              </w:rPr>
            </w:pPr>
          </w:p>
        </w:tc>
      </w:tr>
      <w:tr>
        <w:tblPrEx>
          <w:tblCellMar>
            <w:top w:w="0" w:type="dxa"/>
            <w:left w:w="108" w:type="dxa"/>
            <w:bottom w:w="0" w:type="dxa"/>
            <w:right w:w="108" w:type="dxa"/>
          </w:tblCellMar>
        </w:tblPrEx>
        <w:trPr>
          <w:trHeight w:val="369" w:hRule="atLeast"/>
          <w:jc w:val="center"/>
        </w:trPr>
        <w:tc>
          <w:tcPr>
            <w:tcW w:w="808" w:type="dxa"/>
            <w:tcBorders>
              <w:top w:val="single" w:color="000000" w:sz="8" w:space="0"/>
              <w:left w:val="nil"/>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5</w:t>
            </w:r>
          </w:p>
        </w:tc>
        <w:tc>
          <w:tcPr>
            <w:tcW w:w="915"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788"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117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JMP-1（或 DR-Ⅱ）</w:t>
            </w:r>
          </w:p>
        </w:tc>
        <w:tc>
          <w:tcPr>
            <w:tcW w:w="800"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3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27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SD-202</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66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156"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抗盐抗高温降失水剂</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0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有机土</w:t>
            </w: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09" w:type="dxa"/>
            <w:tcBorders>
              <w:top w:val="single" w:color="000000" w:sz="8" w:space="0"/>
              <w:left w:val="single" w:color="000000" w:sz="8" w:space="0"/>
              <w:bottom w:val="single" w:color="000000" w:sz="8" w:space="0"/>
              <w:right w:val="nil"/>
            </w:tcBorders>
            <w:shd w:val="clear" w:color="auto" w:fill="auto"/>
            <w:vAlign w:val="center"/>
          </w:tcPr>
          <w:p>
            <w:pPr>
              <w:pStyle w:val="114"/>
              <w:spacing w:line="240" w:lineRule="auto"/>
              <w:ind w:firstLine="0" w:firstLineChars="0"/>
              <w:jc w:val="center"/>
              <w:rPr>
                <w:bCs/>
                <w:kern w:val="2"/>
                <w:sz w:val="21"/>
                <w:szCs w:val="21"/>
              </w:rPr>
            </w:pPr>
          </w:p>
        </w:tc>
      </w:tr>
      <w:tr>
        <w:tblPrEx>
          <w:tblCellMar>
            <w:top w:w="0" w:type="dxa"/>
            <w:left w:w="108" w:type="dxa"/>
            <w:bottom w:w="0" w:type="dxa"/>
            <w:right w:w="108" w:type="dxa"/>
          </w:tblCellMar>
        </w:tblPrEx>
        <w:trPr>
          <w:trHeight w:val="369" w:hRule="atLeast"/>
          <w:jc w:val="center"/>
        </w:trPr>
        <w:tc>
          <w:tcPr>
            <w:tcW w:w="808" w:type="dxa"/>
            <w:tcBorders>
              <w:top w:val="single" w:color="000000" w:sz="8" w:space="0"/>
              <w:left w:val="nil"/>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6</w:t>
            </w:r>
          </w:p>
        </w:tc>
        <w:tc>
          <w:tcPr>
            <w:tcW w:w="915"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788"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117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NaOH</w:t>
            </w:r>
          </w:p>
        </w:tc>
        <w:tc>
          <w:tcPr>
            <w:tcW w:w="800"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3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27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无荧光防塌剂</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66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156"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无荧光防塌剂</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0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油基降滤失剂</w:t>
            </w: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09" w:type="dxa"/>
            <w:tcBorders>
              <w:top w:val="single" w:color="000000" w:sz="8" w:space="0"/>
              <w:left w:val="single" w:color="000000" w:sz="8" w:space="0"/>
              <w:bottom w:val="single" w:color="000000" w:sz="8" w:space="0"/>
              <w:right w:val="nil"/>
            </w:tcBorders>
            <w:shd w:val="clear" w:color="auto" w:fill="auto"/>
            <w:vAlign w:val="center"/>
          </w:tcPr>
          <w:p>
            <w:pPr>
              <w:pStyle w:val="114"/>
              <w:spacing w:line="240" w:lineRule="auto"/>
              <w:ind w:firstLine="0" w:firstLineChars="0"/>
              <w:jc w:val="center"/>
              <w:rPr>
                <w:bCs/>
                <w:kern w:val="2"/>
                <w:sz w:val="21"/>
                <w:szCs w:val="21"/>
              </w:rPr>
            </w:pPr>
          </w:p>
        </w:tc>
      </w:tr>
      <w:tr>
        <w:tblPrEx>
          <w:tblCellMar>
            <w:top w:w="0" w:type="dxa"/>
            <w:left w:w="108" w:type="dxa"/>
            <w:bottom w:w="0" w:type="dxa"/>
            <w:right w:w="108" w:type="dxa"/>
          </w:tblCellMar>
        </w:tblPrEx>
        <w:trPr>
          <w:trHeight w:val="369" w:hRule="atLeast"/>
          <w:jc w:val="center"/>
        </w:trPr>
        <w:tc>
          <w:tcPr>
            <w:tcW w:w="808" w:type="dxa"/>
            <w:tcBorders>
              <w:top w:val="single" w:color="000000" w:sz="8" w:space="0"/>
              <w:left w:val="nil"/>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7</w:t>
            </w:r>
          </w:p>
        </w:tc>
        <w:tc>
          <w:tcPr>
            <w:tcW w:w="915"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788"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117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抗高温降粘降滤失剂SD-202</w:t>
            </w:r>
          </w:p>
        </w:tc>
        <w:tc>
          <w:tcPr>
            <w:tcW w:w="800"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3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27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聚合醇防塌剂</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66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156"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SD-202</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0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氧化钙</w:t>
            </w: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09" w:type="dxa"/>
            <w:tcBorders>
              <w:top w:val="single" w:color="000000" w:sz="8" w:space="0"/>
              <w:left w:val="single" w:color="000000" w:sz="8" w:space="0"/>
              <w:bottom w:val="single" w:color="000000" w:sz="8" w:space="0"/>
              <w:right w:val="nil"/>
            </w:tcBorders>
            <w:shd w:val="clear" w:color="auto" w:fill="auto"/>
            <w:vAlign w:val="center"/>
          </w:tcPr>
          <w:p>
            <w:pPr>
              <w:pStyle w:val="114"/>
              <w:spacing w:line="240" w:lineRule="auto"/>
              <w:ind w:firstLine="0" w:firstLineChars="0"/>
              <w:jc w:val="center"/>
              <w:rPr>
                <w:bCs/>
                <w:kern w:val="2"/>
                <w:sz w:val="21"/>
                <w:szCs w:val="21"/>
              </w:rPr>
            </w:pPr>
          </w:p>
        </w:tc>
      </w:tr>
      <w:tr>
        <w:tblPrEx>
          <w:tblCellMar>
            <w:top w:w="0" w:type="dxa"/>
            <w:left w:w="108" w:type="dxa"/>
            <w:bottom w:w="0" w:type="dxa"/>
            <w:right w:w="108" w:type="dxa"/>
          </w:tblCellMar>
        </w:tblPrEx>
        <w:trPr>
          <w:trHeight w:val="369" w:hRule="atLeast"/>
          <w:jc w:val="center"/>
        </w:trPr>
        <w:tc>
          <w:tcPr>
            <w:tcW w:w="808" w:type="dxa"/>
            <w:tcBorders>
              <w:top w:val="single" w:color="000000" w:sz="8" w:space="0"/>
              <w:left w:val="nil"/>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8</w:t>
            </w:r>
          </w:p>
        </w:tc>
        <w:tc>
          <w:tcPr>
            <w:tcW w:w="915"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788"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117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堵漏剂按需</w:t>
            </w:r>
          </w:p>
        </w:tc>
        <w:tc>
          <w:tcPr>
            <w:tcW w:w="800"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3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27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非渗透抗压处理剂</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66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156"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聚合醇防塌剂 PEG</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0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油基封堵</w:t>
            </w: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09" w:type="dxa"/>
            <w:tcBorders>
              <w:top w:val="single" w:color="000000" w:sz="8" w:space="0"/>
              <w:left w:val="single" w:color="000000" w:sz="8" w:space="0"/>
              <w:bottom w:val="single" w:color="000000" w:sz="8" w:space="0"/>
              <w:right w:val="nil"/>
            </w:tcBorders>
            <w:shd w:val="clear" w:color="auto" w:fill="auto"/>
            <w:vAlign w:val="center"/>
          </w:tcPr>
          <w:p>
            <w:pPr>
              <w:pStyle w:val="114"/>
              <w:spacing w:line="240" w:lineRule="auto"/>
              <w:ind w:firstLine="0" w:firstLineChars="0"/>
              <w:jc w:val="center"/>
              <w:rPr>
                <w:bCs/>
                <w:kern w:val="2"/>
                <w:sz w:val="21"/>
                <w:szCs w:val="21"/>
              </w:rPr>
            </w:pPr>
          </w:p>
        </w:tc>
      </w:tr>
      <w:tr>
        <w:tblPrEx>
          <w:tblCellMar>
            <w:top w:w="0" w:type="dxa"/>
            <w:left w:w="108" w:type="dxa"/>
            <w:bottom w:w="0" w:type="dxa"/>
            <w:right w:w="108" w:type="dxa"/>
          </w:tblCellMar>
        </w:tblPrEx>
        <w:trPr>
          <w:trHeight w:val="369" w:hRule="atLeast"/>
          <w:jc w:val="center"/>
        </w:trPr>
        <w:tc>
          <w:tcPr>
            <w:tcW w:w="808" w:type="dxa"/>
            <w:tcBorders>
              <w:top w:val="single" w:color="000000" w:sz="8" w:space="0"/>
              <w:left w:val="nil"/>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9</w:t>
            </w:r>
          </w:p>
        </w:tc>
        <w:tc>
          <w:tcPr>
            <w:tcW w:w="915"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788"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117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rFonts w:hint="eastAsia"/>
                <w:bCs/>
                <w:kern w:val="2"/>
                <w:sz w:val="21"/>
                <w:szCs w:val="21"/>
              </w:rPr>
              <w:t>重晶石</w:t>
            </w:r>
          </w:p>
        </w:tc>
        <w:tc>
          <w:tcPr>
            <w:tcW w:w="800"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3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27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抗盐抗高温降失水剂</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66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156"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无荧光防塌剂</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0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超细碳酸钙</w:t>
            </w: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09" w:type="dxa"/>
            <w:tcBorders>
              <w:top w:val="single" w:color="000000" w:sz="8" w:space="0"/>
              <w:left w:val="single" w:color="000000" w:sz="8" w:space="0"/>
              <w:bottom w:val="single" w:color="000000" w:sz="8" w:space="0"/>
              <w:right w:val="nil"/>
            </w:tcBorders>
            <w:shd w:val="clear" w:color="auto" w:fill="auto"/>
            <w:vAlign w:val="center"/>
          </w:tcPr>
          <w:p>
            <w:pPr>
              <w:pStyle w:val="114"/>
              <w:spacing w:line="240" w:lineRule="auto"/>
              <w:ind w:firstLine="0" w:firstLineChars="0"/>
              <w:jc w:val="center"/>
              <w:rPr>
                <w:bCs/>
                <w:kern w:val="2"/>
                <w:sz w:val="21"/>
                <w:szCs w:val="21"/>
              </w:rPr>
            </w:pPr>
          </w:p>
        </w:tc>
      </w:tr>
      <w:tr>
        <w:tblPrEx>
          <w:tblCellMar>
            <w:top w:w="0" w:type="dxa"/>
            <w:left w:w="108" w:type="dxa"/>
            <w:bottom w:w="0" w:type="dxa"/>
            <w:right w:w="108" w:type="dxa"/>
          </w:tblCellMar>
        </w:tblPrEx>
        <w:trPr>
          <w:trHeight w:val="369" w:hRule="atLeast"/>
          <w:jc w:val="center"/>
        </w:trPr>
        <w:tc>
          <w:tcPr>
            <w:tcW w:w="808" w:type="dxa"/>
            <w:tcBorders>
              <w:top w:val="single" w:color="000000" w:sz="8" w:space="0"/>
              <w:left w:val="nil"/>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10</w:t>
            </w:r>
          </w:p>
        </w:tc>
        <w:tc>
          <w:tcPr>
            <w:tcW w:w="915"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788"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117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氯化钾</w:t>
            </w:r>
          </w:p>
        </w:tc>
        <w:tc>
          <w:tcPr>
            <w:tcW w:w="800"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3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27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乳化石蜡基润滑剂（斜井段）</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66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156"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KSY</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0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球状凝胶</w:t>
            </w: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09" w:type="dxa"/>
            <w:tcBorders>
              <w:top w:val="single" w:color="000000" w:sz="8" w:space="0"/>
              <w:left w:val="single" w:color="000000" w:sz="8" w:space="0"/>
              <w:bottom w:val="single" w:color="000000" w:sz="8" w:space="0"/>
              <w:right w:val="nil"/>
            </w:tcBorders>
            <w:shd w:val="clear" w:color="auto" w:fill="auto"/>
            <w:vAlign w:val="center"/>
          </w:tcPr>
          <w:p>
            <w:pPr>
              <w:pStyle w:val="114"/>
              <w:spacing w:line="240" w:lineRule="auto"/>
              <w:ind w:firstLine="0" w:firstLineChars="0"/>
              <w:jc w:val="center"/>
              <w:rPr>
                <w:bCs/>
                <w:kern w:val="2"/>
                <w:sz w:val="21"/>
                <w:szCs w:val="21"/>
              </w:rPr>
            </w:pPr>
          </w:p>
        </w:tc>
      </w:tr>
      <w:tr>
        <w:tblPrEx>
          <w:tblCellMar>
            <w:top w:w="0" w:type="dxa"/>
            <w:left w:w="108" w:type="dxa"/>
            <w:bottom w:w="0" w:type="dxa"/>
            <w:right w:w="108" w:type="dxa"/>
          </w:tblCellMar>
        </w:tblPrEx>
        <w:trPr>
          <w:trHeight w:val="369" w:hRule="atLeast"/>
          <w:jc w:val="center"/>
        </w:trPr>
        <w:tc>
          <w:tcPr>
            <w:tcW w:w="808" w:type="dxa"/>
            <w:tcBorders>
              <w:top w:val="single" w:color="000000" w:sz="8" w:space="0"/>
              <w:left w:val="nil"/>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11</w:t>
            </w:r>
          </w:p>
        </w:tc>
        <w:tc>
          <w:tcPr>
            <w:tcW w:w="915"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788"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1175"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800"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837"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127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NaOH</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66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156"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乳化石蜡基润滑剂</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0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加重剂</w:t>
            </w: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09" w:type="dxa"/>
            <w:tcBorders>
              <w:top w:val="single" w:color="000000" w:sz="8" w:space="0"/>
              <w:left w:val="single" w:color="000000" w:sz="8" w:space="0"/>
              <w:bottom w:val="single" w:color="000000" w:sz="8" w:space="0"/>
              <w:right w:val="nil"/>
            </w:tcBorders>
            <w:shd w:val="clear" w:color="auto" w:fill="auto"/>
            <w:vAlign w:val="center"/>
          </w:tcPr>
          <w:p>
            <w:pPr>
              <w:pStyle w:val="114"/>
              <w:spacing w:line="240" w:lineRule="auto"/>
              <w:ind w:firstLine="0" w:firstLineChars="0"/>
              <w:jc w:val="center"/>
              <w:rPr>
                <w:bCs/>
                <w:kern w:val="2"/>
                <w:sz w:val="21"/>
                <w:szCs w:val="21"/>
              </w:rPr>
            </w:pPr>
          </w:p>
        </w:tc>
      </w:tr>
      <w:tr>
        <w:tblPrEx>
          <w:tblCellMar>
            <w:top w:w="0" w:type="dxa"/>
            <w:left w:w="108" w:type="dxa"/>
            <w:bottom w:w="0" w:type="dxa"/>
            <w:right w:w="108" w:type="dxa"/>
          </w:tblCellMar>
        </w:tblPrEx>
        <w:trPr>
          <w:trHeight w:val="369" w:hRule="atLeast"/>
          <w:jc w:val="center"/>
        </w:trPr>
        <w:tc>
          <w:tcPr>
            <w:tcW w:w="808" w:type="dxa"/>
            <w:tcBorders>
              <w:top w:val="single" w:color="000000" w:sz="8" w:space="0"/>
              <w:left w:val="nil"/>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12</w:t>
            </w:r>
          </w:p>
        </w:tc>
        <w:tc>
          <w:tcPr>
            <w:tcW w:w="915"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788"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1175"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800"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837"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127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JN-1</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66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156"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硅氟稀释剂SF-1</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0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堵漏剂按需</w:t>
            </w: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09" w:type="dxa"/>
            <w:tcBorders>
              <w:top w:val="single" w:color="000000" w:sz="8" w:space="0"/>
              <w:left w:val="single" w:color="000000" w:sz="8" w:space="0"/>
              <w:bottom w:val="single" w:color="000000" w:sz="8" w:space="0"/>
              <w:right w:val="nil"/>
            </w:tcBorders>
            <w:shd w:val="clear" w:color="auto" w:fill="auto"/>
            <w:vAlign w:val="center"/>
          </w:tcPr>
          <w:p>
            <w:pPr>
              <w:pStyle w:val="114"/>
              <w:spacing w:line="240" w:lineRule="auto"/>
              <w:ind w:firstLine="0" w:firstLineChars="0"/>
              <w:jc w:val="center"/>
              <w:rPr>
                <w:bCs/>
                <w:kern w:val="2"/>
                <w:sz w:val="21"/>
                <w:szCs w:val="21"/>
              </w:rPr>
            </w:pPr>
          </w:p>
        </w:tc>
      </w:tr>
      <w:tr>
        <w:tblPrEx>
          <w:tblCellMar>
            <w:top w:w="0" w:type="dxa"/>
            <w:left w:w="108" w:type="dxa"/>
            <w:bottom w:w="0" w:type="dxa"/>
            <w:right w:w="108" w:type="dxa"/>
          </w:tblCellMar>
        </w:tblPrEx>
        <w:trPr>
          <w:trHeight w:val="369" w:hRule="atLeast"/>
          <w:jc w:val="center"/>
        </w:trPr>
        <w:tc>
          <w:tcPr>
            <w:tcW w:w="808" w:type="dxa"/>
            <w:tcBorders>
              <w:top w:val="single" w:color="000000" w:sz="8" w:space="0"/>
              <w:left w:val="nil"/>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13</w:t>
            </w:r>
          </w:p>
        </w:tc>
        <w:tc>
          <w:tcPr>
            <w:tcW w:w="915"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788"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1175"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800"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837"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127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SF-1</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66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156"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硅氟稳定剂SF-4</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008"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809" w:type="dxa"/>
            <w:tcBorders>
              <w:top w:val="single" w:color="000000" w:sz="8" w:space="0"/>
              <w:left w:val="single" w:color="000000" w:sz="8" w:space="0"/>
              <w:bottom w:val="single" w:color="000000" w:sz="8" w:space="0"/>
              <w:right w:val="nil"/>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CellMar>
            <w:top w:w="0" w:type="dxa"/>
            <w:left w:w="108" w:type="dxa"/>
            <w:bottom w:w="0" w:type="dxa"/>
            <w:right w:w="108" w:type="dxa"/>
          </w:tblCellMar>
        </w:tblPrEx>
        <w:trPr>
          <w:trHeight w:val="369" w:hRule="atLeast"/>
          <w:jc w:val="center"/>
        </w:trPr>
        <w:tc>
          <w:tcPr>
            <w:tcW w:w="808" w:type="dxa"/>
            <w:tcBorders>
              <w:top w:val="single" w:color="000000" w:sz="8" w:space="0"/>
              <w:left w:val="nil"/>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14</w:t>
            </w:r>
          </w:p>
        </w:tc>
        <w:tc>
          <w:tcPr>
            <w:tcW w:w="915"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788"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1175"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800"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837"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127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SF-4</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66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156"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丙烯酸盐多元共聚物SK-Ⅱ</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008"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809" w:type="dxa"/>
            <w:tcBorders>
              <w:top w:val="single" w:color="000000" w:sz="8" w:space="0"/>
              <w:left w:val="single" w:color="000000" w:sz="8" w:space="0"/>
              <w:bottom w:val="single" w:color="000000" w:sz="8" w:space="0"/>
              <w:right w:val="nil"/>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CellMar>
            <w:top w:w="0" w:type="dxa"/>
            <w:left w:w="108" w:type="dxa"/>
            <w:bottom w:w="0" w:type="dxa"/>
            <w:right w:w="108" w:type="dxa"/>
          </w:tblCellMar>
        </w:tblPrEx>
        <w:trPr>
          <w:trHeight w:val="369" w:hRule="atLeast"/>
          <w:jc w:val="center"/>
        </w:trPr>
        <w:tc>
          <w:tcPr>
            <w:tcW w:w="808" w:type="dxa"/>
            <w:tcBorders>
              <w:top w:val="single" w:color="000000" w:sz="8" w:space="0"/>
              <w:left w:val="nil"/>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15</w:t>
            </w:r>
          </w:p>
        </w:tc>
        <w:tc>
          <w:tcPr>
            <w:tcW w:w="915"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788"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1175"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800"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837"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127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HV-CMC</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66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156"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超细活化石墨粉固体润滑剂LSW</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008"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809" w:type="dxa"/>
            <w:tcBorders>
              <w:top w:val="single" w:color="000000" w:sz="8" w:space="0"/>
              <w:left w:val="single" w:color="000000" w:sz="8" w:space="0"/>
              <w:bottom w:val="single" w:color="000000" w:sz="8" w:space="0"/>
              <w:right w:val="nil"/>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CellMar>
            <w:top w:w="0" w:type="dxa"/>
            <w:left w:w="108" w:type="dxa"/>
            <w:bottom w:w="0" w:type="dxa"/>
            <w:right w:w="108" w:type="dxa"/>
          </w:tblCellMar>
        </w:tblPrEx>
        <w:trPr>
          <w:trHeight w:val="369" w:hRule="atLeast"/>
          <w:jc w:val="center"/>
        </w:trPr>
        <w:tc>
          <w:tcPr>
            <w:tcW w:w="808" w:type="dxa"/>
            <w:tcBorders>
              <w:top w:val="single" w:color="000000" w:sz="8" w:space="0"/>
              <w:left w:val="nil"/>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16</w:t>
            </w:r>
          </w:p>
        </w:tc>
        <w:tc>
          <w:tcPr>
            <w:tcW w:w="915"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788"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1175"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800"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837"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127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加重剂</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66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156"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石灰CaO</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008"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809" w:type="dxa"/>
            <w:tcBorders>
              <w:top w:val="single" w:color="000000" w:sz="8" w:space="0"/>
              <w:left w:val="single" w:color="000000" w:sz="8" w:space="0"/>
              <w:bottom w:val="single" w:color="000000" w:sz="8" w:space="0"/>
              <w:right w:val="nil"/>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CellMar>
            <w:top w:w="0" w:type="dxa"/>
            <w:left w:w="108" w:type="dxa"/>
            <w:bottom w:w="0" w:type="dxa"/>
            <w:right w:w="108" w:type="dxa"/>
          </w:tblCellMar>
        </w:tblPrEx>
        <w:trPr>
          <w:trHeight w:val="369" w:hRule="atLeast"/>
          <w:jc w:val="center"/>
        </w:trPr>
        <w:tc>
          <w:tcPr>
            <w:tcW w:w="808" w:type="dxa"/>
            <w:tcBorders>
              <w:top w:val="single" w:color="000000" w:sz="8" w:space="0"/>
              <w:left w:val="nil"/>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17</w:t>
            </w:r>
          </w:p>
        </w:tc>
        <w:tc>
          <w:tcPr>
            <w:tcW w:w="915"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788"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1175"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800"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837"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127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消泡剂</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66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156"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加重剂</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008"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809" w:type="dxa"/>
            <w:tcBorders>
              <w:top w:val="single" w:color="000000" w:sz="8" w:space="0"/>
              <w:left w:val="single" w:color="000000" w:sz="8" w:space="0"/>
              <w:bottom w:val="single" w:color="000000" w:sz="8" w:space="0"/>
              <w:right w:val="nil"/>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CellMar>
            <w:top w:w="0" w:type="dxa"/>
            <w:left w:w="108" w:type="dxa"/>
            <w:bottom w:w="0" w:type="dxa"/>
            <w:right w:w="108" w:type="dxa"/>
          </w:tblCellMar>
        </w:tblPrEx>
        <w:trPr>
          <w:trHeight w:val="369" w:hRule="atLeast"/>
          <w:jc w:val="center"/>
        </w:trPr>
        <w:tc>
          <w:tcPr>
            <w:tcW w:w="808" w:type="dxa"/>
            <w:tcBorders>
              <w:top w:val="single" w:color="000000" w:sz="8" w:space="0"/>
              <w:left w:val="nil"/>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18</w:t>
            </w:r>
          </w:p>
        </w:tc>
        <w:tc>
          <w:tcPr>
            <w:tcW w:w="915"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788"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1175"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800"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837"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127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堵漏剂</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66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156"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除硫剂</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008"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809" w:type="dxa"/>
            <w:tcBorders>
              <w:top w:val="single" w:color="000000" w:sz="8" w:space="0"/>
              <w:left w:val="single" w:color="000000" w:sz="8" w:space="0"/>
              <w:bottom w:val="single" w:color="000000" w:sz="8" w:space="0"/>
              <w:right w:val="nil"/>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CellMar>
            <w:top w:w="0" w:type="dxa"/>
            <w:left w:w="108" w:type="dxa"/>
            <w:bottom w:w="0" w:type="dxa"/>
            <w:right w:w="108" w:type="dxa"/>
          </w:tblCellMar>
        </w:tblPrEx>
        <w:trPr>
          <w:trHeight w:val="369" w:hRule="atLeast"/>
          <w:jc w:val="center"/>
        </w:trPr>
        <w:tc>
          <w:tcPr>
            <w:tcW w:w="808" w:type="dxa"/>
            <w:tcBorders>
              <w:top w:val="single" w:color="000000" w:sz="8" w:space="0"/>
              <w:left w:val="nil"/>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19</w:t>
            </w:r>
          </w:p>
        </w:tc>
        <w:tc>
          <w:tcPr>
            <w:tcW w:w="915"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788"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1175"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800"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837"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127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rFonts w:hint="eastAsia"/>
                <w:bCs/>
                <w:kern w:val="2"/>
                <w:sz w:val="21"/>
                <w:szCs w:val="21"/>
              </w:rPr>
              <w:t>重晶石</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66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156"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随钻堵漏剂</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008"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809" w:type="dxa"/>
            <w:tcBorders>
              <w:top w:val="single" w:color="000000" w:sz="8" w:space="0"/>
              <w:left w:val="single" w:color="000000" w:sz="8" w:space="0"/>
              <w:bottom w:val="single" w:color="000000" w:sz="8" w:space="0"/>
              <w:right w:val="nil"/>
            </w:tcBorders>
            <w:shd w:val="clear" w:color="auto" w:fill="auto"/>
            <w:noWrap/>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CellMar>
            <w:top w:w="0" w:type="dxa"/>
            <w:left w:w="108" w:type="dxa"/>
            <w:bottom w:w="0" w:type="dxa"/>
            <w:right w:w="108" w:type="dxa"/>
          </w:tblCellMar>
        </w:tblPrEx>
        <w:trPr>
          <w:trHeight w:val="369" w:hRule="atLeast"/>
          <w:jc w:val="center"/>
        </w:trPr>
        <w:tc>
          <w:tcPr>
            <w:tcW w:w="808" w:type="dxa"/>
            <w:tcBorders>
              <w:top w:val="single" w:color="000000" w:sz="8" w:space="0"/>
              <w:left w:val="nil"/>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rFonts w:hint="eastAsia"/>
                <w:bCs/>
                <w:kern w:val="2"/>
                <w:sz w:val="21"/>
                <w:szCs w:val="21"/>
              </w:rPr>
              <w:t>20</w:t>
            </w:r>
          </w:p>
        </w:tc>
        <w:tc>
          <w:tcPr>
            <w:tcW w:w="915"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788"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1175"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800"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837"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1275"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氯化钾</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66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156"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r>
              <w:rPr>
                <w:bCs/>
                <w:kern w:val="2"/>
                <w:sz w:val="21"/>
                <w:szCs w:val="21"/>
              </w:rPr>
              <w:t>氯化钾</w:t>
            </w:r>
          </w:p>
        </w:tc>
        <w:tc>
          <w:tcPr>
            <w:tcW w:w="80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4"/>
              <w:spacing w:line="240" w:lineRule="auto"/>
              <w:ind w:firstLine="0" w:firstLineChars="0"/>
              <w:jc w:val="center"/>
              <w:rPr>
                <w:bCs/>
                <w:kern w:val="2"/>
                <w:sz w:val="21"/>
                <w:szCs w:val="21"/>
              </w:rPr>
            </w:pPr>
          </w:p>
        </w:tc>
        <w:tc>
          <w:tcPr>
            <w:tcW w:w="1008"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cs="Times New Roman"/>
                <w:bCs/>
                <w:kern w:val="2"/>
                <w:sz w:val="21"/>
                <w:szCs w:val="21"/>
              </w:rPr>
              <w:t>/</w:t>
            </w:r>
          </w:p>
        </w:tc>
        <w:tc>
          <w:tcPr>
            <w:tcW w:w="809" w:type="dxa"/>
            <w:tcBorders>
              <w:top w:val="single" w:color="000000" w:sz="8" w:space="0"/>
              <w:left w:val="single" w:color="000000" w:sz="8" w:space="0"/>
              <w:bottom w:val="single" w:color="000000" w:sz="8" w:space="0"/>
              <w:right w:val="single" w:color="000000" w:sz="8" w:space="0"/>
            </w:tcBorders>
            <w:shd w:val="clear" w:color="auto" w:fill="auto"/>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809" w:type="dxa"/>
            <w:tcBorders>
              <w:top w:val="single" w:color="000000" w:sz="8" w:space="0"/>
              <w:left w:val="single" w:color="000000" w:sz="8" w:space="0"/>
              <w:bottom w:val="single" w:color="000000" w:sz="8" w:space="0"/>
              <w:right w:val="nil"/>
            </w:tcBorders>
            <w:shd w:val="clear" w:color="auto" w:fill="auto"/>
            <w:noWrap/>
            <w:vAlign w:val="center"/>
          </w:tcPr>
          <w:p>
            <w:pPr>
              <w:topLinePunct w:val="0"/>
              <w:adjustRightInd/>
              <w:spacing w:line="240" w:lineRule="auto"/>
              <w:ind w:firstLine="0" w:firstLineChars="0"/>
              <w:jc w:val="center"/>
              <w:rPr>
                <w:rFonts w:ascii="Times New Roman" w:cs="Times New Roman"/>
                <w:bCs/>
                <w:kern w:val="2"/>
                <w:sz w:val="21"/>
                <w:szCs w:val="21"/>
              </w:rPr>
            </w:pPr>
          </w:p>
        </w:tc>
      </w:tr>
    </w:tbl>
    <w:p>
      <w:pPr>
        <w:pStyle w:val="114"/>
        <w:ind w:firstLine="422"/>
        <w:jc w:val="center"/>
        <w:rPr>
          <w:b/>
          <w:kern w:val="2"/>
          <w:sz w:val="21"/>
          <w:szCs w:val="21"/>
        </w:rPr>
      </w:pPr>
    </w:p>
    <w:p>
      <w:pPr>
        <w:pStyle w:val="114"/>
        <w:ind w:firstLine="480"/>
        <w:sectPr>
          <w:pgSz w:w="16840" w:h="11910" w:orient="landscape"/>
          <w:pgMar w:top="1134" w:right="1417" w:bottom="1134" w:left="1417" w:header="885" w:footer="1097" w:gutter="0"/>
          <w:pgBorders>
            <w:top w:val="none" w:sz="0" w:space="0"/>
            <w:left w:val="none" w:sz="0" w:space="0"/>
            <w:bottom w:val="none" w:sz="0" w:space="0"/>
            <w:right w:val="none" w:sz="0" w:space="0"/>
          </w:pgBorders>
          <w:pgNumType w:chapStyle="2"/>
          <w:cols w:space="720" w:num="1"/>
          <w:docGrid w:linePitch="326" w:charSpace="0"/>
        </w:sectPr>
      </w:pPr>
    </w:p>
    <w:p>
      <w:pPr>
        <w:pStyle w:val="114"/>
        <w:ind w:firstLine="480"/>
      </w:pPr>
      <w:r>
        <w:t xml:space="preserve">钻井液主要成分的物理化学特性： </w:t>
      </w:r>
    </w:p>
    <w:p>
      <w:pPr>
        <w:topLinePunct w:val="0"/>
        <w:snapToGrid w:val="0"/>
        <w:ind w:firstLine="0" w:firstLineChars="0"/>
        <w:jc w:val="center"/>
        <w:rPr>
          <w:rFonts w:ascii="Times New Roman" w:cs="Times New Roman"/>
          <w:b/>
          <w:kern w:val="2"/>
          <w:sz w:val="21"/>
          <w:szCs w:val="21"/>
        </w:rPr>
      </w:pPr>
      <w:r>
        <w:rPr>
          <w:rFonts w:ascii="Times New Roman" w:cs="Times New Roman"/>
          <w:b/>
          <w:kern w:val="2"/>
          <w:sz w:val="21"/>
          <w:szCs w:val="21"/>
        </w:rPr>
        <w:t>表 3.</w:t>
      </w:r>
      <w:r>
        <w:rPr>
          <w:rFonts w:hint="eastAsia" w:ascii="Times New Roman" w:cs="Times New Roman"/>
          <w:b/>
          <w:kern w:val="2"/>
          <w:sz w:val="21"/>
          <w:szCs w:val="21"/>
        </w:rPr>
        <w:t>5</w:t>
      </w:r>
      <w:r>
        <w:rPr>
          <w:rFonts w:ascii="Times New Roman" w:cs="Times New Roman"/>
          <w:b/>
          <w:kern w:val="2"/>
          <w:sz w:val="21"/>
          <w:szCs w:val="21"/>
        </w:rPr>
        <w:t>-</w:t>
      </w:r>
      <w:r>
        <w:rPr>
          <w:rFonts w:hint="eastAsia" w:ascii="Times New Roman" w:cs="Times New Roman"/>
          <w:b/>
          <w:kern w:val="2"/>
          <w:sz w:val="21"/>
          <w:szCs w:val="21"/>
        </w:rPr>
        <w:t>2</w:t>
      </w:r>
      <w:r>
        <w:rPr>
          <w:rFonts w:ascii="Times New Roman" w:cs="Times New Roman"/>
          <w:b/>
          <w:kern w:val="2"/>
          <w:sz w:val="21"/>
          <w:szCs w:val="21"/>
        </w:rPr>
        <w:t xml:space="preserve"> 钻井液主要材料物理化学特性</w:t>
      </w:r>
    </w:p>
    <w:tbl>
      <w:tblPr>
        <w:tblStyle w:val="6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1542"/>
        <w:gridCol w:w="67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721" w:type="dxa"/>
            <w:tcBorders>
              <w:tl2br w:val="nil"/>
              <w:tr2bl w:val="nil"/>
            </w:tcBorders>
            <w:vAlign w:val="center"/>
          </w:tcPr>
          <w:p>
            <w:pPr>
              <w:topLinePunct w:val="0"/>
              <w:spacing w:line="240" w:lineRule="auto"/>
              <w:ind w:firstLine="0" w:firstLineChars="0"/>
              <w:jc w:val="center"/>
              <w:rPr>
                <w:rFonts w:ascii="Times New Roman" w:eastAsia="Times New Roman" w:cs="Times New Roman"/>
                <w:b/>
                <w:bCs/>
                <w:kern w:val="2"/>
                <w:sz w:val="21"/>
              </w:rPr>
            </w:pPr>
            <w:r>
              <w:rPr>
                <w:rFonts w:ascii="Times New Roman" w:eastAsia="Times New Roman" w:cs="Times New Roman"/>
                <w:b/>
                <w:bCs/>
                <w:kern w:val="2"/>
                <w:sz w:val="21"/>
              </w:rPr>
              <w:t>序号</w:t>
            </w:r>
          </w:p>
        </w:tc>
        <w:tc>
          <w:tcPr>
            <w:tcW w:w="1496" w:type="dxa"/>
            <w:tcBorders>
              <w:tl2br w:val="nil"/>
              <w:tr2bl w:val="nil"/>
            </w:tcBorders>
            <w:vAlign w:val="center"/>
          </w:tcPr>
          <w:p>
            <w:pPr>
              <w:topLinePunct w:val="0"/>
              <w:spacing w:line="240" w:lineRule="auto"/>
              <w:ind w:firstLine="0" w:firstLineChars="0"/>
              <w:jc w:val="center"/>
              <w:rPr>
                <w:rFonts w:ascii="Times New Roman" w:eastAsia="Times New Roman" w:cs="Times New Roman"/>
                <w:b/>
                <w:bCs/>
                <w:kern w:val="2"/>
                <w:sz w:val="21"/>
              </w:rPr>
            </w:pPr>
            <w:r>
              <w:rPr>
                <w:rFonts w:ascii="Times New Roman" w:eastAsia="Times New Roman" w:cs="Times New Roman"/>
                <w:b/>
                <w:bCs/>
                <w:kern w:val="2"/>
                <w:sz w:val="21"/>
              </w:rPr>
              <w:t>材料名称</w:t>
            </w:r>
          </w:p>
        </w:tc>
        <w:tc>
          <w:tcPr>
            <w:tcW w:w="6521" w:type="dxa"/>
            <w:tcBorders>
              <w:tl2br w:val="nil"/>
              <w:tr2bl w:val="nil"/>
            </w:tcBorders>
            <w:vAlign w:val="center"/>
          </w:tcPr>
          <w:p>
            <w:pPr>
              <w:topLinePunct w:val="0"/>
              <w:spacing w:line="240" w:lineRule="auto"/>
              <w:ind w:firstLine="0" w:firstLineChars="0"/>
              <w:jc w:val="center"/>
              <w:rPr>
                <w:rFonts w:ascii="Times New Roman" w:eastAsia="Times New Roman" w:cs="Times New Roman"/>
                <w:b/>
                <w:bCs/>
                <w:kern w:val="2"/>
                <w:sz w:val="21"/>
              </w:rPr>
            </w:pPr>
            <w:r>
              <w:rPr>
                <w:rFonts w:ascii="Times New Roman" w:eastAsia="Times New Roman" w:cs="Times New Roman"/>
                <w:b/>
                <w:bCs/>
                <w:kern w:val="2"/>
                <w:sz w:val="21"/>
              </w:rPr>
              <w:t>物理化学性质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1</w:t>
            </w:r>
          </w:p>
        </w:tc>
        <w:tc>
          <w:tcPr>
            <w:tcW w:w="1496"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膨润土粉</w:t>
            </w:r>
          </w:p>
        </w:tc>
        <w:tc>
          <w:tcPr>
            <w:tcW w:w="652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以蒙脱石为主要矿物成分（85~90%），由两个硅氧四面体夹一层铝氧八面体组成的 2：1 型晶体结构，呈如黄绿、黄白、灰、白色等各种颜色。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2</w:t>
            </w:r>
          </w:p>
        </w:tc>
        <w:tc>
          <w:tcPr>
            <w:tcW w:w="1496"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纯碱 Na</w:t>
            </w:r>
            <w:r>
              <w:rPr>
                <w:rFonts w:ascii="Times New Roman" w:eastAsia="Times New Roman" w:cs="Times New Roman"/>
                <w:kern w:val="2"/>
                <w:sz w:val="21"/>
                <w:vertAlign w:val="subscript"/>
              </w:rPr>
              <w:t>2</w:t>
            </w:r>
            <w:r>
              <w:rPr>
                <w:rFonts w:ascii="Times New Roman" w:eastAsia="Times New Roman" w:cs="Times New Roman"/>
                <w:kern w:val="2"/>
                <w:sz w:val="21"/>
              </w:rPr>
              <w:t>CO</w:t>
            </w:r>
            <w:r>
              <w:rPr>
                <w:rFonts w:ascii="Times New Roman" w:eastAsia="Times New Roman" w:cs="Times New Roman"/>
                <w:kern w:val="2"/>
                <w:sz w:val="21"/>
                <w:vertAlign w:val="subscript"/>
              </w:rPr>
              <w:t>3</w:t>
            </w:r>
          </w:p>
        </w:tc>
        <w:tc>
          <w:tcPr>
            <w:tcW w:w="652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碳酸钠（Na</w:t>
            </w:r>
            <w:r>
              <w:rPr>
                <w:rFonts w:ascii="Times New Roman" w:eastAsia="Times New Roman" w:cs="Times New Roman"/>
                <w:kern w:val="2"/>
                <w:sz w:val="21"/>
                <w:vertAlign w:val="subscript"/>
              </w:rPr>
              <w:t>2</w:t>
            </w:r>
            <w:r>
              <w:rPr>
                <w:rFonts w:ascii="Times New Roman" w:eastAsia="Times New Roman" w:cs="Times New Roman"/>
                <w:kern w:val="2"/>
                <w:sz w:val="21"/>
              </w:rPr>
              <w:t>CO</w:t>
            </w:r>
            <w:r>
              <w:rPr>
                <w:rFonts w:ascii="Times New Roman" w:eastAsia="Times New Roman" w:cs="Times New Roman"/>
                <w:kern w:val="2"/>
                <w:sz w:val="21"/>
                <w:vertAlign w:val="subscript"/>
              </w:rPr>
              <w:t>3</w:t>
            </w:r>
            <w:r>
              <w:rPr>
                <w:rFonts w:ascii="Times New Roman" w:eastAsia="Times New Roman" w:cs="Times New Roman"/>
                <w:kern w:val="2"/>
                <w:sz w:val="21"/>
              </w:rPr>
              <w:t>），分子量 105.99。化学品的纯度多在 99.5%以上（质量分数），又叫纯碱，但分类属于盐，不属于碱。国际贸易中又名苏打或碱灰。溶解性易溶于水，水溶液呈弱碱性在 35.4℃其溶解度最大，每100g 水中可溶解 49.7g 碳酸钠（0℃时为 7.0g，100℃为 45.5g）。微溶于无水乙醇，不溶于丙醇。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3</w:t>
            </w:r>
          </w:p>
        </w:tc>
        <w:tc>
          <w:tcPr>
            <w:tcW w:w="1496"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氢氧化钠 NaOH</w:t>
            </w:r>
          </w:p>
        </w:tc>
        <w:tc>
          <w:tcPr>
            <w:tcW w:w="652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氢氧化钠，又称烧碱和苛性钠，化学式为 NaOH，是一种具有高腐蚀性的强碱，一般为白色片状或颗粒，能溶于水生成碱性溶液，也能溶于甲醇及乙醇。氢氧化钠具有潮解性，会吸收空气里的水蒸气，也会吸取二氧化碳、二氧化硫等酸性气体。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4</w:t>
            </w:r>
          </w:p>
        </w:tc>
        <w:tc>
          <w:tcPr>
            <w:tcW w:w="1496"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有机高分子絮凝剂 LS-AOF</w:t>
            </w:r>
          </w:p>
        </w:tc>
        <w:tc>
          <w:tcPr>
            <w:tcW w:w="652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一种类型的絮凝剂。一般为天然或人工合成的有机高分子物质。有机高分子絮凝剂（ganic Polymer Flocculant )为有一定线形长度的高分子有机聚合物，其种类很多，按来源可分为天然和人工合成两大类。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5</w:t>
            </w:r>
          </w:p>
        </w:tc>
        <w:tc>
          <w:tcPr>
            <w:tcW w:w="1496"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聚合物降滤失剂 DR-Ⅱ(或JMP-1)</w:t>
            </w:r>
          </w:p>
        </w:tc>
        <w:tc>
          <w:tcPr>
            <w:tcW w:w="652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是一种新型降滤失剂，具有抗温、降滤失、黏切和防塌等功效。还能显著改善泥浆的流变性，泥浆抗污染能力强，性能稳定，好处理，易维护，既能在淡水泥浆中使用，又能在盐水泥浆体系中使用，在深井和超深井中使用，效果更为突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6</w:t>
            </w:r>
          </w:p>
        </w:tc>
        <w:tc>
          <w:tcPr>
            <w:tcW w:w="1496"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聚合醇防塌剂 PEG</w:t>
            </w:r>
          </w:p>
        </w:tc>
        <w:tc>
          <w:tcPr>
            <w:tcW w:w="652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由聚乙二醇和丙二醇为主要原材料，在特定生产工艺条件下合成的，含有页岩抑制剂，具有较强的抑制页岩水化的作用，并能降粘和降低滤失量，抗温性能好。无毒、无荧光、不污染环境；抑制能力强、润滑 性好、与</w:t>
            </w:r>
            <w:r>
              <w:rPr>
                <w:rFonts w:hint="eastAsia" w:ascii="Times New Roman" w:cs="Times New Roman"/>
                <w:kern w:val="2"/>
                <w:sz w:val="21"/>
                <w:lang w:val="en-US" w:eastAsia="zh-CN"/>
              </w:rPr>
              <w:t>其他</w:t>
            </w:r>
            <w:r>
              <w:rPr>
                <w:rFonts w:ascii="Times New Roman" w:eastAsia="Times New Roman" w:cs="Times New Roman"/>
                <w:kern w:val="2"/>
                <w:sz w:val="21"/>
              </w:rPr>
              <w:t>钻井液添加剂相配伍，具有良好的保护油气层效果。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7</w:t>
            </w:r>
          </w:p>
        </w:tc>
        <w:tc>
          <w:tcPr>
            <w:tcW w:w="1496"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固体消泡剂 RLC-103A</w:t>
            </w:r>
          </w:p>
        </w:tc>
        <w:tc>
          <w:tcPr>
            <w:tcW w:w="652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固体消泡剂以特种改性聚硅氧烷为主要消泡</w:t>
            </w:r>
            <w:r>
              <w:rPr>
                <w:rFonts w:hint="eastAsia" w:ascii="Times New Roman" w:cs="Times New Roman"/>
                <w:kern w:val="2"/>
                <w:sz w:val="21"/>
                <w:lang w:val="en-US" w:eastAsia="zh-CN"/>
              </w:rPr>
              <w:t>成分</w:t>
            </w:r>
            <w:r>
              <w:rPr>
                <w:rFonts w:ascii="Times New Roman" w:eastAsia="Times New Roman" w:cs="Times New Roman"/>
                <w:kern w:val="2"/>
                <w:sz w:val="21"/>
              </w:rPr>
              <w:t>，配以特种乳化剂、分散剂、稳定剂经过特殊工艺精制而成.外观：黄褐色或白色块状。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8</w:t>
            </w:r>
          </w:p>
        </w:tc>
        <w:tc>
          <w:tcPr>
            <w:tcW w:w="1496"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抗硫缓蚀剂 CJ2-12 (碱式碳酸锌或海绵铁)</w:t>
            </w:r>
          </w:p>
        </w:tc>
        <w:tc>
          <w:tcPr>
            <w:tcW w:w="652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理化指标：外观：浅黄色固体粉末；酸碱性：水溶液呈弱碱性；可燃性：不燃不爆；毒性：无毒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9</w:t>
            </w:r>
          </w:p>
        </w:tc>
        <w:tc>
          <w:tcPr>
            <w:tcW w:w="1496"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重晶石</w:t>
            </w:r>
          </w:p>
        </w:tc>
        <w:tc>
          <w:tcPr>
            <w:tcW w:w="652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重晶石化学组成为 Ba[SO4]，晶体属正交（斜方）晶系的硫酸盐矿物。常呈厚板状或柱状晶体，多为致密块状或板状、粒状集合体。质纯时无色透明，含杂质时被染成各种颜色，条痕白色，玻璃光泽，透明至半透明。三组解理完全，夹角等于或近于 90°。摩氏硬度 3-3.5，比重 4.0-4.6。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10</w:t>
            </w:r>
          </w:p>
        </w:tc>
        <w:tc>
          <w:tcPr>
            <w:tcW w:w="1496"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随钻堵漏剂</w:t>
            </w:r>
          </w:p>
        </w:tc>
        <w:tc>
          <w:tcPr>
            <w:tcW w:w="652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随钻堵漏剂系该性天然植物高分子复合材料，具有良好的水溶胀桥接封堵动能，粘附性强，与传统的随钻堵漏剂相比，不受粒径“匹配”限制，适用于各种泥浆体系，可用于封堵漏失层，也可保护低压产层（油、气、水等）。理化性能：外观：灰白色粉末 细度：40目</w:t>
            </w:r>
            <w:r>
              <w:rPr>
                <w:rFonts w:hint="eastAsia" w:ascii="Times New Roman" w:cs="Times New Roman"/>
                <w:kern w:val="2"/>
                <w:sz w:val="21"/>
                <w:lang w:val="en-US" w:eastAsia="zh-CN"/>
              </w:rPr>
              <w:t>水分</w:t>
            </w:r>
            <w:r>
              <w:rPr>
                <w:rFonts w:ascii="Times New Roman" w:eastAsia="Times New Roman" w:cs="Times New Roman"/>
                <w:kern w:val="2"/>
                <w:sz w:val="21"/>
              </w:rPr>
              <w:t>：≤14% PH</w:t>
            </w:r>
          </w:p>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值：7-9。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11</w:t>
            </w:r>
          </w:p>
        </w:tc>
        <w:tc>
          <w:tcPr>
            <w:tcW w:w="1496"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氯化钾</w:t>
            </w:r>
          </w:p>
        </w:tc>
        <w:tc>
          <w:tcPr>
            <w:tcW w:w="652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氯化钾易溶于水、醚、甘油及碱类，微溶于乙醇，但不溶于无水乙醇，有吸湿性，易结块，在农业上是常用的钾肥，在临床上是常用的电解质平衡调节药，还可用于无机工业和染料工业等。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hint="eastAsia" w:ascii="Times New Roman" w:eastAsia="Times New Roman" w:cs="Times New Roman"/>
                <w:kern w:val="2"/>
                <w:sz w:val="21"/>
              </w:rPr>
              <w:t>12</w:t>
            </w:r>
          </w:p>
        </w:tc>
        <w:tc>
          <w:tcPr>
            <w:tcW w:w="1496"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高粘羧甲基纤维素</w:t>
            </w:r>
            <w:r>
              <w:rPr>
                <w:rFonts w:hint="eastAsia" w:ascii="Times New Roman" w:eastAsia="Times New Roman" w:cs="Times New Roman"/>
                <w:kern w:val="2"/>
                <w:sz w:val="21"/>
              </w:rPr>
              <w:t xml:space="preserve"> </w:t>
            </w:r>
            <w:r>
              <w:rPr>
                <w:rFonts w:ascii="Times New Roman" w:eastAsia="Times New Roman" w:cs="Times New Roman"/>
                <w:kern w:val="2"/>
                <w:sz w:val="21"/>
              </w:rPr>
              <w:t>钠盐</w:t>
            </w:r>
          </w:p>
        </w:tc>
        <w:tc>
          <w:tcPr>
            <w:tcW w:w="652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CMC为白色或乳白色纤维状粉末或颗粒，密度0.5-0.7克/立方厘米，几乎无臭、无味，具吸湿性。易于分散在水中成透明胶状溶液，在乙醇等有机溶媒中不溶。1%水溶液pH为6.5～8.5，当pH&gt;10或&lt;5时，胶浆</w:t>
            </w:r>
            <w:r>
              <w:rPr>
                <w:rFonts w:hint="eastAsia" w:ascii="Times New Roman" w:cs="Times New Roman"/>
                <w:kern w:val="2"/>
                <w:sz w:val="21"/>
                <w:lang w:eastAsia="zh-CN"/>
              </w:rPr>
              <w:t>黏度</w:t>
            </w:r>
            <w:r>
              <w:rPr>
                <w:rFonts w:ascii="Times New Roman" w:eastAsia="Times New Roman" w:cs="Times New Roman"/>
                <w:kern w:val="2"/>
                <w:sz w:val="21"/>
              </w:rPr>
              <w:t>显著降低，在pH=7时性能最佳。对热稳定，在20℃以下</w:t>
            </w:r>
            <w:r>
              <w:rPr>
                <w:rFonts w:hint="eastAsia" w:ascii="Times New Roman" w:cs="Times New Roman"/>
                <w:kern w:val="2"/>
                <w:sz w:val="21"/>
                <w:lang w:eastAsia="zh-CN"/>
              </w:rPr>
              <w:t>黏度</w:t>
            </w:r>
            <w:r>
              <w:rPr>
                <w:rFonts w:ascii="Times New Roman" w:eastAsia="Times New Roman" w:cs="Times New Roman"/>
                <w:kern w:val="2"/>
                <w:sz w:val="21"/>
              </w:rPr>
              <w:t>迅速上升，45℃时变化较慢，80℃以上长时间加热可使其胶体变性而</w:t>
            </w:r>
            <w:r>
              <w:rPr>
                <w:rFonts w:hint="eastAsia" w:ascii="Times New Roman" w:cs="Times New Roman"/>
                <w:kern w:val="2"/>
                <w:sz w:val="21"/>
                <w:lang w:eastAsia="zh-CN"/>
              </w:rPr>
              <w:t>黏度</w:t>
            </w:r>
            <w:r>
              <w:rPr>
                <w:rFonts w:ascii="Times New Roman" w:eastAsia="Times New Roman" w:cs="Times New Roman"/>
                <w:kern w:val="2"/>
                <w:sz w:val="21"/>
              </w:rPr>
              <w:t>和性能明显下降。易溶于水，溶液透明；在碱性溶液中很稳定，遇酸则易水解，PH值为2-3时会出现沉淀，遇多价金属盐也会</w:t>
            </w:r>
            <w:r>
              <w:rPr>
                <w:rFonts w:hint="eastAsia" w:ascii="Times New Roman" w:cs="Times New Roman"/>
                <w:kern w:val="2"/>
                <w:sz w:val="21"/>
                <w:lang w:eastAsia="zh-CN"/>
              </w:rPr>
              <w:t>反映出</w:t>
            </w:r>
            <w:r>
              <w:rPr>
                <w:rFonts w:ascii="Times New Roman" w:eastAsia="Times New Roman" w:cs="Times New Roman"/>
                <w:kern w:val="2"/>
                <w:sz w:val="21"/>
              </w:rPr>
              <w:t>现沉。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hint="eastAsia" w:ascii="Times New Roman" w:eastAsia="Times New Roman" w:cs="Times New Roman"/>
                <w:kern w:val="2"/>
                <w:sz w:val="21"/>
              </w:rPr>
              <w:t>13</w:t>
            </w:r>
          </w:p>
        </w:tc>
        <w:tc>
          <w:tcPr>
            <w:tcW w:w="1496"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丙烯酸盐多元共聚物</w:t>
            </w:r>
            <w:r>
              <w:rPr>
                <w:rFonts w:hint="eastAsia" w:ascii="Times New Roman" w:eastAsia="Times New Roman" w:cs="Times New Roman"/>
                <w:kern w:val="2"/>
                <w:sz w:val="21"/>
              </w:rPr>
              <w:t>SK-</w:t>
            </w:r>
            <w:r>
              <w:rPr>
                <w:rFonts w:hint="eastAsia" w:ascii="微软雅黑" w:hAnsi="微软雅黑" w:eastAsia="微软雅黑" w:cs="微软雅黑"/>
                <w:kern w:val="2"/>
                <w:sz w:val="21"/>
              </w:rPr>
              <w:t>Ⅱ</w:t>
            </w:r>
          </w:p>
        </w:tc>
        <w:tc>
          <w:tcPr>
            <w:tcW w:w="652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中文别名有甲基丙烯酰基乙基甜菜碱、丙烯酸酯共聚物、丙烯酸(酯)类、月桂醇丙烯酸酯、硬脂醇丙烯酸酯、乙胺氧化物甲基丙烯酸盐共聚物，CAS号码为25133-97-5，分子式为(C5H8O2.C5H8O2.C4H6O2)x，分子量为286.3209，属于水质稳定体，广泛用于油田水、锅炉用水及各种工业冷却水系统中作</w:t>
            </w:r>
            <w:r>
              <w:fldChar w:fldCharType="begin"/>
            </w:r>
            <w:r>
              <w:instrText xml:space="preserve"> HYPERLINK "https://baike.baidu.com/item/%E9%98%BB%E5%9E%A2%E7%BC%93%E8%9A%80%E5%89%82/11048782?fromModule=lemma_inlink" \t "https://baike.baidu.com/item/%E4%B8%99%E7%83%AF%E9%85%B8-%E4%B8%99%E7%83%AF%E9%85%B8%E9%85%AF%E5%85%B1%E8%81%9A%E7%89%A9/_blank" </w:instrText>
            </w:r>
            <w:r>
              <w:fldChar w:fldCharType="separate"/>
            </w:r>
            <w:r>
              <w:rPr>
                <w:rFonts w:ascii="Times New Roman" w:eastAsia="Times New Roman" w:cs="Times New Roman"/>
                <w:kern w:val="2"/>
                <w:sz w:val="21"/>
              </w:rPr>
              <w:t>阻垢缓蚀剂</w:t>
            </w:r>
            <w:r>
              <w:rPr>
                <w:rFonts w:ascii="Times New Roman" w:eastAsia="Times New Roman" w:cs="Times New Roman"/>
                <w:kern w:val="2"/>
                <w:sz w:val="21"/>
              </w:rPr>
              <w:fldChar w:fldCharType="end"/>
            </w:r>
            <w:r>
              <w:rPr>
                <w:rFonts w:ascii="Times New Roman" w:eastAsia="Times New Roman" w:cs="Times New Roman"/>
                <w:kern w:val="2"/>
                <w:sz w:val="21"/>
              </w:rPr>
              <w:t>和预膜剂。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hint="eastAsia" w:ascii="Times New Roman" w:eastAsia="Times New Roman" w:cs="Times New Roman"/>
                <w:kern w:val="2"/>
                <w:sz w:val="21"/>
              </w:rPr>
              <w:t>14</w:t>
            </w:r>
          </w:p>
        </w:tc>
        <w:tc>
          <w:tcPr>
            <w:tcW w:w="1496"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螯合金属离子聚合物CMP-1</w:t>
            </w:r>
          </w:p>
        </w:tc>
        <w:tc>
          <w:tcPr>
            <w:tcW w:w="652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hint="eastAsia" w:ascii="Times New Roman" w:eastAsia="Times New Roman" w:cs="Times New Roman"/>
                <w:kern w:val="2"/>
                <w:sz w:val="21"/>
              </w:rPr>
              <w:t>外观为白色或微黄色颗粒和粉末，水分≤10%，pH7.0~9.0，新一代的钻井液处理剂，它是运用现代高新技术，将金属聚合物同水溶性高分子聚合物有机结合在一起，使其既具有正电胶的优点，又具有水溶性高分子聚合物的特点，在钻井液中表现出极强的改善流型、增粘和降失水能力，同时具有较大的容纳固相能力和抑制钻屑造浆能力，解决了聚合物钻井液与正电胶钻井液各自普遍存在的技术缺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hint="eastAsia" w:ascii="Times New Roman" w:eastAsia="Times New Roman" w:cs="Times New Roman"/>
                <w:kern w:val="2"/>
                <w:sz w:val="21"/>
              </w:rPr>
              <w:t>15</w:t>
            </w:r>
          </w:p>
        </w:tc>
        <w:tc>
          <w:tcPr>
            <w:tcW w:w="1496"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超细活化石墨粉固体润滑剂LSW</w:t>
            </w:r>
          </w:p>
        </w:tc>
        <w:tc>
          <w:tcPr>
            <w:tcW w:w="652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hint="eastAsia" w:ascii="Times New Roman" w:eastAsia="Times New Roman" w:cs="Times New Roman"/>
                <w:kern w:val="2"/>
                <w:sz w:val="21"/>
              </w:rPr>
              <w:t>，主要成分为碳单质，质软，黑灰色；有油腻感，可污染纸张。硬度为1～2，沿垂直方向随杂质的增加其硬度可增至3～5。比重为1.9～2.3。在隔绝氧气条件下，其熔点在3000℃以上，是最耐温的矿物之一。常温下石墨粉的化学性质比较稳定，不溶于水、稀酸、稀碱和</w:t>
            </w:r>
            <w:r>
              <w:fldChar w:fldCharType="begin"/>
            </w:r>
            <w:r>
              <w:instrText xml:space="preserve"> HYPERLINK "https://baike.baidu.com/item/%E6%9C%89%E6%9C%BA%E6%BA%B6%E5%89%82/7921016?fromModule=lemma_inlink" \t "https://baike.baidu.com/item/%E7%9F%B3%E5%A2%A8%E7%B2%89/_blank" </w:instrText>
            </w:r>
            <w:r>
              <w:fldChar w:fldCharType="separate"/>
            </w:r>
            <w:r>
              <w:rPr>
                <w:rFonts w:hint="eastAsia" w:ascii="Times New Roman" w:eastAsia="Times New Roman" w:cs="Times New Roman"/>
                <w:kern w:val="2"/>
                <w:sz w:val="21"/>
              </w:rPr>
              <w:t>有机溶剂</w:t>
            </w:r>
            <w:r>
              <w:rPr>
                <w:rFonts w:hint="eastAsia" w:ascii="Times New Roman" w:eastAsia="Times New Roman" w:cs="Times New Roman"/>
                <w:kern w:val="2"/>
                <w:sz w:val="21"/>
              </w:rPr>
              <w:fldChar w:fldCharType="end"/>
            </w:r>
            <w:r>
              <w:rPr>
                <w:rFonts w:hint="eastAsia" w:ascii="Times New Roman" w:eastAsia="Times New Roman" w:cs="Times New Roman"/>
                <w:kern w:val="2"/>
                <w:sz w:val="21"/>
              </w:rPr>
              <w:t>；材料具有耐高温导电性能，可做</w:t>
            </w:r>
            <w:r>
              <w:fldChar w:fldCharType="begin"/>
            </w:r>
            <w:r>
              <w:instrText xml:space="preserve"> HYPERLINK "https://baike.baidu.com/item/%E8%80%90%E7%81%AB%E6%9D%90%E6%96%99/1038672?fromModule=lemma_inlink" \t "https://baike.baidu.com/item/%E7%9F%B3%E5%A2%A8%E7%B2%89/_blank" </w:instrText>
            </w:r>
            <w:r>
              <w:fldChar w:fldCharType="separate"/>
            </w:r>
            <w:r>
              <w:rPr>
                <w:rFonts w:hint="eastAsia" w:ascii="Times New Roman" w:eastAsia="Times New Roman" w:cs="Times New Roman"/>
                <w:kern w:val="2"/>
                <w:sz w:val="21"/>
              </w:rPr>
              <w:t>耐火材料</w:t>
            </w:r>
            <w:r>
              <w:rPr>
                <w:rFonts w:hint="eastAsia" w:ascii="Times New Roman" w:eastAsia="Times New Roman" w:cs="Times New Roman"/>
                <w:kern w:val="2"/>
                <w:sz w:val="21"/>
              </w:rPr>
              <w:fldChar w:fldCharType="end"/>
            </w:r>
            <w:r>
              <w:rPr>
                <w:rFonts w:hint="eastAsia" w:ascii="Times New Roman" w:eastAsia="Times New Roman" w:cs="Times New Roman"/>
                <w:kern w:val="2"/>
                <w:sz w:val="21"/>
              </w:rPr>
              <w:t>，</w:t>
            </w:r>
            <w:r>
              <w:fldChar w:fldCharType="begin"/>
            </w:r>
            <w:r>
              <w:instrText xml:space="preserve"> HYPERLINK "https://baike.baidu.com/item/%E5%AF%BC%E7%94%B5%E6%9D%90%E6%96%99/5732931?fromModule=lemma_inlink" \t "https://baike.baidu.com/item/%E7%9F%B3%E5%A2%A8%E7%B2%89/_blank" </w:instrText>
            </w:r>
            <w:r>
              <w:fldChar w:fldCharType="separate"/>
            </w:r>
            <w:r>
              <w:rPr>
                <w:rFonts w:hint="eastAsia" w:ascii="Times New Roman" w:eastAsia="Times New Roman" w:cs="Times New Roman"/>
                <w:kern w:val="2"/>
                <w:sz w:val="21"/>
              </w:rPr>
              <w:t>导电材料</w:t>
            </w:r>
            <w:r>
              <w:rPr>
                <w:rFonts w:hint="eastAsia" w:ascii="Times New Roman" w:eastAsia="Times New Roman" w:cs="Times New Roman"/>
                <w:kern w:val="2"/>
                <w:sz w:val="21"/>
              </w:rPr>
              <w:fldChar w:fldCharType="end"/>
            </w:r>
            <w:r>
              <w:rPr>
                <w:rFonts w:hint="eastAsia" w:ascii="Times New Roman" w:eastAsia="Times New Roman" w:cs="Times New Roman"/>
                <w:kern w:val="2"/>
                <w:sz w:val="21"/>
              </w:rPr>
              <w:t>，耐磨润滑材料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72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hint="eastAsia" w:ascii="Times New Roman" w:eastAsia="Times New Roman" w:cs="Times New Roman"/>
                <w:kern w:val="2"/>
                <w:sz w:val="21"/>
              </w:rPr>
              <w:t>16</w:t>
            </w:r>
          </w:p>
        </w:tc>
        <w:tc>
          <w:tcPr>
            <w:tcW w:w="1496"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聚合物降粘剂JN-1</w:t>
            </w:r>
          </w:p>
        </w:tc>
        <w:tc>
          <w:tcPr>
            <w:tcW w:w="652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hint="eastAsia" w:ascii="Times New Roman" w:eastAsia="Times New Roman" w:cs="Times New Roman"/>
                <w:kern w:val="2"/>
                <w:sz w:val="21"/>
              </w:rPr>
              <w:t>有效</w:t>
            </w:r>
            <w:r>
              <w:rPr>
                <w:rFonts w:hint="eastAsia" w:ascii="Times New Roman" w:cs="Times New Roman"/>
                <w:kern w:val="2"/>
                <w:sz w:val="21"/>
                <w:lang w:eastAsia="zh-CN"/>
              </w:rPr>
              <w:t>成分</w:t>
            </w:r>
            <w:r>
              <w:rPr>
                <w:rFonts w:hint="eastAsia" w:ascii="Times New Roman" w:eastAsia="Times New Roman" w:cs="Times New Roman"/>
                <w:kern w:val="2"/>
                <w:sz w:val="21"/>
              </w:rPr>
              <w:t>：99%；</w:t>
            </w:r>
            <w:r>
              <w:rPr>
                <w:rFonts w:hint="eastAsia" w:ascii="Times New Roman" w:cs="Times New Roman"/>
                <w:kern w:val="2"/>
                <w:sz w:val="21"/>
                <w:lang w:eastAsia="zh-CN"/>
              </w:rPr>
              <w:t>黏度</w:t>
            </w:r>
            <w:r>
              <w:rPr>
                <w:rFonts w:hint="eastAsia" w:ascii="Times New Roman" w:eastAsia="Times New Roman" w:cs="Times New Roman"/>
                <w:kern w:val="2"/>
                <w:sz w:val="21"/>
              </w:rPr>
              <w:t>：200~1000cps/25℃；密度：D25 ≥1.06g/cm3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hint="eastAsia" w:ascii="Times New Roman" w:eastAsia="Times New Roman" w:cs="Times New Roman"/>
                <w:kern w:val="2"/>
                <w:sz w:val="21"/>
              </w:rPr>
              <w:t>17</w:t>
            </w:r>
          </w:p>
        </w:tc>
        <w:tc>
          <w:tcPr>
            <w:tcW w:w="1496"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石灰CaO</w:t>
            </w:r>
          </w:p>
        </w:tc>
        <w:tc>
          <w:tcPr>
            <w:tcW w:w="652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hint="eastAsia" w:ascii="Times New Roman" w:eastAsia="Times New Roman" w:cs="Times New Roman"/>
                <w:kern w:val="2"/>
                <w:sz w:val="21"/>
              </w:rPr>
              <w:t>外形为白色（或灰色、棕白），无定形，在空气中吸收水和二氧化碳。氧化钙与水作用生成氢氧化钙，并放出热量。溶于酸水，不溶于醇。系属无机碱性蚀物品，国家危规编号95006。生石灰与水会发生化学反应，接着就会立刻加热到超100℃的高温。</w:t>
            </w:r>
          </w:p>
        </w:tc>
      </w:tr>
    </w:tbl>
    <w:p>
      <w:pPr>
        <w:pStyle w:val="114"/>
        <w:ind w:firstLine="0" w:firstLineChars="0"/>
        <w:outlineLvl w:val="2"/>
        <w:rPr>
          <w:b/>
          <w:bCs/>
        </w:rPr>
      </w:pPr>
      <w:r>
        <w:rPr>
          <w:b/>
          <w:bCs/>
        </w:rPr>
        <w:t xml:space="preserve">3.5.2完井作业主要原辅材料 </w:t>
      </w:r>
    </w:p>
    <w:p>
      <w:pPr>
        <w:pStyle w:val="114"/>
        <w:ind w:firstLine="480"/>
      </w:pPr>
      <w:r>
        <w:t xml:space="preserve">完井作业材料详见下表。 </w:t>
      </w:r>
    </w:p>
    <w:p>
      <w:pPr>
        <w:pStyle w:val="39"/>
        <w:rPr>
          <w:rFonts w:cs="Times New Roman"/>
        </w:rPr>
      </w:pPr>
      <w:r>
        <w:rPr>
          <w:rFonts w:cs="Times New Roman"/>
        </w:rPr>
        <w:t>表 3.</w:t>
      </w:r>
      <w:r>
        <w:rPr>
          <w:rFonts w:hint="eastAsia" w:cs="Times New Roman"/>
        </w:rPr>
        <w:t>5</w:t>
      </w:r>
      <w:r>
        <w:rPr>
          <w:rFonts w:cs="Times New Roman"/>
        </w:rPr>
        <w:t>-</w:t>
      </w:r>
      <w:r>
        <w:rPr>
          <w:rFonts w:hint="eastAsia" w:cs="Times New Roman"/>
        </w:rPr>
        <w:t>3</w:t>
      </w:r>
      <w:r>
        <w:rPr>
          <w:rFonts w:cs="Times New Roman"/>
        </w:rPr>
        <w:t xml:space="preserve"> 完井作业材料计划表</w:t>
      </w:r>
    </w:p>
    <w:tbl>
      <w:tblPr>
        <w:tblStyle w:val="60"/>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4"/>
        <w:gridCol w:w="2211"/>
        <w:gridCol w:w="1384"/>
        <w:gridCol w:w="1150"/>
        <w:gridCol w:w="27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84"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序号</w:t>
            </w:r>
          </w:p>
        </w:tc>
        <w:tc>
          <w:tcPr>
            <w:tcW w:w="221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材料名称</w:t>
            </w:r>
          </w:p>
        </w:tc>
        <w:tc>
          <w:tcPr>
            <w:tcW w:w="1384"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单位</w:t>
            </w:r>
          </w:p>
        </w:tc>
        <w:tc>
          <w:tcPr>
            <w:tcW w:w="1150"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用量</w:t>
            </w:r>
          </w:p>
        </w:tc>
        <w:tc>
          <w:tcPr>
            <w:tcW w:w="2709"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84"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1</w:t>
            </w:r>
          </w:p>
        </w:tc>
        <w:tc>
          <w:tcPr>
            <w:tcW w:w="221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无固相压井液</w:t>
            </w:r>
          </w:p>
        </w:tc>
        <w:tc>
          <w:tcPr>
            <w:tcW w:w="1384"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m</w:t>
            </w:r>
            <w:r>
              <w:rPr>
                <w:rFonts w:ascii="Times New Roman" w:eastAsia="Times New Roman" w:cs="Times New Roman"/>
                <w:kern w:val="2"/>
                <w:sz w:val="21"/>
                <w:vertAlign w:val="superscript"/>
              </w:rPr>
              <w:t>3</w:t>
            </w:r>
          </w:p>
        </w:tc>
        <w:tc>
          <w:tcPr>
            <w:tcW w:w="1150"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p>
        </w:tc>
        <w:tc>
          <w:tcPr>
            <w:tcW w:w="2709"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密度 1.13g/cm</w:t>
            </w:r>
            <w:r>
              <w:rPr>
                <w:rFonts w:ascii="Times New Roman" w:eastAsia="Times New Roman" w:cs="Times New Roman"/>
                <w:kern w:val="2"/>
                <w:sz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84"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2</w:t>
            </w:r>
          </w:p>
        </w:tc>
        <w:tc>
          <w:tcPr>
            <w:tcW w:w="221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重浆</w:t>
            </w:r>
          </w:p>
        </w:tc>
        <w:tc>
          <w:tcPr>
            <w:tcW w:w="1384"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m</w:t>
            </w:r>
            <w:r>
              <w:rPr>
                <w:rFonts w:ascii="Times New Roman" w:eastAsia="Times New Roman" w:cs="Times New Roman"/>
                <w:kern w:val="2"/>
                <w:sz w:val="21"/>
                <w:vertAlign w:val="superscript"/>
              </w:rPr>
              <w:t>3</w:t>
            </w:r>
          </w:p>
        </w:tc>
        <w:tc>
          <w:tcPr>
            <w:tcW w:w="1150"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p>
        </w:tc>
        <w:tc>
          <w:tcPr>
            <w:tcW w:w="2709"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利用钻井泥浆，密度1.33g/cm</w:t>
            </w:r>
            <w:r>
              <w:rPr>
                <w:rFonts w:ascii="Times New Roman" w:eastAsia="Times New Roman" w:cs="Times New Roman"/>
                <w:kern w:val="2"/>
                <w:sz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84"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3</w:t>
            </w:r>
          </w:p>
        </w:tc>
        <w:tc>
          <w:tcPr>
            <w:tcW w:w="221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环空保护液</w:t>
            </w:r>
          </w:p>
        </w:tc>
        <w:tc>
          <w:tcPr>
            <w:tcW w:w="1384"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m</w:t>
            </w:r>
            <w:r>
              <w:rPr>
                <w:rFonts w:ascii="Times New Roman" w:eastAsia="Times New Roman" w:cs="Times New Roman"/>
                <w:kern w:val="2"/>
                <w:sz w:val="21"/>
                <w:vertAlign w:val="superscript"/>
              </w:rPr>
              <w:t>3</w:t>
            </w:r>
          </w:p>
        </w:tc>
        <w:tc>
          <w:tcPr>
            <w:tcW w:w="1150"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p>
        </w:tc>
        <w:tc>
          <w:tcPr>
            <w:tcW w:w="2709"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密度 1.05g/cm</w:t>
            </w:r>
            <w:r>
              <w:rPr>
                <w:rFonts w:ascii="Times New Roman" w:eastAsia="Times New Roman" w:cs="Times New Roman"/>
                <w:kern w:val="2"/>
                <w:sz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84"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4</w:t>
            </w:r>
          </w:p>
        </w:tc>
        <w:tc>
          <w:tcPr>
            <w:tcW w:w="221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酸液（</w:t>
            </w:r>
            <w:r>
              <w:rPr>
                <w:rFonts w:hint="eastAsia" w:ascii="Times New Roman" w:eastAsia="Times New Roman" w:cs="Times New Roman"/>
                <w:kern w:val="2"/>
                <w:sz w:val="21"/>
              </w:rPr>
              <w:t>15%</w:t>
            </w:r>
            <w:r>
              <w:rPr>
                <w:rFonts w:ascii="Times New Roman" w:eastAsia="Times New Roman" w:cs="Times New Roman"/>
                <w:kern w:val="2"/>
                <w:sz w:val="21"/>
              </w:rPr>
              <w:t>稀盐酸）</w:t>
            </w:r>
          </w:p>
        </w:tc>
        <w:tc>
          <w:tcPr>
            <w:tcW w:w="1384"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m</w:t>
            </w:r>
            <w:r>
              <w:rPr>
                <w:rFonts w:ascii="Times New Roman" w:eastAsia="Times New Roman" w:cs="Times New Roman"/>
                <w:kern w:val="2"/>
                <w:sz w:val="21"/>
                <w:vertAlign w:val="superscript"/>
              </w:rPr>
              <w:t>3</w:t>
            </w:r>
          </w:p>
        </w:tc>
        <w:tc>
          <w:tcPr>
            <w:tcW w:w="1150"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p>
        </w:tc>
        <w:tc>
          <w:tcPr>
            <w:tcW w:w="2709"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84"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5</w:t>
            </w:r>
          </w:p>
        </w:tc>
        <w:tc>
          <w:tcPr>
            <w:tcW w:w="2211"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液氮</w:t>
            </w:r>
          </w:p>
        </w:tc>
        <w:tc>
          <w:tcPr>
            <w:tcW w:w="1384"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m</w:t>
            </w:r>
            <w:r>
              <w:rPr>
                <w:rFonts w:ascii="Times New Roman" w:eastAsia="Times New Roman" w:cs="Times New Roman"/>
                <w:kern w:val="2"/>
                <w:sz w:val="21"/>
                <w:vertAlign w:val="superscript"/>
              </w:rPr>
              <w:t>3</w:t>
            </w:r>
          </w:p>
        </w:tc>
        <w:tc>
          <w:tcPr>
            <w:tcW w:w="1150"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p>
        </w:tc>
        <w:tc>
          <w:tcPr>
            <w:tcW w:w="2709"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p>
        </w:tc>
      </w:tr>
    </w:tbl>
    <w:p>
      <w:pPr>
        <w:pStyle w:val="114"/>
        <w:ind w:firstLine="0" w:firstLineChars="0"/>
        <w:outlineLvl w:val="2"/>
        <w:rPr>
          <w:b/>
          <w:bCs/>
        </w:rPr>
      </w:pPr>
      <w:r>
        <w:rPr>
          <w:b/>
          <w:bCs/>
        </w:rPr>
        <w:t xml:space="preserve">3.5.3 试采工程主要原辅材料 </w:t>
      </w:r>
    </w:p>
    <w:p>
      <w:pPr>
        <w:pStyle w:val="114"/>
        <w:ind w:firstLine="480"/>
      </w:pPr>
      <w:r>
        <w:t xml:space="preserve">试采工程主要原辅材料消耗情况见下表。 </w:t>
      </w:r>
    </w:p>
    <w:p>
      <w:pPr>
        <w:pStyle w:val="39"/>
        <w:rPr>
          <w:rFonts w:cs="Times New Roman"/>
        </w:rPr>
      </w:pPr>
      <w:r>
        <w:rPr>
          <w:rFonts w:cs="Times New Roman"/>
        </w:rPr>
        <w:t>3.</w:t>
      </w:r>
      <w:r>
        <w:rPr>
          <w:rFonts w:hint="eastAsia" w:cs="Times New Roman"/>
        </w:rPr>
        <w:t>5</w:t>
      </w:r>
      <w:r>
        <w:rPr>
          <w:rFonts w:cs="Times New Roman"/>
        </w:rPr>
        <w:t>-</w:t>
      </w:r>
      <w:r>
        <w:rPr>
          <w:rFonts w:hint="eastAsia" w:cs="Times New Roman"/>
        </w:rPr>
        <w:t>4</w:t>
      </w:r>
      <w:r>
        <w:rPr>
          <w:rFonts w:cs="Times New Roman"/>
        </w:rPr>
        <w:t xml:space="preserve"> 单井</w:t>
      </w:r>
      <w:r>
        <w:rPr>
          <w:rFonts w:hint="eastAsia" w:cs="Times New Roman"/>
          <w:lang w:eastAsia="zh-CN"/>
        </w:rPr>
        <w:t>采气工程</w:t>
      </w:r>
      <w:r>
        <w:rPr>
          <w:rFonts w:cs="Times New Roman"/>
        </w:rPr>
        <w:t>材料消耗一览表</w:t>
      </w:r>
    </w:p>
    <w:tbl>
      <w:tblPr>
        <w:tblStyle w:val="60"/>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5"/>
        <w:gridCol w:w="1754"/>
        <w:gridCol w:w="1747"/>
        <w:gridCol w:w="1746"/>
        <w:gridCol w:w="17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45"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序号</w:t>
            </w:r>
          </w:p>
        </w:tc>
        <w:tc>
          <w:tcPr>
            <w:tcW w:w="1754"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材料名称</w:t>
            </w:r>
          </w:p>
        </w:tc>
        <w:tc>
          <w:tcPr>
            <w:tcW w:w="1747"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单位</w:t>
            </w:r>
          </w:p>
        </w:tc>
        <w:tc>
          <w:tcPr>
            <w:tcW w:w="1746"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用量</w:t>
            </w:r>
          </w:p>
        </w:tc>
        <w:tc>
          <w:tcPr>
            <w:tcW w:w="1746"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45"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1</w:t>
            </w:r>
          </w:p>
        </w:tc>
        <w:tc>
          <w:tcPr>
            <w:tcW w:w="1754"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天然气</w:t>
            </w:r>
          </w:p>
        </w:tc>
        <w:tc>
          <w:tcPr>
            <w:tcW w:w="1747"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hint="eastAsia" w:ascii="Times New Roman" w:eastAsia="Times New Roman" w:cs="Times New Roman"/>
                <w:kern w:val="2"/>
                <w:sz w:val="21"/>
              </w:rPr>
              <w:t>10</w:t>
            </w:r>
            <w:r>
              <w:rPr>
                <w:rFonts w:hint="eastAsia" w:ascii="Times New Roman" w:eastAsia="Times New Roman" w:cs="Times New Roman"/>
                <w:kern w:val="2"/>
                <w:sz w:val="21"/>
                <w:vertAlign w:val="superscript"/>
              </w:rPr>
              <w:t>4</w:t>
            </w:r>
            <w:r>
              <w:rPr>
                <w:rFonts w:ascii="Times New Roman" w:eastAsia="Times New Roman" w:cs="Times New Roman"/>
                <w:kern w:val="2"/>
                <w:sz w:val="21"/>
              </w:rPr>
              <w:t>m</w:t>
            </w:r>
            <w:r>
              <w:rPr>
                <w:rFonts w:ascii="Times New Roman" w:eastAsia="Times New Roman" w:cs="Times New Roman"/>
                <w:kern w:val="2"/>
                <w:sz w:val="21"/>
                <w:vertAlign w:val="superscript"/>
              </w:rPr>
              <w:t>3</w:t>
            </w:r>
            <w:r>
              <w:rPr>
                <w:rFonts w:hint="eastAsia" w:ascii="Times New Roman" w:eastAsia="Times New Roman" w:cs="Times New Roman"/>
                <w:kern w:val="2"/>
                <w:sz w:val="21"/>
              </w:rPr>
              <w:t>/a</w:t>
            </w:r>
          </w:p>
        </w:tc>
        <w:tc>
          <w:tcPr>
            <w:tcW w:w="1746"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p>
        </w:tc>
        <w:tc>
          <w:tcPr>
            <w:tcW w:w="1746"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45"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2</w:t>
            </w:r>
          </w:p>
        </w:tc>
        <w:tc>
          <w:tcPr>
            <w:tcW w:w="1754"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ascii="Times New Roman" w:eastAsia="Times New Roman" w:cs="Times New Roman"/>
                <w:kern w:val="2"/>
                <w:sz w:val="21"/>
              </w:rPr>
              <w:t>电</w:t>
            </w:r>
          </w:p>
        </w:tc>
        <w:tc>
          <w:tcPr>
            <w:tcW w:w="1747"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r>
              <w:rPr>
                <w:rFonts w:hint="eastAsia" w:ascii="Times New Roman" w:eastAsia="Times New Roman" w:cs="Times New Roman"/>
                <w:kern w:val="2"/>
                <w:sz w:val="21"/>
              </w:rPr>
              <w:t>10</w:t>
            </w:r>
            <w:r>
              <w:rPr>
                <w:rFonts w:hint="eastAsia" w:ascii="Times New Roman" w:eastAsia="Times New Roman" w:cs="Times New Roman"/>
                <w:kern w:val="2"/>
                <w:sz w:val="21"/>
                <w:vertAlign w:val="superscript"/>
              </w:rPr>
              <w:t>4</w:t>
            </w:r>
            <w:r>
              <w:rPr>
                <w:rFonts w:hint="eastAsia" w:ascii="Times New Roman" w:eastAsia="Times New Roman" w:cs="Times New Roman"/>
                <w:kern w:val="2"/>
                <w:sz w:val="21"/>
              </w:rPr>
              <w:t>KW.h/a</w:t>
            </w:r>
          </w:p>
        </w:tc>
        <w:tc>
          <w:tcPr>
            <w:tcW w:w="1746"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p>
        </w:tc>
        <w:tc>
          <w:tcPr>
            <w:tcW w:w="1746" w:type="dxa"/>
            <w:tcBorders>
              <w:tl2br w:val="nil"/>
              <w:tr2bl w:val="nil"/>
            </w:tcBorders>
            <w:vAlign w:val="center"/>
          </w:tcPr>
          <w:p>
            <w:pPr>
              <w:topLinePunct w:val="0"/>
              <w:spacing w:line="240" w:lineRule="auto"/>
              <w:ind w:firstLine="0" w:firstLineChars="0"/>
              <w:jc w:val="center"/>
              <w:rPr>
                <w:rFonts w:ascii="Times New Roman" w:eastAsia="Times New Roman" w:cs="Times New Roman"/>
                <w:kern w:val="2"/>
                <w:sz w:val="21"/>
              </w:rPr>
            </w:pPr>
          </w:p>
        </w:tc>
      </w:tr>
    </w:tbl>
    <w:p>
      <w:pPr>
        <w:pStyle w:val="3"/>
        <w:spacing w:before="120"/>
        <w:rPr>
          <w:rFonts w:cs="Times New Roman"/>
        </w:rPr>
      </w:pPr>
      <w:bookmarkStart w:id="186" w:name="_Toc4182"/>
      <w:r>
        <w:rPr>
          <w:rFonts w:cs="Times New Roman"/>
        </w:rPr>
        <w:t>3.6场站工程、管线</w:t>
      </w:r>
      <w:bookmarkEnd w:id="186"/>
    </w:p>
    <w:p>
      <w:pPr>
        <w:pStyle w:val="114"/>
        <w:ind w:firstLine="480"/>
      </w:pPr>
      <w:r>
        <w:t>本项目站场主要工艺设备表见表3.6-1。</w:t>
      </w:r>
    </w:p>
    <w:p>
      <w:pPr>
        <w:pStyle w:val="39"/>
        <w:rPr>
          <w:rFonts w:cs="Times New Roman"/>
        </w:rPr>
      </w:pPr>
      <w:r>
        <w:rPr>
          <w:rFonts w:cs="Times New Roman"/>
        </w:rPr>
        <w:t>表3.6-1  本项目站场主要工艺设备表</w:t>
      </w:r>
    </w:p>
    <w:tbl>
      <w:tblPr>
        <w:tblStyle w:val="59"/>
        <w:tblW w:w="484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82"/>
        <w:gridCol w:w="3446"/>
        <w:gridCol w:w="1350"/>
        <w:gridCol w:w="815"/>
        <w:gridCol w:w="202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982" w:type="dxa"/>
            <w:tcBorders>
              <w:tl2br w:val="nil"/>
              <w:tr2bl w:val="nil"/>
            </w:tcBorders>
            <w:shd w:val="clear" w:color="auto" w:fill="FFFFFF"/>
            <w:tcMar>
              <w:top w:w="15" w:type="dxa"/>
              <w:left w:w="46" w:type="dxa"/>
              <w:bottom w:w="0" w:type="dxa"/>
              <w:right w:w="46"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
                <w:bCs/>
                <w:kern w:val="2"/>
                <w:sz w:val="21"/>
                <w:szCs w:val="21"/>
              </w:rPr>
              <w:t>序号</w:t>
            </w:r>
          </w:p>
        </w:tc>
        <w:tc>
          <w:tcPr>
            <w:tcW w:w="3446" w:type="dxa"/>
            <w:tcBorders>
              <w:tl2br w:val="nil"/>
              <w:tr2bl w:val="nil"/>
            </w:tcBorders>
            <w:shd w:val="clear" w:color="auto" w:fill="FFFFFF"/>
            <w:tcMar>
              <w:top w:w="15" w:type="dxa"/>
              <w:left w:w="46" w:type="dxa"/>
              <w:bottom w:w="0" w:type="dxa"/>
              <w:right w:w="46"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
                <w:bCs/>
                <w:kern w:val="2"/>
                <w:sz w:val="21"/>
                <w:szCs w:val="21"/>
              </w:rPr>
              <w:t>名称、型号及规格</w:t>
            </w:r>
          </w:p>
        </w:tc>
        <w:tc>
          <w:tcPr>
            <w:tcW w:w="1350" w:type="dxa"/>
            <w:tcBorders>
              <w:tl2br w:val="nil"/>
              <w:tr2bl w:val="nil"/>
            </w:tcBorders>
            <w:shd w:val="clear" w:color="auto" w:fill="FFFFFF"/>
            <w:tcMar>
              <w:top w:w="15" w:type="dxa"/>
              <w:left w:w="46" w:type="dxa"/>
              <w:bottom w:w="0" w:type="dxa"/>
              <w:right w:w="46"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
                <w:bCs/>
                <w:kern w:val="2"/>
                <w:sz w:val="21"/>
                <w:szCs w:val="21"/>
              </w:rPr>
              <w:t>单位</w:t>
            </w:r>
          </w:p>
        </w:tc>
        <w:tc>
          <w:tcPr>
            <w:tcW w:w="815" w:type="dxa"/>
            <w:tcBorders>
              <w:tl2br w:val="nil"/>
              <w:tr2bl w:val="nil"/>
            </w:tcBorders>
            <w:shd w:val="clear" w:color="auto" w:fill="FFFFFF"/>
            <w:tcMar>
              <w:top w:w="15" w:type="dxa"/>
              <w:left w:w="46" w:type="dxa"/>
              <w:bottom w:w="0" w:type="dxa"/>
              <w:right w:w="46"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
                <w:bCs/>
                <w:kern w:val="2"/>
                <w:sz w:val="21"/>
                <w:szCs w:val="21"/>
              </w:rPr>
              <w:t>数量</w:t>
            </w:r>
          </w:p>
        </w:tc>
        <w:tc>
          <w:tcPr>
            <w:tcW w:w="2023" w:type="dxa"/>
            <w:tcBorders>
              <w:tl2br w:val="nil"/>
              <w:tr2bl w:val="nil"/>
            </w:tcBorders>
            <w:shd w:val="clear" w:color="auto" w:fill="FFFFFF"/>
            <w:tcMar>
              <w:top w:w="15" w:type="dxa"/>
              <w:left w:w="46" w:type="dxa"/>
              <w:bottom w:w="0" w:type="dxa"/>
              <w:right w:w="46"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
                <w:bCs/>
                <w:kern w:val="2"/>
                <w:sz w:val="21"/>
                <w:szCs w:val="21"/>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8616" w:type="dxa"/>
            <w:gridSpan w:val="5"/>
            <w:tcBorders>
              <w:tl2br w:val="nil"/>
              <w:tr2bl w:val="nil"/>
            </w:tcBorders>
            <w:shd w:val="clear" w:color="auto" w:fill="FFFFFF"/>
            <w:tcMar>
              <w:top w:w="15" w:type="dxa"/>
              <w:left w:w="46" w:type="dxa"/>
              <w:bottom w:w="0" w:type="dxa"/>
              <w:right w:w="46" w:type="dxa"/>
            </w:tcMar>
            <w:vAlign w:val="center"/>
          </w:tcPr>
          <w:p>
            <w:pPr>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本项目站场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0" w:hRule="atLeast"/>
          <w:jc w:val="center"/>
        </w:trPr>
        <w:tc>
          <w:tcPr>
            <w:tcW w:w="982" w:type="dxa"/>
            <w:tcBorders>
              <w:tl2br w:val="nil"/>
              <w:tr2bl w:val="nil"/>
            </w:tcBorders>
            <w:shd w:val="clear" w:color="auto" w:fill="FFFFFF"/>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w:t>
            </w:r>
          </w:p>
        </w:tc>
        <w:tc>
          <w:tcPr>
            <w:tcW w:w="3446" w:type="dxa"/>
            <w:tcBorders>
              <w:tl2br w:val="nil"/>
              <w:tr2bl w:val="nil"/>
            </w:tcBorders>
            <w:shd w:val="clear" w:color="auto" w:fill="FFFFFF"/>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乙二醇加注橇</w:t>
            </w:r>
          </w:p>
        </w:tc>
        <w:tc>
          <w:tcPr>
            <w:tcW w:w="1350" w:type="dxa"/>
            <w:tcBorders>
              <w:tl2br w:val="nil"/>
              <w:tr2bl w:val="nil"/>
            </w:tcBorders>
            <w:shd w:val="clear" w:color="auto" w:fill="FFFFFF"/>
            <w:tcMar>
              <w:top w:w="15" w:type="dxa"/>
              <w:left w:w="46" w:type="dxa"/>
              <w:bottom w:w="0" w:type="dxa"/>
              <w:right w:w="46"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套</w:t>
            </w:r>
          </w:p>
        </w:tc>
        <w:tc>
          <w:tcPr>
            <w:tcW w:w="815" w:type="dxa"/>
            <w:tcBorders>
              <w:tl2br w:val="nil"/>
              <w:tr2bl w:val="nil"/>
            </w:tcBorders>
            <w:shd w:val="clear" w:color="auto" w:fill="FFFFFF"/>
            <w:tcMar>
              <w:top w:w="15" w:type="dxa"/>
              <w:left w:w="15" w:type="dxa"/>
              <w:bottom w:w="0" w:type="dxa"/>
              <w:right w:w="15"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w:t>
            </w:r>
          </w:p>
        </w:tc>
        <w:tc>
          <w:tcPr>
            <w:tcW w:w="2023" w:type="dxa"/>
            <w:tcBorders>
              <w:tl2br w:val="nil"/>
              <w:tr2bl w:val="nil"/>
            </w:tcBorders>
            <w:shd w:val="clear" w:color="auto" w:fill="FFFFFF"/>
            <w:tcMar>
              <w:top w:w="15" w:type="dxa"/>
              <w:left w:w="46" w:type="dxa"/>
              <w:right w:w="46" w:type="dxa"/>
            </w:tcMar>
            <w:vAlign w:val="center"/>
          </w:tcPr>
          <w:p>
            <w:pPr>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0" w:hRule="atLeast"/>
          <w:jc w:val="center"/>
        </w:trPr>
        <w:tc>
          <w:tcPr>
            <w:tcW w:w="982" w:type="dxa"/>
            <w:tcBorders>
              <w:tl2br w:val="nil"/>
              <w:tr2bl w:val="nil"/>
            </w:tcBorders>
            <w:shd w:val="clear" w:color="auto" w:fill="FFFFFF"/>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2</w:t>
            </w:r>
          </w:p>
        </w:tc>
        <w:tc>
          <w:tcPr>
            <w:tcW w:w="3446" w:type="dxa"/>
            <w:tcBorders>
              <w:tl2br w:val="nil"/>
              <w:tr2bl w:val="nil"/>
            </w:tcBorders>
            <w:shd w:val="clear" w:color="auto" w:fill="FFFFFF"/>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站内管网</w:t>
            </w:r>
          </w:p>
        </w:tc>
        <w:tc>
          <w:tcPr>
            <w:tcW w:w="1350" w:type="dxa"/>
            <w:tcBorders>
              <w:tl2br w:val="nil"/>
              <w:tr2bl w:val="nil"/>
            </w:tcBorders>
            <w:shd w:val="clear" w:color="auto" w:fill="FFFFFF"/>
            <w:tcMar>
              <w:top w:w="15" w:type="dxa"/>
              <w:left w:w="46" w:type="dxa"/>
              <w:bottom w:w="0" w:type="dxa"/>
              <w:right w:w="46"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套</w:t>
            </w:r>
          </w:p>
        </w:tc>
        <w:tc>
          <w:tcPr>
            <w:tcW w:w="815" w:type="dxa"/>
            <w:tcBorders>
              <w:tl2br w:val="nil"/>
              <w:tr2bl w:val="nil"/>
            </w:tcBorders>
            <w:shd w:val="clear" w:color="auto" w:fill="FFFFFF"/>
            <w:tcMar>
              <w:top w:w="15" w:type="dxa"/>
              <w:left w:w="15" w:type="dxa"/>
              <w:bottom w:w="0" w:type="dxa"/>
              <w:right w:w="15"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w:t>
            </w:r>
          </w:p>
        </w:tc>
        <w:tc>
          <w:tcPr>
            <w:tcW w:w="2023" w:type="dxa"/>
            <w:tcBorders>
              <w:tl2br w:val="nil"/>
              <w:tr2bl w:val="nil"/>
            </w:tcBorders>
            <w:shd w:val="clear" w:color="auto" w:fill="FFFFFF"/>
            <w:tcMar>
              <w:top w:w="15" w:type="dxa"/>
              <w:left w:w="46" w:type="dxa"/>
              <w:right w:w="46"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利旧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0" w:hRule="atLeast"/>
          <w:jc w:val="center"/>
        </w:trPr>
        <w:tc>
          <w:tcPr>
            <w:tcW w:w="982" w:type="dxa"/>
            <w:tcBorders>
              <w:tl2br w:val="nil"/>
              <w:tr2bl w:val="nil"/>
            </w:tcBorders>
            <w:shd w:val="clear" w:color="auto" w:fill="FFFFFF"/>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3</w:t>
            </w:r>
          </w:p>
        </w:tc>
        <w:tc>
          <w:tcPr>
            <w:tcW w:w="3446" w:type="dxa"/>
            <w:tcBorders>
              <w:tl2br w:val="nil"/>
              <w:tr2bl w:val="nil"/>
            </w:tcBorders>
            <w:shd w:val="clear" w:color="auto" w:fill="FFFFFF"/>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乙二醇加注装置（MIF）镍基（20MPa DN100）</w:t>
            </w:r>
          </w:p>
        </w:tc>
        <w:tc>
          <w:tcPr>
            <w:tcW w:w="1350" w:type="dxa"/>
            <w:tcBorders>
              <w:tl2br w:val="nil"/>
              <w:tr2bl w:val="nil"/>
            </w:tcBorders>
            <w:shd w:val="clear" w:color="auto" w:fill="FFFFFF"/>
            <w:tcMar>
              <w:top w:w="15" w:type="dxa"/>
              <w:left w:w="46" w:type="dxa"/>
              <w:bottom w:w="0" w:type="dxa"/>
              <w:right w:w="46"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套</w:t>
            </w:r>
          </w:p>
        </w:tc>
        <w:tc>
          <w:tcPr>
            <w:tcW w:w="815" w:type="dxa"/>
            <w:tcBorders>
              <w:tl2br w:val="nil"/>
              <w:tr2bl w:val="nil"/>
            </w:tcBorders>
            <w:shd w:val="clear" w:color="auto" w:fill="FFFFFF"/>
            <w:tcMar>
              <w:top w:w="15" w:type="dxa"/>
              <w:left w:w="15" w:type="dxa"/>
              <w:bottom w:w="0" w:type="dxa"/>
              <w:right w:w="15"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w:t>
            </w:r>
          </w:p>
        </w:tc>
        <w:tc>
          <w:tcPr>
            <w:tcW w:w="2023" w:type="dxa"/>
            <w:tcBorders>
              <w:tl2br w:val="nil"/>
              <w:tr2bl w:val="nil"/>
            </w:tcBorders>
            <w:shd w:val="clear" w:color="auto" w:fill="FFFFFF"/>
            <w:tcMar>
              <w:top w:w="15" w:type="dxa"/>
              <w:left w:w="46" w:type="dxa"/>
              <w:right w:w="46"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扩建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0" w:hRule="atLeast"/>
          <w:jc w:val="center"/>
        </w:trPr>
        <w:tc>
          <w:tcPr>
            <w:tcW w:w="982" w:type="dxa"/>
            <w:tcBorders>
              <w:tl2br w:val="nil"/>
              <w:tr2bl w:val="nil"/>
            </w:tcBorders>
            <w:shd w:val="clear" w:color="auto" w:fill="FFFFFF"/>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4</w:t>
            </w:r>
          </w:p>
        </w:tc>
        <w:tc>
          <w:tcPr>
            <w:tcW w:w="3446" w:type="dxa"/>
            <w:tcBorders>
              <w:tl2br w:val="nil"/>
              <w:tr2bl w:val="nil"/>
            </w:tcBorders>
            <w:shd w:val="clear" w:color="auto" w:fill="FFFFFF"/>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采气站管网（含镍基管材及常规管材、管件，无损检测等）</w:t>
            </w:r>
          </w:p>
        </w:tc>
        <w:tc>
          <w:tcPr>
            <w:tcW w:w="1350" w:type="dxa"/>
            <w:tcBorders>
              <w:tl2br w:val="nil"/>
              <w:tr2bl w:val="nil"/>
            </w:tcBorders>
            <w:shd w:val="clear" w:color="auto" w:fill="FFFFFF"/>
            <w:tcMar>
              <w:top w:w="15" w:type="dxa"/>
              <w:left w:w="46" w:type="dxa"/>
              <w:bottom w:w="0" w:type="dxa"/>
              <w:right w:w="46"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套</w:t>
            </w:r>
          </w:p>
        </w:tc>
        <w:tc>
          <w:tcPr>
            <w:tcW w:w="815" w:type="dxa"/>
            <w:tcBorders>
              <w:tl2br w:val="nil"/>
              <w:tr2bl w:val="nil"/>
            </w:tcBorders>
            <w:shd w:val="clear" w:color="auto" w:fill="FFFFFF"/>
            <w:tcMar>
              <w:top w:w="15" w:type="dxa"/>
              <w:left w:w="15" w:type="dxa"/>
              <w:bottom w:w="0" w:type="dxa"/>
              <w:right w:w="15"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w:t>
            </w:r>
          </w:p>
        </w:tc>
        <w:tc>
          <w:tcPr>
            <w:tcW w:w="2023" w:type="dxa"/>
            <w:tcBorders>
              <w:tl2br w:val="nil"/>
              <w:tr2bl w:val="nil"/>
            </w:tcBorders>
            <w:shd w:val="clear" w:color="auto" w:fill="FFFFFF"/>
            <w:tcMar>
              <w:top w:w="15" w:type="dxa"/>
              <w:left w:w="46" w:type="dxa"/>
              <w:right w:w="46"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扩建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0" w:hRule="atLeast"/>
          <w:jc w:val="center"/>
        </w:trPr>
        <w:tc>
          <w:tcPr>
            <w:tcW w:w="982" w:type="dxa"/>
            <w:tcBorders>
              <w:tl2br w:val="nil"/>
              <w:tr2bl w:val="nil"/>
            </w:tcBorders>
            <w:shd w:val="clear" w:color="auto" w:fill="FFFFFF"/>
            <w:vAlign w:val="center"/>
          </w:tcPr>
          <w:p>
            <w:pPr>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5</w:t>
            </w:r>
          </w:p>
        </w:tc>
        <w:tc>
          <w:tcPr>
            <w:tcW w:w="3446" w:type="dxa"/>
            <w:tcBorders>
              <w:tl2br w:val="nil"/>
              <w:tr2bl w:val="nil"/>
            </w:tcBorders>
            <w:shd w:val="clear" w:color="auto" w:fill="FFFFFF"/>
            <w:vAlign w:val="center"/>
          </w:tcPr>
          <w:p>
            <w:pPr>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酸液缓冲罐</w:t>
            </w:r>
          </w:p>
        </w:tc>
        <w:tc>
          <w:tcPr>
            <w:tcW w:w="1350" w:type="dxa"/>
            <w:tcBorders>
              <w:tl2br w:val="nil"/>
              <w:tr2bl w:val="nil"/>
            </w:tcBorders>
            <w:shd w:val="clear" w:color="auto" w:fill="FFFFFF"/>
            <w:tcMar>
              <w:top w:w="15" w:type="dxa"/>
              <w:left w:w="46" w:type="dxa"/>
              <w:bottom w:w="0" w:type="dxa"/>
              <w:right w:w="46" w:type="dxa"/>
            </w:tcMar>
            <w:vAlign w:val="center"/>
          </w:tcPr>
          <w:p>
            <w:pPr>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套</w:t>
            </w:r>
          </w:p>
        </w:tc>
        <w:tc>
          <w:tcPr>
            <w:tcW w:w="815" w:type="dxa"/>
            <w:tcBorders>
              <w:tl2br w:val="nil"/>
              <w:tr2bl w:val="nil"/>
            </w:tcBorders>
            <w:shd w:val="clear" w:color="auto" w:fill="FFFFFF"/>
            <w:tcMar>
              <w:top w:w="15" w:type="dxa"/>
              <w:left w:w="15" w:type="dxa"/>
              <w:bottom w:w="0" w:type="dxa"/>
              <w:right w:w="15" w:type="dxa"/>
            </w:tcMar>
            <w:vAlign w:val="center"/>
          </w:tcPr>
          <w:p>
            <w:pPr>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w:t>
            </w:r>
          </w:p>
        </w:tc>
        <w:tc>
          <w:tcPr>
            <w:tcW w:w="2023" w:type="dxa"/>
            <w:tcBorders>
              <w:tl2br w:val="nil"/>
              <w:tr2bl w:val="nil"/>
            </w:tcBorders>
            <w:shd w:val="clear" w:color="auto" w:fill="FFFFFF"/>
            <w:tcMar>
              <w:top w:w="15" w:type="dxa"/>
              <w:left w:w="46" w:type="dxa"/>
              <w:right w:w="46" w:type="dxa"/>
            </w:tcMar>
            <w:vAlign w:val="center"/>
          </w:tcPr>
          <w:p>
            <w:pPr>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0" w:hRule="atLeast"/>
          <w:jc w:val="center"/>
        </w:trPr>
        <w:tc>
          <w:tcPr>
            <w:tcW w:w="8616" w:type="dxa"/>
            <w:gridSpan w:val="5"/>
            <w:tcBorders>
              <w:tl2br w:val="nil"/>
              <w:tr2bl w:val="nil"/>
            </w:tcBorders>
            <w:shd w:val="clear" w:color="auto" w:fill="FFFFFF"/>
            <w:vAlign w:val="center"/>
          </w:tcPr>
          <w:p>
            <w:pPr>
              <w:spacing w:line="240" w:lineRule="auto"/>
              <w:ind w:firstLine="0" w:firstLineChars="0"/>
              <w:jc w:val="center"/>
              <w:rPr>
                <w:rFonts w:ascii="Times New Roman" w:cs="Times New Roman"/>
                <w:bCs/>
                <w:kern w:val="2"/>
                <w:sz w:val="21"/>
                <w:szCs w:val="21"/>
              </w:rPr>
            </w:pPr>
            <w:r>
              <w:rPr>
                <w:rFonts w:ascii="Times New Roman" w:cs="Times New Roman"/>
                <w:b/>
                <w:bCs/>
                <w:kern w:val="2"/>
                <w:sz w:val="21"/>
                <w:szCs w:val="21"/>
              </w:rPr>
              <w:t>P108集气站</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0" w:hRule="atLeast"/>
          <w:jc w:val="center"/>
        </w:trPr>
        <w:tc>
          <w:tcPr>
            <w:tcW w:w="982" w:type="dxa"/>
            <w:tcBorders>
              <w:tl2br w:val="nil"/>
              <w:tr2bl w:val="nil"/>
            </w:tcBorders>
            <w:shd w:val="clear" w:color="auto" w:fill="FFFFFF"/>
            <w:vAlign w:val="center"/>
          </w:tcPr>
          <w:p>
            <w:pPr>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6</w:t>
            </w:r>
          </w:p>
        </w:tc>
        <w:tc>
          <w:tcPr>
            <w:tcW w:w="3446" w:type="dxa"/>
            <w:tcBorders>
              <w:tl2br w:val="nil"/>
              <w:tr2bl w:val="nil"/>
            </w:tcBorders>
            <w:shd w:val="clear" w:color="auto" w:fill="FFFFFF"/>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加热炉 1000kW</w:t>
            </w:r>
          </w:p>
        </w:tc>
        <w:tc>
          <w:tcPr>
            <w:tcW w:w="1350" w:type="dxa"/>
            <w:tcBorders>
              <w:tl2br w:val="nil"/>
              <w:tr2bl w:val="nil"/>
            </w:tcBorders>
            <w:shd w:val="clear" w:color="auto" w:fill="FFFFFF"/>
            <w:tcMar>
              <w:top w:w="15" w:type="dxa"/>
              <w:left w:w="46" w:type="dxa"/>
              <w:bottom w:w="0" w:type="dxa"/>
              <w:right w:w="46" w:type="dxa"/>
            </w:tcMar>
          </w:tcPr>
          <w:p>
            <w:pPr>
              <w:spacing w:line="240" w:lineRule="auto"/>
              <w:ind w:firstLine="0" w:firstLineChars="0"/>
              <w:jc w:val="center"/>
              <w:rPr>
                <w:rFonts w:ascii="Times New Roman" w:cs="Times New Roman"/>
                <w:bCs/>
                <w:kern w:val="2"/>
                <w:sz w:val="21"/>
                <w:szCs w:val="21"/>
              </w:rPr>
            </w:pPr>
            <w:bookmarkStart w:id="187" w:name="OLE_LINK92"/>
            <w:bookmarkStart w:id="188" w:name="OLE_LINK91"/>
            <w:r>
              <w:rPr>
                <w:rFonts w:ascii="Times New Roman" w:cs="Times New Roman"/>
                <w:bCs/>
                <w:kern w:val="2"/>
                <w:sz w:val="21"/>
                <w:szCs w:val="21"/>
              </w:rPr>
              <w:t>套</w:t>
            </w:r>
            <w:bookmarkEnd w:id="187"/>
            <w:bookmarkEnd w:id="188"/>
          </w:p>
        </w:tc>
        <w:tc>
          <w:tcPr>
            <w:tcW w:w="815" w:type="dxa"/>
            <w:tcBorders>
              <w:tl2br w:val="nil"/>
              <w:tr2bl w:val="nil"/>
            </w:tcBorders>
            <w:shd w:val="clear" w:color="auto" w:fill="FFFFFF"/>
            <w:tcMar>
              <w:top w:w="15" w:type="dxa"/>
              <w:left w:w="15" w:type="dxa"/>
              <w:bottom w:w="0" w:type="dxa"/>
              <w:right w:w="15" w:type="dxa"/>
            </w:tcMa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w:t>
            </w:r>
          </w:p>
        </w:tc>
        <w:tc>
          <w:tcPr>
            <w:tcW w:w="2023" w:type="dxa"/>
            <w:tcBorders>
              <w:tl2br w:val="nil"/>
              <w:tr2bl w:val="nil"/>
            </w:tcBorders>
            <w:shd w:val="clear" w:color="auto" w:fill="FFFFFF"/>
            <w:tcMar>
              <w:top w:w="15" w:type="dxa"/>
              <w:left w:w="46" w:type="dxa"/>
              <w:right w:w="46" w:type="dxa"/>
            </w:tcMa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利旧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0" w:hRule="atLeast"/>
          <w:jc w:val="center"/>
        </w:trPr>
        <w:tc>
          <w:tcPr>
            <w:tcW w:w="982" w:type="dxa"/>
            <w:tcBorders>
              <w:tl2br w:val="nil"/>
              <w:tr2bl w:val="nil"/>
            </w:tcBorders>
            <w:shd w:val="clear" w:color="auto" w:fill="FFFFFF"/>
            <w:vAlign w:val="center"/>
          </w:tcPr>
          <w:p>
            <w:pPr>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7</w:t>
            </w:r>
          </w:p>
        </w:tc>
        <w:tc>
          <w:tcPr>
            <w:tcW w:w="3446" w:type="dxa"/>
            <w:tcBorders>
              <w:tl2br w:val="nil"/>
              <w:tr2bl w:val="nil"/>
            </w:tcBorders>
            <w:shd w:val="clear" w:color="auto" w:fill="FFFFFF"/>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计量分离器φ1200×6090mm PN14.4Mpa Q=100×10</w:t>
            </w:r>
            <w:r>
              <w:rPr>
                <w:rFonts w:ascii="Times New Roman" w:cs="Times New Roman"/>
                <w:bCs/>
                <w:kern w:val="2"/>
                <w:sz w:val="21"/>
                <w:szCs w:val="21"/>
                <w:vertAlign w:val="superscript"/>
              </w:rPr>
              <w:t>4</w:t>
            </w:r>
            <w:r>
              <w:rPr>
                <w:rFonts w:ascii="Times New Roman" w:cs="Times New Roman"/>
                <w:bCs/>
                <w:kern w:val="2"/>
                <w:sz w:val="21"/>
                <w:szCs w:val="21"/>
              </w:rPr>
              <w:t>m</w:t>
            </w:r>
            <w:r>
              <w:rPr>
                <w:rFonts w:ascii="Times New Roman" w:cs="Times New Roman"/>
                <w:bCs/>
                <w:kern w:val="2"/>
                <w:sz w:val="21"/>
                <w:szCs w:val="21"/>
                <w:vertAlign w:val="superscript"/>
              </w:rPr>
              <w:t>3</w:t>
            </w:r>
            <w:r>
              <w:rPr>
                <w:rFonts w:ascii="Times New Roman" w:cs="Times New Roman"/>
                <w:bCs/>
                <w:kern w:val="2"/>
                <w:sz w:val="21"/>
                <w:szCs w:val="21"/>
              </w:rPr>
              <w:t>/d</w:t>
            </w:r>
          </w:p>
        </w:tc>
        <w:tc>
          <w:tcPr>
            <w:tcW w:w="1350" w:type="dxa"/>
            <w:tcBorders>
              <w:tl2br w:val="nil"/>
              <w:tr2bl w:val="nil"/>
            </w:tcBorders>
            <w:shd w:val="clear" w:color="auto" w:fill="FFFFFF"/>
            <w:tcMar>
              <w:top w:w="15" w:type="dxa"/>
              <w:left w:w="46" w:type="dxa"/>
              <w:bottom w:w="0" w:type="dxa"/>
              <w:right w:w="46"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套</w:t>
            </w:r>
          </w:p>
        </w:tc>
        <w:tc>
          <w:tcPr>
            <w:tcW w:w="815" w:type="dxa"/>
            <w:tcBorders>
              <w:tl2br w:val="nil"/>
              <w:tr2bl w:val="nil"/>
            </w:tcBorders>
            <w:shd w:val="clear" w:color="auto" w:fill="FFFFFF"/>
            <w:tcMar>
              <w:top w:w="15" w:type="dxa"/>
              <w:left w:w="15" w:type="dxa"/>
              <w:bottom w:w="0" w:type="dxa"/>
              <w:right w:w="15"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w:t>
            </w:r>
          </w:p>
        </w:tc>
        <w:tc>
          <w:tcPr>
            <w:tcW w:w="2023" w:type="dxa"/>
            <w:tcBorders>
              <w:tl2br w:val="nil"/>
              <w:tr2bl w:val="nil"/>
            </w:tcBorders>
            <w:shd w:val="clear" w:color="auto" w:fill="FFFFFF"/>
            <w:tcMar>
              <w:top w:w="15" w:type="dxa"/>
              <w:left w:w="46" w:type="dxa"/>
              <w:right w:w="46"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利旧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0" w:hRule="atLeast"/>
          <w:jc w:val="center"/>
        </w:trPr>
        <w:tc>
          <w:tcPr>
            <w:tcW w:w="982" w:type="dxa"/>
            <w:tcBorders>
              <w:tl2br w:val="nil"/>
              <w:tr2bl w:val="nil"/>
            </w:tcBorders>
            <w:shd w:val="clear" w:color="auto" w:fill="FFFFFF"/>
            <w:vAlign w:val="center"/>
          </w:tcPr>
          <w:p>
            <w:pPr>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8</w:t>
            </w:r>
          </w:p>
        </w:tc>
        <w:tc>
          <w:tcPr>
            <w:tcW w:w="3446" w:type="dxa"/>
            <w:tcBorders>
              <w:tl2br w:val="nil"/>
              <w:tr2bl w:val="nil"/>
            </w:tcBorders>
            <w:shd w:val="clear" w:color="auto" w:fill="FFFFFF"/>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火炬分液罐撬φ1800×3600mm PN1.0Mpa Q=100×10</w:t>
            </w:r>
            <w:r>
              <w:rPr>
                <w:rFonts w:ascii="Times New Roman" w:cs="Times New Roman"/>
                <w:bCs/>
                <w:kern w:val="2"/>
                <w:sz w:val="21"/>
                <w:szCs w:val="21"/>
                <w:vertAlign w:val="superscript"/>
              </w:rPr>
              <w:t>4</w:t>
            </w:r>
            <w:r>
              <w:rPr>
                <w:rFonts w:ascii="Times New Roman" w:cs="Times New Roman"/>
                <w:bCs/>
                <w:kern w:val="2"/>
                <w:sz w:val="21"/>
                <w:szCs w:val="21"/>
              </w:rPr>
              <w:t>m</w:t>
            </w:r>
            <w:r>
              <w:rPr>
                <w:rFonts w:ascii="Times New Roman" w:cs="Times New Roman"/>
                <w:bCs/>
                <w:kern w:val="2"/>
                <w:sz w:val="21"/>
                <w:szCs w:val="21"/>
                <w:vertAlign w:val="superscript"/>
              </w:rPr>
              <w:t>3</w:t>
            </w:r>
            <w:r>
              <w:rPr>
                <w:rFonts w:ascii="Times New Roman" w:cs="Times New Roman"/>
                <w:bCs/>
                <w:kern w:val="2"/>
                <w:sz w:val="21"/>
                <w:szCs w:val="21"/>
              </w:rPr>
              <w:t>/d</w:t>
            </w:r>
          </w:p>
        </w:tc>
        <w:tc>
          <w:tcPr>
            <w:tcW w:w="1350" w:type="dxa"/>
            <w:tcBorders>
              <w:tl2br w:val="nil"/>
              <w:tr2bl w:val="nil"/>
            </w:tcBorders>
            <w:shd w:val="clear" w:color="auto" w:fill="FFFFFF"/>
            <w:tcMar>
              <w:top w:w="15" w:type="dxa"/>
              <w:left w:w="46" w:type="dxa"/>
              <w:bottom w:w="0" w:type="dxa"/>
              <w:right w:w="46"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套</w:t>
            </w:r>
          </w:p>
        </w:tc>
        <w:tc>
          <w:tcPr>
            <w:tcW w:w="815" w:type="dxa"/>
            <w:tcBorders>
              <w:tl2br w:val="nil"/>
              <w:tr2bl w:val="nil"/>
            </w:tcBorders>
            <w:shd w:val="clear" w:color="auto" w:fill="FFFFFF"/>
            <w:tcMar>
              <w:top w:w="15" w:type="dxa"/>
              <w:left w:w="15" w:type="dxa"/>
              <w:bottom w:w="0" w:type="dxa"/>
              <w:right w:w="15"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w:t>
            </w:r>
          </w:p>
        </w:tc>
        <w:tc>
          <w:tcPr>
            <w:tcW w:w="2023" w:type="dxa"/>
            <w:tcBorders>
              <w:tl2br w:val="nil"/>
              <w:tr2bl w:val="nil"/>
            </w:tcBorders>
            <w:shd w:val="clear" w:color="auto" w:fill="FFFFFF"/>
            <w:tcMar>
              <w:top w:w="15" w:type="dxa"/>
              <w:left w:w="46" w:type="dxa"/>
              <w:right w:w="46"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利旧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0" w:hRule="atLeast"/>
          <w:jc w:val="center"/>
        </w:trPr>
        <w:tc>
          <w:tcPr>
            <w:tcW w:w="982" w:type="dxa"/>
            <w:tcBorders>
              <w:tl2br w:val="nil"/>
              <w:tr2bl w:val="nil"/>
            </w:tcBorders>
            <w:shd w:val="clear" w:color="auto" w:fill="FFFFFF"/>
            <w:vAlign w:val="center"/>
          </w:tcPr>
          <w:p>
            <w:pPr>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9</w:t>
            </w:r>
          </w:p>
        </w:tc>
        <w:tc>
          <w:tcPr>
            <w:tcW w:w="3446" w:type="dxa"/>
            <w:tcBorders>
              <w:tl2br w:val="nil"/>
              <w:tr2bl w:val="nil"/>
            </w:tcBorders>
            <w:shd w:val="clear" w:color="auto" w:fill="FFFFFF"/>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高压火炬DN300 H=85m Q=3.125×10</w:t>
            </w:r>
            <w:r>
              <w:rPr>
                <w:rFonts w:ascii="Times New Roman" w:cs="Times New Roman"/>
                <w:bCs/>
                <w:kern w:val="2"/>
                <w:sz w:val="21"/>
                <w:szCs w:val="21"/>
                <w:vertAlign w:val="superscript"/>
              </w:rPr>
              <w:t>4</w:t>
            </w:r>
            <w:r>
              <w:rPr>
                <w:rFonts w:ascii="Times New Roman" w:cs="Times New Roman"/>
                <w:bCs/>
                <w:kern w:val="2"/>
                <w:sz w:val="21"/>
                <w:szCs w:val="21"/>
              </w:rPr>
              <w:t>Nm</w:t>
            </w:r>
            <w:r>
              <w:rPr>
                <w:rFonts w:ascii="Times New Roman" w:cs="Times New Roman"/>
                <w:bCs/>
                <w:kern w:val="2"/>
                <w:sz w:val="21"/>
                <w:szCs w:val="21"/>
                <w:vertAlign w:val="superscript"/>
              </w:rPr>
              <w:t>3</w:t>
            </w:r>
            <w:r>
              <w:rPr>
                <w:rFonts w:ascii="Times New Roman" w:cs="Times New Roman"/>
                <w:bCs/>
                <w:kern w:val="2"/>
                <w:sz w:val="21"/>
                <w:szCs w:val="21"/>
              </w:rPr>
              <w:t>/h</w:t>
            </w:r>
          </w:p>
        </w:tc>
        <w:tc>
          <w:tcPr>
            <w:tcW w:w="1350" w:type="dxa"/>
            <w:tcBorders>
              <w:tl2br w:val="nil"/>
              <w:tr2bl w:val="nil"/>
            </w:tcBorders>
            <w:shd w:val="clear" w:color="auto" w:fill="FFFFFF"/>
            <w:tcMar>
              <w:top w:w="15" w:type="dxa"/>
              <w:left w:w="46" w:type="dxa"/>
              <w:bottom w:w="0" w:type="dxa"/>
              <w:right w:w="46"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套</w:t>
            </w:r>
          </w:p>
        </w:tc>
        <w:tc>
          <w:tcPr>
            <w:tcW w:w="815" w:type="dxa"/>
            <w:tcBorders>
              <w:tl2br w:val="nil"/>
              <w:tr2bl w:val="nil"/>
            </w:tcBorders>
            <w:shd w:val="clear" w:color="auto" w:fill="FFFFFF"/>
            <w:tcMar>
              <w:top w:w="15" w:type="dxa"/>
              <w:left w:w="15" w:type="dxa"/>
              <w:bottom w:w="0" w:type="dxa"/>
              <w:right w:w="15"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w:t>
            </w:r>
          </w:p>
        </w:tc>
        <w:tc>
          <w:tcPr>
            <w:tcW w:w="2023" w:type="dxa"/>
            <w:tcBorders>
              <w:tl2br w:val="nil"/>
              <w:tr2bl w:val="nil"/>
            </w:tcBorders>
            <w:shd w:val="clear" w:color="auto" w:fill="FFFFFF"/>
            <w:tcMar>
              <w:top w:w="15" w:type="dxa"/>
              <w:left w:w="46" w:type="dxa"/>
              <w:right w:w="46"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利旧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0" w:hRule="atLeast"/>
          <w:jc w:val="center"/>
        </w:trPr>
        <w:tc>
          <w:tcPr>
            <w:tcW w:w="982" w:type="dxa"/>
            <w:tcBorders>
              <w:tl2br w:val="nil"/>
              <w:tr2bl w:val="nil"/>
            </w:tcBorders>
            <w:shd w:val="clear" w:color="auto" w:fill="FFFFFF"/>
            <w:vAlign w:val="center"/>
          </w:tcPr>
          <w:p>
            <w:pPr>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10</w:t>
            </w:r>
          </w:p>
        </w:tc>
        <w:tc>
          <w:tcPr>
            <w:tcW w:w="3446" w:type="dxa"/>
            <w:tcBorders>
              <w:tl2br w:val="nil"/>
              <w:tr2bl w:val="nil"/>
            </w:tcBorders>
            <w:shd w:val="clear" w:color="auto" w:fill="FFFFFF"/>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缓蚀剂加注撬块加热炉缓蚀剂加注泵Q=72L/d ΔP=20MPa</w:t>
            </w:r>
          </w:p>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外输管线缓蚀剂加注泵Q=72L/d ΔP=14.3MPa</w:t>
            </w:r>
          </w:p>
        </w:tc>
        <w:tc>
          <w:tcPr>
            <w:tcW w:w="1350" w:type="dxa"/>
            <w:tcBorders>
              <w:tl2br w:val="nil"/>
              <w:tr2bl w:val="nil"/>
            </w:tcBorders>
            <w:shd w:val="clear" w:color="auto" w:fill="FFFFFF"/>
            <w:tcMar>
              <w:top w:w="15" w:type="dxa"/>
              <w:left w:w="46" w:type="dxa"/>
              <w:bottom w:w="0" w:type="dxa"/>
              <w:right w:w="46"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套</w:t>
            </w:r>
          </w:p>
        </w:tc>
        <w:tc>
          <w:tcPr>
            <w:tcW w:w="815" w:type="dxa"/>
            <w:tcBorders>
              <w:tl2br w:val="nil"/>
              <w:tr2bl w:val="nil"/>
            </w:tcBorders>
            <w:shd w:val="clear" w:color="auto" w:fill="FFFFFF"/>
            <w:tcMar>
              <w:top w:w="15" w:type="dxa"/>
              <w:left w:w="15" w:type="dxa"/>
              <w:bottom w:w="0" w:type="dxa"/>
              <w:right w:w="15"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w:t>
            </w:r>
          </w:p>
        </w:tc>
        <w:tc>
          <w:tcPr>
            <w:tcW w:w="2023" w:type="dxa"/>
            <w:tcBorders>
              <w:tl2br w:val="nil"/>
              <w:tr2bl w:val="nil"/>
            </w:tcBorders>
            <w:shd w:val="clear" w:color="auto" w:fill="FFFFFF"/>
            <w:tcMar>
              <w:top w:w="15" w:type="dxa"/>
              <w:left w:w="46" w:type="dxa"/>
              <w:right w:w="46"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利旧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0" w:hRule="atLeast"/>
          <w:jc w:val="center"/>
        </w:trPr>
        <w:tc>
          <w:tcPr>
            <w:tcW w:w="982" w:type="dxa"/>
            <w:tcBorders>
              <w:tl2br w:val="nil"/>
              <w:tr2bl w:val="nil"/>
            </w:tcBorders>
            <w:shd w:val="clear" w:color="auto" w:fill="FFFFFF"/>
            <w:vAlign w:val="center"/>
          </w:tcPr>
          <w:p>
            <w:pPr>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11</w:t>
            </w:r>
          </w:p>
        </w:tc>
        <w:tc>
          <w:tcPr>
            <w:tcW w:w="3446" w:type="dxa"/>
            <w:tcBorders>
              <w:tl2br w:val="nil"/>
              <w:tr2bl w:val="nil"/>
            </w:tcBorders>
            <w:shd w:val="clear" w:color="auto" w:fill="FFFFFF"/>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燃料气调压分配撬块Q=3×10</w:t>
            </w:r>
            <w:r>
              <w:rPr>
                <w:rFonts w:ascii="Times New Roman" w:cs="Times New Roman"/>
                <w:bCs/>
                <w:kern w:val="2"/>
                <w:sz w:val="21"/>
                <w:szCs w:val="21"/>
                <w:vertAlign w:val="superscript"/>
              </w:rPr>
              <w:t>4</w:t>
            </w:r>
            <w:r>
              <w:rPr>
                <w:rFonts w:ascii="Times New Roman" w:cs="Times New Roman"/>
                <w:bCs/>
                <w:kern w:val="2"/>
                <w:sz w:val="21"/>
                <w:szCs w:val="21"/>
              </w:rPr>
              <w:t>m</w:t>
            </w:r>
            <w:r>
              <w:rPr>
                <w:rFonts w:ascii="Times New Roman" w:cs="Times New Roman"/>
                <w:bCs/>
                <w:kern w:val="2"/>
                <w:sz w:val="21"/>
                <w:szCs w:val="21"/>
                <w:vertAlign w:val="superscript"/>
              </w:rPr>
              <w:t>3</w:t>
            </w:r>
            <w:r>
              <w:rPr>
                <w:rFonts w:ascii="Times New Roman" w:cs="Times New Roman"/>
                <w:bCs/>
                <w:kern w:val="2"/>
                <w:sz w:val="21"/>
                <w:szCs w:val="21"/>
              </w:rPr>
              <w:t>/d</w:t>
            </w:r>
          </w:p>
        </w:tc>
        <w:tc>
          <w:tcPr>
            <w:tcW w:w="1350" w:type="dxa"/>
            <w:tcBorders>
              <w:tl2br w:val="nil"/>
              <w:tr2bl w:val="nil"/>
            </w:tcBorders>
            <w:shd w:val="clear" w:color="auto" w:fill="FFFFFF"/>
            <w:tcMar>
              <w:top w:w="15" w:type="dxa"/>
              <w:left w:w="46" w:type="dxa"/>
              <w:bottom w:w="0" w:type="dxa"/>
              <w:right w:w="46"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套</w:t>
            </w:r>
          </w:p>
        </w:tc>
        <w:tc>
          <w:tcPr>
            <w:tcW w:w="815" w:type="dxa"/>
            <w:tcBorders>
              <w:tl2br w:val="nil"/>
              <w:tr2bl w:val="nil"/>
            </w:tcBorders>
            <w:shd w:val="clear" w:color="auto" w:fill="FFFFFF"/>
            <w:tcMar>
              <w:top w:w="15" w:type="dxa"/>
              <w:left w:w="15" w:type="dxa"/>
              <w:bottom w:w="0" w:type="dxa"/>
              <w:right w:w="15"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w:t>
            </w:r>
          </w:p>
        </w:tc>
        <w:tc>
          <w:tcPr>
            <w:tcW w:w="2023" w:type="dxa"/>
            <w:tcBorders>
              <w:tl2br w:val="nil"/>
              <w:tr2bl w:val="nil"/>
            </w:tcBorders>
            <w:shd w:val="clear" w:color="auto" w:fill="FFFFFF"/>
            <w:tcMar>
              <w:top w:w="15" w:type="dxa"/>
              <w:left w:w="46" w:type="dxa"/>
              <w:right w:w="46"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利旧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0" w:hRule="atLeast"/>
          <w:jc w:val="center"/>
        </w:trPr>
        <w:tc>
          <w:tcPr>
            <w:tcW w:w="982" w:type="dxa"/>
            <w:tcBorders>
              <w:tl2br w:val="nil"/>
              <w:tr2bl w:val="nil"/>
            </w:tcBorders>
            <w:shd w:val="clear" w:color="auto" w:fill="FFFFFF"/>
            <w:vAlign w:val="center"/>
          </w:tcPr>
          <w:p>
            <w:pPr>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12</w:t>
            </w:r>
          </w:p>
        </w:tc>
        <w:tc>
          <w:tcPr>
            <w:tcW w:w="3446" w:type="dxa"/>
            <w:tcBorders>
              <w:tl2br w:val="nil"/>
              <w:tr2bl w:val="nil"/>
            </w:tcBorders>
            <w:shd w:val="clear" w:color="auto" w:fill="FFFFFF"/>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井口临时分酸分离器φ1200×4800mm</w:t>
            </w:r>
          </w:p>
        </w:tc>
        <w:tc>
          <w:tcPr>
            <w:tcW w:w="1350" w:type="dxa"/>
            <w:tcBorders>
              <w:tl2br w:val="nil"/>
              <w:tr2bl w:val="nil"/>
            </w:tcBorders>
            <w:shd w:val="clear" w:color="auto" w:fill="FFFFFF"/>
            <w:tcMar>
              <w:top w:w="15" w:type="dxa"/>
              <w:left w:w="46" w:type="dxa"/>
              <w:bottom w:w="0" w:type="dxa"/>
              <w:right w:w="46"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套</w:t>
            </w:r>
          </w:p>
        </w:tc>
        <w:tc>
          <w:tcPr>
            <w:tcW w:w="815" w:type="dxa"/>
            <w:tcBorders>
              <w:tl2br w:val="nil"/>
              <w:tr2bl w:val="nil"/>
            </w:tcBorders>
            <w:shd w:val="clear" w:color="auto" w:fill="FFFFFF"/>
            <w:tcMar>
              <w:top w:w="15" w:type="dxa"/>
              <w:left w:w="15" w:type="dxa"/>
              <w:bottom w:w="0" w:type="dxa"/>
              <w:right w:w="15"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w:t>
            </w:r>
          </w:p>
        </w:tc>
        <w:tc>
          <w:tcPr>
            <w:tcW w:w="2023" w:type="dxa"/>
            <w:tcBorders>
              <w:tl2br w:val="nil"/>
              <w:tr2bl w:val="nil"/>
            </w:tcBorders>
            <w:shd w:val="clear" w:color="auto" w:fill="FFFFFF"/>
            <w:tcMar>
              <w:top w:w="15" w:type="dxa"/>
              <w:left w:w="46" w:type="dxa"/>
              <w:right w:w="46"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利旧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0" w:hRule="atLeast"/>
          <w:jc w:val="center"/>
        </w:trPr>
        <w:tc>
          <w:tcPr>
            <w:tcW w:w="982" w:type="dxa"/>
            <w:tcBorders>
              <w:tl2br w:val="nil"/>
              <w:tr2bl w:val="nil"/>
            </w:tcBorders>
            <w:shd w:val="clear" w:color="auto" w:fill="FFFFFF"/>
            <w:vAlign w:val="center"/>
          </w:tcPr>
          <w:p>
            <w:pPr>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13</w:t>
            </w:r>
          </w:p>
        </w:tc>
        <w:tc>
          <w:tcPr>
            <w:tcW w:w="3446" w:type="dxa"/>
            <w:tcBorders>
              <w:tl2br w:val="nil"/>
              <w:tr2bl w:val="nil"/>
            </w:tcBorders>
            <w:shd w:val="clear" w:color="auto" w:fill="FFFFFF"/>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污水缓冲罐φ2000×8000mm</w:t>
            </w:r>
          </w:p>
        </w:tc>
        <w:tc>
          <w:tcPr>
            <w:tcW w:w="1350" w:type="dxa"/>
            <w:tcBorders>
              <w:tl2br w:val="nil"/>
              <w:tr2bl w:val="nil"/>
            </w:tcBorders>
            <w:shd w:val="clear" w:color="auto" w:fill="FFFFFF"/>
            <w:tcMar>
              <w:top w:w="15" w:type="dxa"/>
              <w:left w:w="46" w:type="dxa"/>
              <w:bottom w:w="0" w:type="dxa"/>
              <w:right w:w="46"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套</w:t>
            </w:r>
          </w:p>
        </w:tc>
        <w:tc>
          <w:tcPr>
            <w:tcW w:w="815" w:type="dxa"/>
            <w:tcBorders>
              <w:tl2br w:val="nil"/>
              <w:tr2bl w:val="nil"/>
            </w:tcBorders>
            <w:shd w:val="clear" w:color="auto" w:fill="FFFFFF"/>
            <w:tcMar>
              <w:top w:w="15" w:type="dxa"/>
              <w:left w:w="15" w:type="dxa"/>
              <w:bottom w:w="0" w:type="dxa"/>
              <w:right w:w="15"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w:t>
            </w:r>
          </w:p>
        </w:tc>
        <w:tc>
          <w:tcPr>
            <w:tcW w:w="2023" w:type="dxa"/>
            <w:tcBorders>
              <w:tl2br w:val="nil"/>
              <w:tr2bl w:val="nil"/>
            </w:tcBorders>
            <w:shd w:val="clear" w:color="auto" w:fill="FFFFFF"/>
            <w:tcMar>
              <w:top w:w="15" w:type="dxa"/>
              <w:left w:w="46" w:type="dxa"/>
              <w:right w:w="46"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利旧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0" w:hRule="atLeast"/>
          <w:jc w:val="center"/>
        </w:trPr>
        <w:tc>
          <w:tcPr>
            <w:tcW w:w="982" w:type="dxa"/>
            <w:tcBorders>
              <w:tl2br w:val="nil"/>
              <w:tr2bl w:val="nil"/>
            </w:tcBorders>
            <w:shd w:val="clear" w:color="auto" w:fill="FFFFFF"/>
            <w:vAlign w:val="center"/>
          </w:tcPr>
          <w:p>
            <w:pPr>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14</w:t>
            </w:r>
          </w:p>
        </w:tc>
        <w:tc>
          <w:tcPr>
            <w:tcW w:w="3446" w:type="dxa"/>
            <w:tcBorders>
              <w:tl2br w:val="nil"/>
              <w:tr2bl w:val="nil"/>
            </w:tcBorders>
            <w:shd w:val="clear" w:color="auto" w:fill="FFFFFF"/>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P108集气站管网</w:t>
            </w:r>
          </w:p>
        </w:tc>
        <w:tc>
          <w:tcPr>
            <w:tcW w:w="1350" w:type="dxa"/>
            <w:tcBorders>
              <w:tl2br w:val="nil"/>
              <w:tr2bl w:val="nil"/>
            </w:tcBorders>
            <w:shd w:val="clear" w:color="auto" w:fill="FFFFFF"/>
            <w:tcMar>
              <w:top w:w="15" w:type="dxa"/>
              <w:left w:w="46" w:type="dxa"/>
              <w:bottom w:w="0" w:type="dxa"/>
              <w:right w:w="46"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套</w:t>
            </w:r>
          </w:p>
        </w:tc>
        <w:tc>
          <w:tcPr>
            <w:tcW w:w="815" w:type="dxa"/>
            <w:tcBorders>
              <w:tl2br w:val="nil"/>
              <w:tr2bl w:val="nil"/>
            </w:tcBorders>
            <w:shd w:val="clear" w:color="auto" w:fill="FFFFFF"/>
            <w:tcMar>
              <w:top w:w="15" w:type="dxa"/>
              <w:left w:w="15" w:type="dxa"/>
              <w:bottom w:w="0" w:type="dxa"/>
              <w:right w:w="15"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w:t>
            </w:r>
          </w:p>
        </w:tc>
        <w:tc>
          <w:tcPr>
            <w:tcW w:w="2023" w:type="dxa"/>
            <w:tcBorders>
              <w:tl2br w:val="nil"/>
              <w:tr2bl w:val="nil"/>
            </w:tcBorders>
            <w:shd w:val="clear" w:color="auto" w:fill="FFFFFF"/>
            <w:tcMar>
              <w:top w:w="15" w:type="dxa"/>
              <w:left w:w="46" w:type="dxa"/>
              <w:right w:w="46" w:type="dxa"/>
            </w:tcMa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利旧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0" w:hRule="atLeast"/>
          <w:jc w:val="center"/>
        </w:trPr>
        <w:tc>
          <w:tcPr>
            <w:tcW w:w="8616" w:type="dxa"/>
            <w:gridSpan w:val="5"/>
            <w:tcBorders>
              <w:tl2br w:val="nil"/>
              <w:tr2bl w:val="nil"/>
            </w:tcBorders>
            <w:shd w:val="clear" w:color="auto" w:fill="FFFFFF"/>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站外管线（集气管道）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0" w:hRule="atLeast"/>
          <w:jc w:val="center"/>
        </w:trPr>
        <w:tc>
          <w:tcPr>
            <w:tcW w:w="982" w:type="dxa"/>
            <w:tcBorders>
              <w:tl2br w:val="nil"/>
              <w:tr2bl w:val="nil"/>
            </w:tcBorders>
            <w:shd w:val="clear" w:color="auto" w:fill="FFFFFF"/>
            <w:vAlign w:val="center"/>
          </w:tcPr>
          <w:p>
            <w:pPr>
              <w:spacing w:line="240" w:lineRule="auto"/>
              <w:ind w:firstLine="0" w:firstLineChars="0"/>
              <w:jc w:val="center"/>
              <w:rPr>
                <w:rFonts w:ascii="Times New Roman" w:cs="Times New Roman"/>
                <w:bCs/>
                <w:kern w:val="2"/>
                <w:sz w:val="21"/>
                <w:szCs w:val="21"/>
              </w:rPr>
            </w:pPr>
            <w:bookmarkStart w:id="189" w:name="_Hlk109856278"/>
            <w:r>
              <w:rPr>
                <w:rFonts w:ascii="Times New Roman" w:cs="Times New Roman"/>
                <w:bCs/>
                <w:kern w:val="2"/>
                <w:sz w:val="21"/>
                <w:szCs w:val="21"/>
              </w:rPr>
              <w:t>1</w:t>
            </w:r>
            <w:r>
              <w:rPr>
                <w:rFonts w:hint="eastAsia" w:ascii="Times New Roman" w:cs="Times New Roman"/>
                <w:bCs/>
                <w:kern w:val="2"/>
                <w:sz w:val="21"/>
                <w:szCs w:val="21"/>
              </w:rPr>
              <w:t>5</w:t>
            </w:r>
          </w:p>
        </w:tc>
        <w:tc>
          <w:tcPr>
            <w:tcW w:w="3446" w:type="dxa"/>
            <w:tcBorders>
              <w:tl2br w:val="nil"/>
              <w:tr2bl w:val="nil"/>
            </w:tcBorders>
            <w:shd w:val="clear" w:color="auto" w:fill="FFFFFF"/>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管线Φ114.3×（8+3）</w:t>
            </w:r>
          </w:p>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L360QS+ UNS NO8825</w:t>
            </w:r>
          </w:p>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复合管（机械复合）</w:t>
            </w:r>
          </w:p>
        </w:tc>
        <w:tc>
          <w:tcPr>
            <w:tcW w:w="1350" w:type="dxa"/>
            <w:tcBorders>
              <w:tl2br w:val="nil"/>
              <w:tr2bl w:val="nil"/>
            </w:tcBorders>
            <w:shd w:val="clear" w:color="auto" w:fill="FFFFFF"/>
            <w:tcMar>
              <w:top w:w="15" w:type="dxa"/>
              <w:left w:w="46" w:type="dxa"/>
              <w:bottom w:w="0" w:type="dxa"/>
              <w:right w:w="46"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km</w:t>
            </w:r>
          </w:p>
        </w:tc>
        <w:tc>
          <w:tcPr>
            <w:tcW w:w="815" w:type="dxa"/>
            <w:tcBorders>
              <w:tl2br w:val="nil"/>
              <w:tr2bl w:val="nil"/>
            </w:tcBorders>
            <w:shd w:val="clear" w:color="auto" w:fill="FFFFFF"/>
            <w:tcMar>
              <w:top w:w="15" w:type="dxa"/>
              <w:left w:w="15" w:type="dxa"/>
              <w:bottom w:w="0" w:type="dxa"/>
              <w:right w:w="15"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0.3</w:t>
            </w:r>
          </w:p>
        </w:tc>
        <w:tc>
          <w:tcPr>
            <w:tcW w:w="2023" w:type="dxa"/>
            <w:tcBorders>
              <w:tl2br w:val="nil"/>
              <w:tr2bl w:val="nil"/>
            </w:tcBorders>
            <w:shd w:val="clear" w:color="auto" w:fill="FFFFFF"/>
            <w:tcMar>
              <w:top w:w="15" w:type="dxa"/>
              <w:left w:w="46" w:type="dxa"/>
              <w:right w:w="46"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利旧</w:t>
            </w:r>
          </w:p>
        </w:tc>
      </w:tr>
      <w:bookmarkEnd w:id="189"/>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0" w:hRule="atLeast"/>
          <w:jc w:val="center"/>
        </w:trPr>
        <w:tc>
          <w:tcPr>
            <w:tcW w:w="982" w:type="dxa"/>
            <w:tcBorders>
              <w:tl2br w:val="nil"/>
              <w:tr2bl w:val="nil"/>
            </w:tcBorders>
            <w:shd w:val="clear" w:color="auto" w:fill="FFFFFF"/>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w:t>
            </w:r>
            <w:r>
              <w:rPr>
                <w:rFonts w:hint="eastAsia" w:ascii="Times New Roman" w:cs="Times New Roman"/>
                <w:bCs/>
                <w:kern w:val="2"/>
                <w:sz w:val="21"/>
                <w:szCs w:val="21"/>
              </w:rPr>
              <w:t>6</w:t>
            </w:r>
          </w:p>
        </w:tc>
        <w:tc>
          <w:tcPr>
            <w:tcW w:w="3446" w:type="dxa"/>
            <w:tcBorders>
              <w:tl2br w:val="nil"/>
              <w:tr2bl w:val="nil"/>
            </w:tcBorders>
            <w:shd w:val="clear" w:color="auto" w:fill="FFFFFF"/>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燃料管线（φ60.3×5GB/T 8163-20无缝钢管）</w:t>
            </w:r>
          </w:p>
        </w:tc>
        <w:tc>
          <w:tcPr>
            <w:tcW w:w="1350" w:type="dxa"/>
            <w:tcBorders>
              <w:tl2br w:val="nil"/>
              <w:tr2bl w:val="nil"/>
            </w:tcBorders>
            <w:shd w:val="clear" w:color="auto" w:fill="FFFFFF"/>
            <w:tcMar>
              <w:top w:w="15" w:type="dxa"/>
              <w:left w:w="46" w:type="dxa"/>
              <w:bottom w:w="0" w:type="dxa"/>
              <w:right w:w="46"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km</w:t>
            </w:r>
          </w:p>
        </w:tc>
        <w:tc>
          <w:tcPr>
            <w:tcW w:w="815" w:type="dxa"/>
            <w:tcBorders>
              <w:tl2br w:val="nil"/>
              <w:tr2bl w:val="nil"/>
            </w:tcBorders>
            <w:shd w:val="clear" w:color="auto" w:fill="FFFFFF"/>
            <w:tcMar>
              <w:top w:w="15" w:type="dxa"/>
              <w:left w:w="15" w:type="dxa"/>
              <w:bottom w:w="0" w:type="dxa"/>
              <w:right w:w="15"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0.3</w:t>
            </w:r>
          </w:p>
        </w:tc>
        <w:tc>
          <w:tcPr>
            <w:tcW w:w="2023" w:type="dxa"/>
            <w:tcBorders>
              <w:tl2br w:val="nil"/>
              <w:tr2bl w:val="nil"/>
            </w:tcBorders>
            <w:shd w:val="clear" w:color="auto" w:fill="FFFFFF"/>
            <w:tcMar>
              <w:top w:w="15" w:type="dxa"/>
              <w:left w:w="46" w:type="dxa"/>
              <w:right w:w="46" w:type="dxa"/>
            </w:tcMar>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利旧</w:t>
            </w:r>
          </w:p>
        </w:tc>
      </w:tr>
    </w:tbl>
    <w:p>
      <w:pPr>
        <w:pStyle w:val="3"/>
        <w:spacing w:before="120"/>
        <w:rPr>
          <w:rFonts w:cs="Times New Roman"/>
        </w:rPr>
      </w:pPr>
      <w:bookmarkStart w:id="190" w:name="_Toc15740"/>
      <w:bookmarkStart w:id="191" w:name="_Toc19815956"/>
      <w:bookmarkStart w:id="192" w:name="_Toc12288400"/>
      <w:r>
        <w:rPr>
          <w:rFonts w:cs="Times New Roman"/>
        </w:rPr>
        <w:t>3.7 线路工程</w:t>
      </w:r>
      <w:bookmarkEnd w:id="190"/>
      <w:bookmarkEnd w:id="191"/>
      <w:bookmarkEnd w:id="192"/>
    </w:p>
    <w:p>
      <w:pPr>
        <w:pStyle w:val="4"/>
        <w:rPr>
          <w:rFonts w:eastAsia="宋体"/>
        </w:rPr>
      </w:pPr>
      <w:r>
        <w:rPr>
          <w:rFonts w:eastAsia="宋体"/>
        </w:rPr>
        <w:t>3.7.1 依托管线线路走向</w:t>
      </w:r>
    </w:p>
    <w:p>
      <w:pPr>
        <w:pStyle w:val="114"/>
        <w:ind w:firstLine="480"/>
      </w:pPr>
      <w:r>
        <w:t>（1）依托P108集气站~11#阀室集气管道</w:t>
      </w:r>
    </w:p>
    <w:p>
      <w:pPr>
        <w:pStyle w:val="114"/>
        <w:ind w:firstLine="480"/>
      </w:pPr>
      <w:r>
        <w:t>P108集气站处于普光镇</w:t>
      </w:r>
      <w:r>
        <w:rPr>
          <w:rFonts w:hint="eastAsia"/>
        </w:rPr>
        <w:t>塔娅村</w:t>
      </w:r>
      <w:r>
        <w:t>，11#阀室位于</w:t>
      </w:r>
      <w:bookmarkStart w:id="193" w:name="OLE_LINK247"/>
      <w:bookmarkStart w:id="194" w:name="OLE_LINK249"/>
      <w:r>
        <w:t>P108集气站</w:t>
      </w:r>
      <w:bookmarkEnd w:id="193"/>
      <w:bookmarkEnd w:id="194"/>
      <w:r>
        <w:t>东侧约300m处。依托采气管线从P108集气站出站后，向东下山坡的进入</w:t>
      </w:r>
      <w:bookmarkStart w:id="195" w:name="OLE_LINK255"/>
      <w:bookmarkStart w:id="196" w:name="OLE_LINK250"/>
      <w:r>
        <w:t>11#阀室</w:t>
      </w:r>
      <w:bookmarkEnd w:id="195"/>
      <w:bookmarkEnd w:id="196"/>
      <w:r>
        <w:t>，站外管线长度300m，经过地段为山区缓坡地段。</w:t>
      </w:r>
    </w:p>
    <w:p>
      <w:pPr>
        <w:pStyle w:val="114"/>
        <w:ind w:firstLine="480"/>
      </w:pPr>
      <w:r>
        <w:t>（2）</w:t>
      </w:r>
      <w:bookmarkStart w:id="197" w:name="OLE_LINK42"/>
      <w:bookmarkStart w:id="198" w:name="OLE_LINK41"/>
      <w:r>
        <w:t>依托燃料管线</w:t>
      </w:r>
      <w:bookmarkEnd w:id="197"/>
      <w:bookmarkEnd w:id="198"/>
    </w:p>
    <w:p>
      <w:pPr>
        <w:ind w:firstLine="480"/>
        <w:rPr>
          <w:rFonts w:ascii="Times New Roman" w:cs="Times New Roman"/>
        </w:rPr>
      </w:pPr>
      <w:r>
        <w:rPr>
          <w:rFonts w:ascii="Times New Roman" w:cs="Times New Roman"/>
        </w:rPr>
        <w:t>依托燃气返输管线，燃料气管线</w:t>
      </w:r>
      <w:bookmarkStart w:id="199" w:name="OLE_LINK46"/>
      <w:r>
        <w:rPr>
          <w:rFonts w:ascii="Times New Roman" w:cs="Times New Roman"/>
          <w:bCs/>
        </w:rPr>
        <w:t>φ60.3×5GB/T 8163-20无缝钢管</w:t>
      </w:r>
      <w:r>
        <w:rPr>
          <w:rFonts w:ascii="Times New Roman" w:cs="Times New Roman"/>
        </w:rPr>
        <w:t>，设计压力4MPa</w:t>
      </w:r>
      <w:bookmarkEnd w:id="199"/>
      <w:r>
        <w:rPr>
          <w:rFonts w:ascii="Times New Roman" w:cs="Times New Roman"/>
        </w:rPr>
        <w:t>，燃料气管线与集气管道同沟敷设，从11#阀室出来后，沿着集气管道的路由输送到P108集气站站。</w:t>
      </w:r>
    </w:p>
    <w:bookmarkEnd w:id="143"/>
    <w:bookmarkEnd w:id="144"/>
    <w:bookmarkEnd w:id="145"/>
    <w:p>
      <w:pPr>
        <w:pStyle w:val="3"/>
        <w:spacing w:before="120"/>
        <w:rPr>
          <w:rFonts w:cs="Times New Roman"/>
        </w:rPr>
      </w:pPr>
      <w:bookmarkStart w:id="200" w:name="bookmark16"/>
      <w:bookmarkEnd w:id="200"/>
      <w:bookmarkStart w:id="201" w:name="bookmark17"/>
      <w:bookmarkEnd w:id="201"/>
      <w:bookmarkStart w:id="202" w:name="_Toc16168"/>
      <w:bookmarkStart w:id="203" w:name="_Toc12288443"/>
      <w:bookmarkStart w:id="204" w:name="_Toc19815966"/>
      <w:bookmarkStart w:id="205" w:name="_Toc12288450"/>
      <w:r>
        <w:rPr>
          <w:rFonts w:cs="Times New Roman"/>
        </w:rPr>
        <w:t>3.8 辅助工程</w:t>
      </w:r>
      <w:bookmarkEnd w:id="202"/>
      <w:bookmarkEnd w:id="203"/>
      <w:bookmarkEnd w:id="204"/>
      <w:bookmarkStart w:id="206" w:name="bookmark18"/>
      <w:bookmarkEnd w:id="206"/>
      <w:bookmarkStart w:id="207" w:name="_Toc438796864"/>
      <w:bookmarkStart w:id="208" w:name="_Toc520234419"/>
    </w:p>
    <w:bookmarkEnd w:id="207"/>
    <w:bookmarkEnd w:id="208"/>
    <w:p>
      <w:pPr>
        <w:pStyle w:val="4"/>
        <w:rPr>
          <w:rFonts w:eastAsia="宋体"/>
        </w:rPr>
      </w:pPr>
      <w:r>
        <w:rPr>
          <w:rFonts w:eastAsia="宋体"/>
        </w:rPr>
        <w:t>3.8.1 自动控制</w:t>
      </w:r>
    </w:p>
    <w:p>
      <w:pPr>
        <w:pStyle w:val="114"/>
        <w:ind w:firstLine="482"/>
        <w:rPr>
          <w:b/>
          <w:bCs/>
        </w:rPr>
      </w:pPr>
      <w:r>
        <w:rPr>
          <w:b/>
          <w:bCs/>
        </w:rPr>
        <w:t>1、新建站场</w:t>
      </w:r>
    </w:p>
    <w:p>
      <w:pPr>
        <w:pStyle w:val="114"/>
        <w:ind w:firstLine="480"/>
      </w:pPr>
      <w:r>
        <w:t>本项目站场新建站控系统，站控系统（SCS）共分为两部分：过程控制系统（PCS）和安全仪表系统（SIS）。安全仪表系统还包括火气检测系统（FGS）和紧急关断系统（ESD）2个子系统，两个系统采用独立的I/O卡件。PCS负责工艺流程的监测和控制，SIS负责安全联锁保护。</w:t>
      </w:r>
    </w:p>
    <w:p>
      <w:pPr>
        <w:pStyle w:val="114"/>
        <w:ind w:firstLine="482"/>
        <w:rPr>
          <w:b/>
          <w:bCs/>
        </w:rPr>
      </w:pPr>
      <w:r>
        <w:rPr>
          <w:b/>
          <w:bCs/>
        </w:rPr>
        <w:t>2、净化厂中控室</w:t>
      </w:r>
    </w:p>
    <w:p>
      <w:pPr>
        <w:pStyle w:val="114"/>
        <w:ind w:firstLine="480"/>
      </w:pPr>
      <w:r>
        <w:t>普光气田集输系统的控制中心为已建，设置在脱硫净化厂的中控室，本次设计对中控室系统进行扩容，将本项目站场的信号纳入SCADA系统，并修改SCADA系统的ESD因果逻辑，完成新增集气站的数据采集监控和安全保护功能。</w:t>
      </w:r>
    </w:p>
    <w:p>
      <w:pPr>
        <w:pStyle w:val="4"/>
        <w:rPr>
          <w:rFonts w:eastAsia="宋体"/>
        </w:rPr>
      </w:pPr>
      <w:r>
        <w:rPr>
          <w:rFonts w:eastAsia="宋体"/>
        </w:rPr>
        <w:t>3.8.2 通信工程</w:t>
      </w:r>
    </w:p>
    <w:p>
      <w:pPr>
        <w:pStyle w:val="114"/>
        <w:ind w:firstLine="480"/>
      </w:pPr>
      <w:r>
        <w:t>主要包括光缆线路，光传输系统，工业以太网，站场广播对讲系统（PA/GA），工业电视监控系统，周界报警系统，办公网及语音系统，气象系统，紧急疏散广播系统扩容，通信基站。</w:t>
      </w:r>
    </w:p>
    <w:p>
      <w:pPr>
        <w:pStyle w:val="114"/>
        <w:ind w:firstLine="480"/>
      </w:pPr>
      <w:r>
        <w:t>依托现有光缆1条24芯GYTA-24B1光缆，从井场出发，沿输气管道同沟敷设，穿硅芯管保护至</w:t>
      </w:r>
      <w:bookmarkStart w:id="209" w:name="OLE_LINK116"/>
      <w:bookmarkStart w:id="210" w:name="OLE_LINK115"/>
      <w:r>
        <w:t>P108集气站</w:t>
      </w:r>
      <w:bookmarkEnd w:id="209"/>
      <w:bookmarkEnd w:id="210"/>
      <w:r>
        <w:t>。</w:t>
      </w:r>
    </w:p>
    <w:p>
      <w:pPr>
        <w:pStyle w:val="3"/>
        <w:spacing w:before="120"/>
        <w:rPr>
          <w:rFonts w:cs="Times New Roman"/>
        </w:rPr>
      </w:pPr>
      <w:bookmarkStart w:id="211" w:name="_Toc14522"/>
      <w:bookmarkStart w:id="212" w:name="_Toc19815971"/>
      <w:r>
        <w:rPr>
          <w:rFonts w:cs="Times New Roman"/>
        </w:rPr>
        <w:t>3.9 公用工程</w:t>
      </w:r>
      <w:bookmarkEnd w:id="205"/>
      <w:bookmarkEnd w:id="211"/>
      <w:bookmarkEnd w:id="212"/>
    </w:p>
    <w:p>
      <w:pPr>
        <w:pStyle w:val="4"/>
        <w:rPr>
          <w:rFonts w:eastAsia="宋体"/>
        </w:rPr>
      </w:pPr>
      <w:bookmarkStart w:id="213" w:name="_Toc12288451"/>
      <w:bookmarkStart w:id="214" w:name="_Toc19815972"/>
      <w:r>
        <w:rPr>
          <w:rFonts w:eastAsia="宋体"/>
        </w:rPr>
        <w:t>3.9.1 给排水</w:t>
      </w:r>
      <w:bookmarkEnd w:id="213"/>
      <w:bookmarkEnd w:id="214"/>
    </w:p>
    <w:p>
      <w:pPr>
        <w:pStyle w:val="6"/>
        <w:ind w:firstLine="482"/>
        <w:rPr>
          <w:rFonts w:ascii="Times New Roman" w:cs="Times New Roman"/>
          <w:b/>
        </w:rPr>
      </w:pPr>
      <w:r>
        <w:rPr>
          <w:rFonts w:ascii="Times New Roman" w:cs="Times New Roman"/>
          <w:b/>
        </w:rPr>
        <w:t>1、给水</w:t>
      </w:r>
    </w:p>
    <w:p>
      <w:pPr>
        <w:pStyle w:val="6"/>
        <w:ind w:firstLine="480"/>
        <w:rPr>
          <w:rFonts w:ascii="Times New Roman" w:cs="Times New Roman"/>
        </w:rPr>
      </w:pPr>
      <w:r>
        <w:rPr>
          <w:rFonts w:ascii="Times New Roman" w:cs="Times New Roman"/>
        </w:rPr>
        <w:t>本项目站场生活、生产用水采用罐车拉水的方式，车拉水卸至站场高架水箱，由水箱供给单井站生产生活用水。</w:t>
      </w:r>
    </w:p>
    <w:p>
      <w:pPr>
        <w:pStyle w:val="6"/>
        <w:ind w:firstLine="482"/>
        <w:rPr>
          <w:rFonts w:ascii="Times New Roman" w:cs="Times New Roman"/>
          <w:b/>
        </w:rPr>
      </w:pPr>
      <w:bookmarkStart w:id="215" w:name="_Toc12288452"/>
      <w:r>
        <w:rPr>
          <w:rFonts w:ascii="Times New Roman" w:cs="Times New Roman"/>
          <w:b/>
        </w:rPr>
        <w:t>2、排水</w:t>
      </w:r>
      <w:bookmarkEnd w:id="215"/>
    </w:p>
    <w:p>
      <w:pPr>
        <w:pStyle w:val="6"/>
        <w:ind w:firstLine="480"/>
        <w:rPr>
          <w:rFonts w:ascii="Times New Roman" w:cs="Times New Roman"/>
        </w:rPr>
      </w:pPr>
      <w:r>
        <w:rPr>
          <w:rFonts w:ascii="Times New Roman" w:cs="Times New Roman"/>
        </w:rPr>
        <w:t>施工期</w:t>
      </w:r>
      <w:r>
        <w:rPr>
          <w:rFonts w:hint="eastAsia" w:ascii="Times New Roman" w:cs="Times New Roman"/>
          <w:spacing w:val="-8"/>
          <w:szCs w:val="21"/>
          <w:lang w:eastAsia="zh-CN"/>
        </w:rPr>
        <w:t>人员</w:t>
      </w:r>
      <w:r>
        <w:rPr>
          <w:rFonts w:ascii="Times New Roman" w:cs="Times New Roman"/>
          <w:spacing w:val="-8"/>
          <w:szCs w:val="21"/>
        </w:rPr>
        <w:t>生活污水依托经</w:t>
      </w:r>
      <w:r>
        <w:rPr>
          <w:rFonts w:ascii="Times New Roman" w:cs="Times New Roman"/>
          <w:bCs/>
          <w:spacing w:val="-8"/>
          <w:szCs w:val="21"/>
        </w:rPr>
        <w:t>生态环保厕所收集处理</w:t>
      </w:r>
      <w:r>
        <w:rPr>
          <w:rFonts w:ascii="Times New Roman" w:cs="Times New Roman"/>
        </w:rPr>
        <w:t>后，用作周边农肥，不外排；员工洗澡、食堂废水经单独收集后拉运至普光镇场镇污水处理厂处理；</w:t>
      </w:r>
      <w:r>
        <w:rPr>
          <w:rFonts w:hint="eastAsia" w:ascii="Times New Roman" w:cs="Times New Roman"/>
        </w:rPr>
        <w:t>场内</w:t>
      </w:r>
      <w:r>
        <w:rPr>
          <w:rFonts w:ascii="Times New Roman" w:cs="Times New Roman"/>
        </w:rPr>
        <w:t>雨水</w:t>
      </w:r>
      <w:r>
        <w:rPr>
          <w:rFonts w:hint="eastAsia" w:ascii="Times New Roman" w:cs="Times New Roman"/>
        </w:rPr>
        <w:t>经场内排污沟收集后暂存于废水池，场外雨水经截排水沟排向道路边沟或原有自然冲沟</w:t>
      </w:r>
      <w:r>
        <w:rPr>
          <w:rFonts w:ascii="Times New Roman" w:cs="Times New Roman"/>
        </w:rPr>
        <w:t>。</w:t>
      </w:r>
    </w:p>
    <w:p>
      <w:pPr>
        <w:pStyle w:val="4"/>
        <w:rPr>
          <w:rFonts w:eastAsia="宋体"/>
        </w:rPr>
      </w:pPr>
      <w:r>
        <w:rPr>
          <w:rFonts w:eastAsia="宋体"/>
        </w:rPr>
        <w:t>3.9.2 消防</w:t>
      </w:r>
    </w:p>
    <w:p>
      <w:pPr>
        <w:pStyle w:val="114"/>
        <w:ind w:firstLine="480"/>
      </w:pPr>
      <w:r>
        <w:t>根据《石油天然气工程设计防火规范》（GB50183-2004）及《建筑灭火器配置设计规范》（GB50140-2005）的要求，本项目站场可不设消防给水系统。</w:t>
      </w:r>
    </w:p>
    <w:p>
      <w:pPr>
        <w:pStyle w:val="114"/>
        <w:ind w:firstLine="480"/>
      </w:pPr>
      <w:r>
        <w:t>在集气站内配置一定数量的手提式及推车式磷酸铵盐干粉和二氧化碳灭火器，以便火灾发生时随时启用扑救。并在工艺装置区配置消防沙箱等消防器材。便于及时扑救火灾。</w:t>
      </w:r>
    </w:p>
    <w:p>
      <w:pPr>
        <w:pStyle w:val="4"/>
        <w:rPr>
          <w:rFonts w:eastAsia="宋体"/>
        </w:rPr>
      </w:pPr>
      <w:bookmarkStart w:id="216" w:name="_Toc19815973"/>
      <w:bookmarkStart w:id="217" w:name="_Toc12288453"/>
      <w:r>
        <w:rPr>
          <w:rFonts w:eastAsia="宋体"/>
        </w:rPr>
        <w:t>3.9.3 供配电及防雷、防静电和接地</w:t>
      </w:r>
      <w:bookmarkEnd w:id="216"/>
      <w:bookmarkEnd w:id="217"/>
    </w:p>
    <w:p>
      <w:pPr>
        <w:pStyle w:val="114"/>
        <w:ind w:firstLine="482"/>
        <w:rPr>
          <w:b/>
        </w:rPr>
      </w:pPr>
      <w:r>
        <w:rPr>
          <w:b/>
        </w:rPr>
        <w:t>1、供配电</w:t>
      </w:r>
    </w:p>
    <w:p>
      <w:pPr>
        <w:pStyle w:val="114"/>
        <w:ind w:firstLine="480"/>
      </w:pPr>
      <w:r>
        <w:t>在站内设电力小屋1座，内设35kV高压开关柜、干式变压器柜、低压配电柜和UPS装置。变压器容量为125kVA，冗余式UPS容量为380V、30kVA，后备时间为1h。</w:t>
      </w:r>
    </w:p>
    <w:p>
      <w:pPr>
        <w:pStyle w:val="114"/>
        <w:ind w:firstLine="482"/>
      </w:pPr>
      <w:bookmarkStart w:id="218" w:name="_Toc12288454"/>
      <w:r>
        <w:rPr>
          <w:b/>
        </w:rPr>
        <w:t>2、</w:t>
      </w:r>
      <w:bookmarkEnd w:id="218"/>
      <w:r>
        <w:rPr>
          <w:b/>
        </w:rPr>
        <w:t>防雷、防静电设计</w:t>
      </w:r>
    </w:p>
    <w:p>
      <w:pPr>
        <w:pStyle w:val="114"/>
        <w:ind w:firstLine="480"/>
      </w:pPr>
      <w:r>
        <w:t>为防止雷电波侵入过电压，在进线电源柜内安装并联式电涌保护器，UPS的进线侧安装电涌保护器。工艺装置区内布置的塔、容器等，当顶板厚度等于或大于4mm时，不设避雷针保护，但必须设防雷接地。</w:t>
      </w:r>
    </w:p>
    <w:p>
      <w:pPr>
        <w:pStyle w:val="114"/>
        <w:ind w:firstLine="480"/>
      </w:pPr>
      <w:r>
        <w:t>站内采用联合接地网配置，所有的电气设备工作接地和保护接地、建筑物的防雷接地及仪表接地采用共用接地方式，接地电阻小于1Ω。</w:t>
      </w:r>
    </w:p>
    <w:p>
      <w:pPr>
        <w:pStyle w:val="3"/>
        <w:spacing w:before="120"/>
        <w:rPr>
          <w:rFonts w:cs="Times New Roman"/>
        </w:rPr>
      </w:pPr>
      <w:bookmarkStart w:id="219" w:name="bookmark19"/>
      <w:bookmarkEnd w:id="219"/>
      <w:bookmarkStart w:id="220" w:name="_Toc19815974"/>
      <w:bookmarkStart w:id="221" w:name="_Toc17008"/>
      <w:bookmarkStart w:id="222" w:name="_Toc12288457"/>
      <w:r>
        <w:rPr>
          <w:rFonts w:cs="Times New Roman"/>
        </w:rPr>
        <w:t>3.10 其他工程</w:t>
      </w:r>
      <w:bookmarkEnd w:id="220"/>
      <w:bookmarkEnd w:id="221"/>
      <w:bookmarkEnd w:id="222"/>
    </w:p>
    <w:p>
      <w:pPr>
        <w:pStyle w:val="4"/>
        <w:rPr>
          <w:rFonts w:eastAsia="宋体"/>
        </w:rPr>
      </w:pPr>
      <w:bookmarkStart w:id="223" w:name="_Toc19815977"/>
      <w:r>
        <w:rPr>
          <w:rFonts w:eastAsia="宋体"/>
        </w:rPr>
        <w:t>3.10.1 项目工程占地</w:t>
      </w:r>
      <w:bookmarkEnd w:id="223"/>
    </w:p>
    <w:p>
      <w:pPr>
        <w:pStyle w:val="114"/>
        <w:ind w:firstLine="480"/>
      </w:pPr>
      <w:bookmarkStart w:id="224" w:name="OLE_LINK169"/>
      <w:bookmarkStart w:id="225" w:name="OLE_LINK168"/>
      <w:r>
        <w:rPr>
          <w:rFonts w:hint="eastAsia"/>
        </w:rPr>
        <w:t>根据《关于普光气田M9井等4个产能项目用地预审初审意见报告》，</w:t>
      </w:r>
      <w:r>
        <w:t>P108</w:t>
      </w:r>
      <w:r>
        <w:rPr>
          <w:rFonts w:hint="eastAsia"/>
        </w:rPr>
        <w:t>-1T井原占地面积为18475m</w:t>
      </w:r>
      <w:r>
        <w:rPr>
          <w:rFonts w:hint="eastAsia"/>
          <w:vertAlign w:val="superscript"/>
        </w:rPr>
        <w:t>2</w:t>
      </w:r>
      <w:r>
        <w:rPr>
          <w:rFonts w:hint="eastAsia"/>
        </w:rPr>
        <w:t>，本项目井场扩建区域</w:t>
      </w:r>
      <w:r>
        <w:t>占地</w:t>
      </w:r>
      <w:r>
        <w:rPr>
          <w:rFonts w:hint="eastAsia"/>
        </w:rPr>
        <w:t>4603</w:t>
      </w:r>
      <w:r>
        <w:rPr>
          <w:bCs/>
        </w:rPr>
        <w:t>m</w:t>
      </w:r>
      <w:r>
        <w:rPr>
          <w:bCs/>
          <w:vertAlign w:val="superscript"/>
        </w:rPr>
        <w:t>2</w:t>
      </w:r>
      <w:bookmarkEnd w:id="224"/>
      <w:bookmarkEnd w:id="225"/>
      <w:r>
        <w:rPr>
          <w:bCs/>
        </w:rPr>
        <w:t>，生活区临时占地为</w:t>
      </w:r>
      <w:r>
        <w:rPr>
          <w:rFonts w:hint="eastAsia"/>
          <w:bCs/>
        </w:rPr>
        <w:t>14</w:t>
      </w:r>
      <w:r>
        <w:rPr>
          <w:bCs/>
        </w:rPr>
        <w:t>00m</w:t>
      </w:r>
      <w:r>
        <w:rPr>
          <w:bCs/>
          <w:vertAlign w:val="superscript"/>
        </w:rPr>
        <w:t>2</w:t>
      </w:r>
      <w:r>
        <w:rPr>
          <w:bCs/>
        </w:rPr>
        <w:t>，</w:t>
      </w:r>
      <w:r>
        <w:t>表土堆场临时占地1</w:t>
      </w:r>
      <w:r>
        <w:rPr>
          <w:rFonts w:hint="eastAsia"/>
        </w:rPr>
        <w:t>021</w:t>
      </w:r>
      <w:r>
        <w:rPr>
          <w:bCs/>
        </w:rPr>
        <w:t>m</w:t>
      </w:r>
      <w:r>
        <w:rPr>
          <w:bCs/>
          <w:vertAlign w:val="superscript"/>
        </w:rPr>
        <w:t>2</w:t>
      </w:r>
      <w:r>
        <w:rPr>
          <w:rFonts w:hint="eastAsia"/>
          <w:bCs/>
        </w:rPr>
        <w:t>，废水池临时占地面积为479m</w:t>
      </w:r>
      <w:r>
        <w:rPr>
          <w:rFonts w:hint="eastAsia"/>
          <w:bCs/>
          <w:vertAlign w:val="superscript"/>
        </w:rPr>
        <w:t>2</w:t>
      </w:r>
      <w:r>
        <w:rPr>
          <w:rFonts w:hint="eastAsia"/>
          <w:bCs/>
        </w:rPr>
        <w:t>，其余临时占地面积为2064m</w:t>
      </w:r>
      <w:r>
        <w:rPr>
          <w:rFonts w:hint="eastAsia"/>
          <w:bCs/>
          <w:vertAlign w:val="superscript"/>
        </w:rPr>
        <w:t>2</w:t>
      </w:r>
      <w:r>
        <w:rPr>
          <w:rFonts w:hint="eastAsia"/>
          <w:bCs/>
        </w:rPr>
        <w:t>，</w:t>
      </w:r>
      <w:r>
        <w:t>占地面积统计表如下：</w:t>
      </w:r>
    </w:p>
    <w:p>
      <w:pPr>
        <w:pStyle w:val="39"/>
        <w:rPr>
          <w:rFonts w:cs="Times New Roman"/>
        </w:rPr>
      </w:pPr>
      <w:r>
        <w:rPr>
          <w:rFonts w:cs="Times New Roman"/>
        </w:rPr>
        <w:t>表3.</w:t>
      </w:r>
      <w:r>
        <w:rPr>
          <w:rFonts w:hint="eastAsia" w:cs="Times New Roman"/>
        </w:rPr>
        <w:t>10</w:t>
      </w:r>
      <w:r>
        <w:rPr>
          <w:rFonts w:cs="Times New Roman"/>
        </w:rPr>
        <w:t>-1  占地面积统计表</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664"/>
        <w:gridCol w:w="821"/>
        <w:gridCol w:w="1628"/>
        <w:gridCol w:w="3277"/>
        <w:gridCol w:w="11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969" w:type="pct"/>
            <w:vAlign w:val="center"/>
          </w:tcPr>
          <w:p>
            <w:pPr>
              <w:snapToGrid w:val="0"/>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类别</w:t>
            </w:r>
          </w:p>
        </w:tc>
        <w:tc>
          <w:tcPr>
            <w:tcW w:w="478" w:type="pct"/>
            <w:vAlign w:val="center"/>
          </w:tcPr>
          <w:p>
            <w:pPr>
              <w:snapToGrid w:val="0"/>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单位</w:t>
            </w:r>
          </w:p>
        </w:tc>
        <w:tc>
          <w:tcPr>
            <w:tcW w:w="948" w:type="pct"/>
            <w:vAlign w:val="center"/>
          </w:tcPr>
          <w:p>
            <w:pPr>
              <w:snapToGrid w:val="0"/>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数量</w:t>
            </w:r>
          </w:p>
        </w:tc>
        <w:tc>
          <w:tcPr>
            <w:tcW w:w="1908" w:type="pct"/>
            <w:vAlign w:val="center"/>
          </w:tcPr>
          <w:p>
            <w:pPr>
              <w:snapToGrid w:val="0"/>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备注</w:t>
            </w:r>
          </w:p>
        </w:tc>
        <w:tc>
          <w:tcPr>
            <w:tcW w:w="694" w:type="pct"/>
            <w:vAlign w:val="center"/>
          </w:tcPr>
          <w:p>
            <w:pPr>
              <w:snapToGrid w:val="0"/>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占地类型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969" w:type="pct"/>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临时占地</w:t>
            </w:r>
          </w:p>
        </w:tc>
        <w:tc>
          <w:tcPr>
            <w:tcW w:w="478" w:type="pct"/>
            <w:vAlign w:val="center"/>
          </w:tcPr>
          <w:p>
            <w:pPr>
              <w:spacing w:line="240" w:lineRule="auto"/>
              <w:ind w:firstLine="0" w:firstLineChars="0"/>
              <w:jc w:val="center"/>
              <w:rPr>
                <w:rFonts w:ascii="Times New Roman" w:cs="Times New Roman"/>
                <w:kern w:val="2"/>
                <w:sz w:val="21"/>
                <w:szCs w:val="21"/>
              </w:rPr>
            </w:pPr>
            <w:r>
              <w:rPr>
                <w:rFonts w:ascii="Times New Roman" w:cs="Times New Roman"/>
                <w:bCs/>
                <w:kern w:val="2"/>
                <w:sz w:val="21"/>
                <w:szCs w:val="21"/>
              </w:rPr>
              <w:t>m</w:t>
            </w:r>
            <w:r>
              <w:rPr>
                <w:rFonts w:ascii="Times New Roman" w:cs="Times New Roman"/>
                <w:bCs/>
                <w:kern w:val="2"/>
                <w:sz w:val="21"/>
                <w:szCs w:val="21"/>
                <w:vertAlign w:val="superscript"/>
              </w:rPr>
              <w:t>2</w:t>
            </w:r>
          </w:p>
        </w:tc>
        <w:tc>
          <w:tcPr>
            <w:tcW w:w="948" w:type="pct"/>
            <w:vAlign w:val="center"/>
          </w:tcPr>
          <w:p>
            <w:pPr>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4603</w:t>
            </w:r>
          </w:p>
        </w:tc>
        <w:tc>
          <w:tcPr>
            <w:tcW w:w="1908" w:type="pct"/>
            <w:vAlign w:val="center"/>
          </w:tcPr>
          <w:p>
            <w:pPr>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井场扩建区域</w:t>
            </w:r>
          </w:p>
        </w:tc>
        <w:tc>
          <w:tcPr>
            <w:tcW w:w="694" w:type="pct"/>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见表4.1-4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969" w:type="pct"/>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临时占地</w:t>
            </w:r>
          </w:p>
        </w:tc>
        <w:tc>
          <w:tcPr>
            <w:tcW w:w="478" w:type="pct"/>
            <w:vAlign w:val="center"/>
          </w:tcPr>
          <w:p>
            <w:pPr>
              <w:spacing w:line="240" w:lineRule="auto"/>
              <w:ind w:firstLine="0" w:firstLineChars="0"/>
              <w:jc w:val="center"/>
              <w:rPr>
                <w:rFonts w:ascii="Times New Roman" w:cs="Times New Roman"/>
                <w:kern w:val="2"/>
                <w:sz w:val="21"/>
                <w:szCs w:val="21"/>
              </w:rPr>
            </w:pPr>
            <w:bookmarkStart w:id="226" w:name="OLE_LINK128"/>
            <w:bookmarkStart w:id="227" w:name="OLE_LINK127"/>
            <w:r>
              <w:rPr>
                <w:rFonts w:ascii="Times New Roman" w:cs="Times New Roman"/>
                <w:bCs/>
                <w:kern w:val="2"/>
                <w:sz w:val="21"/>
                <w:szCs w:val="21"/>
              </w:rPr>
              <w:t>m</w:t>
            </w:r>
            <w:r>
              <w:rPr>
                <w:rFonts w:ascii="Times New Roman" w:cs="Times New Roman"/>
                <w:bCs/>
                <w:kern w:val="2"/>
                <w:sz w:val="21"/>
                <w:szCs w:val="21"/>
                <w:vertAlign w:val="superscript"/>
              </w:rPr>
              <w:t>2</w:t>
            </w:r>
            <w:bookmarkEnd w:id="226"/>
            <w:bookmarkEnd w:id="227"/>
          </w:p>
        </w:tc>
        <w:tc>
          <w:tcPr>
            <w:tcW w:w="948" w:type="pct"/>
            <w:vAlign w:val="center"/>
          </w:tcPr>
          <w:p>
            <w:pPr>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14</w:t>
            </w:r>
            <w:r>
              <w:rPr>
                <w:rFonts w:ascii="Times New Roman" w:cs="Times New Roman"/>
                <w:kern w:val="2"/>
                <w:sz w:val="21"/>
                <w:szCs w:val="21"/>
              </w:rPr>
              <w:t>00</w:t>
            </w:r>
          </w:p>
        </w:tc>
        <w:tc>
          <w:tcPr>
            <w:tcW w:w="1908" w:type="pct"/>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生活区临时占地</w:t>
            </w:r>
          </w:p>
        </w:tc>
        <w:tc>
          <w:tcPr>
            <w:tcW w:w="694" w:type="pct"/>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见表4.1-5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969" w:type="pct"/>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临时占地</w:t>
            </w:r>
          </w:p>
        </w:tc>
        <w:tc>
          <w:tcPr>
            <w:tcW w:w="478" w:type="pct"/>
            <w:vAlign w:val="center"/>
          </w:tcPr>
          <w:p>
            <w:pPr>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m</w:t>
            </w:r>
            <w:r>
              <w:rPr>
                <w:rFonts w:ascii="Times New Roman" w:cs="Times New Roman"/>
                <w:bCs/>
                <w:kern w:val="2"/>
                <w:sz w:val="21"/>
                <w:szCs w:val="21"/>
                <w:vertAlign w:val="superscript"/>
              </w:rPr>
              <w:t>2</w:t>
            </w:r>
          </w:p>
        </w:tc>
        <w:tc>
          <w:tcPr>
            <w:tcW w:w="948" w:type="pct"/>
            <w:vAlign w:val="center"/>
          </w:tcPr>
          <w:p>
            <w:pPr>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1021</w:t>
            </w:r>
          </w:p>
        </w:tc>
        <w:tc>
          <w:tcPr>
            <w:tcW w:w="1908" w:type="pct"/>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表土堆场</w:t>
            </w:r>
          </w:p>
        </w:tc>
        <w:tc>
          <w:tcPr>
            <w:tcW w:w="694" w:type="pct"/>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见表4.1-5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969" w:type="pct"/>
            <w:vAlign w:val="center"/>
          </w:tcPr>
          <w:p>
            <w:pPr>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临时占地</w:t>
            </w:r>
          </w:p>
        </w:tc>
        <w:tc>
          <w:tcPr>
            <w:tcW w:w="478" w:type="pct"/>
            <w:vAlign w:val="center"/>
          </w:tcPr>
          <w:p>
            <w:pPr>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m</w:t>
            </w:r>
            <w:r>
              <w:rPr>
                <w:rFonts w:hint="eastAsia" w:ascii="Times New Roman" w:cs="Times New Roman"/>
                <w:bCs/>
                <w:kern w:val="2"/>
                <w:sz w:val="21"/>
                <w:szCs w:val="21"/>
                <w:vertAlign w:val="superscript"/>
              </w:rPr>
              <w:t>2</w:t>
            </w:r>
          </w:p>
        </w:tc>
        <w:tc>
          <w:tcPr>
            <w:tcW w:w="948" w:type="pct"/>
            <w:vAlign w:val="center"/>
          </w:tcPr>
          <w:p>
            <w:pPr>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479</w:t>
            </w:r>
          </w:p>
        </w:tc>
        <w:tc>
          <w:tcPr>
            <w:tcW w:w="1908" w:type="pct"/>
            <w:vAlign w:val="center"/>
          </w:tcPr>
          <w:p>
            <w:pPr>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废水池</w:t>
            </w:r>
          </w:p>
        </w:tc>
        <w:tc>
          <w:tcPr>
            <w:tcW w:w="694" w:type="pct"/>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见表4.1-5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969" w:type="pct"/>
            <w:vAlign w:val="center"/>
          </w:tcPr>
          <w:p>
            <w:pPr>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临时占地</w:t>
            </w:r>
          </w:p>
        </w:tc>
        <w:tc>
          <w:tcPr>
            <w:tcW w:w="478" w:type="pct"/>
            <w:vAlign w:val="center"/>
          </w:tcPr>
          <w:p>
            <w:pPr>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m</w:t>
            </w:r>
            <w:r>
              <w:rPr>
                <w:rFonts w:hint="eastAsia" w:ascii="Times New Roman" w:cs="Times New Roman"/>
                <w:bCs/>
                <w:kern w:val="2"/>
                <w:sz w:val="21"/>
                <w:szCs w:val="21"/>
                <w:vertAlign w:val="superscript"/>
              </w:rPr>
              <w:t>2</w:t>
            </w:r>
          </w:p>
        </w:tc>
        <w:tc>
          <w:tcPr>
            <w:tcW w:w="948" w:type="pct"/>
            <w:vAlign w:val="center"/>
          </w:tcPr>
          <w:p>
            <w:pPr>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2064</w:t>
            </w:r>
          </w:p>
        </w:tc>
        <w:tc>
          <w:tcPr>
            <w:tcW w:w="1908" w:type="pct"/>
            <w:vAlign w:val="center"/>
          </w:tcPr>
          <w:p>
            <w:pPr>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其余临时占地</w:t>
            </w:r>
          </w:p>
        </w:tc>
        <w:tc>
          <w:tcPr>
            <w:tcW w:w="694" w:type="pct"/>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见表4.1-5</w:t>
            </w:r>
          </w:p>
        </w:tc>
      </w:tr>
    </w:tbl>
    <w:p>
      <w:pPr>
        <w:pStyle w:val="114"/>
        <w:ind w:firstLine="480"/>
      </w:pPr>
      <w:r>
        <w:t>项目涉及新增占地的补偿方式将依据有关规定，并委托相关部门完成占地的补偿任务，依法缴纳相关费用，以确保实现占补平衡。临时用地在满足施工作业的情况下，尽量少占地，项目施工完后应及时恢复原地形地貌。</w:t>
      </w:r>
    </w:p>
    <w:p>
      <w:pPr>
        <w:pStyle w:val="4"/>
        <w:rPr>
          <w:rFonts w:eastAsia="宋体"/>
        </w:rPr>
      </w:pPr>
      <w:r>
        <w:rPr>
          <w:rFonts w:eastAsia="宋体"/>
        </w:rPr>
        <w:t>3.10.2 土石方平衡分析</w:t>
      </w:r>
    </w:p>
    <w:p>
      <w:pPr>
        <w:pStyle w:val="111"/>
        <w:ind w:firstLine="480"/>
      </w:pPr>
      <w:r>
        <w:t>本项目土石方工程主要来自站场工程区施工活动中产生的开挖、堆土及回填。</w:t>
      </w:r>
    </w:p>
    <w:p>
      <w:pPr>
        <w:pStyle w:val="111"/>
        <w:ind w:firstLine="482"/>
        <w:rPr>
          <w:b/>
          <w:bCs/>
        </w:rPr>
      </w:pPr>
      <w:r>
        <w:rPr>
          <w:b/>
          <w:bCs/>
        </w:rPr>
        <w:t>1、表土剥离与回填</w:t>
      </w:r>
    </w:p>
    <w:p>
      <w:pPr>
        <w:pStyle w:val="111"/>
        <w:ind w:firstLine="480"/>
      </w:pPr>
      <w:r>
        <w:t>对本项目</w:t>
      </w:r>
      <w:r>
        <w:rPr>
          <w:rFonts w:hint="eastAsia"/>
        </w:rPr>
        <w:t>新增临时占地</w:t>
      </w:r>
      <w:r>
        <w:t>需要开挖破坏的</w:t>
      </w:r>
      <w:r>
        <w:rPr>
          <w:rFonts w:hint="eastAsia"/>
        </w:rPr>
        <w:t>现有</w:t>
      </w:r>
      <w:r>
        <w:t>占地类型，</w:t>
      </w:r>
      <w:r>
        <w:rPr>
          <w:rFonts w:hint="eastAsia"/>
        </w:rPr>
        <w:t>需</w:t>
      </w:r>
      <w:r>
        <w:t>进行表土剥离用于项目完成后的复耕覆土，项目施工前应进行表土剥离，可剥离面积约</w:t>
      </w:r>
      <w:r>
        <w:rPr>
          <w:rFonts w:hint="eastAsia"/>
        </w:rPr>
        <w:t>30</w:t>
      </w:r>
      <w:r>
        <w:t>00</w:t>
      </w:r>
      <w:r>
        <w:rPr>
          <w:bCs/>
        </w:rPr>
        <w:t>m</w:t>
      </w:r>
      <w:r>
        <w:rPr>
          <w:bCs/>
          <w:vertAlign w:val="superscript"/>
        </w:rPr>
        <w:t>2</w:t>
      </w:r>
      <w:r>
        <w:t>，可剥离厚度30cm，总剥离量</w:t>
      </w:r>
      <w:r>
        <w:rPr>
          <w:rFonts w:hint="eastAsia"/>
        </w:rPr>
        <w:t>900</w:t>
      </w:r>
      <w:r>
        <w:t>m</w:t>
      </w:r>
      <w:r>
        <w:rPr>
          <w:vertAlign w:val="superscript"/>
        </w:rPr>
        <w:t>3</w:t>
      </w:r>
      <w:r>
        <w:t>，</w:t>
      </w:r>
      <w:r>
        <w:rPr>
          <w:rFonts w:hint="eastAsia"/>
        </w:rPr>
        <w:t>本项目表土堆放区</w:t>
      </w:r>
      <w:r>
        <w:t>设计堆放高度为</w:t>
      </w:r>
      <w:r>
        <w:rPr>
          <w:rFonts w:hint="eastAsia"/>
        </w:rPr>
        <w:t>1.5</w:t>
      </w:r>
      <w:r>
        <w:t>m，合计最大堆放量</w:t>
      </w:r>
      <w:r>
        <w:rPr>
          <w:rFonts w:hint="eastAsia"/>
        </w:rPr>
        <w:t>1531</w:t>
      </w:r>
      <w:r>
        <w:t>m</w:t>
      </w:r>
      <w:r>
        <w:rPr>
          <w:vertAlign w:val="superscript"/>
        </w:rPr>
        <w:t>3</w:t>
      </w:r>
      <w:r>
        <w:t>，能够满足堆放需求，耕植土堆放区较低区域修建挡土墙；井场土边坡区域、道路土边坡区域、耕植土堆放区在土建工程完工后，及时播撒草种或覆盖，防止地表水冲刷造成水土流失和边坡失稳</w:t>
      </w:r>
      <w:r>
        <w:rPr>
          <w:rFonts w:hint="eastAsia"/>
        </w:rPr>
        <w:t>.</w:t>
      </w:r>
      <w:r>
        <w:t>项目施工完成后，对各分区拆除地表因施工形成的占压物并覆土以恢复植被，剥离表土全部复耕。</w:t>
      </w:r>
    </w:p>
    <w:p>
      <w:pPr>
        <w:pStyle w:val="111"/>
        <w:ind w:firstLine="482"/>
        <w:rPr>
          <w:b/>
          <w:bCs/>
        </w:rPr>
      </w:pPr>
      <w:r>
        <w:rPr>
          <w:b/>
          <w:bCs/>
        </w:rPr>
        <w:t>2、土石方开挖及回填</w:t>
      </w:r>
    </w:p>
    <w:p>
      <w:pPr>
        <w:pStyle w:val="111"/>
        <w:ind w:firstLine="480"/>
      </w:pPr>
      <w:r>
        <w:t>本项目土石方主要为储备罐基础区开挖</w:t>
      </w:r>
      <w:r>
        <w:rPr>
          <w:rFonts w:hint="eastAsia"/>
        </w:rPr>
        <w:t>以及边坡开挖等</w:t>
      </w:r>
      <w:r>
        <w:t>。井场挖方区采用1:1挖方放坡，挖土方量13663.65m³，挖石方量5855.85m³，</w:t>
      </w:r>
      <w:r>
        <w:rPr>
          <w:rFonts w:hint="eastAsia"/>
        </w:rPr>
        <w:t>填方量为19519.5m</w:t>
      </w:r>
      <w:r>
        <w:rPr>
          <w:rFonts w:hint="eastAsia"/>
          <w:vertAlign w:val="superscript"/>
        </w:rPr>
        <w:t>3</w:t>
      </w:r>
      <w:r>
        <w:rPr>
          <w:rFonts w:hint="eastAsia"/>
        </w:rPr>
        <w:t>，</w:t>
      </w:r>
      <w:r>
        <w:t>实现挖填方平衡，无弃方。</w:t>
      </w:r>
      <w:r>
        <w:rPr>
          <w:rFonts w:hint="eastAsia"/>
        </w:rPr>
        <w:t>废水池填埋采用外购土方，不涉及取土回填。</w:t>
      </w:r>
    </w:p>
    <w:p>
      <w:pPr>
        <w:pStyle w:val="4"/>
        <w:rPr>
          <w:rFonts w:eastAsia="宋体"/>
        </w:rPr>
      </w:pPr>
      <w:r>
        <w:rPr>
          <w:rFonts w:eastAsia="宋体"/>
        </w:rPr>
        <w:t>3.10.3 拆迁工程</w:t>
      </w:r>
    </w:p>
    <w:p>
      <w:pPr>
        <w:pStyle w:val="114"/>
        <w:ind w:firstLine="480"/>
      </w:pPr>
      <w:r>
        <w:t>本项目依托原P108集气站建设，不涉及拆迁工程。</w:t>
      </w:r>
    </w:p>
    <w:p>
      <w:pPr>
        <w:pStyle w:val="3"/>
        <w:spacing w:before="120"/>
        <w:rPr>
          <w:rFonts w:cs="Times New Roman"/>
        </w:rPr>
      </w:pPr>
      <w:bookmarkStart w:id="228" w:name="bookmark20"/>
      <w:bookmarkEnd w:id="228"/>
      <w:bookmarkStart w:id="229" w:name="_Toc12288458"/>
      <w:bookmarkStart w:id="230" w:name="_Toc19815978"/>
      <w:bookmarkStart w:id="231" w:name="_Toc11133"/>
      <w:r>
        <w:rPr>
          <w:rFonts w:cs="Times New Roman"/>
        </w:rPr>
        <w:t xml:space="preserve">3.11 </w:t>
      </w:r>
      <w:bookmarkEnd w:id="229"/>
      <w:bookmarkEnd w:id="230"/>
      <w:r>
        <w:rPr>
          <w:rFonts w:cs="Times New Roman"/>
        </w:rPr>
        <w:t>劳动定员、建设进度</w:t>
      </w:r>
      <w:bookmarkEnd w:id="231"/>
    </w:p>
    <w:p>
      <w:pPr>
        <w:pStyle w:val="4"/>
        <w:rPr>
          <w:rFonts w:eastAsia="宋体"/>
        </w:rPr>
      </w:pPr>
      <w:bookmarkStart w:id="232" w:name="_Toc19815979"/>
      <w:bookmarkStart w:id="233" w:name="_Toc213835365"/>
      <w:bookmarkStart w:id="234" w:name="_Toc175728350"/>
      <w:bookmarkStart w:id="235" w:name="_Toc155975331"/>
      <w:bookmarkStart w:id="236" w:name="_Toc520234482"/>
      <w:bookmarkStart w:id="237" w:name="_Toc148954843"/>
      <w:bookmarkStart w:id="238" w:name="_Toc153685211"/>
      <w:bookmarkStart w:id="239" w:name="_Toc155975831"/>
      <w:bookmarkStart w:id="240" w:name="_Toc139207294"/>
      <w:bookmarkStart w:id="241" w:name="_Toc155976349"/>
      <w:bookmarkStart w:id="242" w:name="_Toc155976099"/>
      <w:bookmarkStart w:id="243" w:name="_Toc111542124"/>
      <w:r>
        <w:rPr>
          <w:rFonts w:eastAsia="宋体"/>
        </w:rPr>
        <w:t>3.11.1 组织机构</w:t>
      </w:r>
      <w:bookmarkEnd w:id="232"/>
      <w:bookmarkEnd w:id="233"/>
      <w:bookmarkEnd w:id="234"/>
      <w:bookmarkEnd w:id="235"/>
      <w:bookmarkEnd w:id="236"/>
      <w:bookmarkEnd w:id="237"/>
      <w:bookmarkEnd w:id="238"/>
      <w:bookmarkEnd w:id="239"/>
      <w:bookmarkEnd w:id="240"/>
      <w:bookmarkEnd w:id="241"/>
      <w:bookmarkEnd w:id="242"/>
      <w:bookmarkEnd w:id="243"/>
    </w:p>
    <w:p>
      <w:pPr>
        <w:ind w:firstLine="480"/>
        <w:rPr>
          <w:rFonts w:ascii="Times New Roman" w:cs="Times New Roman"/>
        </w:rPr>
      </w:pPr>
      <w:r>
        <w:rPr>
          <w:rFonts w:ascii="Times New Roman" w:cs="Times New Roman"/>
        </w:rPr>
        <w:t>本项目为天然气钻井及试采，由中国石油化工股份有限公司中原油田普光分公司管理。</w:t>
      </w:r>
    </w:p>
    <w:p>
      <w:pPr>
        <w:pStyle w:val="4"/>
        <w:rPr>
          <w:rFonts w:eastAsia="宋体"/>
        </w:rPr>
      </w:pPr>
      <w:bookmarkStart w:id="244" w:name="_Toc19815980"/>
      <w:bookmarkStart w:id="245" w:name="_Toc213835368"/>
      <w:bookmarkStart w:id="246" w:name="_Toc439056557"/>
      <w:bookmarkStart w:id="247" w:name="_Toc520234483"/>
      <w:r>
        <w:rPr>
          <w:rFonts w:eastAsia="宋体"/>
        </w:rPr>
        <w:t xml:space="preserve">3.12.2 </w:t>
      </w:r>
      <w:bookmarkEnd w:id="244"/>
      <w:bookmarkEnd w:id="245"/>
      <w:bookmarkEnd w:id="246"/>
      <w:bookmarkEnd w:id="247"/>
      <w:r>
        <w:rPr>
          <w:rFonts w:eastAsia="宋体"/>
        </w:rPr>
        <w:t>定员</w:t>
      </w:r>
    </w:p>
    <w:p>
      <w:pPr>
        <w:pStyle w:val="114"/>
        <w:ind w:firstLine="480"/>
      </w:pPr>
      <w:r>
        <w:t>本项目站场为无人值守站，依托采气区已有职守工作人员。</w:t>
      </w:r>
    </w:p>
    <w:p>
      <w:pPr>
        <w:pStyle w:val="4"/>
        <w:rPr>
          <w:rFonts w:eastAsia="宋体"/>
        </w:rPr>
      </w:pPr>
      <w:r>
        <w:rPr>
          <w:rFonts w:eastAsia="宋体"/>
        </w:rPr>
        <w:t>3.12.3 建设进度</w:t>
      </w:r>
    </w:p>
    <w:p>
      <w:pPr>
        <w:pStyle w:val="114"/>
        <w:ind w:firstLine="480"/>
      </w:pPr>
      <w:r>
        <w:t>项目</w:t>
      </w:r>
      <w:bookmarkStart w:id="248" w:name="OLE_LINK134"/>
      <w:bookmarkStart w:id="249" w:name="OLE_LINK135"/>
      <w:r>
        <w:t>站场</w:t>
      </w:r>
      <w:bookmarkEnd w:id="248"/>
      <w:bookmarkEnd w:id="249"/>
      <w:r>
        <w:t>施工作业主要采用人工+机械作业，不设置施工营地，项目站场施工工期约为10个月，项目钻井周期：施工周期290天，其中钻前工程30d，钻井工程140d，完井工程120d。</w:t>
      </w:r>
    </w:p>
    <w:p>
      <w:pPr>
        <w:pStyle w:val="114"/>
        <w:ind w:firstLine="480"/>
        <w:sectPr>
          <w:pgSz w:w="11910" w:h="16840"/>
          <w:pgMar w:top="1417" w:right="1417" w:bottom="1417" w:left="1701" w:header="885" w:footer="1097" w:gutter="0"/>
          <w:pgBorders>
            <w:top w:val="none" w:sz="0" w:space="0"/>
            <w:left w:val="none" w:sz="0" w:space="0"/>
            <w:bottom w:val="none" w:sz="0" w:space="0"/>
            <w:right w:val="none" w:sz="0" w:space="0"/>
          </w:pgBorders>
          <w:pgNumType w:chapStyle="2"/>
          <w:cols w:space="720" w:num="1"/>
          <w:docGrid w:linePitch="326" w:charSpace="0"/>
        </w:sectPr>
      </w:pPr>
    </w:p>
    <w:p>
      <w:pPr>
        <w:pStyle w:val="2"/>
        <w:spacing w:before="0" w:beforeAutospacing="0" w:after="0" w:afterAutospacing="0"/>
        <w:rPr>
          <w:rFonts w:eastAsia="宋体"/>
        </w:rPr>
      </w:pPr>
      <w:bookmarkStart w:id="250" w:name="bookmark22"/>
      <w:bookmarkEnd w:id="250"/>
      <w:bookmarkStart w:id="251" w:name="_Toc12288470"/>
      <w:bookmarkStart w:id="252" w:name="_Toc19815984"/>
      <w:bookmarkStart w:id="253" w:name="_Toc24959"/>
      <w:r>
        <w:rPr>
          <w:rFonts w:eastAsia="宋体"/>
        </w:rPr>
        <w:t>4 工程分析</w:t>
      </w:r>
      <w:bookmarkEnd w:id="251"/>
      <w:bookmarkEnd w:id="252"/>
      <w:bookmarkEnd w:id="253"/>
    </w:p>
    <w:p>
      <w:pPr>
        <w:pStyle w:val="114"/>
        <w:ind w:firstLine="480"/>
      </w:pPr>
      <w:bookmarkStart w:id="254" w:name="bookmark23"/>
      <w:bookmarkEnd w:id="254"/>
      <w:r>
        <w:t>该项目对环境的影响分为施工期和试采期两个阶段。根据</w:t>
      </w:r>
      <w:bookmarkStart w:id="255" w:name="OLE_LINK141"/>
      <w:bookmarkStart w:id="256" w:name="OLE_LINK142"/>
      <w:r>
        <w:t>钻井工程</w:t>
      </w:r>
      <w:bookmarkEnd w:id="255"/>
      <w:bookmarkEnd w:id="256"/>
      <w:r>
        <w:t>和</w:t>
      </w:r>
      <w:bookmarkStart w:id="257" w:name="OLE_LINK144"/>
      <w:bookmarkStart w:id="258" w:name="OLE_LINK143"/>
      <w:r>
        <w:t>试采工程</w:t>
      </w:r>
      <w:bookmarkEnd w:id="257"/>
      <w:bookmarkEnd w:id="258"/>
      <w:r>
        <w:t>的特点，钻井施工</w:t>
      </w:r>
      <w:r>
        <w:rPr>
          <w:bCs/>
        </w:rPr>
        <w:t>主要体现在钻井、完井过程中会产生废气、废水、废泥浆、岩屑、噪声、环境风险等以及钻井过程中可能造成地下水的污染</w:t>
      </w:r>
      <w:r>
        <w:t>。试采期对环境的影响主要表现为返排酸液和运营过程中存在的环境风险。</w:t>
      </w:r>
    </w:p>
    <w:p>
      <w:pPr>
        <w:pStyle w:val="3"/>
        <w:spacing w:before="120"/>
        <w:rPr>
          <w:rFonts w:cs="Times New Roman"/>
        </w:rPr>
      </w:pPr>
      <w:bookmarkStart w:id="259" w:name="_Toc19815985"/>
      <w:bookmarkStart w:id="260" w:name="_Toc12288471"/>
      <w:bookmarkStart w:id="261" w:name="_Toc8431"/>
      <w:r>
        <w:rPr>
          <w:rFonts w:cs="Times New Roman"/>
        </w:rPr>
        <w:t>4.1 施工期</w:t>
      </w:r>
      <w:bookmarkEnd w:id="259"/>
      <w:bookmarkEnd w:id="260"/>
      <w:r>
        <w:rPr>
          <w:rFonts w:cs="Times New Roman"/>
        </w:rPr>
        <w:t>工程分析</w:t>
      </w:r>
      <w:bookmarkEnd w:id="261"/>
    </w:p>
    <w:p>
      <w:pPr>
        <w:pStyle w:val="4"/>
        <w:rPr>
          <w:rFonts w:eastAsia="宋体"/>
        </w:rPr>
      </w:pPr>
      <w:r>
        <w:rPr>
          <w:rFonts w:eastAsia="宋体"/>
        </w:rPr>
        <w:t>4.1.1 施工过程分析</w:t>
      </w:r>
    </w:p>
    <w:p>
      <w:pPr>
        <w:pStyle w:val="114"/>
        <w:ind w:firstLine="480"/>
      </w:pPr>
      <w:r>
        <w:t>站场施工主要进行表土剥离，土石方开挖，场地平整，设备安装，清理现场、恢复地貌、恢复植被、绿化，竣工验收后投入使用。</w:t>
      </w:r>
    </w:p>
    <w:p>
      <w:pPr>
        <w:pStyle w:val="6"/>
        <w:spacing w:line="240" w:lineRule="auto"/>
        <w:ind w:firstLine="0" w:firstLineChars="0"/>
        <w:jc w:val="center"/>
        <w:rPr>
          <w:rFonts w:ascii="Times New Roman" w:cs="Times New Roman"/>
        </w:rPr>
      </w:pPr>
      <w:r>
        <w:rPr>
          <w:rFonts w:ascii="Times New Roman" w:cs="Times New Roman"/>
        </w:rPr>
        <mc:AlternateContent>
          <mc:Choice Requires="wpg">
            <w:drawing>
              <wp:inline distT="0" distB="0" distL="114300" distR="114300">
                <wp:extent cx="2778125" cy="3370580"/>
                <wp:effectExtent l="0" t="0" r="0" b="0"/>
                <wp:docPr id="23" name="组合 23"/>
                <wp:cNvGraphicFramePr/>
                <a:graphic xmlns:a="http://schemas.openxmlformats.org/drawingml/2006/main">
                  <a:graphicData uri="http://schemas.microsoft.com/office/word/2010/wordprocessingGroup">
                    <wpg:wgp>
                      <wpg:cNvGrpSpPr/>
                      <wpg:grpSpPr>
                        <a:xfrm>
                          <a:off x="0" y="0"/>
                          <a:ext cx="2778125" cy="3370580"/>
                          <a:chOff x="4191" y="1522405"/>
                          <a:chExt cx="4375" cy="5308"/>
                        </a:xfrm>
                      </wpg:grpSpPr>
                      <wps:wsp>
                        <wps:cNvPr id="40" name="文本框 30"/>
                        <wps:cNvSpPr txBox="1"/>
                        <wps:spPr>
                          <a:xfrm>
                            <a:off x="5297" y="1524832"/>
                            <a:ext cx="1829"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设备安装</w:t>
                              </w:r>
                            </w:p>
                          </w:txbxContent>
                        </wps:txbx>
                        <wps:bodyPr upright="1"/>
                      </wps:wsp>
                      <wps:wsp>
                        <wps:cNvPr id="46" name="文本框 139"/>
                        <wps:cNvSpPr txBox="1"/>
                        <wps:spPr>
                          <a:xfrm>
                            <a:off x="5297" y="1522405"/>
                            <a:ext cx="1829"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表土剥离</w:t>
                              </w:r>
                            </w:p>
                          </w:txbxContent>
                        </wps:txbx>
                        <wps:bodyPr upright="1"/>
                      </wps:wsp>
                      <wps:wsp>
                        <wps:cNvPr id="47" name="自选图形 140"/>
                        <wps:cNvCnPr/>
                        <wps:spPr>
                          <a:xfrm>
                            <a:off x="6235" y="1522859"/>
                            <a:ext cx="0" cy="355"/>
                          </a:xfrm>
                          <a:prstGeom prst="straightConnector1">
                            <a:avLst/>
                          </a:prstGeom>
                          <a:ln w="9525" cap="flat" cmpd="sng">
                            <a:solidFill>
                              <a:srgbClr val="000000"/>
                            </a:solidFill>
                            <a:prstDash val="solid"/>
                            <a:headEnd type="none" w="med" len="med"/>
                            <a:tailEnd type="triangle" w="med" len="med"/>
                          </a:ln>
                        </wps:spPr>
                        <wps:bodyPr/>
                      </wps:wsp>
                      <wps:wsp>
                        <wps:cNvPr id="48" name="文本框 141"/>
                        <wps:cNvSpPr txBox="1"/>
                        <wps:spPr>
                          <a:xfrm>
                            <a:off x="5297" y="1523214"/>
                            <a:ext cx="1829"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土石方开挖</w:t>
                              </w:r>
                            </w:p>
                          </w:txbxContent>
                        </wps:txbx>
                        <wps:bodyPr upright="1"/>
                      </wps:wsp>
                      <wps:wsp>
                        <wps:cNvPr id="49" name="自选图形 142"/>
                        <wps:cNvCnPr/>
                        <wps:spPr>
                          <a:xfrm>
                            <a:off x="6251" y="1523668"/>
                            <a:ext cx="0" cy="355"/>
                          </a:xfrm>
                          <a:prstGeom prst="straightConnector1">
                            <a:avLst/>
                          </a:prstGeom>
                          <a:ln w="9525" cap="flat" cmpd="sng">
                            <a:solidFill>
                              <a:srgbClr val="000000"/>
                            </a:solidFill>
                            <a:prstDash val="solid"/>
                            <a:headEnd type="none" w="med" len="med"/>
                            <a:tailEnd type="triangle" w="med" len="med"/>
                          </a:ln>
                        </wps:spPr>
                        <wps:bodyPr/>
                      </wps:wsp>
                      <wps:wsp>
                        <wps:cNvPr id="50" name="文本框 143"/>
                        <wps:cNvSpPr txBox="1"/>
                        <wps:spPr>
                          <a:xfrm>
                            <a:off x="5297" y="1524023"/>
                            <a:ext cx="1829"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场地平整</w:t>
                              </w:r>
                            </w:p>
                          </w:txbxContent>
                        </wps:txbx>
                        <wps:bodyPr upright="1"/>
                      </wps:wsp>
                      <wps:wsp>
                        <wps:cNvPr id="51" name="自选图形 144"/>
                        <wps:cNvCnPr/>
                        <wps:spPr>
                          <a:xfrm>
                            <a:off x="6251" y="1524477"/>
                            <a:ext cx="0" cy="355"/>
                          </a:xfrm>
                          <a:prstGeom prst="straightConnector1">
                            <a:avLst/>
                          </a:prstGeom>
                          <a:ln w="9525" cap="flat" cmpd="sng">
                            <a:solidFill>
                              <a:srgbClr val="000000"/>
                            </a:solidFill>
                            <a:prstDash val="solid"/>
                            <a:headEnd type="none" w="med" len="med"/>
                            <a:tailEnd type="triangle" w="med" len="med"/>
                          </a:ln>
                        </wps:spPr>
                        <wps:bodyPr/>
                      </wps:wsp>
                      <wps:wsp>
                        <wps:cNvPr id="52" name="自选图形 145"/>
                        <wps:cNvCnPr/>
                        <wps:spPr>
                          <a:xfrm>
                            <a:off x="6251" y="1525286"/>
                            <a:ext cx="0" cy="355"/>
                          </a:xfrm>
                          <a:prstGeom prst="straightConnector1">
                            <a:avLst/>
                          </a:prstGeom>
                          <a:ln w="9525" cap="flat" cmpd="sng">
                            <a:solidFill>
                              <a:srgbClr val="000000"/>
                            </a:solidFill>
                            <a:prstDash val="solid"/>
                            <a:headEnd type="none" w="med" len="med"/>
                            <a:tailEnd type="triangle" w="med" len="med"/>
                          </a:ln>
                        </wps:spPr>
                        <wps:bodyPr/>
                      </wps:wsp>
                      <wps:wsp>
                        <wps:cNvPr id="53" name="文本框 146"/>
                        <wps:cNvSpPr txBox="1"/>
                        <wps:spPr>
                          <a:xfrm>
                            <a:off x="4191" y="1525641"/>
                            <a:ext cx="4113"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清理现场、恢复地貌、恢复植被、绿化</w:t>
                              </w:r>
                            </w:p>
                          </w:txbxContent>
                        </wps:txbx>
                        <wps:bodyPr upright="1"/>
                      </wps:wsp>
                      <wps:wsp>
                        <wps:cNvPr id="54" name="自选图形 147"/>
                        <wps:cNvCnPr/>
                        <wps:spPr>
                          <a:xfrm>
                            <a:off x="6235" y="1526095"/>
                            <a:ext cx="0" cy="355"/>
                          </a:xfrm>
                          <a:prstGeom prst="straightConnector1">
                            <a:avLst/>
                          </a:prstGeom>
                          <a:ln w="9525" cap="flat" cmpd="sng">
                            <a:solidFill>
                              <a:srgbClr val="000000"/>
                            </a:solidFill>
                            <a:prstDash val="solid"/>
                            <a:headEnd type="none" w="med" len="med"/>
                            <a:tailEnd type="triangle" w="med" len="med"/>
                          </a:ln>
                        </wps:spPr>
                        <wps:bodyPr/>
                      </wps:wsp>
                      <wps:wsp>
                        <wps:cNvPr id="55" name="文本框 148"/>
                        <wps:cNvSpPr txBox="1"/>
                        <wps:spPr>
                          <a:xfrm>
                            <a:off x="5297" y="1526450"/>
                            <a:ext cx="1829"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竣工验收</w:t>
                              </w:r>
                            </w:p>
                          </w:txbxContent>
                        </wps:txbx>
                        <wps:bodyPr upright="1"/>
                      </wps:wsp>
                      <wps:wsp>
                        <wps:cNvPr id="56" name="自选图形 149"/>
                        <wps:cNvCnPr/>
                        <wps:spPr>
                          <a:xfrm>
                            <a:off x="6250" y="1526904"/>
                            <a:ext cx="1" cy="355"/>
                          </a:xfrm>
                          <a:prstGeom prst="straightConnector1">
                            <a:avLst/>
                          </a:prstGeom>
                          <a:ln w="9525" cap="flat" cmpd="sng">
                            <a:solidFill>
                              <a:srgbClr val="000000"/>
                            </a:solidFill>
                            <a:prstDash val="solid"/>
                            <a:headEnd type="none" w="med" len="med"/>
                            <a:tailEnd type="triangle" w="med" len="med"/>
                          </a:ln>
                        </wps:spPr>
                        <wps:bodyPr/>
                      </wps:wsp>
                      <wps:wsp>
                        <wps:cNvPr id="60" name="文本框 150"/>
                        <wps:cNvSpPr txBox="1"/>
                        <wps:spPr>
                          <a:xfrm>
                            <a:off x="5297" y="1527259"/>
                            <a:ext cx="1829"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投入运营</w:t>
                              </w:r>
                            </w:p>
                          </w:txbxContent>
                        </wps:txbx>
                        <wps:bodyPr upright="1"/>
                      </wps:wsp>
                      <wps:wsp>
                        <wps:cNvPr id="66" name="文本框 151"/>
                        <wps:cNvSpPr txBox="1"/>
                        <wps:spPr>
                          <a:xfrm>
                            <a:off x="7562" y="1523214"/>
                            <a:ext cx="1005" cy="19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废气、废水、噪声、扬尘、水土流水</w:t>
                              </w:r>
                            </w:p>
                          </w:txbxContent>
                        </wps:txbx>
                        <wps:bodyPr upright="1"/>
                      </wps:wsp>
                      <wps:wsp>
                        <wps:cNvPr id="67" name="自选图形 152"/>
                        <wps:cNvCnPr/>
                        <wps:spPr>
                          <a:xfrm>
                            <a:off x="7126" y="1523424"/>
                            <a:ext cx="436" cy="0"/>
                          </a:xfrm>
                          <a:prstGeom prst="straightConnector1">
                            <a:avLst/>
                          </a:prstGeom>
                          <a:ln w="9525" cap="flat" cmpd="sng">
                            <a:solidFill>
                              <a:srgbClr val="000000"/>
                            </a:solidFill>
                            <a:prstDash val="dash"/>
                            <a:headEnd type="none" w="med" len="med"/>
                            <a:tailEnd type="triangle" w="med" len="med"/>
                          </a:ln>
                        </wps:spPr>
                        <wps:bodyPr/>
                      </wps:wsp>
                      <wps:wsp>
                        <wps:cNvPr id="68" name="自选图形 153"/>
                        <wps:cNvCnPr/>
                        <wps:spPr>
                          <a:xfrm>
                            <a:off x="7126" y="1524213"/>
                            <a:ext cx="436" cy="0"/>
                          </a:xfrm>
                          <a:prstGeom prst="straightConnector1">
                            <a:avLst/>
                          </a:prstGeom>
                          <a:ln w="9525" cap="flat" cmpd="sng">
                            <a:solidFill>
                              <a:srgbClr val="000000"/>
                            </a:solidFill>
                            <a:prstDash val="dash"/>
                            <a:headEnd type="none" w="med" len="med"/>
                            <a:tailEnd type="triangle" w="med" len="med"/>
                          </a:ln>
                        </wps:spPr>
                        <wps:bodyPr/>
                      </wps:wsp>
                      <wps:wsp>
                        <wps:cNvPr id="69" name="自选图形 154"/>
                        <wps:cNvCnPr/>
                        <wps:spPr>
                          <a:xfrm>
                            <a:off x="7126" y="1525090"/>
                            <a:ext cx="436" cy="0"/>
                          </a:xfrm>
                          <a:prstGeom prst="straightConnector1">
                            <a:avLst/>
                          </a:prstGeom>
                          <a:ln w="9525" cap="flat" cmpd="sng">
                            <a:solidFill>
                              <a:srgbClr val="000000"/>
                            </a:solidFill>
                            <a:prstDash val="dash"/>
                            <a:headEnd type="none" w="med" len="med"/>
                            <a:tailEnd type="triangle" w="med" len="med"/>
                          </a:ln>
                        </wps:spPr>
                        <wps:bodyPr/>
                      </wps:wsp>
                    </wpg:wgp>
                  </a:graphicData>
                </a:graphic>
              </wp:inline>
            </w:drawing>
          </mc:Choice>
          <mc:Fallback>
            <w:pict>
              <v:group id="_x0000_s1026" o:spid="_x0000_s1026" o:spt="203" style="height:265.4pt;width:218.75pt;" coordorigin="4191,1522405" coordsize="4375,5308" o:gfxdata="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">
                <o:lock v:ext="edit" aspectratio="f"/>
                <v:shape id="文本框 30" o:spid="_x0000_s1026" o:spt="202" type="#_x0000_t202" style="position:absolute;left:5297;top:1524832;height:454;width:1829;" fillcolor="#FFFFFF" filled="t" stroked="t" coordsize="21600,21600" o:gfxdata="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9/DE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40" w:lineRule="auto"/>
                          <w:ind w:firstLine="0" w:firstLineChars="0"/>
                          <w:jc w:val="center"/>
                          <w:rPr>
                            <w:sz w:val="21"/>
                            <w:szCs w:val="21"/>
                          </w:rPr>
                        </w:pPr>
                        <w:r>
                          <w:rPr>
                            <w:rFonts w:hint="eastAsia"/>
                            <w:sz w:val="21"/>
                            <w:szCs w:val="21"/>
                          </w:rPr>
                          <w:t>设备安装</w:t>
                        </w:r>
                      </w:p>
                    </w:txbxContent>
                  </v:textbox>
                </v:shape>
                <v:shape id="文本框 139" o:spid="_x0000_s1026" o:spt="202" type="#_x0000_t202" style="position:absolute;left:5297;top:1522405;height:454;width:1829;" fillcolor="#FFFFFF" filled="t" stroked="t" coordsize="21600,21600" o:gfxdata="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LNK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auto"/>
                          <w:ind w:firstLine="0" w:firstLineChars="0"/>
                          <w:jc w:val="center"/>
                          <w:rPr>
                            <w:sz w:val="21"/>
                            <w:szCs w:val="21"/>
                          </w:rPr>
                        </w:pPr>
                        <w:r>
                          <w:rPr>
                            <w:rFonts w:hint="eastAsia"/>
                            <w:sz w:val="21"/>
                            <w:szCs w:val="21"/>
                          </w:rPr>
                          <w:t>表土剥离</w:t>
                        </w:r>
                      </w:p>
                    </w:txbxContent>
                  </v:textbox>
                </v:shape>
                <v:shape id="自选图形 140" o:spid="_x0000_s1026" o:spt="32" type="#_x0000_t32" style="position:absolute;left:6235;top:1522859;height:355;width:0;" filled="f" stroked="t" coordsize="21600,21600" o:gfxdata="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Zek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141" o:spid="_x0000_s1026" o:spt="202" type="#_x0000_t202" style="position:absolute;left:5297;top:1523214;height:454;width:1829;" fillcolor="#FFFFFF" filled="t" stroked="t" coordsize="21600,21600" o:gfxdata="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gfzC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40" w:lineRule="auto"/>
                          <w:ind w:firstLine="0" w:firstLineChars="0"/>
                          <w:jc w:val="center"/>
                          <w:rPr>
                            <w:sz w:val="21"/>
                            <w:szCs w:val="21"/>
                          </w:rPr>
                        </w:pPr>
                        <w:r>
                          <w:rPr>
                            <w:rFonts w:hint="eastAsia"/>
                            <w:sz w:val="21"/>
                            <w:szCs w:val="21"/>
                          </w:rPr>
                          <w:t>土石方开挖</w:t>
                        </w:r>
                      </w:p>
                    </w:txbxContent>
                  </v:textbox>
                </v:shape>
                <v:shape id="自选图形 142" o:spid="_x0000_s1026" o:spt="32" type="#_x0000_t32" style="position:absolute;left:6251;top:1523668;height:355;width:0;" filled="f" stroked="t" coordsize="21600,21600" o:gfxdata="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Vve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143" o:spid="_x0000_s1026" o:spt="202" type="#_x0000_t202" style="position:absolute;left:5297;top:1524023;height:454;width:1829;" fillcolor="#FFFFFF" filled="t" stroked="t" coordsize="21600,21600" o:gfxdata="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LmYZ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40" w:lineRule="auto"/>
                          <w:ind w:firstLine="0" w:firstLineChars="0"/>
                          <w:jc w:val="center"/>
                          <w:rPr>
                            <w:sz w:val="21"/>
                            <w:szCs w:val="21"/>
                          </w:rPr>
                        </w:pPr>
                        <w:r>
                          <w:rPr>
                            <w:rFonts w:hint="eastAsia"/>
                            <w:sz w:val="21"/>
                            <w:szCs w:val="21"/>
                          </w:rPr>
                          <w:t>场地平整</w:t>
                        </w:r>
                      </w:p>
                    </w:txbxContent>
                  </v:textbox>
                </v:shape>
                <v:shape id="自选图形 144" o:spid="_x0000_s1026" o:spt="32" type="#_x0000_t32" style="position:absolute;left:6251;top:1524477;height:355;width:0;" filled="f" stroked="t" coordsize="21600,21600" o:gfxdata="UEsDBAoAAAAAAIdO4kAAAAAAAAAAAAAAAAAEAAAAZHJzL1BLAwQUAAAACACHTuJA5qr1ob4AAADb&#10;AAAADwAAAGRycy9kb3ducmV2LnhtbEWPT2sCMRTE7wW/Q3hCbzW7Qpd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qr1o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45" o:spid="_x0000_s1026" o:spt="32" type="#_x0000_t32" style="position:absolute;left:6251;top:1525286;height:355;width:0;" filled="f" stroked="t" coordsize="21600,21600" o:gfxdata="UEsDBAoAAAAAAIdO4kAAAAAAAAAAAAAAAAAEAAAAZHJzL1BLAwQUAAAACACHTuJAFnhr1r4AAADb&#10;AAAADwAAAGRycy9kb3ducmV2LnhtbEWPW2sCMRSE3wv+h3CEvtWsQhd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hr1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146" o:spid="_x0000_s1026" o:spt="202" type="#_x0000_t202" style="position:absolute;left:4191;top:1525641;height:454;width:4113;" fillcolor="#FFFFFF" filled="t" stroked="t" coordsize="21600,21600" o:gfxdata="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Phu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auto"/>
                          <w:ind w:firstLine="0" w:firstLineChars="0"/>
                          <w:jc w:val="center"/>
                          <w:rPr>
                            <w:sz w:val="21"/>
                            <w:szCs w:val="21"/>
                          </w:rPr>
                        </w:pPr>
                        <w:r>
                          <w:rPr>
                            <w:rFonts w:hint="eastAsia"/>
                            <w:sz w:val="21"/>
                            <w:szCs w:val="21"/>
                          </w:rPr>
                          <w:t>清理现场、恢复地貌、恢复植被、绿化</w:t>
                        </w:r>
                      </w:p>
                    </w:txbxContent>
                  </v:textbox>
                </v:shape>
                <v:shape id="自选图形 147" o:spid="_x0000_s1026" o:spt="32" type="#_x0000_t32" style="position:absolute;left:6235;top:1526095;height:355;width:0;" filled="f" stroked="t" coordsize="21600,21600" o:gfxdata="UEsDBAoAAAAAAIdO4kAAAAAAAAAAAAAAAAAEAAAAZHJzL1BLAwQUAAAACACHTuJA9t1WOb4AAADb&#10;AAAADwAAAGRycy9kb3ducmV2LnhtbEWPW2sCMRSE3wv9D+EUfNOsYhe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1WO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148" o:spid="_x0000_s1026" o:spt="202" type="#_x0000_t202" style="position:absolute;left:5297;top:1526450;height:454;width:1829;" fillcolor="#FFFFFF" filled="t" stroked="t" coordsize="21600,21600" o:gfxdata="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nFg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auto"/>
                          <w:ind w:firstLine="0" w:firstLineChars="0"/>
                          <w:jc w:val="center"/>
                          <w:rPr>
                            <w:sz w:val="21"/>
                            <w:szCs w:val="21"/>
                          </w:rPr>
                        </w:pPr>
                        <w:r>
                          <w:rPr>
                            <w:rFonts w:hint="eastAsia"/>
                            <w:sz w:val="21"/>
                            <w:szCs w:val="21"/>
                          </w:rPr>
                          <w:t>竣工验收</w:t>
                        </w:r>
                      </w:p>
                    </w:txbxContent>
                  </v:textbox>
                </v:shape>
                <v:shape id="自选图形 149" o:spid="_x0000_s1026" o:spt="32" type="#_x0000_t32" style="position:absolute;left:6250;top:1526904;height:355;width:1;" filled="f" stroked="t" coordsize="21600,21600" o:gfxdata="UEsDBAoAAAAAAIdO4kAAAAAAAAAAAAAAAAAEAAAAZHJzL1BLAwQUAAAACACHTuJAaUNt1b8AAADb&#10;AAAADwAAAGRycy9kb3ducmV2LnhtbEWPzWrDMBCE74G8g9hAb4nsQE3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Dbd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150" o:spid="_x0000_s1026" o:spt="202" type="#_x0000_t202" style="position:absolute;left:5297;top:1527259;height:454;width:1829;" fillcolor="#FFFFFF" filled="t" stroked="t" coordsize="21600,21600" o:gfxdata="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Ksp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auto"/>
                          <w:ind w:firstLine="0" w:firstLineChars="0"/>
                          <w:jc w:val="center"/>
                          <w:rPr>
                            <w:sz w:val="21"/>
                            <w:szCs w:val="21"/>
                          </w:rPr>
                        </w:pPr>
                        <w:r>
                          <w:rPr>
                            <w:rFonts w:hint="eastAsia"/>
                            <w:sz w:val="21"/>
                            <w:szCs w:val="21"/>
                          </w:rPr>
                          <w:t>投入运营</w:t>
                        </w:r>
                      </w:p>
                    </w:txbxContent>
                  </v:textbox>
                </v:shape>
                <v:shape id="文本框 151" o:spid="_x0000_s1026" o:spt="202" type="#_x0000_t202" style="position:absolute;left:7562;top:1523214;height:1990;width:1005;" fillcolor="#FFFFFF" filled="t" stroked="t" coordsize="21600,21600" o:gfxdata="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55F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auto"/>
                          <w:ind w:firstLine="0" w:firstLineChars="0"/>
                          <w:jc w:val="center"/>
                          <w:rPr>
                            <w:sz w:val="21"/>
                            <w:szCs w:val="21"/>
                          </w:rPr>
                        </w:pPr>
                        <w:r>
                          <w:rPr>
                            <w:rFonts w:hint="eastAsia"/>
                            <w:sz w:val="21"/>
                            <w:szCs w:val="21"/>
                          </w:rPr>
                          <w:t>废气、废水、噪声、扬尘、水土流水</w:t>
                        </w:r>
                      </w:p>
                    </w:txbxContent>
                  </v:textbox>
                </v:shape>
                <v:shape id="自选图形 152" o:spid="_x0000_s1026" o:spt="32" type="#_x0000_t32" style="position:absolute;left:7126;top:1523424;height:0;width:436;" filled="f" stroked="t" coordsize="21600,21600" o:gfxdata="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MaEEvQAA&#10;ANs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shape>
                <v:shape id="自选图形 153" o:spid="_x0000_s1026" o:spt="32" type="#_x0000_t32" style="position:absolute;left:7126;top:1524213;height:0;width:436;" filled="f" stroked="t" coordsize="21600,21600" o:gfxdata="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uuNXa5AAAA2w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shape>
                <v:shape id="自选图形 154" o:spid="_x0000_s1026" o:spt="32" type="#_x0000_t32" style="position:absolute;left:7126;top:1525090;height:0;width:436;" filled="f" stroked="t" coordsize="21600,21600" o:gfxdata="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4pDtvQAA&#10;ANs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shape>
                <w10:wrap type="none"/>
                <w10:anchorlock/>
              </v:group>
            </w:pict>
          </mc:Fallback>
        </mc:AlternateContent>
      </w:r>
    </w:p>
    <w:p>
      <w:pPr>
        <w:pStyle w:val="6"/>
        <w:ind w:firstLine="422"/>
        <w:jc w:val="center"/>
        <w:rPr>
          <w:rFonts w:ascii="Times New Roman" w:cs="Times New Roman"/>
          <w:b/>
          <w:sz w:val="21"/>
          <w:szCs w:val="21"/>
        </w:rPr>
      </w:pPr>
      <w:r>
        <w:rPr>
          <w:rFonts w:ascii="Times New Roman" w:cs="Times New Roman"/>
          <w:b/>
          <w:sz w:val="21"/>
          <w:szCs w:val="21"/>
        </w:rPr>
        <w:t>图4.1-1  施工期工艺流程及产污情况</w:t>
      </w:r>
    </w:p>
    <w:p>
      <w:pPr>
        <w:pStyle w:val="114"/>
        <w:ind w:firstLine="480"/>
      </w:pPr>
      <w:r>
        <w:t>本项目施工主要为站场施工和钻井施工，施工由装备先进的专业施工队伍完成。</w:t>
      </w:r>
    </w:p>
    <w:p>
      <w:pPr>
        <w:pStyle w:val="114"/>
        <w:ind w:firstLine="480"/>
      </w:pPr>
      <w:r>
        <w:t>（1）站场施工期施工工艺</w:t>
      </w:r>
    </w:p>
    <w:p>
      <w:pPr>
        <w:pStyle w:val="114"/>
        <w:ind w:firstLine="480"/>
      </w:pPr>
      <w:r>
        <w:t>本项目站场施工主要为钻井设备安装、储备罐基础区表土剥离、土石方开挖、场地平整、安装工艺装置，并建设相应的辅助设施等。上述工程建设完成后，覆土回填，清理作业现场，恢复地貌、恢复地表植被，竣工验收。</w:t>
      </w:r>
    </w:p>
    <w:p>
      <w:pPr>
        <w:pStyle w:val="114"/>
        <w:ind w:firstLine="480"/>
      </w:pPr>
      <w:r>
        <w:t>（2）钻井工艺</w:t>
      </w:r>
    </w:p>
    <w:p>
      <w:pPr>
        <w:pStyle w:val="114"/>
        <w:ind w:firstLine="480"/>
      </w:pPr>
      <w:r>
        <w:t>钻井工程主要包括钻进、钻进辅助作业、固井等过程。</w:t>
      </w:r>
    </w:p>
    <w:p>
      <w:pPr>
        <w:pStyle w:val="4"/>
        <w:rPr>
          <w:rFonts w:eastAsia="宋体"/>
        </w:rPr>
      </w:pPr>
      <w:r>
        <w:rPr>
          <w:rFonts w:eastAsia="宋体"/>
        </w:rPr>
        <w:t>4.1.2 施工工艺流程</w:t>
      </w:r>
    </w:p>
    <w:p>
      <w:pPr>
        <w:pStyle w:val="114"/>
        <w:ind w:firstLine="482"/>
        <w:rPr>
          <w:b/>
          <w:bCs/>
        </w:rPr>
      </w:pPr>
      <w:bookmarkStart w:id="262" w:name="OLE_LINK149"/>
      <w:bookmarkStart w:id="263" w:name="OLE_LINK150"/>
      <w:r>
        <w:rPr>
          <w:b/>
          <w:bCs/>
        </w:rPr>
        <w:t>（一）站场工程</w:t>
      </w:r>
    </w:p>
    <w:bookmarkEnd w:id="262"/>
    <w:bookmarkEnd w:id="263"/>
    <w:p>
      <w:pPr>
        <w:pStyle w:val="114"/>
        <w:ind w:firstLine="480"/>
      </w:pPr>
      <w:r>
        <w:t>本项目站场位于四川省达州市宣汉县普光镇</w:t>
      </w:r>
      <w:r>
        <w:rPr>
          <w:rFonts w:hint="eastAsia"/>
        </w:rPr>
        <w:t>塔娅村</w:t>
      </w:r>
      <w:r>
        <w:t>。站场施工期建设过程产生扬尘、机械设备噪声、施工队生活污水、混凝土搅拌废水、生活垃圾及建筑垃圾等。</w:t>
      </w:r>
    </w:p>
    <w:p>
      <w:pPr>
        <w:pStyle w:val="114"/>
        <w:ind w:firstLine="482"/>
        <w:rPr>
          <w:b/>
          <w:bCs/>
        </w:rPr>
      </w:pPr>
      <w:r>
        <w:rPr>
          <w:b/>
          <w:bCs/>
        </w:rPr>
        <w:t>（二）钻井工程</w:t>
      </w:r>
    </w:p>
    <w:p>
      <w:pPr>
        <w:pStyle w:val="553"/>
        <w:spacing w:line="360" w:lineRule="auto"/>
        <w:ind w:firstLine="480"/>
        <w:rPr>
          <w:rFonts w:ascii="Times New Roman" w:hAnsi="Times New Roman"/>
        </w:rPr>
      </w:pPr>
      <w:bookmarkStart w:id="264" w:name="OLE_LINK147"/>
      <w:bookmarkStart w:id="265" w:name="OLE_LINK148"/>
      <w:r>
        <w:rPr>
          <w:rFonts w:ascii="Times New Roman" w:hAnsi="Times New Roman"/>
        </w:rPr>
        <w:t>钻井工程主要包括钻进、钻进辅助作业、固井等过程。</w:t>
      </w:r>
      <w:bookmarkEnd w:id="264"/>
      <w:bookmarkEnd w:id="265"/>
    </w:p>
    <w:p>
      <w:pPr>
        <w:pStyle w:val="553"/>
        <w:spacing w:line="360" w:lineRule="auto"/>
        <w:ind w:firstLine="480"/>
        <w:rPr>
          <w:rFonts w:ascii="Times New Roman" w:hAnsi="Times New Roman"/>
        </w:rPr>
      </w:pPr>
      <w:r>
        <w:rPr>
          <w:rFonts w:ascii="Times New Roman" w:hAnsi="Times New Roman"/>
        </w:rPr>
        <w:t>钻进由起下钻、接单根、钻进等作业组成；钻进辅助作业由电测井、取心钻进、综合录井、中途测试等作业组成；固井由下套管和注固井液两个过程组成；完井作业采用套管完井、洗井等工艺，完井后设备搬迁。钻井过程采用网电作业，备用柴油发电机。</w:t>
      </w:r>
    </w:p>
    <w:p>
      <w:pPr>
        <w:pStyle w:val="564"/>
        <w:numPr>
          <w:ilvl w:val="0"/>
          <w:numId w:val="0"/>
        </w:numPr>
        <w:spacing w:line="360" w:lineRule="auto"/>
        <w:ind w:left="476"/>
        <w:rPr>
          <w:rFonts w:ascii="Times New Roman" w:hAnsi="Times New Roman"/>
          <w:b/>
          <w:bCs/>
        </w:rPr>
      </w:pPr>
      <w:r>
        <w:rPr>
          <w:rFonts w:hint="eastAsia" w:ascii="Times New Roman" w:hAnsi="Times New Roman"/>
          <w:b/>
          <w:bCs/>
        </w:rPr>
        <w:t>1、</w:t>
      </w:r>
      <w:r>
        <w:rPr>
          <w:rFonts w:ascii="Times New Roman" w:hAnsi="Times New Roman"/>
          <w:b/>
          <w:bCs/>
        </w:rPr>
        <w:t>钻井过程</w:t>
      </w:r>
    </w:p>
    <w:p>
      <w:pPr>
        <w:pStyle w:val="553"/>
        <w:spacing w:line="360" w:lineRule="auto"/>
        <w:ind w:firstLine="480"/>
        <w:rPr>
          <w:rFonts w:ascii="Times New Roman" w:hAnsi="Times New Roman"/>
        </w:rPr>
      </w:pPr>
      <w:r>
        <w:rPr>
          <w:rFonts w:ascii="Times New Roman" w:hAnsi="Times New Roman"/>
        </w:rPr>
        <w:t>P108-2H、P108-3井拟采用气体钻井和常规钻井相结合的方式以提高机械钻速，缩短钻井周期。</w:t>
      </w:r>
    </w:p>
    <w:p>
      <w:pPr>
        <w:pStyle w:val="573"/>
        <w:spacing w:line="360" w:lineRule="auto"/>
        <w:ind w:firstLine="480"/>
        <w:rPr>
          <w:rFonts w:ascii="Times New Roman" w:hAnsi="Times New Roman"/>
        </w:rPr>
      </w:pPr>
      <w:r>
        <w:rPr>
          <w:rFonts w:ascii="Times New Roman" w:hAnsi="Times New Roman"/>
        </w:rPr>
        <w:t>本项目钻进过程如下：</w:t>
      </w:r>
    </w:p>
    <w:p>
      <w:pPr>
        <w:pStyle w:val="563"/>
        <w:spacing w:line="360" w:lineRule="auto"/>
        <w:rPr>
          <w:rFonts w:ascii="Times New Roman" w:hAnsi="Times New Roman"/>
          <w:b/>
          <w:bCs/>
        </w:rPr>
      </w:pPr>
      <w:r>
        <w:rPr>
          <w:rFonts w:ascii="Times New Roman" w:hAnsi="Times New Roman"/>
          <w:b/>
          <w:bCs/>
        </w:rPr>
        <w:t>导管：</w:t>
      </w:r>
    </w:p>
    <w:p>
      <w:pPr>
        <w:pStyle w:val="573"/>
        <w:spacing w:line="360" w:lineRule="auto"/>
        <w:ind w:firstLine="480"/>
        <w:rPr>
          <w:rFonts w:ascii="Times New Roman" w:hAnsi="Times New Roman"/>
        </w:rPr>
      </w:pPr>
      <w:r>
        <w:rPr>
          <w:rFonts w:ascii="Times New Roman" w:hAnsi="Times New Roman"/>
        </w:rPr>
        <w:t>①开孔的关键是保直，方钻杆接钻头，钻压5～10kN，接上钻铤后不超40kN。</w:t>
      </w:r>
    </w:p>
    <w:p>
      <w:pPr>
        <w:pStyle w:val="573"/>
        <w:spacing w:line="360" w:lineRule="auto"/>
        <w:ind w:firstLine="480"/>
        <w:rPr>
          <w:rFonts w:ascii="Times New Roman" w:hAnsi="Times New Roman"/>
        </w:rPr>
      </w:pPr>
      <w:r>
        <w:rPr>
          <w:rFonts w:ascii="Times New Roman" w:hAnsi="Times New Roman"/>
        </w:rPr>
        <w:t>②下Φ508mm套管时，要求上扣到规定扭矩。</w:t>
      </w:r>
    </w:p>
    <w:p>
      <w:pPr>
        <w:pStyle w:val="573"/>
        <w:spacing w:line="360" w:lineRule="auto"/>
        <w:ind w:firstLine="480"/>
        <w:rPr>
          <w:rFonts w:ascii="Times New Roman" w:hAnsi="Times New Roman"/>
        </w:rPr>
      </w:pPr>
      <w:r>
        <w:rPr>
          <w:rFonts w:ascii="Times New Roman" w:hAnsi="Times New Roman"/>
        </w:rPr>
        <w:t>③导管紧好扣，下入井内，注意一定要与转盘找正，使其绝对居中，并按正规固井程序用水泥固好。以利于以后钻进和安装井口。</w:t>
      </w:r>
    </w:p>
    <w:p>
      <w:pPr>
        <w:pStyle w:val="563"/>
        <w:spacing w:line="360" w:lineRule="auto"/>
        <w:rPr>
          <w:rFonts w:ascii="Times New Roman" w:hAnsi="Times New Roman"/>
          <w:b/>
          <w:bCs/>
        </w:rPr>
      </w:pPr>
      <w:r>
        <w:rPr>
          <w:rFonts w:ascii="Times New Roman" w:hAnsi="Times New Roman"/>
          <w:b/>
          <w:bCs/>
        </w:rPr>
        <w:t>一开：</w:t>
      </w:r>
    </w:p>
    <w:p>
      <w:pPr>
        <w:pStyle w:val="553"/>
        <w:ind w:firstLine="480"/>
        <w:rPr>
          <w:rFonts w:ascii="Times New Roman" w:hAnsi="Times New Roman"/>
        </w:rPr>
      </w:pPr>
      <w:r>
        <w:rPr>
          <w:rFonts w:ascii="Times New Roman" w:hAnsi="Times New Roman"/>
        </w:rPr>
        <w:t>①本井段地层为侏罗系上统地层，岩性以砂岩与泥岩互层为主，钻进中注意调整钻井液性能，保持井壁稳定；在本段易发生渗透性漏失，应添加随钻堵漏材料，防漏堵漏。</w:t>
      </w:r>
    </w:p>
    <w:p>
      <w:pPr>
        <w:pStyle w:val="553"/>
        <w:spacing w:line="360" w:lineRule="auto"/>
        <w:ind w:firstLine="480"/>
        <w:rPr>
          <w:rFonts w:ascii="Times New Roman" w:hAnsi="Times New Roman"/>
        </w:rPr>
      </w:pPr>
      <w:r>
        <w:rPr>
          <w:rFonts w:ascii="Times New Roman" w:hAnsi="Times New Roman"/>
        </w:rPr>
        <w:t>②采用塔式钻具结构或大尺寸钻铤刚性钟摆钻具结构，上部地层以小钻压钻进，本井段重点是井眼开直、蹩跳、防斜、防井漏和保证井眼畅通。严格控制表层井身质量，发现井斜有超标趋势应及时采取纠斜措施。</w:t>
      </w:r>
    </w:p>
    <w:p>
      <w:pPr>
        <w:pStyle w:val="553"/>
        <w:spacing w:line="360" w:lineRule="auto"/>
        <w:ind w:firstLine="480"/>
        <w:rPr>
          <w:rFonts w:ascii="Times New Roman" w:hAnsi="Times New Roman"/>
        </w:rPr>
      </w:pPr>
      <w:r>
        <w:rPr>
          <w:rFonts w:ascii="Times New Roman" w:hAnsi="Times New Roman"/>
        </w:rPr>
        <w:t>③单根钻进时间较长时，中途应活动钻具，活动距离不低于3～5m，以便于切实将钻具活动开，起钻前充分循环洗井，确保下套管成功。</w:t>
      </w:r>
    </w:p>
    <w:p>
      <w:pPr>
        <w:pStyle w:val="553"/>
        <w:spacing w:line="360" w:lineRule="auto"/>
        <w:ind w:firstLine="480"/>
        <w:rPr>
          <w:rFonts w:ascii="Times New Roman" w:hAnsi="Times New Roman"/>
        </w:rPr>
      </w:pPr>
      <w:r>
        <w:rPr>
          <w:rFonts w:ascii="Times New Roman" w:hAnsi="Times New Roman" w:eastAsia="微软雅黑"/>
        </w:rPr>
        <w:t>④</w:t>
      </w:r>
      <w:r>
        <w:rPr>
          <w:rFonts w:ascii="Times New Roman" w:hAnsi="Times New Roman"/>
        </w:rPr>
        <w:t>套管紧好扣，下入井内，注意一定要与转盘找正，使其绝对居中，并用插入法固井，保证固井质量。</w:t>
      </w:r>
    </w:p>
    <w:p>
      <w:pPr>
        <w:pStyle w:val="563"/>
        <w:spacing w:line="360" w:lineRule="auto"/>
        <w:rPr>
          <w:rFonts w:ascii="Times New Roman" w:hAnsi="Times New Roman"/>
          <w:b/>
          <w:bCs/>
        </w:rPr>
      </w:pPr>
      <w:r>
        <w:rPr>
          <w:rFonts w:ascii="Times New Roman" w:hAnsi="Times New Roman"/>
          <w:b/>
          <w:bCs/>
        </w:rPr>
        <w:t>二开：</w:t>
      </w:r>
    </w:p>
    <w:p>
      <w:pPr>
        <w:pStyle w:val="553"/>
        <w:ind w:firstLine="480"/>
        <w:rPr>
          <w:rFonts w:ascii="Times New Roman" w:hAnsi="Times New Roman"/>
        </w:rPr>
      </w:pPr>
      <w:r>
        <w:rPr>
          <w:rFonts w:ascii="Times New Roman" w:hAnsi="Times New Roman"/>
        </w:rPr>
        <w:t>本井段地层特点是砂泥岩软硬交错变化大，泥页岩或砂泥岩易水化剥蚀掉块、易塌，地层可钻性低，跳钻严重，易断钻具，千佛崖组至须家河组可能存在裂缝性气层。因此必须做好防塌、防漏、防喷、防卡、防断钻具、防斜的技术准备，同时防气浸、防H</w:t>
      </w:r>
      <w:r>
        <w:rPr>
          <w:rFonts w:ascii="Times New Roman" w:hAnsi="Times New Roman"/>
          <w:vertAlign w:val="subscript"/>
        </w:rPr>
        <w:t>2</w:t>
      </w:r>
      <w:r>
        <w:rPr>
          <w:rFonts w:ascii="Times New Roman" w:hAnsi="Times New Roman"/>
        </w:rPr>
        <w:t>S。</w:t>
      </w:r>
    </w:p>
    <w:p>
      <w:pPr>
        <w:pStyle w:val="553"/>
        <w:ind w:firstLine="480"/>
        <w:rPr>
          <w:rFonts w:ascii="Times New Roman" w:hAnsi="Times New Roman"/>
        </w:rPr>
      </w:pPr>
      <w:r>
        <w:rPr>
          <w:rFonts w:ascii="Times New Roman" w:hAnsi="Times New Roman"/>
        </w:rPr>
        <w:t>重点落实以下措施：本井段裸眼段较长，井眼大，地层可钻性低、地层复杂，必须采用优选参数钻井、优质钻井液等成套钻井技术，采取</w:t>
      </w:r>
      <w:r>
        <w:rPr>
          <w:rFonts w:hint="eastAsia" w:ascii="Times New Roman" w:hAnsi="Times New Roman"/>
          <w:lang w:eastAsia="zh-CN"/>
        </w:rPr>
        <w:t>有针对性地</w:t>
      </w:r>
      <w:r>
        <w:rPr>
          <w:rFonts w:ascii="Times New Roman" w:hAnsi="Times New Roman"/>
        </w:rPr>
        <w:t>措施，提高钻进速度，缩短地层浸泡时间，保证井壁稳定，起下钻畅通，安全地将Φ273.1mm套管下到设计位置。</w:t>
      </w:r>
    </w:p>
    <w:p>
      <w:pPr>
        <w:pStyle w:val="553"/>
        <w:ind w:firstLine="480"/>
        <w:rPr>
          <w:rFonts w:ascii="Times New Roman" w:hAnsi="Times New Roman"/>
        </w:rPr>
      </w:pPr>
      <w:r>
        <w:rPr>
          <w:rFonts w:ascii="Times New Roman" w:hAnsi="Times New Roman"/>
        </w:rPr>
        <w:t>①根据地层岩性和可钻性选用高效牙轮钻头，钻进参数要随地层变化及时调整。井眼要确保打直，根据钻具组合控制钻压，每只钻头起钻均要测斜，尤其是第一只钻头起钻，测斜不成不准打钻。</w:t>
      </w:r>
    </w:p>
    <w:p>
      <w:pPr>
        <w:pStyle w:val="553"/>
        <w:ind w:firstLine="480"/>
        <w:rPr>
          <w:rFonts w:ascii="Times New Roman" w:hAnsi="Times New Roman"/>
        </w:rPr>
      </w:pPr>
      <w:r>
        <w:rPr>
          <w:rFonts w:ascii="Times New Roman" w:hAnsi="Times New Roman"/>
        </w:rPr>
        <w:t>②开始井段井浅、地层硬，钻进中遇到的主要问题是跳钻，钻具磨损大，钻头直径大钻速低，易斜。钻井措施上应考虑防斜、防跳、防钻头、钻具事故。</w:t>
      </w:r>
    </w:p>
    <w:p>
      <w:pPr>
        <w:pStyle w:val="553"/>
        <w:ind w:firstLine="480"/>
        <w:rPr>
          <w:rFonts w:ascii="Times New Roman" w:hAnsi="Times New Roman"/>
        </w:rPr>
      </w:pPr>
      <w:r>
        <w:rPr>
          <w:rFonts w:ascii="Times New Roman" w:hAnsi="Times New Roman"/>
        </w:rPr>
        <w:t>③本区上部地层岩性变化频繁，掉块严重，确定合适的钻井液密度，防止因密度不足以平衡井壁侧压力而使井壁</w:t>
      </w:r>
      <w:r>
        <w:rPr>
          <w:rFonts w:hint="eastAsia" w:ascii="Times New Roman" w:hAnsi="Times New Roman"/>
          <w:lang w:eastAsia="zh-CN"/>
        </w:rPr>
        <w:t>垮塌</w:t>
      </w:r>
      <w:r>
        <w:rPr>
          <w:rFonts w:ascii="Times New Roman" w:hAnsi="Times New Roman"/>
        </w:rPr>
        <w:t>。</w:t>
      </w:r>
    </w:p>
    <w:p>
      <w:pPr>
        <w:pStyle w:val="553"/>
        <w:ind w:firstLine="480"/>
        <w:rPr>
          <w:rFonts w:ascii="Times New Roman" w:hAnsi="Times New Roman"/>
        </w:rPr>
      </w:pPr>
      <w:r>
        <w:rPr>
          <w:rFonts w:ascii="Times New Roman" w:hAnsi="Times New Roman" w:eastAsia="微软雅黑"/>
        </w:rPr>
        <w:t>④</w:t>
      </w:r>
      <w:r>
        <w:rPr>
          <w:rFonts w:ascii="Times New Roman" w:hAnsi="Times New Roman"/>
        </w:rPr>
        <w:t>针对雷口坡组和嘉四五段多为裂缝性漏失，若漏失速度小于10m</w:t>
      </w:r>
      <w:r>
        <w:rPr>
          <w:rFonts w:ascii="Times New Roman" w:hAnsi="Times New Roman"/>
          <w:vertAlign w:val="superscript"/>
        </w:rPr>
        <w:t>3</w:t>
      </w:r>
      <w:r>
        <w:rPr>
          <w:rFonts w:ascii="Times New Roman" w:hAnsi="Times New Roman"/>
        </w:rPr>
        <w:t>/h，可尝试采用随钻堵漏工艺；对漏失速度大于3m</w:t>
      </w:r>
      <w:r>
        <w:rPr>
          <w:rFonts w:ascii="Times New Roman" w:hAnsi="Times New Roman"/>
          <w:vertAlign w:val="superscript"/>
        </w:rPr>
        <w:t>3</w:t>
      </w:r>
      <w:r>
        <w:rPr>
          <w:rFonts w:ascii="Times New Roman" w:hAnsi="Times New Roman"/>
        </w:rPr>
        <w:t>/h，小于10m</w:t>
      </w:r>
      <w:r>
        <w:rPr>
          <w:rFonts w:ascii="Times New Roman" w:hAnsi="Times New Roman"/>
          <w:vertAlign w:val="superscript"/>
        </w:rPr>
        <w:t>3</w:t>
      </w:r>
      <w:r>
        <w:rPr>
          <w:rFonts w:ascii="Times New Roman" w:hAnsi="Times New Roman"/>
        </w:rPr>
        <w:t>/h的裂隙性漏失，停止循环，起钻至套管内，用桥堵材料桥塞堵漏，先用静止堵漏的方法堵漏，之后井口加压挤堵巩固堵漏成果。发生漏速10～30m</w:t>
      </w:r>
      <w:r>
        <w:rPr>
          <w:rFonts w:ascii="Times New Roman" w:hAnsi="Times New Roman"/>
          <w:vertAlign w:val="superscript"/>
        </w:rPr>
        <w:t>3</w:t>
      </w:r>
      <w:r>
        <w:rPr>
          <w:rFonts w:ascii="Times New Roman" w:hAnsi="Times New Roman"/>
        </w:rPr>
        <w:t>/h时，立即起钻至套管内，其间吊灌泥浆，防止井漏造成井喷。采取如下措施：用大颗粒材料加KSY堵漏，以上方法无效时采用注水泥、胶质水泥、胶凝堵漏剂堵漏。</w:t>
      </w:r>
    </w:p>
    <w:p>
      <w:pPr>
        <w:pStyle w:val="553"/>
        <w:ind w:firstLine="480"/>
        <w:rPr>
          <w:rFonts w:ascii="Times New Roman" w:hAnsi="Times New Roman"/>
        </w:rPr>
      </w:pPr>
      <w:r>
        <w:rPr>
          <w:rFonts w:ascii="Times New Roman" w:hAnsi="Times New Roman" w:eastAsia="微软雅黑"/>
        </w:rPr>
        <w:t>⑤</w:t>
      </w:r>
      <w:r>
        <w:rPr>
          <w:rFonts w:ascii="Times New Roman" w:hAnsi="Times New Roman"/>
        </w:rPr>
        <w:t>嘉陵江组五~四段盐膏层发育，需防盐膏侵和缩径卡钻事故，进入盐膏层时控制钻速，上提下放无阻卡现象方可正常钻进，若盐层段阻卡严重，可适当提高密度。</w:t>
      </w:r>
    </w:p>
    <w:p>
      <w:pPr>
        <w:pStyle w:val="553"/>
        <w:ind w:firstLine="480"/>
        <w:rPr>
          <w:rFonts w:ascii="Times New Roman" w:hAnsi="Times New Roman"/>
        </w:rPr>
      </w:pPr>
      <w:r>
        <w:rPr>
          <w:rFonts w:ascii="Times New Roman" w:hAnsi="Times New Roman" w:eastAsia="微软雅黑"/>
        </w:rPr>
        <w:t>⑥</w:t>
      </w:r>
      <w:r>
        <w:rPr>
          <w:rFonts w:ascii="Times New Roman" w:hAnsi="Times New Roman"/>
        </w:rPr>
        <w:t>接单根动作要迅速，下放速度要控制，开泵不宜过急，做到“晚停早开”，因故终止钻井液循环时应将钻头提离井底，且钻具在井内静止时间不超过3min，应及时活动钻具，防止沉砂卡钻。</w:t>
      </w:r>
    </w:p>
    <w:p>
      <w:pPr>
        <w:snapToGrid w:val="0"/>
        <w:ind w:firstLine="480"/>
        <w:rPr>
          <w:rFonts w:ascii="Times New Roman" w:cs="Times New Roman"/>
        </w:rPr>
      </w:pPr>
      <w:r>
        <w:rPr>
          <w:rFonts w:ascii="Times New Roman" w:eastAsia="微软雅黑" w:cs="Times New Roman"/>
        </w:rPr>
        <w:t>⑦</w:t>
      </w:r>
      <w:r>
        <w:rPr>
          <w:rFonts w:ascii="Times New Roman" w:cs="Times New Roman"/>
        </w:rPr>
        <w:t>直井段打完进尺后，应通过短起、下钻等措施拉刮修整井壁，使井眼光滑畅通，为动力钻具顺利下入创造条件。</w:t>
      </w:r>
    </w:p>
    <w:p>
      <w:pPr>
        <w:snapToGrid w:val="0"/>
        <w:ind w:firstLine="480"/>
        <w:rPr>
          <w:rFonts w:ascii="Times New Roman" w:cs="Times New Roman"/>
        </w:rPr>
      </w:pPr>
      <w:r>
        <w:rPr>
          <w:rFonts w:ascii="Times New Roman" w:eastAsia="微软雅黑" w:cs="Times New Roman"/>
        </w:rPr>
        <w:t>⑧</w:t>
      </w:r>
      <w:r>
        <w:rPr>
          <w:rFonts w:ascii="Times New Roman" w:cs="Times New Roman"/>
        </w:rPr>
        <w:t>重点井段应加强溢流观察，及时发现气侵、溢流等异常情况，同时使用液气分离器进行循环排气。</w:t>
      </w:r>
    </w:p>
    <w:p>
      <w:pPr>
        <w:snapToGrid w:val="0"/>
        <w:ind w:firstLine="480"/>
        <w:rPr>
          <w:rFonts w:ascii="Times New Roman" w:cs="Times New Roman"/>
        </w:rPr>
      </w:pPr>
      <w:r>
        <w:rPr>
          <w:rFonts w:ascii="Times New Roman" w:eastAsia="微软雅黑" w:cs="Times New Roman"/>
        </w:rPr>
        <w:t>⑨</w:t>
      </w:r>
      <w:r>
        <w:rPr>
          <w:rFonts w:ascii="Times New Roman" w:cs="Times New Roman"/>
        </w:rPr>
        <w:t>保证井眼畅通，起钻严禁拔活塞，起钻灌好钻井液。</w:t>
      </w:r>
    </w:p>
    <w:p>
      <w:pPr>
        <w:snapToGrid w:val="0"/>
        <w:ind w:firstLine="480"/>
        <w:rPr>
          <w:rFonts w:ascii="Times New Roman" w:cs="Times New Roman"/>
        </w:rPr>
      </w:pPr>
      <w:r>
        <w:rPr>
          <w:rFonts w:ascii="Times New Roman" w:eastAsia="微软雅黑" w:cs="Times New Roman"/>
        </w:rPr>
        <w:t>⑩</w:t>
      </w:r>
      <w:r>
        <w:rPr>
          <w:rFonts w:ascii="Times New Roman" w:cs="Times New Roman"/>
        </w:rPr>
        <w:t>本区域邻井多次于上部井段发生钻头及钻具事故，钻进中必须正确判断井下情况，加强钻具管理，监控钻头和钻具工作状况，防止钻头、钻具事故发生。</w:t>
      </w:r>
    </w:p>
    <w:p>
      <w:pPr>
        <w:snapToGrid w:val="0"/>
        <w:ind w:firstLine="480"/>
        <w:rPr>
          <w:rFonts w:ascii="Times New Roman" w:cs="Times New Roman"/>
        </w:rPr>
      </w:pPr>
      <w:r>
        <w:rPr>
          <w:rFonts w:ascii="Times New Roman" w:eastAsia="微软雅黑" w:cs="Times New Roman"/>
        </w:rPr>
        <w:t>⑪</w:t>
      </w:r>
      <w:r>
        <w:rPr>
          <w:rFonts w:ascii="Times New Roman" w:cs="Times New Roman"/>
        </w:rPr>
        <w:t>注意防止钻遇局部断层可能引发的井斜失控、井塌及漏失。在断层附近注意降压，送钻均匀等。</w:t>
      </w:r>
    </w:p>
    <w:p>
      <w:pPr>
        <w:snapToGrid w:val="0"/>
        <w:ind w:firstLine="0" w:firstLineChars="0"/>
        <w:rPr>
          <w:rFonts w:ascii="Times New Roman" w:cs="Times New Roman"/>
          <w:b/>
          <w:bCs/>
        </w:rPr>
      </w:pPr>
      <w:r>
        <w:rPr>
          <w:rFonts w:ascii="Times New Roman" w:cs="Times New Roman"/>
          <w:b/>
          <w:bCs/>
        </w:rPr>
        <w:t>三开：</w:t>
      </w:r>
    </w:p>
    <w:p>
      <w:pPr>
        <w:snapToGrid w:val="0"/>
        <w:ind w:firstLine="480"/>
        <w:rPr>
          <w:rFonts w:ascii="Times New Roman" w:cs="Times New Roman"/>
        </w:rPr>
      </w:pPr>
      <w:r>
        <w:rPr>
          <w:rFonts w:ascii="Times New Roman" w:cs="Times New Roman"/>
        </w:rPr>
        <w:t>本井段为海相地层，地层比较复杂，飞仙关组、长兴组为主要产层，根据地质预测，飞仙关组产层已部分动用，压力系数较低。因此，防喷、防H</w:t>
      </w:r>
      <w:r>
        <w:rPr>
          <w:rFonts w:ascii="Times New Roman" w:cs="Times New Roman"/>
          <w:vertAlign w:val="subscript"/>
        </w:rPr>
        <w:t>2</w:t>
      </w:r>
      <w:r>
        <w:rPr>
          <w:rFonts w:ascii="Times New Roman" w:cs="Times New Roman"/>
        </w:rPr>
        <w:t>S、防气水浸、防卡、防漏是本井段施工的重点。同时本井为水平井，进入大斜度井段，尤其是水平段施工时，应调整好钻井液性能，提高其润滑和携岩性能，增大施工排量，减少岩屑床的产生。施工中钻遇低压层，做好防漏、堵漏预案，同时应立足于一级井控，强化二级井控，杜绝井喷失控。嘉陵江组可能存在盐水层，注意调整钻井液性能。</w:t>
      </w:r>
    </w:p>
    <w:p>
      <w:pPr>
        <w:pStyle w:val="114"/>
        <w:ind w:firstLine="480"/>
      </w:pPr>
      <w:r>
        <w:rPr>
          <w:rFonts w:eastAsia="微软雅黑"/>
        </w:rPr>
        <w:t>①</w:t>
      </w:r>
      <w:r>
        <w:t>加强钻具组合的造斜性能分析，MWD及时跟踪监测，以便及时调整钻井参数和钻具组合，使井眼轨迹较为平滑，确保中靶。</w:t>
      </w:r>
    </w:p>
    <w:p>
      <w:pPr>
        <w:pStyle w:val="114"/>
        <w:ind w:firstLine="480"/>
      </w:pPr>
      <w:r>
        <w:rPr>
          <w:rFonts w:eastAsia="微软雅黑"/>
        </w:rPr>
        <w:t>②</w:t>
      </w:r>
      <w:r>
        <w:t>要求对钻井液进行维护与处理，井场应备有相应的堵漏材料，并按设计储备足量的优质钻井液。</w:t>
      </w:r>
    </w:p>
    <w:p>
      <w:pPr>
        <w:pStyle w:val="114"/>
        <w:ind w:firstLine="480"/>
      </w:pPr>
      <w:r>
        <w:rPr>
          <w:rFonts w:eastAsia="微软雅黑"/>
        </w:rPr>
        <w:t>③</w:t>
      </w:r>
      <w:r>
        <w:t>井眼轨迹的变化范围，加快钻井速度，尽量减少钻井液对井壁的浸泡时间，按照设计要求做好油气层的保护工作。</w:t>
      </w:r>
    </w:p>
    <w:p>
      <w:pPr>
        <w:pStyle w:val="114"/>
        <w:ind w:firstLine="480"/>
      </w:pPr>
      <w:r>
        <w:rPr>
          <w:rFonts w:eastAsia="微软雅黑"/>
        </w:rPr>
        <w:t>④</w:t>
      </w:r>
      <w:r>
        <w:t>起钻和电测期间有专人观察井口液面变化，及时补充钻井液，防止井下复杂情况发生。</w:t>
      </w:r>
    </w:p>
    <w:p>
      <w:pPr>
        <w:pStyle w:val="114"/>
        <w:ind w:firstLine="480"/>
      </w:pPr>
      <w:r>
        <w:rPr>
          <w:rFonts w:eastAsia="微软雅黑"/>
        </w:rPr>
        <w:t>⑤</w:t>
      </w:r>
      <w:r>
        <w:t>期间有专人观察井口液面变化，及时补充钻井液，防止井下复杂情况的发生。</w:t>
      </w:r>
    </w:p>
    <w:p>
      <w:pPr>
        <w:pStyle w:val="114"/>
        <w:ind w:firstLine="480"/>
      </w:pPr>
      <w:r>
        <w:rPr>
          <w:rFonts w:eastAsia="微软雅黑"/>
        </w:rPr>
        <w:t>⑥</w:t>
      </w:r>
      <w:r>
        <w:t>应保证排量，以提高井眼清洗效率，增强钻井液的携岩能力。</w:t>
      </w:r>
    </w:p>
    <w:p>
      <w:pPr>
        <w:pStyle w:val="114"/>
        <w:ind w:firstLine="480"/>
      </w:pPr>
      <w:r>
        <w:rPr>
          <w:rFonts w:eastAsia="微软雅黑"/>
        </w:rPr>
        <w:t>⑦</w:t>
      </w:r>
      <w:r>
        <w:t>斜井段坚持使用加重钻杆，使用螺旋钻铤、斜台肩钻杆，以减小钻具与井壁的接触面积。</w:t>
      </w:r>
    </w:p>
    <w:p>
      <w:pPr>
        <w:pStyle w:val="114"/>
        <w:ind w:firstLine="480"/>
      </w:pPr>
      <w:r>
        <w:rPr>
          <w:rFonts w:eastAsia="微软雅黑"/>
        </w:rPr>
        <w:t>⑧</w:t>
      </w:r>
      <w:r>
        <w:t>定向钻进下钻时钻具丝扣一定要上紧，避免开泵时因螺杆钻具的反扭矩而导致钻具倒扣，造成钻具落井事故。</w:t>
      </w:r>
    </w:p>
    <w:p>
      <w:pPr>
        <w:pStyle w:val="114"/>
        <w:ind w:firstLine="480"/>
      </w:pPr>
      <w:r>
        <w:rPr>
          <w:rFonts w:eastAsia="微软雅黑"/>
        </w:rPr>
        <w:t>⑨</w:t>
      </w:r>
      <w:r>
        <w:t>严格控制钻具在井内的静止时间，除测斜外，钻具静止时间不超过3min，且钻具的活动幅度应确保下部钻具能够活动开。钻具在井下，设备因故需长时间检修时，要将钻具起出或提至套管内，防止钻具在裸眼内滞留时间长而造成井下复杂情况。</w:t>
      </w:r>
    </w:p>
    <w:p>
      <w:pPr>
        <w:pStyle w:val="114"/>
        <w:ind w:firstLine="480"/>
      </w:pPr>
      <w:r>
        <w:rPr>
          <w:rFonts w:eastAsia="微软雅黑"/>
        </w:rPr>
        <w:t>⑩</w:t>
      </w:r>
      <w:r>
        <w:t>根据测斜数据及时作出井身轨迹实钻图，以指导下一步技术决策。</w:t>
      </w:r>
    </w:p>
    <w:p>
      <w:pPr>
        <w:pStyle w:val="114"/>
        <w:ind w:firstLine="480"/>
      </w:pPr>
      <w:r>
        <w:rPr>
          <w:rFonts w:eastAsia="微软雅黑"/>
        </w:rPr>
        <w:t>⑪</w:t>
      </w:r>
      <w:r>
        <w:t>下钻遇阻不超过50kN，严禁硬压导致卡死。斜井段下钻速度要慢，严禁猛刹﹑猛提﹑猛放。若井下异常应耐心划眼，直到通畅为止；严禁动力钻具长时间划眼。</w:t>
      </w:r>
    </w:p>
    <w:p>
      <w:pPr>
        <w:pStyle w:val="114"/>
        <w:ind w:firstLine="480"/>
      </w:pPr>
      <w:r>
        <w:rPr>
          <w:rFonts w:eastAsia="微软雅黑"/>
        </w:rPr>
        <w:t>⑫</w:t>
      </w:r>
      <w:r>
        <w:t>钻进及划眼过程中密切注视转盘扭拒变化，防止将钻具蹩断或倒扣掉入井内。</w:t>
      </w:r>
    </w:p>
    <w:p>
      <w:pPr>
        <w:pStyle w:val="114"/>
        <w:ind w:firstLine="480"/>
      </w:pPr>
      <w:r>
        <w:rPr>
          <w:rFonts w:eastAsia="微软雅黑"/>
        </w:rPr>
        <w:t>⑬</w:t>
      </w:r>
      <w:r>
        <w:t>因钻具中装有止回阀，下钻时应定期向钻具内灌入钻井液，每下200～300m灌满一次，下钻中途需应小排量开泵，至井口返出钻井液为止。</w:t>
      </w:r>
    </w:p>
    <w:p>
      <w:pPr>
        <w:pStyle w:val="114"/>
        <w:ind w:firstLine="480"/>
      </w:pPr>
      <w:r>
        <w:rPr>
          <w:rFonts w:eastAsia="微软雅黑"/>
        </w:rPr>
        <w:t>⑭</w:t>
      </w:r>
      <w:r>
        <w:t>坚持使用好固控设备，加入适量的润滑剂把钻井液泥饼摩阻系数控制在设计范围内。</w:t>
      </w:r>
    </w:p>
    <w:p>
      <w:pPr>
        <w:pStyle w:val="114"/>
        <w:ind w:firstLine="480"/>
      </w:pPr>
      <w:r>
        <w:rPr>
          <w:rFonts w:eastAsia="微软雅黑"/>
        </w:rPr>
        <w:t>⑮</w:t>
      </w:r>
      <w:r>
        <w:t>严格深井钻具管理，入井钻具必须认真检查，坚持钻具倒换、错扣检查及探伤，防止钻具事故发生。加强地质录井观察，为钻井提供可信的地层预告。</w:t>
      </w:r>
    </w:p>
    <w:p>
      <w:pPr>
        <w:pStyle w:val="114"/>
        <w:ind w:firstLine="480"/>
      </w:pPr>
      <w:r>
        <w:rPr>
          <w:rFonts w:eastAsia="微软雅黑"/>
        </w:rPr>
        <w:t>⑯</w:t>
      </w:r>
      <w:r>
        <w:t>注意防喷、防漏、防H</w:t>
      </w:r>
      <w:r>
        <w:rPr>
          <w:vertAlign w:val="subscript"/>
        </w:rPr>
        <w:t>2</w:t>
      </w:r>
      <w:r>
        <w:t>S。在钻井液中提前加入堵漏材料和足量的除硫剂、缓蚀剂，将pH值提高到9.5以上。</w:t>
      </w:r>
    </w:p>
    <w:p>
      <w:pPr>
        <w:pStyle w:val="114"/>
        <w:ind w:firstLine="480"/>
      </w:pPr>
      <w:r>
        <w:rPr>
          <w:rFonts w:eastAsia="微软雅黑"/>
        </w:rPr>
        <w:t>⑰</w:t>
      </w:r>
      <w:r>
        <w:t>在油气层中钻进和钻过油气层前进行起下钻作业前，应先短起。</w:t>
      </w:r>
    </w:p>
    <w:p>
      <w:pPr>
        <w:pStyle w:val="114"/>
        <w:ind w:firstLine="480"/>
      </w:pPr>
      <w:r>
        <w:rPr>
          <w:rFonts w:eastAsia="微软雅黑"/>
        </w:rPr>
        <w:t>⑱</w:t>
      </w:r>
      <w:r>
        <w:t>在油气层和已知漏层部位及其以上300m井段必须降低提放钻具的速度，其值应不大于0.5m/s，下钻钻具悬重超过300kN应使用辅助刹车。</w:t>
      </w:r>
    </w:p>
    <w:p>
      <w:pPr>
        <w:pStyle w:val="114"/>
        <w:ind w:firstLine="480"/>
      </w:pPr>
      <w:r>
        <w:rPr>
          <w:rFonts w:eastAsia="微软雅黑"/>
        </w:rPr>
        <w:t>⑲</w:t>
      </w:r>
      <w:r>
        <w:t>钻井过程中应注意防漏，根据实际情况合理调整钻井液密度，做到既保护气层，又安全钻进。</w:t>
      </w:r>
    </w:p>
    <w:p>
      <w:pPr>
        <w:pStyle w:val="114"/>
        <w:ind w:firstLine="480"/>
      </w:pPr>
      <w:r>
        <w:rPr>
          <w:rFonts w:eastAsia="微软雅黑"/>
        </w:rPr>
        <w:t>⑳</w:t>
      </w:r>
      <w:r>
        <w:t>电测和下套管前，做好通井工作，同时做好防粘卡试验。</w:t>
      </w:r>
    </w:p>
    <w:p>
      <w:pPr>
        <w:snapToGrid w:val="0"/>
        <w:ind w:firstLine="480"/>
        <w:rPr>
          <w:rFonts w:ascii="Times New Roman" w:cs="Times New Roman"/>
        </w:rPr>
      </w:pPr>
      <w:r>
        <w:rPr>
          <w:rFonts w:ascii="Times New Roman" w:cs="Times New Roman"/>
        </w:rPr>
        <w:t>若封堵性聚合物润滑防塌钻井液不能满足三开井段安全钻井要求，则更换为白油基钻井液体系，白油基钻井液维护处理措施如下：</w:t>
      </w:r>
    </w:p>
    <w:p>
      <w:pPr>
        <w:snapToGrid w:val="0"/>
        <w:ind w:firstLine="480"/>
        <w:rPr>
          <w:rFonts w:ascii="Times New Roman" w:cs="Times New Roman"/>
        </w:rPr>
      </w:pPr>
      <w:r>
        <w:rPr>
          <w:rFonts w:ascii="Times New Roman" w:eastAsia="微软雅黑" w:cs="Times New Roman"/>
        </w:rPr>
        <w:t>①</w:t>
      </w:r>
      <w:r>
        <w:rPr>
          <w:rFonts w:ascii="Times New Roman" w:cs="Times New Roman"/>
        </w:rPr>
        <w:t>配制转换油基钻井液之前，需清洁地面循环系统杜绝水基钻井液残余，所有橡胶件必须耐油和耐腐蚀，循环罐上搭防雨棚严禁雨水或污水进入油基钻井液，罐面安装轴流风机防止油气聚集。</w:t>
      </w:r>
    </w:p>
    <w:p>
      <w:pPr>
        <w:snapToGrid w:val="0"/>
        <w:ind w:firstLine="480"/>
        <w:rPr>
          <w:rFonts w:ascii="Times New Roman" w:cs="Times New Roman"/>
        </w:rPr>
      </w:pPr>
      <w:r>
        <w:rPr>
          <w:rFonts w:ascii="Times New Roman" w:eastAsia="微软雅黑" w:cs="Times New Roman"/>
        </w:rPr>
        <w:t>②</w:t>
      </w:r>
      <w:r>
        <w:rPr>
          <w:rFonts w:ascii="Times New Roman" w:cs="Times New Roman"/>
        </w:rPr>
        <w:t>油基钻井液配制，按设计配方或现场试验配方配制钻井液，首先基油、乳化剂、氯化钙盐水混配，地面搅拌、低压循环充分剪切2h，使水相在低粘条件下充分细化分散，补入有机土循环剪切1h形成稳定乳液，再加入降滤失剂氧化钙等材料，循环剪切1h形成稳定基液，最后按设计密度逐步加重，充分搅拌循环2-3h形成稳定加重体系。</w:t>
      </w:r>
    </w:p>
    <w:p>
      <w:pPr>
        <w:snapToGrid w:val="0"/>
        <w:ind w:firstLine="480"/>
        <w:rPr>
          <w:rFonts w:ascii="Times New Roman" w:cs="Times New Roman"/>
        </w:rPr>
      </w:pPr>
      <w:r>
        <w:rPr>
          <w:rFonts w:ascii="Times New Roman" w:eastAsia="微软雅黑" w:cs="Times New Roman"/>
        </w:rPr>
        <w:t>③</w:t>
      </w:r>
      <w:r>
        <w:rPr>
          <w:rFonts w:ascii="Times New Roman" w:cs="Times New Roman"/>
        </w:rPr>
        <w:t>本井替浆转换涉及较长裸眼段，裸眼段前期掉块严重井壁不规则，提高替浆转换效果采用10m</w:t>
      </w:r>
      <w:r>
        <w:rPr>
          <w:rFonts w:ascii="Times New Roman" w:cs="Times New Roman"/>
          <w:vertAlign w:val="superscript"/>
        </w:rPr>
        <w:t>3</w:t>
      </w:r>
      <w:r>
        <w:rPr>
          <w:rFonts w:ascii="Times New Roman" w:cs="Times New Roman"/>
        </w:rPr>
        <w:t>高</w:t>
      </w:r>
      <w:r>
        <w:rPr>
          <w:rFonts w:hint="eastAsia" w:ascii="Times New Roman" w:cs="Times New Roman"/>
          <w:lang w:eastAsia="zh-CN"/>
        </w:rPr>
        <w:t>黏度</w:t>
      </w:r>
      <w:r>
        <w:rPr>
          <w:rFonts w:ascii="Times New Roman" w:cs="Times New Roman"/>
        </w:rPr>
        <w:t>油基基液做顶替隔离液（漏斗</w:t>
      </w:r>
      <w:r>
        <w:rPr>
          <w:rFonts w:hint="eastAsia" w:ascii="Times New Roman" w:cs="Times New Roman"/>
          <w:lang w:eastAsia="zh-CN"/>
        </w:rPr>
        <w:t>黏度</w:t>
      </w:r>
      <w:r>
        <w:rPr>
          <w:rFonts w:ascii="Times New Roman" w:cs="Times New Roman"/>
        </w:rPr>
        <w:t>＞80s），高</w:t>
      </w:r>
      <w:r>
        <w:rPr>
          <w:rFonts w:hint="eastAsia" w:ascii="Times New Roman" w:cs="Times New Roman"/>
          <w:lang w:eastAsia="zh-CN"/>
        </w:rPr>
        <w:t>黏度</w:t>
      </w:r>
      <w:r>
        <w:rPr>
          <w:rFonts w:ascii="Times New Roman" w:cs="Times New Roman"/>
        </w:rPr>
        <w:t>隔离液配方：油基泥浆基液+2-3%有机土+2-3%乳化剂。顶替先泵入10m</w:t>
      </w:r>
      <w:r>
        <w:rPr>
          <w:rFonts w:ascii="Times New Roman" w:cs="Times New Roman"/>
          <w:vertAlign w:val="superscript"/>
        </w:rPr>
        <w:t>3</w:t>
      </w:r>
      <w:r>
        <w:rPr>
          <w:rFonts w:ascii="Times New Roman" w:cs="Times New Roman"/>
        </w:rPr>
        <w:t>隔离液，然后再泵入油基泥浆，顶替过程采用大排量、不停泵确保顶替效率。参考隔离液返排时间和流型变化，加密监测密度与破乳电压，当密度出现U型拐点并且破乳电压50-100V可读时，结束顶替作业。</w:t>
      </w:r>
    </w:p>
    <w:p>
      <w:pPr>
        <w:snapToGrid w:val="0"/>
        <w:ind w:firstLine="480"/>
        <w:rPr>
          <w:rFonts w:ascii="Times New Roman" w:cs="Times New Roman"/>
        </w:rPr>
      </w:pPr>
      <w:r>
        <w:rPr>
          <w:rFonts w:ascii="Times New Roman" w:eastAsia="微软雅黑" w:cs="Times New Roman"/>
        </w:rPr>
        <w:t>④</w:t>
      </w:r>
      <w:r>
        <w:rPr>
          <w:rFonts w:ascii="Times New Roman" w:cs="Times New Roman"/>
        </w:rPr>
        <w:t>油基泥浆转换完后，大排量充分循环2～3个循环周至油基钻井液性能稳定，测定全套性能，符合设计要求后开始定向施工作业。为减少残余水基和水基虚泥饼污染带来的振动筛跑浆以及未溶助剂的损耗，油基钻井液转换及调整性能期间振动筛应首先使用120目筛布，再逐步过渡到200目以上筛布。</w:t>
      </w:r>
    </w:p>
    <w:p>
      <w:pPr>
        <w:snapToGrid w:val="0"/>
        <w:ind w:firstLine="480"/>
        <w:rPr>
          <w:rFonts w:ascii="Times New Roman" w:cs="Times New Roman"/>
        </w:rPr>
      </w:pPr>
      <w:r>
        <w:rPr>
          <w:rFonts w:ascii="Times New Roman" w:eastAsia="微软雅黑" w:cs="Times New Roman"/>
        </w:rPr>
        <w:t>⑤</w:t>
      </w:r>
      <w:r>
        <w:rPr>
          <w:rFonts w:ascii="Times New Roman" w:cs="Times New Roman"/>
        </w:rPr>
        <w:t>油水比控制，一级固控环节水相蒸发损耗较大，结合油水比、泥浆流变性、破乳电压测试情况，持续稳定的补充氯化钙盐水，控制好油水比，保持钻井液性能稳定。</w:t>
      </w:r>
    </w:p>
    <w:p>
      <w:pPr>
        <w:snapToGrid w:val="0"/>
        <w:ind w:firstLine="480"/>
        <w:rPr>
          <w:rFonts w:ascii="Times New Roman" w:cs="Times New Roman"/>
        </w:rPr>
      </w:pPr>
      <w:r>
        <w:rPr>
          <w:rFonts w:ascii="Times New Roman" w:eastAsia="微软雅黑" w:cs="Times New Roman"/>
        </w:rPr>
        <w:t>⑥</w:t>
      </w:r>
      <w:r>
        <w:rPr>
          <w:rFonts w:ascii="Times New Roman" w:cs="Times New Roman"/>
        </w:rPr>
        <w:t>乳化稳定性控制，流变性、固相含量、油水比、碱度等均会对破乳电压产生影响，测定分析确认主要影响因素并及时进行调整。保持油水比在设计范围内，及时补充乳化剂、润湿剂，维持钻井液碱度不低于2.0。</w:t>
      </w:r>
    </w:p>
    <w:p>
      <w:pPr>
        <w:snapToGrid w:val="0"/>
        <w:ind w:firstLine="480"/>
        <w:rPr>
          <w:rFonts w:ascii="Times New Roman" w:cs="Times New Roman"/>
        </w:rPr>
      </w:pPr>
      <w:r>
        <w:rPr>
          <w:rFonts w:ascii="Times New Roman" w:eastAsia="微软雅黑" w:cs="Times New Roman"/>
        </w:rPr>
        <w:t>⑦</w:t>
      </w:r>
      <w:r>
        <w:rPr>
          <w:rFonts w:ascii="Times New Roman" w:cs="Times New Roman"/>
        </w:rPr>
        <w:t>流变性控制，加强固控设备管理保持钻井液清洁，及时补充乳化剂、润湿剂，保持钻井液良好的乳化稳定性和固相润湿性能，通过调整有机土、乳化剂加量和油水比，以及防漏堵漏材料的合理浓度来调整粘切。</w:t>
      </w:r>
    </w:p>
    <w:p>
      <w:pPr>
        <w:snapToGrid w:val="0"/>
        <w:ind w:firstLine="480"/>
        <w:rPr>
          <w:rFonts w:ascii="Times New Roman" w:cs="Times New Roman"/>
        </w:rPr>
      </w:pPr>
      <w:r>
        <w:rPr>
          <w:rFonts w:ascii="Times New Roman" w:eastAsia="微软雅黑" w:cs="Times New Roman"/>
        </w:rPr>
        <w:t>⑧</w:t>
      </w:r>
      <w:r>
        <w:rPr>
          <w:rFonts w:ascii="Times New Roman" w:cs="Times New Roman"/>
        </w:rPr>
        <w:t>滤失量控制，钻井液乳化稳定性是有效降低滤失量的重要保证，高温高压滤液中不应含自由水，若HTHP滤失量较大或滤液中有自由水，及时补充乳化剂、有机土、降滤失剂等材料，控制高温高压滤失量≤4mL。</w:t>
      </w:r>
    </w:p>
    <w:p>
      <w:pPr>
        <w:pStyle w:val="114"/>
        <w:ind w:firstLine="480"/>
      </w:pPr>
      <w:r>
        <w:rPr>
          <w:rFonts w:eastAsia="微软雅黑"/>
        </w:rPr>
        <w:t>⑨</w:t>
      </w:r>
      <w:r>
        <w:t>固相控制，充分利用固控设备清除钻井液中的有害固相，振动筛、除砂、除泥器运转率100%，离心机运转率不低于30%，确保密度、固相含量、含砂量控制在设计范围内。接立柱期间和除砂器见到钻屑时要及时检查更换破损筛布，冲洗检查振动筛必须使用基油。正常钻进振动筛易采用200-240目筛布，低钻速钻进及通井拉划井壁时钻屑细小、含砂量高，振动筛易采用240目以上筛布。</w:t>
      </w:r>
    </w:p>
    <w:p>
      <w:pPr>
        <w:pStyle w:val="114"/>
        <w:ind w:firstLine="480"/>
      </w:pPr>
      <w:r>
        <w:t>泥浆循环系统：首先泥浆泵从泥浆罐中抽取泥浆，通过连接管汇到达钻台立管阀门组，送到井下的钻头处，高压泥浆对井底进行喷冲并且携带固相钻屑，由钻杆和套管中间的环形空间流回井口。携带钻屑的泥浆从井口转盘下部的口部返出，经振动筛、除砂器等设备分离开岩屑与钻井液。岩屑经振动筛输送至清洁化操作平台，钻井液经除砂、除泥、钻井液离心机处理后进入泥浆循环罐循环使用。钻进过程工艺流程及产污环节见图4.1-2。</w:t>
      </w:r>
    </w:p>
    <w:p>
      <w:pPr>
        <w:pStyle w:val="114"/>
        <w:ind w:firstLine="199" w:firstLineChars="83"/>
        <w:jc w:val="center"/>
      </w:pPr>
    </w:p>
    <w:p>
      <w:pPr>
        <w:pStyle w:val="114"/>
        <w:ind w:firstLine="175" w:firstLineChars="83"/>
        <w:jc w:val="center"/>
        <w:rPr>
          <w:b/>
          <w:sz w:val="21"/>
          <w:szCs w:val="21"/>
        </w:rPr>
      </w:pPr>
      <w:r>
        <w:rPr>
          <w:b/>
          <w:sz w:val="21"/>
          <w:szCs w:val="21"/>
        </w:rPr>
        <w:t>图4.1-2  钻井过程工艺流程及产污环节图</w:t>
      </w:r>
    </w:p>
    <w:p>
      <w:pPr>
        <w:pStyle w:val="564"/>
        <w:numPr>
          <w:ilvl w:val="0"/>
          <w:numId w:val="0"/>
        </w:numPr>
        <w:ind w:left="476"/>
        <w:rPr>
          <w:rFonts w:ascii="Times New Roman" w:hAnsi="Times New Roman"/>
          <w:b/>
          <w:bCs/>
        </w:rPr>
      </w:pPr>
      <w:r>
        <w:rPr>
          <w:rFonts w:hint="eastAsia" w:ascii="Times New Roman" w:hAnsi="Times New Roman"/>
          <w:b/>
          <w:bCs/>
        </w:rPr>
        <w:t>2、</w:t>
      </w:r>
      <w:r>
        <w:rPr>
          <w:rFonts w:ascii="Times New Roman" w:hAnsi="Times New Roman"/>
          <w:b/>
          <w:bCs/>
        </w:rPr>
        <w:t>钻井辅助作业</w:t>
      </w:r>
    </w:p>
    <w:p>
      <w:pPr>
        <w:pStyle w:val="553"/>
        <w:ind w:firstLine="480"/>
        <w:rPr>
          <w:rFonts w:ascii="Times New Roman" w:hAnsi="Times New Roman"/>
        </w:rPr>
      </w:pPr>
      <w:r>
        <w:rPr>
          <w:rFonts w:ascii="Times New Roman" w:hAnsi="Times New Roman"/>
        </w:rPr>
        <w:t>钻井辅助作业由测井、取心钻进、录井、中途测试等作业组成。</w:t>
      </w:r>
    </w:p>
    <w:p>
      <w:pPr>
        <w:pStyle w:val="553"/>
        <w:ind w:firstLine="480"/>
        <w:rPr>
          <w:rFonts w:ascii="Times New Roman" w:hAnsi="Times New Roman"/>
        </w:rPr>
      </w:pPr>
      <w:r>
        <w:rPr>
          <w:rFonts w:ascii="Times New Roman" w:hAnsi="Times New Roman"/>
        </w:rPr>
        <w:t>测井是利用电、磁、声、热、核等物理原理制造的各种测井仪器，由测井电缆下入井内，使地面电测仪可沿着井筒连续记录随深度变化的各种参数。通过表示这类参数的曲线，来识别地下的岩层，如油、气、水层、煤层、金属矿床等。目前中原油田普光分公司测井还未用核元素测井。</w:t>
      </w:r>
    </w:p>
    <w:p>
      <w:pPr>
        <w:pStyle w:val="553"/>
        <w:ind w:firstLine="480"/>
        <w:rPr>
          <w:rFonts w:ascii="Times New Roman" w:hAnsi="Times New Roman"/>
        </w:rPr>
      </w:pPr>
      <w:r>
        <w:rPr>
          <w:rFonts w:ascii="Times New Roman" w:hAnsi="Times New Roman"/>
        </w:rPr>
        <w:t>取心是在钻井过程中使用特殊的取心工具把地下岩石成块地取到地面上来，这种成块的岩石叫做岩心，通过它可以测定岩石的各种性质，直观的研究地下构造和岩石沉积环境，了解其中的流体性质等。</w:t>
      </w:r>
    </w:p>
    <w:p>
      <w:pPr>
        <w:pStyle w:val="553"/>
        <w:ind w:firstLine="480"/>
        <w:rPr>
          <w:rFonts w:ascii="Times New Roman" w:hAnsi="Times New Roman"/>
        </w:rPr>
      </w:pPr>
      <w:r>
        <w:rPr>
          <w:rFonts w:ascii="Times New Roman" w:hAnsi="Times New Roman"/>
        </w:rPr>
        <w:t>录井是根据测井数据、现场录井数据及综合分析化验数据进行岩性解释、归位，确定含油、气、水产状。</w:t>
      </w:r>
    </w:p>
    <w:p>
      <w:pPr>
        <w:pStyle w:val="553"/>
        <w:ind w:firstLine="480"/>
        <w:rPr>
          <w:rFonts w:ascii="Times New Roman" w:hAnsi="Times New Roman"/>
        </w:rPr>
      </w:pPr>
      <w:r>
        <w:rPr>
          <w:rFonts w:ascii="Times New Roman" w:hAnsi="Times New Roman"/>
        </w:rPr>
        <w:t>中途测试是在钻井过程中如果发现良好油气显示即停止钻进，对可能的油、气层进行测试求产。其方法一般有钻杆地层测试，是使用钻杆或油管把带封隔器的地层测试器下入井中进行试油的一种先进技术。它既可以在已下入套管的井中进行测试，也可在未下入套管的裸眼井中进行测试；既可在钻井完成后进行测试，又可在钻井中途进行测试。</w:t>
      </w:r>
    </w:p>
    <w:p>
      <w:pPr>
        <w:pStyle w:val="564"/>
        <w:numPr>
          <w:ilvl w:val="0"/>
          <w:numId w:val="0"/>
        </w:numPr>
        <w:ind w:left="476"/>
        <w:rPr>
          <w:rFonts w:ascii="Times New Roman" w:hAnsi="Times New Roman"/>
          <w:b/>
          <w:bCs/>
        </w:rPr>
      </w:pPr>
      <w:bookmarkStart w:id="266" w:name="OLE_LINK163"/>
      <w:bookmarkStart w:id="267" w:name="OLE_LINK164"/>
      <w:r>
        <w:rPr>
          <w:rFonts w:hint="eastAsia" w:ascii="Times New Roman" w:hAnsi="Times New Roman"/>
          <w:b/>
          <w:bCs/>
        </w:rPr>
        <w:t>3、</w:t>
      </w:r>
      <w:r>
        <w:rPr>
          <w:rFonts w:ascii="Times New Roman" w:hAnsi="Times New Roman"/>
          <w:b/>
          <w:bCs/>
        </w:rPr>
        <w:t>固井作业</w:t>
      </w:r>
      <w:bookmarkEnd w:id="266"/>
      <w:bookmarkEnd w:id="267"/>
    </w:p>
    <w:p>
      <w:pPr>
        <w:pStyle w:val="553"/>
        <w:ind w:firstLine="480"/>
        <w:rPr>
          <w:rFonts w:ascii="Times New Roman" w:hAnsi="Times New Roman"/>
        </w:rPr>
      </w:pPr>
      <w:r>
        <w:rPr>
          <w:rFonts w:ascii="Times New Roman" w:hAnsi="Times New Roman"/>
        </w:rPr>
        <w:t>固井是在已钻成的井眼内下入套管，再在套管与井壁之间环空内注入水泥将套管和地层固结在一起的工艺过程，以保证安全继续钻进下一段井眼或保证顺利开采生产层中的油、气。</w:t>
      </w:r>
    </w:p>
    <w:p>
      <w:pPr>
        <w:pStyle w:val="553"/>
        <w:spacing w:line="360" w:lineRule="auto"/>
        <w:ind w:firstLine="480"/>
        <w:rPr>
          <w:rFonts w:ascii="Times New Roman" w:hAnsi="Times New Roman"/>
        </w:rPr>
      </w:pPr>
      <w:r>
        <w:rPr>
          <w:rFonts w:ascii="Times New Roman" w:hAnsi="Times New Roman"/>
        </w:rPr>
        <w:t>固井作业包括下套管和注水泥两个过程。下套管就是在已经钻成的井眼中按规定深度下入一定直径、由某种或几种不同钢级及壁厚的套管组成的套管柱。注水泥就是在地面上将水泥浆通过套管柱注入到井眼与套管柱之间的环形空间中的过程。固井的主要目的是封隔疏松的易塌、易漏地层；封隔油、气、水层，防止互相窜漏。固井作业的主要设备有水泥搅拌机、下灰罐车、混合漏斗和其他附属安全放喷设备等。</w:t>
      </w:r>
    </w:p>
    <w:p>
      <w:pPr>
        <w:pStyle w:val="114"/>
        <w:ind w:firstLine="480"/>
      </w:pPr>
      <w:r>
        <w:t>固井现场施工前根据实际情况要作固井液配方及性能复核试验，若钻进中井漏严重，则应考虑采用双凝水泥浆体系固井，从而提高固井质量，防止因为井漏事故造成地下水环境污染。</w:t>
      </w:r>
    </w:p>
    <w:p>
      <w:pPr>
        <w:pStyle w:val="114"/>
        <w:ind w:firstLine="482"/>
        <w:rPr>
          <w:b/>
          <w:bCs/>
        </w:rPr>
      </w:pPr>
      <w:r>
        <w:rPr>
          <w:rFonts w:hint="eastAsia"/>
          <w:b/>
          <w:bCs/>
        </w:rPr>
        <w:t>4、</w:t>
      </w:r>
      <w:r>
        <w:rPr>
          <w:b/>
          <w:bCs/>
        </w:rPr>
        <w:t>完井</w:t>
      </w:r>
      <w:r>
        <w:rPr>
          <w:rFonts w:hint="eastAsia"/>
          <w:b/>
          <w:bCs/>
        </w:rPr>
        <w:t>作业</w:t>
      </w:r>
    </w:p>
    <w:p>
      <w:pPr>
        <w:pStyle w:val="553"/>
        <w:spacing w:line="360" w:lineRule="auto"/>
        <w:ind w:firstLine="480"/>
        <w:rPr>
          <w:rFonts w:ascii="Times New Roman" w:hAnsi="Times New Roman"/>
        </w:rPr>
      </w:pPr>
      <w:r>
        <w:rPr>
          <w:rFonts w:ascii="Times New Roman" w:hAnsi="Times New Roman"/>
        </w:rPr>
        <w:t xml:space="preserve">本项目采取套管完井方式。采取油管传输射孔工艺+笼统完井管柱成熟的完井工艺方式。 </w:t>
      </w:r>
    </w:p>
    <w:p>
      <w:pPr>
        <w:pStyle w:val="553"/>
        <w:spacing w:line="360" w:lineRule="auto"/>
        <w:ind w:firstLine="480"/>
        <w:rPr>
          <w:rFonts w:ascii="Times New Roman" w:hAnsi="Times New Roman"/>
        </w:rPr>
      </w:pPr>
      <w:r>
        <w:rPr>
          <w:rFonts w:ascii="Times New Roman" w:hAnsi="Times New Roman"/>
        </w:rPr>
        <w:t>先采用常规的油管传输射孔工艺打开储层，配套Φ73防硫枪身+89 射孔弹。射孔后下入笼统酸化-生产一体化完井管柱，管鞋下至目的层。永久封隔器坐封于开窗点上部的 7in 普通抗硫套管内。考虑 4.5in 加厚套管的通过性、酸化排量、管柱安全系数，设计采用 Φ88.9mm+Φ73mm 组合油管。</w:t>
      </w:r>
    </w:p>
    <w:p>
      <w:pPr>
        <w:pStyle w:val="553"/>
        <w:spacing w:line="360" w:lineRule="auto"/>
        <w:ind w:firstLine="480"/>
        <w:rPr>
          <w:rFonts w:ascii="Times New Roman" w:hAnsi="Times New Roman"/>
        </w:rPr>
      </w:pPr>
      <w:r>
        <w:rPr>
          <w:rFonts w:ascii="Times New Roman" w:hAnsi="Times New Roman"/>
        </w:rPr>
        <w:t xml:space="preserve">完井工程共分为 6 个工艺，分别为：设备安装、射孔、井筒处理、下完井管柱、酸化压裂、测试放喷。 </w:t>
      </w:r>
    </w:p>
    <w:p>
      <w:pPr>
        <w:pStyle w:val="553"/>
        <w:spacing w:line="360" w:lineRule="auto"/>
        <w:ind w:firstLine="480"/>
        <w:rPr>
          <w:rFonts w:ascii="Times New Roman" w:hAnsi="Times New Roman"/>
        </w:rPr>
      </w:pPr>
      <w:r>
        <w:rPr>
          <w:rFonts w:ascii="Times New Roman" w:hAnsi="Times New Roman"/>
        </w:rPr>
        <w:t xml:space="preserve">（1）完井管柱 </w:t>
      </w:r>
    </w:p>
    <w:p>
      <w:pPr>
        <w:pStyle w:val="553"/>
        <w:spacing w:line="360" w:lineRule="auto"/>
        <w:ind w:firstLine="480"/>
        <w:rPr>
          <w:rFonts w:ascii="Times New Roman" w:hAnsi="Times New Roman"/>
        </w:rPr>
      </w:pPr>
      <w:r>
        <w:rPr>
          <w:rFonts w:ascii="Times New Roman" w:hAnsi="Times New Roman"/>
        </w:rPr>
        <w:t xml:space="preserve">该井设计采用笼统酸化-生产一体化完井管柱，一趟下入完井。设计将永久封隔器坐封于侧钻点以上的 7in 普通抗硫套管内。管柱结构（自上而下）：井下安全阀+循环滑套+永久式封隔器+剪切球座。初步设计管鞋下深 5800m。 </w:t>
      </w:r>
    </w:p>
    <w:p>
      <w:pPr>
        <w:pStyle w:val="553"/>
        <w:spacing w:line="360" w:lineRule="auto"/>
        <w:ind w:firstLine="480"/>
        <w:rPr>
          <w:rFonts w:ascii="Times New Roman" w:hAnsi="Times New Roman"/>
        </w:rPr>
      </w:pPr>
      <w:r>
        <w:rPr>
          <w:rFonts w:ascii="Times New Roman" w:hAnsi="Times New Roman"/>
        </w:rPr>
        <w:t xml:space="preserve">（2）射孔工艺 </w:t>
      </w:r>
    </w:p>
    <w:p>
      <w:pPr>
        <w:pStyle w:val="553"/>
        <w:spacing w:line="360" w:lineRule="auto"/>
        <w:ind w:firstLine="480"/>
        <w:rPr>
          <w:rFonts w:ascii="Times New Roman" w:hAnsi="Times New Roman"/>
        </w:rPr>
      </w:pPr>
      <w:r>
        <w:rPr>
          <w:rFonts w:ascii="Times New Roman" w:hAnsi="Times New Roman"/>
        </w:rPr>
        <w:t xml:space="preserve">设计采用油管传输射孔工艺，一次性射开长兴组储层。射孔管柱组合（自上而下）：Φ88.9×6.45mm 110SS 油管×2500m+Φ60.3×4.83mm 110SS 油管×3600m+射孔枪 50m，计算射孔管柱抗拉安全系数为 2.17。 </w:t>
      </w:r>
    </w:p>
    <w:p>
      <w:pPr>
        <w:pStyle w:val="553"/>
        <w:spacing w:line="360" w:lineRule="auto"/>
        <w:ind w:firstLine="480"/>
        <w:rPr>
          <w:rFonts w:ascii="Times New Roman" w:hAnsi="Times New Roman"/>
        </w:rPr>
      </w:pPr>
      <w:r>
        <w:rPr>
          <w:rFonts w:ascii="Times New Roman" w:hAnsi="Times New Roman"/>
        </w:rPr>
        <w:t xml:space="preserve">（3）井筒处理 </w:t>
      </w:r>
    </w:p>
    <w:p>
      <w:pPr>
        <w:pStyle w:val="553"/>
        <w:spacing w:line="360" w:lineRule="auto"/>
        <w:ind w:firstLine="480"/>
        <w:rPr>
          <w:rFonts w:ascii="Times New Roman" w:hAnsi="Times New Roman"/>
        </w:rPr>
      </w:pPr>
      <w:r>
        <w:rPr>
          <w:rFonts w:ascii="Times New Roman" w:hAnsi="Times New Roman"/>
        </w:rPr>
        <w:t>为确保射孔作业及完井管柱顺利下入，射孔前需实施刮削、洗井、通井、替浆等井筒处理作业。设计采用油管实施井筒处理作业。油管组合：Φ88.9×6.45mm110SS 油管 2500m+Φ60.3×4.83mm110SS 油管 3700m，管柱安全系数2.27。</w:t>
      </w:r>
    </w:p>
    <w:p>
      <w:pPr>
        <w:pStyle w:val="553"/>
        <w:spacing w:line="360" w:lineRule="auto"/>
        <w:ind w:firstLine="480"/>
        <w:rPr>
          <w:rFonts w:ascii="Times New Roman" w:hAnsi="Times New Roman"/>
        </w:rPr>
      </w:pPr>
      <w:r>
        <w:rPr>
          <w:rFonts w:ascii="Times New Roman" w:hAnsi="Times New Roman"/>
        </w:rPr>
        <w:t xml:space="preserve">（4）安装采气树 </w:t>
      </w:r>
    </w:p>
    <w:p>
      <w:pPr>
        <w:pStyle w:val="553"/>
        <w:spacing w:line="360" w:lineRule="auto"/>
        <w:ind w:firstLine="480"/>
        <w:rPr>
          <w:rFonts w:ascii="Times New Roman" w:hAnsi="Times New Roman"/>
        </w:rPr>
      </w:pPr>
      <w:r>
        <w:rPr>
          <w:rFonts w:ascii="Times New Roman" w:hAnsi="Times New Roman"/>
        </w:rPr>
        <w:t>预测地层压力 58.76MPa，酸化施工泵压最高为 87.17MPa。设计采用 105MPaHH 级采气井口，分体式结构，双翼双阀，单翼生产，主、侧通径 3-1/16″，配套70MPa 单井组地面控制系统。</w:t>
      </w:r>
    </w:p>
    <w:p>
      <w:pPr>
        <w:pStyle w:val="553"/>
        <w:spacing w:line="360" w:lineRule="auto"/>
        <w:ind w:firstLine="480"/>
        <w:rPr>
          <w:rFonts w:ascii="Times New Roman" w:hAnsi="Times New Roman"/>
        </w:rPr>
      </w:pPr>
      <w:r>
        <w:rPr>
          <w:rFonts w:ascii="Times New Roman" w:hAnsi="Times New Roman"/>
        </w:rPr>
        <w:t xml:space="preserve">（5）压裂酸化 </w:t>
      </w:r>
    </w:p>
    <w:p>
      <w:pPr>
        <w:pStyle w:val="553"/>
        <w:spacing w:line="360" w:lineRule="auto"/>
        <w:ind w:firstLine="480"/>
        <w:rPr>
          <w:rFonts w:ascii="Times New Roman" w:hAnsi="Times New Roman"/>
        </w:rPr>
      </w:pPr>
      <w:r>
        <w:rPr>
          <w:rFonts w:ascii="Times New Roman" w:hAnsi="Times New Roman"/>
        </w:rPr>
        <w:t>本项目采用分段压裂酸化改造，以达到均匀布酸、减少前期作业对储层的污染、沟通近井地带储集空间的目标。酸液采用清洁酸，主要成分为水、盐酸和醋 酸，设计用酸液200</w:t>
      </w:r>
      <w:r>
        <w:rPr>
          <w:rFonts w:hint="eastAsia" w:ascii="Times New Roman" w:hAnsi="Times New Roman"/>
          <w:lang w:val="en-US" w:eastAsia="zh-CN"/>
        </w:rPr>
        <w:t>0</w:t>
      </w:r>
      <w:r>
        <w:rPr>
          <w:rFonts w:ascii="Times New Roman" w:hAnsi="Times New Roman"/>
        </w:rPr>
        <w:t>m</w:t>
      </w:r>
      <w:r>
        <w:rPr>
          <w:rFonts w:ascii="Times New Roman" w:hAnsi="Times New Roman"/>
          <w:vertAlign w:val="superscript"/>
        </w:rPr>
        <w:t>3</w:t>
      </w:r>
      <w:r>
        <w:rPr>
          <w:rFonts w:ascii="Times New Roman" w:hAnsi="Times New Roman"/>
        </w:rPr>
        <w:t>（前置酸/清洁酸：20/180m</w:t>
      </w:r>
      <w:r>
        <w:rPr>
          <w:rFonts w:ascii="Times New Roman" w:hAnsi="Times New Roman"/>
          <w:vertAlign w:val="superscript"/>
        </w:rPr>
        <w:t>3</w:t>
      </w:r>
      <w:r>
        <w:rPr>
          <w:rFonts w:ascii="Times New Roman" w:hAnsi="Times New Roman"/>
        </w:rPr>
        <w:t>）。</w:t>
      </w:r>
    </w:p>
    <w:p>
      <w:pPr>
        <w:pStyle w:val="553"/>
        <w:spacing w:line="360" w:lineRule="auto"/>
        <w:ind w:firstLine="480"/>
        <w:rPr>
          <w:rFonts w:ascii="Times New Roman" w:hAnsi="Times New Roman"/>
        </w:rPr>
      </w:pPr>
      <w:r>
        <w:rPr>
          <w:rFonts w:ascii="Times New Roman" w:hAnsi="Times New Roman"/>
        </w:rPr>
        <w:t xml:space="preserve">（6）放喷测试 </w:t>
      </w:r>
    </w:p>
    <w:p>
      <w:pPr>
        <w:pStyle w:val="553"/>
        <w:spacing w:line="360" w:lineRule="auto"/>
        <w:ind w:firstLine="480"/>
        <w:rPr>
          <w:rFonts w:ascii="Times New Roman" w:hAnsi="Times New Roman"/>
        </w:rPr>
      </w:pPr>
      <w:r>
        <w:rPr>
          <w:rFonts w:ascii="Times New Roman" w:hAnsi="Times New Roman"/>
        </w:rPr>
        <w:t>选用70MPa～35MPa、EE级二级降压放喷流程，放喷排液后求产。</w:t>
      </w:r>
    </w:p>
    <w:p>
      <w:pPr>
        <w:pStyle w:val="553"/>
        <w:ind w:firstLine="480"/>
        <w:rPr>
          <w:rFonts w:ascii="Times New Roman" w:hAnsi="Times New Roman"/>
        </w:rPr>
      </w:pPr>
      <w:r>
        <w:rPr>
          <w:rFonts w:ascii="Times New Roman" w:hAnsi="Times New Roman"/>
        </w:rPr>
        <w:t>放喷分离气体经专用管线引至放喷池燃烧，测试放喷时间一般为4h～6h。</w:t>
      </w:r>
    </w:p>
    <w:p>
      <w:pPr>
        <w:pStyle w:val="114"/>
        <w:ind w:firstLine="482"/>
        <w:rPr>
          <w:b/>
          <w:bCs/>
        </w:rPr>
      </w:pPr>
      <w:r>
        <w:rPr>
          <w:b/>
          <w:bCs/>
        </w:rPr>
        <w:t>（三）施工期产污环节分析</w:t>
      </w:r>
    </w:p>
    <w:p>
      <w:pPr>
        <w:pStyle w:val="114"/>
        <w:ind w:firstLine="480"/>
      </w:pPr>
      <w:r>
        <w:t>根据项目工艺流程分析可知，站场施工过程中由于土石方开挖等施工活动将不可避免地会对周围环境产生不利影响。一种影响是对土壤扰动和自然植被等的破坏，这种影响是比较持久的，在站场施工完成后的一段时间内仍将存在。另一种是在施工</w:t>
      </w:r>
      <w:bookmarkStart w:id="268" w:name="OLE_LINK167"/>
      <w:r>
        <w:t>过程中产生的“三废”排放对环境造成的影响</w:t>
      </w:r>
      <w:bookmarkEnd w:id="268"/>
      <w:r>
        <w:t>，同时钻井施工过程中主要产生的“三废”排放对环境造成的影响，这种影响是短暂的，待施工结束后将随之消失。</w:t>
      </w:r>
    </w:p>
    <w:p>
      <w:pPr>
        <w:pStyle w:val="114"/>
        <w:ind w:firstLine="480"/>
      </w:pPr>
      <w:r>
        <w:t>工程施工期间对环境的影响主要表现在以下几方面：</w:t>
      </w:r>
    </w:p>
    <w:p>
      <w:pPr>
        <w:pStyle w:val="114"/>
        <w:ind w:firstLine="480"/>
      </w:pPr>
      <w:r>
        <w:t>1、施工中产生的施工扬尘、噪声、固废等“三废”排放对环境的影响；</w:t>
      </w:r>
    </w:p>
    <w:p>
      <w:pPr>
        <w:pStyle w:val="114"/>
        <w:ind w:firstLine="480"/>
      </w:pPr>
      <w:r>
        <w:t>2、施工期间土石方工程的开挖引起自然地貌的改变和地表自然及人工植被的破坏，生物量和生产力的变化，由此引发的区域生态环境的破坏；</w:t>
      </w:r>
    </w:p>
    <w:p>
      <w:pPr>
        <w:pStyle w:val="114"/>
        <w:ind w:firstLine="480"/>
      </w:pPr>
      <w:r>
        <w:t>3、施工中对地表土壤进行扰动，造成新的水土流失，增加区域内的水土流失量，会加剧生态环境的破坏。</w:t>
      </w:r>
    </w:p>
    <w:p>
      <w:pPr>
        <w:pStyle w:val="4"/>
        <w:rPr>
          <w:rFonts w:eastAsia="宋体"/>
        </w:rPr>
      </w:pPr>
      <w:bookmarkStart w:id="269" w:name="_Toc12288515"/>
      <w:bookmarkStart w:id="270" w:name="_Toc19815989"/>
      <w:bookmarkStart w:id="271" w:name="_Toc19815988"/>
      <w:bookmarkStart w:id="272" w:name="_Toc12288508"/>
      <w:r>
        <w:rPr>
          <w:rFonts w:eastAsia="宋体"/>
        </w:rPr>
        <w:t>4.1.3 生态影响及治理措施</w:t>
      </w:r>
    </w:p>
    <w:p>
      <w:pPr>
        <w:pStyle w:val="114"/>
        <w:ind w:firstLine="482"/>
        <w:rPr>
          <w:b/>
          <w:bCs/>
        </w:rPr>
      </w:pPr>
      <w:r>
        <w:rPr>
          <w:b/>
          <w:bCs/>
        </w:rPr>
        <w:t>1、工程占地分析</w:t>
      </w:r>
    </w:p>
    <w:bookmarkEnd w:id="269"/>
    <w:bookmarkEnd w:id="270"/>
    <w:p>
      <w:pPr>
        <w:pStyle w:val="6"/>
        <w:ind w:firstLine="480"/>
        <w:rPr>
          <w:rFonts w:ascii="Times New Roman" w:cs="Times New Roman"/>
        </w:rPr>
      </w:pPr>
      <w:r>
        <w:rPr>
          <w:rFonts w:ascii="Times New Roman" w:cs="Times New Roman"/>
        </w:rPr>
        <w:t>本项目</w:t>
      </w:r>
      <w:r>
        <w:rPr>
          <w:rFonts w:hint="eastAsia" w:ascii="Times New Roman" w:cs="Times New Roman"/>
        </w:rPr>
        <w:t>主要依托P108-1T井场实施本项目，新增占地主要为井场扩建区域、表土堆放区、废水池、临时生活区等，本项目总临时占地面积为9568m</w:t>
      </w:r>
      <w:r>
        <w:rPr>
          <w:rFonts w:hint="eastAsia" w:ascii="Times New Roman" w:cs="Times New Roman"/>
          <w:vertAlign w:val="superscript"/>
        </w:rPr>
        <w:t>2</w:t>
      </w:r>
      <w:r>
        <w:rPr>
          <w:rFonts w:ascii="Times New Roman" w:cs="Times New Roman"/>
        </w:rPr>
        <w:t>。</w:t>
      </w:r>
    </w:p>
    <w:p>
      <w:pPr>
        <w:pStyle w:val="6"/>
        <w:ind w:firstLine="482"/>
        <w:rPr>
          <w:rFonts w:ascii="Times New Roman" w:cs="Times New Roman"/>
          <w:b/>
          <w:bCs/>
        </w:rPr>
      </w:pPr>
      <w:bookmarkStart w:id="273" w:name="_Hlk53002324"/>
      <w:r>
        <w:rPr>
          <w:rFonts w:ascii="Times New Roman" w:cs="Times New Roman"/>
          <w:b/>
          <w:bCs/>
        </w:rPr>
        <w:t>（1）站场新增临时占地</w:t>
      </w:r>
    </w:p>
    <w:p>
      <w:pPr>
        <w:pStyle w:val="6"/>
        <w:ind w:firstLine="480"/>
        <w:rPr>
          <w:rFonts w:ascii="Times New Roman" w:cs="Times New Roman"/>
        </w:rPr>
      </w:pPr>
      <w:r>
        <w:rPr>
          <w:rFonts w:ascii="Times New Roman" w:cs="Times New Roman"/>
        </w:rPr>
        <w:t>①站场新增临时占地情况</w:t>
      </w:r>
    </w:p>
    <w:p>
      <w:pPr>
        <w:pStyle w:val="6"/>
        <w:ind w:firstLine="480"/>
        <w:rPr>
          <w:rFonts w:ascii="Times New Roman" w:cs="Times New Roman"/>
        </w:rPr>
      </w:pPr>
      <w:r>
        <w:rPr>
          <w:rFonts w:ascii="Times New Roman" w:cs="Times New Roman"/>
        </w:rPr>
        <w:t>本项目</w:t>
      </w:r>
      <w:r>
        <w:rPr>
          <w:rFonts w:hint="eastAsia" w:ascii="Times New Roman" w:cs="Times New Roman"/>
        </w:rPr>
        <w:t>井场扩建临时占地为4603m</w:t>
      </w:r>
      <w:r>
        <w:rPr>
          <w:rFonts w:hint="eastAsia" w:ascii="Times New Roman" w:cs="Times New Roman"/>
          <w:vertAlign w:val="superscript"/>
        </w:rPr>
        <w:t>2</w:t>
      </w:r>
      <w:r>
        <w:rPr>
          <w:rFonts w:hint="eastAsia" w:ascii="Times New Roman" w:cs="Times New Roman"/>
        </w:rPr>
        <w:t>、表土堆放区</w:t>
      </w:r>
      <w:r>
        <w:rPr>
          <w:rFonts w:ascii="Times New Roman" w:cs="Times New Roman"/>
        </w:rPr>
        <w:t>新增临时占地面积约</w:t>
      </w:r>
      <w:r>
        <w:rPr>
          <w:rFonts w:hint="eastAsia" w:ascii="Times New Roman" w:cs="Times New Roman"/>
        </w:rPr>
        <w:t>1021</w:t>
      </w:r>
      <w:r>
        <w:rPr>
          <w:rFonts w:ascii="Times New Roman" w:cs="Times New Roman"/>
          <w:bCs/>
        </w:rPr>
        <w:t>m</w:t>
      </w:r>
      <w:r>
        <w:rPr>
          <w:rFonts w:ascii="Times New Roman" w:cs="Times New Roman"/>
          <w:bCs/>
          <w:vertAlign w:val="superscript"/>
        </w:rPr>
        <w:t>2</w:t>
      </w:r>
      <w:r>
        <w:rPr>
          <w:rFonts w:ascii="Times New Roman" w:cs="Times New Roman"/>
          <w:bCs/>
        </w:rPr>
        <w:t>，</w:t>
      </w:r>
      <w:r>
        <w:rPr>
          <w:rFonts w:ascii="Times New Roman" w:cs="Times New Roman"/>
        </w:rPr>
        <w:t>生活区临时占地</w:t>
      </w:r>
      <w:r>
        <w:rPr>
          <w:rFonts w:hint="eastAsia" w:ascii="Times New Roman" w:cs="Times New Roman"/>
        </w:rPr>
        <w:t>14</w:t>
      </w:r>
      <w:r>
        <w:rPr>
          <w:rFonts w:ascii="Times New Roman" w:cs="Times New Roman"/>
        </w:rPr>
        <w:t>00m</w:t>
      </w:r>
      <w:r>
        <w:rPr>
          <w:rFonts w:ascii="Times New Roman" w:cs="Times New Roman"/>
          <w:vertAlign w:val="superscript"/>
        </w:rPr>
        <w:t>2</w:t>
      </w:r>
      <w:r>
        <w:rPr>
          <w:rFonts w:ascii="Times New Roman" w:cs="Times New Roman"/>
        </w:rPr>
        <w:t>，</w:t>
      </w:r>
      <w:r>
        <w:rPr>
          <w:rFonts w:hint="eastAsia" w:ascii="Times New Roman" w:cs="Times New Roman"/>
        </w:rPr>
        <w:t>废水池临时占地面积为479m</w:t>
      </w:r>
      <w:r>
        <w:rPr>
          <w:rFonts w:hint="eastAsia" w:ascii="Times New Roman" w:cs="Times New Roman"/>
          <w:vertAlign w:val="superscript"/>
        </w:rPr>
        <w:t>2</w:t>
      </w:r>
      <w:r>
        <w:rPr>
          <w:rFonts w:hint="eastAsia" w:ascii="Times New Roman" w:cs="Times New Roman"/>
        </w:rPr>
        <w:t>，其余临时占地面积为2065m</w:t>
      </w:r>
      <w:r>
        <w:rPr>
          <w:rFonts w:hint="eastAsia" w:ascii="Times New Roman" w:cs="Times New Roman"/>
          <w:vertAlign w:val="superscript"/>
        </w:rPr>
        <w:t>2</w:t>
      </w:r>
      <w:r>
        <w:rPr>
          <w:rFonts w:hint="eastAsia" w:ascii="Times New Roman" w:cs="Times New Roman"/>
        </w:rPr>
        <w:t>。</w:t>
      </w:r>
      <w:r>
        <w:rPr>
          <w:rFonts w:hint="eastAsia" w:ascii="Times New Roman" w:cs="Times New Roman"/>
          <w:lang w:val="en-US" w:eastAsia="zh-CN"/>
        </w:rPr>
        <w:t>扩建</w:t>
      </w:r>
      <w:r>
        <w:rPr>
          <w:rFonts w:hint="eastAsia" w:ascii="Times New Roman" w:cs="Times New Roman"/>
        </w:rPr>
        <w:t>区域将</w:t>
      </w:r>
      <w:r>
        <w:rPr>
          <w:rFonts w:ascii="Times New Roman" w:cs="Times New Roman"/>
        </w:rPr>
        <w:t>占用永久基本农田，符合基本农田保护相关规范及要求。</w:t>
      </w:r>
    </w:p>
    <w:p>
      <w:pPr>
        <w:pStyle w:val="39"/>
        <w:rPr>
          <w:rFonts w:cs="Times New Roman"/>
        </w:rPr>
      </w:pPr>
      <w:bookmarkStart w:id="274" w:name="_Hlk81157643"/>
      <w:r>
        <w:rPr>
          <w:rFonts w:cs="Times New Roman"/>
        </w:rPr>
        <w:t>表4.1-4  项目站场新增临时占地面积统计表</w:t>
      </w:r>
    </w:p>
    <w:tbl>
      <w:tblPr>
        <w:tblStyle w:val="59"/>
        <w:tblW w:w="4850" w:type="pct"/>
        <w:jc w:val="center"/>
        <w:tblBorders>
          <w:top w:val="single" w:color="auto" w:sz="12" w:space="0"/>
          <w:left w:val="none" w:color="auto" w:sz="0" w:space="0"/>
          <w:bottom w:val="single" w:color="auto" w:sz="12" w:space="0"/>
          <w:right w:val="none" w:color="auto" w:sz="0" w:space="0"/>
          <w:insideH w:val="single" w:color="000000" w:sz="4" w:space="0"/>
          <w:insideV w:val="single" w:color="auto" w:sz="2" w:space="0"/>
        </w:tblBorders>
        <w:tblLayout w:type="fixed"/>
        <w:tblCellMar>
          <w:top w:w="0" w:type="dxa"/>
          <w:left w:w="108" w:type="dxa"/>
          <w:bottom w:w="0" w:type="dxa"/>
          <w:right w:w="108" w:type="dxa"/>
        </w:tblCellMar>
      </w:tblPr>
      <w:tblGrid>
        <w:gridCol w:w="2007"/>
        <w:gridCol w:w="823"/>
        <w:gridCol w:w="744"/>
        <w:gridCol w:w="1191"/>
        <w:gridCol w:w="1489"/>
        <w:gridCol w:w="893"/>
        <w:gridCol w:w="1587"/>
      </w:tblGrid>
      <w:tr>
        <w:tblPrEx>
          <w:tblBorders>
            <w:top w:val="single" w:color="auto" w:sz="12" w:space="0"/>
            <w:left w:val="none" w:color="auto" w:sz="0" w:space="0"/>
            <w:bottom w:val="single" w:color="auto" w:sz="12" w:space="0"/>
            <w:right w:val="none" w:color="auto" w:sz="0" w:space="0"/>
            <w:insideH w:val="single" w:color="000000" w:sz="4" w:space="0"/>
            <w:insideV w:val="single" w:color="auto" w:sz="2" w:space="0"/>
          </w:tblBorders>
          <w:tblCellMar>
            <w:top w:w="0" w:type="dxa"/>
            <w:left w:w="108" w:type="dxa"/>
            <w:bottom w:w="0" w:type="dxa"/>
            <w:right w:w="108" w:type="dxa"/>
          </w:tblCellMar>
        </w:tblPrEx>
        <w:trPr>
          <w:trHeight w:val="369" w:hRule="atLeast"/>
          <w:jc w:val="center"/>
        </w:trPr>
        <w:tc>
          <w:tcPr>
            <w:tcW w:w="2007" w:type="dxa"/>
            <w:vMerge w:val="restart"/>
            <w:vAlign w:val="center"/>
          </w:tcPr>
          <w:p>
            <w:pPr>
              <w:pStyle w:val="97"/>
              <w:rPr>
                <w:b/>
                <w:bCs/>
              </w:rPr>
            </w:pPr>
            <w:r>
              <w:rPr>
                <w:b/>
                <w:bCs/>
              </w:rPr>
              <w:t>项目组成</w:t>
            </w:r>
          </w:p>
        </w:tc>
        <w:tc>
          <w:tcPr>
            <w:tcW w:w="4247" w:type="dxa"/>
            <w:gridSpan w:val="4"/>
            <w:vAlign w:val="center"/>
          </w:tcPr>
          <w:p>
            <w:pPr>
              <w:pStyle w:val="97"/>
              <w:rPr>
                <w:b/>
                <w:bCs/>
              </w:rPr>
            </w:pPr>
            <w:r>
              <w:rPr>
                <w:b/>
                <w:bCs/>
              </w:rPr>
              <w:t>占地类型（m</w:t>
            </w:r>
            <w:r>
              <w:rPr>
                <w:b/>
                <w:bCs/>
                <w:vertAlign w:val="superscript"/>
              </w:rPr>
              <w:t>2</w:t>
            </w:r>
            <w:r>
              <w:rPr>
                <w:b/>
                <w:bCs/>
              </w:rPr>
              <w:t>）</w:t>
            </w:r>
          </w:p>
        </w:tc>
        <w:tc>
          <w:tcPr>
            <w:tcW w:w="893" w:type="dxa"/>
            <w:vMerge w:val="restart"/>
            <w:vAlign w:val="center"/>
          </w:tcPr>
          <w:p>
            <w:pPr>
              <w:pStyle w:val="97"/>
              <w:rPr>
                <w:b/>
                <w:bCs/>
              </w:rPr>
            </w:pPr>
            <w:r>
              <w:rPr>
                <w:b/>
                <w:bCs/>
              </w:rPr>
              <w:t>合计</w:t>
            </w:r>
          </w:p>
        </w:tc>
        <w:tc>
          <w:tcPr>
            <w:tcW w:w="1587" w:type="dxa"/>
            <w:vMerge w:val="restart"/>
            <w:vAlign w:val="center"/>
          </w:tcPr>
          <w:p>
            <w:pPr>
              <w:pStyle w:val="97"/>
              <w:rPr>
                <w:b/>
                <w:bCs/>
              </w:rPr>
            </w:pPr>
            <w:r>
              <w:rPr>
                <w:b/>
                <w:bCs/>
              </w:rPr>
              <w:t>占地性质</w:t>
            </w:r>
          </w:p>
        </w:tc>
      </w:tr>
      <w:tr>
        <w:tblPrEx>
          <w:tblBorders>
            <w:top w:val="single" w:color="auto" w:sz="12" w:space="0"/>
            <w:left w:val="none" w:color="auto" w:sz="0" w:space="0"/>
            <w:bottom w:val="single" w:color="auto" w:sz="12" w:space="0"/>
            <w:right w:val="none" w:color="auto" w:sz="0" w:space="0"/>
            <w:insideH w:val="single" w:color="000000" w:sz="4" w:space="0"/>
            <w:insideV w:val="single" w:color="auto" w:sz="2" w:space="0"/>
          </w:tblBorders>
          <w:tblCellMar>
            <w:top w:w="0" w:type="dxa"/>
            <w:left w:w="108" w:type="dxa"/>
            <w:bottom w:w="0" w:type="dxa"/>
            <w:right w:w="108" w:type="dxa"/>
          </w:tblCellMar>
        </w:tblPrEx>
        <w:trPr>
          <w:trHeight w:val="369" w:hRule="atLeast"/>
          <w:jc w:val="center"/>
        </w:trPr>
        <w:tc>
          <w:tcPr>
            <w:tcW w:w="2007" w:type="dxa"/>
            <w:vMerge w:val="continue"/>
            <w:vAlign w:val="center"/>
          </w:tcPr>
          <w:p>
            <w:pPr>
              <w:pStyle w:val="97"/>
              <w:rPr>
                <w:b/>
                <w:bCs/>
              </w:rPr>
            </w:pPr>
          </w:p>
        </w:tc>
        <w:tc>
          <w:tcPr>
            <w:tcW w:w="823" w:type="dxa"/>
            <w:vAlign w:val="center"/>
          </w:tcPr>
          <w:p>
            <w:pPr>
              <w:pStyle w:val="97"/>
              <w:rPr>
                <w:b/>
                <w:bCs/>
              </w:rPr>
            </w:pPr>
            <w:r>
              <w:rPr>
                <w:b/>
                <w:bCs/>
              </w:rPr>
              <w:t>耕地</w:t>
            </w:r>
          </w:p>
        </w:tc>
        <w:tc>
          <w:tcPr>
            <w:tcW w:w="744" w:type="dxa"/>
            <w:vAlign w:val="center"/>
          </w:tcPr>
          <w:p>
            <w:pPr>
              <w:pStyle w:val="97"/>
              <w:rPr>
                <w:b/>
                <w:bCs/>
              </w:rPr>
            </w:pPr>
            <w:r>
              <w:rPr>
                <w:b/>
                <w:bCs/>
              </w:rPr>
              <w:t>林地</w:t>
            </w:r>
          </w:p>
        </w:tc>
        <w:tc>
          <w:tcPr>
            <w:tcW w:w="1191" w:type="dxa"/>
            <w:vAlign w:val="center"/>
          </w:tcPr>
          <w:p>
            <w:pPr>
              <w:pStyle w:val="97"/>
              <w:rPr>
                <w:b/>
                <w:bCs/>
              </w:rPr>
            </w:pPr>
            <w:r>
              <w:rPr>
                <w:b/>
                <w:bCs/>
              </w:rPr>
              <w:t>草地</w:t>
            </w:r>
          </w:p>
        </w:tc>
        <w:tc>
          <w:tcPr>
            <w:tcW w:w="1489" w:type="dxa"/>
            <w:vAlign w:val="center"/>
          </w:tcPr>
          <w:p>
            <w:pPr>
              <w:pStyle w:val="97"/>
              <w:rPr>
                <w:b/>
                <w:bCs/>
              </w:rPr>
            </w:pPr>
            <w:r>
              <w:rPr>
                <w:rFonts w:hint="eastAsia"/>
                <w:b/>
                <w:bCs/>
              </w:rPr>
              <w:t>未利用土地</w:t>
            </w:r>
          </w:p>
        </w:tc>
        <w:tc>
          <w:tcPr>
            <w:tcW w:w="893" w:type="dxa"/>
            <w:vMerge w:val="continue"/>
            <w:vAlign w:val="center"/>
          </w:tcPr>
          <w:p>
            <w:pPr>
              <w:pStyle w:val="97"/>
              <w:rPr>
                <w:b/>
                <w:bCs/>
              </w:rPr>
            </w:pPr>
          </w:p>
        </w:tc>
        <w:tc>
          <w:tcPr>
            <w:tcW w:w="1587" w:type="dxa"/>
            <w:vMerge w:val="continue"/>
            <w:vAlign w:val="center"/>
          </w:tcPr>
          <w:p>
            <w:pPr>
              <w:pStyle w:val="97"/>
              <w:rPr>
                <w:b/>
                <w:bCs/>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auto" w:sz="2" w:space="0"/>
          </w:tblBorders>
          <w:tblCellMar>
            <w:top w:w="0" w:type="dxa"/>
            <w:left w:w="108" w:type="dxa"/>
            <w:bottom w:w="0" w:type="dxa"/>
            <w:right w:w="108" w:type="dxa"/>
          </w:tblCellMar>
        </w:tblPrEx>
        <w:trPr>
          <w:trHeight w:val="369" w:hRule="atLeast"/>
          <w:jc w:val="center"/>
        </w:trPr>
        <w:tc>
          <w:tcPr>
            <w:tcW w:w="2007" w:type="dxa"/>
            <w:vAlign w:val="center"/>
          </w:tcPr>
          <w:p>
            <w:pPr>
              <w:pStyle w:val="97"/>
            </w:pPr>
            <w:r>
              <w:rPr>
                <w:rFonts w:hint="eastAsia"/>
              </w:rPr>
              <w:t>井场扩建临时占地</w:t>
            </w:r>
          </w:p>
        </w:tc>
        <w:tc>
          <w:tcPr>
            <w:tcW w:w="823" w:type="dxa"/>
            <w:vAlign w:val="center"/>
          </w:tcPr>
          <w:p>
            <w:pPr>
              <w:pStyle w:val="97"/>
            </w:pPr>
            <w:r>
              <w:rPr>
                <w:rFonts w:hint="eastAsia"/>
              </w:rPr>
              <w:t>715</w:t>
            </w:r>
          </w:p>
        </w:tc>
        <w:tc>
          <w:tcPr>
            <w:tcW w:w="744" w:type="dxa"/>
            <w:vAlign w:val="center"/>
          </w:tcPr>
          <w:p>
            <w:pPr>
              <w:pStyle w:val="97"/>
            </w:pPr>
            <w:r>
              <w:t>/</w:t>
            </w:r>
          </w:p>
        </w:tc>
        <w:tc>
          <w:tcPr>
            <w:tcW w:w="1191" w:type="dxa"/>
            <w:vAlign w:val="center"/>
          </w:tcPr>
          <w:p>
            <w:pPr>
              <w:pStyle w:val="97"/>
            </w:pPr>
            <w:r>
              <w:t>/</w:t>
            </w:r>
          </w:p>
        </w:tc>
        <w:tc>
          <w:tcPr>
            <w:tcW w:w="1489" w:type="dxa"/>
            <w:vAlign w:val="center"/>
          </w:tcPr>
          <w:p>
            <w:pPr>
              <w:pStyle w:val="97"/>
            </w:pPr>
            <w:r>
              <w:rPr>
                <w:rFonts w:hint="eastAsia"/>
              </w:rPr>
              <w:t>3888</w:t>
            </w:r>
          </w:p>
        </w:tc>
        <w:tc>
          <w:tcPr>
            <w:tcW w:w="893" w:type="dxa"/>
            <w:vAlign w:val="center"/>
          </w:tcPr>
          <w:p>
            <w:pPr>
              <w:pStyle w:val="97"/>
            </w:pPr>
            <w:r>
              <w:rPr>
                <w:rFonts w:hint="eastAsia"/>
              </w:rPr>
              <w:t>4603</w:t>
            </w:r>
          </w:p>
        </w:tc>
        <w:tc>
          <w:tcPr>
            <w:tcW w:w="1587" w:type="dxa"/>
            <w:tcBorders>
              <w:top w:val="single" w:color="auto" w:sz="4" w:space="0"/>
            </w:tcBorders>
            <w:vAlign w:val="center"/>
          </w:tcPr>
          <w:p>
            <w:pPr>
              <w:pStyle w:val="97"/>
            </w:pPr>
            <w:r>
              <w:t>临时占地</w:t>
            </w:r>
          </w:p>
        </w:tc>
      </w:tr>
      <w:tr>
        <w:tblPrEx>
          <w:tblBorders>
            <w:top w:val="single" w:color="auto" w:sz="12" w:space="0"/>
            <w:left w:val="none" w:color="auto" w:sz="0" w:space="0"/>
            <w:bottom w:val="single" w:color="auto" w:sz="12" w:space="0"/>
            <w:right w:val="none" w:color="auto" w:sz="0" w:space="0"/>
            <w:insideH w:val="single" w:color="000000" w:sz="4" w:space="0"/>
            <w:insideV w:val="single" w:color="auto" w:sz="2" w:space="0"/>
          </w:tblBorders>
          <w:tblCellMar>
            <w:top w:w="0" w:type="dxa"/>
            <w:left w:w="108" w:type="dxa"/>
            <w:bottom w:w="0" w:type="dxa"/>
            <w:right w:w="108" w:type="dxa"/>
          </w:tblCellMar>
        </w:tblPrEx>
        <w:trPr>
          <w:trHeight w:val="369" w:hRule="atLeast"/>
          <w:jc w:val="center"/>
        </w:trPr>
        <w:tc>
          <w:tcPr>
            <w:tcW w:w="2007" w:type="dxa"/>
            <w:vAlign w:val="center"/>
          </w:tcPr>
          <w:p>
            <w:pPr>
              <w:pStyle w:val="97"/>
            </w:pPr>
            <w:r>
              <w:t>生活区临时占地</w:t>
            </w:r>
          </w:p>
        </w:tc>
        <w:tc>
          <w:tcPr>
            <w:tcW w:w="823" w:type="dxa"/>
            <w:vAlign w:val="center"/>
          </w:tcPr>
          <w:p>
            <w:pPr>
              <w:pStyle w:val="97"/>
            </w:pPr>
            <w:r>
              <w:rPr>
                <w:rFonts w:hint="eastAsia"/>
              </w:rPr>
              <w:t>/</w:t>
            </w:r>
          </w:p>
        </w:tc>
        <w:tc>
          <w:tcPr>
            <w:tcW w:w="744" w:type="dxa"/>
            <w:vAlign w:val="center"/>
          </w:tcPr>
          <w:p>
            <w:pPr>
              <w:pStyle w:val="97"/>
            </w:pPr>
            <w:r>
              <w:rPr>
                <w:rFonts w:hint="eastAsia"/>
              </w:rPr>
              <w:t>/</w:t>
            </w:r>
          </w:p>
        </w:tc>
        <w:tc>
          <w:tcPr>
            <w:tcW w:w="1191" w:type="dxa"/>
            <w:vAlign w:val="center"/>
          </w:tcPr>
          <w:p>
            <w:pPr>
              <w:pStyle w:val="97"/>
            </w:pPr>
            <w:r>
              <w:rPr>
                <w:rFonts w:hint="eastAsia"/>
              </w:rPr>
              <w:t>/</w:t>
            </w:r>
          </w:p>
        </w:tc>
        <w:tc>
          <w:tcPr>
            <w:tcW w:w="1489" w:type="dxa"/>
            <w:vAlign w:val="center"/>
          </w:tcPr>
          <w:p>
            <w:pPr>
              <w:pStyle w:val="97"/>
            </w:pPr>
            <w:r>
              <w:rPr>
                <w:rFonts w:hint="eastAsia"/>
              </w:rPr>
              <w:t>1400</w:t>
            </w:r>
          </w:p>
        </w:tc>
        <w:tc>
          <w:tcPr>
            <w:tcW w:w="893" w:type="dxa"/>
            <w:vAlign w:val="center"/>
          </w:tcPr>
          <w:p>
            <w:pPr>
              <w:pStyle w:val="97"/>
            </w:pPr>
            <w:r>
              <w:rPr>
                <w:rFonts w:hint="eastAsia"/>
              </w:rPr>
              <w:t>1400</w:t>
            </w:r>
          </w:p>
        </w:tc>
        <w:tc>
          <w:tcPr>
            <w:tcW w:w="1587" w:type="dxa"/>
            <w:tcBorders>
              <w:top w:val="single" w:color="auto" w:sz="4" w:space="0"/>
            </w:tcBorders>
            <w:vAlign w:val="center"/>
          </w:tcPr>
          <w:p>
            <w:pPr>
              <w:pStyle w:val="97"/>
            </w:pPr>
            <w:r>
              <w:rPr>
                <w:rFonts w:hint="eastAsia"/>
              </w:rPr>
              <w:t>临时占地</w:t>
            </w:r>
          </w:p>
        </w:tc>
      </w:tr>
      <w:tr>
        <w:tblPrEx>
          <w:tblBorders>
            <w:top w:val="single" w:color="auto" w:sz="12" w:space="0"/>
            <w:left w:val="none" w:color="auto" w:sz="0" w:space="0"/>
            <w:bottom w:val="single" w:color="auto" w:sz="12" w:space="0"/>
            <w:right w:val="none" w:color="auto" w:sz="0" w:space="0"/>
            <w:insideH w:val="single" w:color="000000" w:sz="4" w:space="0"/>
            <w:insideV w:val="single" w:color="auto" w:sz="2" w:space="0"/>
          </w:tblBorders>
          <w:tblCellMar>
            <w:top w:w="0" w:type="dxa"/>
            <w:left w:w="108" w:type="dxa"/>
            <w:bottom w:w="0" w:type="dxa"/>
            <w:right w:w="108" w:type="dxa"/>
          </w:tblCellMar>
        </w:tblPrEx>
        <w:trPr>
          <w:trHeight w:val="369" w:hRule="atLeast"/>
          <w:jc w:val="center"/>
        </w:trPr>
        <w:tc>
          <w:tcPr>
            <w:tcW w:w="2007" w:type="dxa"/>
            <w:vAlign w:val="center"/>
          </w:tcPr>
          <w:p>
            <w:pPr>
              <w:pStyle w:val="97"/>
            </w:pPr>
            <w:r>
              <w:rPr>
                <w:rFonts w:hint="eastAsia"/>
              </w:rPr>
              <w:t>废水池</w:t>
            </w:r>
          </w:p>
        </w:tc>
        <w:tc>
          <w:tcPr>
            <w:tcW w:w="823" w:type="dxa"/>
            <w:vAlign w:val="center"/>
          </w:tcPr>
          <w:p>
            <w:pPr>
              <w:pStyle w:val="97"/>
            </w:pPr>
            <w:r>
              <w:rPr>
                <w:rFonts w:hint="eastAsia"/>
              </w:rPr>
              <w:t>/</w:t>
            </w:r>
          </w:p>
        </w:tc>
        <w:tc>
          <w:tcPr>
            <w:tcW w:w="744" w:type="dxa"/>
            <w:vAlign w:val="center"/>
          </w:tcPr>
          <w:p>
            <w:pPr>
              <w:pStyle w:val="97"/>
            </w:pPr>
            <w:r>
              <w:rPr>
                <w:rFonts w:hint="eastAsia"/>
              </w:rPr>
              <w:t>/</w:t>
            </w:r>
          </w:p>
        </w:tc>
        <w:tc>
          <w:tcPr>
            <w:tcW w:w="1191" w:type="dxa"/>
            <w:vAlign w:val="center"/>
          </w:tcPr>
          <w:p>
            <w:pPr>
              <w:pStyle w:val="97"/>
            </w:pPr>
            <w:r>
              <w:rPr>
                <w:rFonts w:hint="eastAsia"/>
              </w:rPr>
              <w:t>/</w:t>
            </w:r>
          </w:p>
        </w:tc>
        <w:tc>
          <w:tcPr>
            <w:tcW w:w="1489" w:type="dxa"/>
            <w:vAlign w:val="center"/>
          </w:tcPr>
          <w:p>
            <w:pPr>
              <w:pStyle w:val="97"/>
            </w:pPr>
            <w:r>
              <w:rPr>
                <w:rFonts w:hint="eastAsia"/>
              </w:rPr>
              <w:t>479</w:t>
            </w:r>
          </w:p>
        </w:tc>
        <w:tc>
          <w:tcPr>
            <w:tcW w:w="893" w:type="dxa"/>
            <w:vAlign w:val="center"/>
          </w:tcPr>
          <w:p>
            <w:pPr>
              <w:pStyle w:val="97"/>
            </w:pPr>
            <w:r>
              <w:rPr>
                <w:rFonts w:hint="eastAsia"/>
              </w:rPr>
              <w:t>479</w:t>
            </w:r>
          </w:p>
        </w:tc>
        <w:tc>
          <w:tcPr>
            <w:tcW w:w="1587" w:type="dxa"/>
            <w:tcBorders>
              <w:top w:val="single" w:color="auto" w:sz="4" w:space="0"/>
            </w:tcBorders>
            <w:vAlign w:val="center"/>
          </w:tcPr>
          <w:p>
            <w:pPr>
              <w:pStyle w:val="97"/>
            </w:pPr>
            <w:r>
              <w:rPr>
                <w:rFonts w:hint="eastAsia"/>
              </w:rPr>
              <w:t>临时占地</w:t>
            </w:r>
          </w:p>
        </w:tc>
      </w:tr>
      <w:tr>
        <w:tblPrEx>
          <w:tblBorders>
            <w:top w:val="single" w:color="auto" w:sz="12" w:space="0"/>
            <w:left w:val="none" w:color="auto" w:sz="0" w:space="0"/>
            <w:bottom w:val="single" w:color="auto" w:sz="12" w:space="0"/>
            <w:right w:val="none" w:color="auto" w:sz="0" w:space="0"/>
            <w:insideH w:val="single" w:color="000000" w:sz="4" w:space="0"/>
            <w:insideV w:val="single" w:color="auto" w:sz="2" w:space="0"/>
          </w:tblBorders>
          <w:tblCellMar>
            <w:top w:w="0" w:type="dxa"/>
            <w:left w:w="108" w:type="dxa"/>
            <w:bottom w:w="0" w:type="dxa"/>
            <w:right w:w="108" w:type="dxa"/>
          </w:tblCellMar>
        </w:tblPrEx>
        <w:trPr>
          <w:trHeight w:val="369" w:hRule="atLeast"/>
          <w:jc w:val="center"/>
        </w:trPr>
        <w:tc>
          <w:tcPr>
            <w:tcW w:w="2007" w:type="dxa"/>
            <w:vAlign w:val="center"/>
          </w:tcPr>
          <w:p>
            <w:pPr>
              <w:pStyle w:val="97"/>
            </w:pPr>
            <w:r>
              <w:rPr>
                <w:rFonts w:hint="eastAsia"/>
              </w:rPr>
              <w:t>其余临时占地</w:t>
            </w:r>
          </w:p>
        </w:tc>
        <w:tc>
          <w:tcPr>
            <w:tcW w:w="823" w:type="dxa"/>
            <w:vAlign w:val="center"/>
          </w:tcPr>
          <w:p>
            <w:pPr>
              <w:pStyle w:val="97"/>
            </w:pPr>
            <w:r>
              <w:rPr>
                <w:rFonts w:hint="eastAsia"/>
              </w:rPr>
              <w:t>/</w:t>
            </w:r>
          </w:p>
        </w:tc>
        <w:tc>
          <w:tcPr>
            <w:tcW w:w="744" w:type="dxa"/>
            <w:vAlign w:val="center"/>
          </w:tcPr>
          <w:p>
            <w:pPr>
              <w:pStyle w:val="97"/>
            </w:pPr>
            <w:r>
              <w:rPr>
                <w:rFonts w:hint="eastAsia"/>
              </w:rPr>
              <w:t>/</w:t>
            </w:r>
          </w:p>
        </w:tc>
        <w:tc>
          <w:tcPr>
            <w:tcW w:w="1191" w:type="dxa"/>
            <w:vAlign w:val="center"/>
          </w:tcPr>
          <w:p>
            <w:pPr>
              <w:pStyle w:val="97"/>
            </w:pPr>
            <w:r>
              <w:rPr>
                <w:rFonts w:hint="eastAsia"/>
              </w:rPr>
              <w:t>/</w:t>
            </w:r>
          </w:p>
        </w:tc>
        <w:tc>
          <w:tcPr>
            <w:tcW w:w="1489" w:type="dxa"/>
            <w:vAlign w:val="center"/>
          </w:tcPr>
          <w:p>
            <w:pPr>
              <w:pStyle w:val="97"/>
            </w:pPr>
            <w:r>
              <w:rPr>
                <w:rFonts w:hint="eastAsia"/>
              </w:rPr>
              <w:t>2065</w:t>
            </w:r>
          </w:p>
        </w:tc>
        <w:tc>
          <w:tcPr>
            <w:tcW w:w="893" w:type="dxa"/>
            <w:vAlign w:val="center"/>
          </w:tcPr>
          <w:p>
            <w:pPr>
              <w:pStyle w:val="97"/>
            </w:pPr>
            <w:r>
              <w:rPr>
                <w:rFonts w:hint="eastAsia"/>
              </w:rPr>
              <w:t>2065</w:t>
            </w:r>
          </w:p>
        </w:tc>
        <w:tc>
          <w:tcPr>
            <w:tcW w:w="1587" w:type="dxa"/>
            <w:tcBorders>
              <w:top w:val="single" w:color="auto" w:sz="4" w:space="0"/>
            </w:tcBorders>
            <w:vAlign w:val="center"/>
          </w:tcPr>
          <w:p>
            <w:pPr>
              <w:pStyle w:val="97"/>
            </w:pPr>
            <w:r>
              <w:rPr>
                <w:rFonts w:hint="eastAsia"/>
              </w:rPr>
              <w:t>临时占地</w:t>
            </w:r>
          </w:p>
        </w:tc>
      </w:tr>
      <w:tr>
        <w:tblPrEx>
          <w:tblBorders>
            <w:top w:val="single" w:color="auto" w:sz="12" w:space="0"/>
            <w:left w:val="none" w:color="auto" w:sz="0" w:space="0"/>
            <w:bottom w:val="single" w:color="auto" w:sz="12" w:space="0"/>
            <w:right w:val="none" w:color="auto" w:sz="0" w:space="0"/>
            <w:insideH w:val="single" w:color="000000" w:sz="4" w:space="0"/>
            <w:insideV w:val="single" w:color="auto" w:sz="2" w:space="0"/>
          </w:tblBorders>
          <w:tblCellMar>
            <w:top w:w="0" w:type="dxa"/>
            <w:left w:w="108" w:type="dxa"/>
            <w:bottom w:w="0" w:type="dxa"/>
            <w:right w:w="108" w:type="dxa"/>
          </w:tblCellMar>
        </w:tblPrEx>
        <w:trPr>
          <w:trHeight w:val="369" w:hRule="atLeast"/>
          <w:jc w:val="center"/>
        </w:trPr>
        <w:tc>
          <w:tcPr>
            <w:tcW w:w="2007" w:type="dxa"/>
            <w:vAlign w:val="center"/>
          </w:tcPr>
          <w:p>
            <w:pPr>
              <w:pStyle w:val="97"/>
            </w:pPr>
            <w:r>
              <w:t>合计</w:t>
            </w:r>
          </w:p>
        </w:tc>
        <w:tc>
          <w:tcPr>
            <w:tcW w:w="823" w:type="dxa"/>
            <w:vAlign w:val="center"/>
          </w:tcPr>
          <w:p>
            <w:pPr>
              <w:pStyle w:val="97"/>
            </w:pPr>
            <w:r>
              <w:rPr>
                <w:rFonts w:hint="eastAsia"/>
              </w:rPr>
              <w:t>715</w:t>
            </w:r>
          </w:p>
        </w:tc>
        <w:tc>
          <w:tcPr>
            <w:tcW w:w="744" w:type="dxa"/>
            <w:vAlign w:val="center"/>
          </w:tcPr>
          <w:p>
            <w:pPr>
              <w:pStyle w:val="97"/>
            </w:pPr>
            <w:r>
              <w:t>/</w:t>
            </w:r>
          </w:p>
        </w:tc>
        <w:tc>
          <w:tcPr>
            <w:tcW w:w="1191" w:type="dxa"/>
            <w:vAlign w:val="center"/>
          </w:tcPr>
          <w:p>
            <w:pPr>
              <w:pStyle w:val="97"/>
            </w:pPr>
            <w:r>
              <w:t>/</w:t>
            </w:r>
          </w:p>
        </w:tc>
        <w:tc>
          <w:tcPr>
            <w:tcW w:w="1489" w:type="dxa"/>
            <w:vAlign w:val="center"/>
          </w:tcPr>
          <w:p>
            <w:pPr>
              <w:pStyle w:val="97"/>
            </w:pPr>
            <w:r>
              <w:rPr>
                <w:rFonts w:hint="eastAsia"/>
              </w:rPr>
              <w:t>7832</w:t>
            </w:r>
          </w:p>
        </w:tc>
        <w:tc>
          <w:tcPr>
            <w:tcW w:w="893" w:type="dxa"/>
            <w:vAlign w:val="center"/>
          </w:tcPr>
          <w:p>
            <w:pPr>
              <w:pStyle w:val="97"/>
            </w:pPr>
            <w:r>
              <w:rPr>
                <w:rFonts w:hint="eastAsia"/>
              </w:rPr>
              <w:t>8547</w:t>
            </w:r>
          </w:p>
        </w:tc>
        <w:tc>
          <w:tcPr>
            <w:tcW w:w="1587" w:type="dxa"/>
            <w:vAlign w:val="center"/>
          </w:tcPr>
          <w:p>
            <w:pPr>
              <w:pStyle w:val="97"/>
            </w:pPr>
            <w:r>
              <w:rPr>
                <w:rFonts w:hint="eastAsia"/>
              </w:rPr>
              <w:t>临时占地</w:t>
            </w:r>
          </w:p>
        </w:tc>
      </w:tr>
      <w:bookmarkEnd w:id="274"/>
    </w:tbl>
    <w:p>
      <w:pPr>
        <w:pStyle w:val="6"/>
        <w:ind w:firstLine="480"/>
        <w:rPr>
          <w:rFonts w:ascii="Times New Roman" w:cs="Times New Roman"/>
          <w:bCs/>
        </w:rPr>
      </w:pPr>
      <w:bookmarkStart w:id="275" w:name="_Toc12288517"/>
      <w:r>
        <w:rPr>
          <w:rFonts w:ascii="Times New Roman" w:cs="Times New Roman"/>
          <w:bCs/>
        </w:rPr>
        <w:t>环评要求建设单位在施工前需取得相应国土部门的出具的征用地许可。</w:t>
      </w:r>
    </w:p>
    <w:p>
      <w:pPr>
        <w:pStyle w:val="6"/>
        <w:ind w:firstLine="480"/>
        <w:rPr>
          <w:rFonts w:ascii="Times New Roman" w:cs="Times New Roman"/>
          <w:bCs/>
        </w:rPr>
      </w:pPr>
      <w:r>
        <w:rPr>
          <w:rFonts w:ascii="Times New Roman" w:cs="Times New Roman"/>
          <w:bCs/>
        </w:rPr>
        <w:t>②占地影响分析</w:t>
      </w:r>
    </w:p>
    <w:p>
      <w:pPr>
        <w:pStyle w:val="6"/>
        <w:ind w:firstLine="480"/>
        <w:rPr>
          <w:rFonts w:ascii="Times New Roman" w:cs="Times New Roman"/>
          <w:bCs/>
        </w:rPr>
      </w:pPr>
      <w:r>
        <w:rPr>
          <w:rFonts w:ascii="Times New Roman" w:cs="Times New Roman"/>
          <w:bCs/>
        </w:rPr>
        <w:t>由于本项目储备罐基础、生活区临时占地土地类型的面积很小，不会对当地土地利用产生较大影响。</w:t>
      </w:r>
    </w:p>
    <w:p>
      <w:pPr>
        <w:pStyle w:val="6"/>
        <w:ind w:firstLine="480"/>
        <w:rPr>
          <w:rFonts w:ascii="Times New Roman" w:cs="Times New Roman"/>
          <w:bCs/>
        </w:rPr>
      </w:pPr>
      <w:r>
        <w:rPr>
          <w:rFonts w:ascii="Times New Roman" w:cs="Times New Roman"/>
          <w:bCs/>
        </w:rPr>
        <w:t>项目建设前，建设单位应向项目所在地区的国土部门提出工程用地申请，得到主管部门的批复后方可动工；建设单位要与地方政府及有关职能部门积极协调，在施工前认真落实地方有关征地补偿手续及其费用，配合地方政府解决工程占地扰动区域内的土地占补平衡问题；同时在施工和运行期间要落实本报告书中的有关环境保护措施，将站场新增临时工程占地对项目所在地区土地利用的影响到最小。</w:t>
      </w:r>
    </w:p>
    <w:p>
      <w:pPr>
        <w:pStyle w:val="6"/>
        <w:ind w:firstLine="482"/>
        <w:rPr>
          <w:rFonts w:ascii="Times New Roman" w:cs="Times New Roman"/>
          <w:b/>
          <w:bCs/>
        </w:rPr>
      </w:pPr>
      <w:r>
        <w:rPr>
          <w:rFonts w:ascii="Times New Roman" w:cs="Times New Roman"/>
          <w:b/>
          <w:bCs/>
        </w:rPr>
        <w:t>（2）表土堆场临时占地</w:t>
      </w:r>
    </w:p>
    <w:p>
      <w:pPr>
        <w:pStyle w:val="6"/>
        <w:ind w:firstLine="482"/>
        <w:rPr>
          <w:rFonts w:ascii="Times New Roman" w:cs="Times New Roman"/>
          <w:b/>
          <w:bCs/>
        </w:rPr>
      </w:pPr>
      <w:r>
        <w:rPr>
          <w:rFonts w:ascii="Times New Roman" w:cs="Times New Roman"/>
          <w:b/>
          <w:bCs/>
        </w:rPr>
        <w:t>①表土堆场临时占地情况</w:t>
      </w:r>
    </w:p>
    <w:p>
      <w:pPr>
        <w:pStyle w:val="6"/>
        <w:ind w:firstLine="480"/>
        <w:rPr>
          <w:rFonts w:ascii="Times New Roman" w:cs="Times New Roman"/>
        </w:rPr>
      </w:pPr>
      <w:r>
        <w:rPr>
          <w:rFonts w:ascii="Times New Roman" w:cs="Times New Roman"/>
        </w:rPr>
        <w:t>本项目表土堆场</w:t>
      </w:r>
      <w:r>
        <w:rPr>
          <w:rFonts w:ascii="Times New Roman" w:cs="Times New Roman"/>
          <w:bCs/>
        </w:rPr>
        <w:t>临时占地</w:t>
      </w:r>
      <w:r>
        <w:rPr>
          <w:rFonts w:hint="eastAsia" w:ascii="Times New Roman" w:cs="Times New Roman"/>
          <w:bCs/>
        </w:rPr>
        <w:t>1021</w:t>
      </w:r>
      <w:r>
        <w:rPr>
          <w:rFonts w:ascii="Times New Roman" w:cs="Times New Roman"/>
          <w:bCs/>
        </w:rPr>
        <w:t>m</w:t>
      </w:r>
      <w:r>
        <w:rPr>
          <w:rFonts w:ascii="Times New Roman" w:cs="Times New Roman"/>
          <w:bCs/>
          <w:vertAlign w:val="superscript"/>
        </w:rPr>
        <w:t>2</w:t>
      </w:r>
      <w:r>
        <w:rPr>
          <w:rFonts w:ascii="Times New Roman" w:cs="Times New Roman"/>
          <w:bCs/>
        </w:rPr>
        <w:t>，</w:t>
      </w:r>
      <w:r>
        <w:rPr>
          <w:rFonts w:hint="eastAsia" w:ascii="Times New Roman" w:cs="Times New Roman"/>
          <w:bCs/>
        </w:rPr>
        <w:t>将临时</w:t>
      </w:r>
      <w:r>
        <w:rPr>
          <w:rFonts w:ascii="Times New Roman" w:cs="Times New Roman"/>
        </w:rPr>
        <w:t>占用永久基本农田，不涉及基本农田保护区，符合基本农田保护相关规范及要求。</w:t>
      </w:r>
    </w:p>
    <w:p>
      <w:pPr>
        <w:pStyle w:val="6"/>
        <w:ind w:firstLine="480"/>
        <w:rPr>
          <w:rFonts w:ascii="Times New Roman" w:cs="Times New Roman"/>
        </w:rPr>
      </w:pPr>
    </w:p>
    <w:p>
      <w:pPr>
        <w:pStyle w:val="6"/>
        <w:ind w:firstLine="480"/>
        <w:rPr>
          <w:rFonts w:ascii="Times New Roman" w:cs="Times New Roman"/>
        </w:rPr>
      </w:pPr>
    </w:p>
    <w:p>
      <w:pPr>
        <w:pStyle w:val="39"/>
        <w:rPr>
          <w:rFonts w:cs="Times New Roman"/>
        </w:rPr>
      </w:pPr>
      <w:bookmarkStart w:id="276" w:name="_Hlk81157639"/>
      <w:r>
        <w:rPr>
          <w:rFonts w:cs="Times New Roman"/>
        </w:rPr>
        <w:t>表4.1-5  项目临时占地面积统计表</w:t>
      </w:r>
    </w:p>
    <w:tbl>
      <w:tblPr>
        <w:tblStyle w:val="59"/>
        <w:tblW w:w="8865" w:type="dxa"/>
        <w:jc w:val="center"/>
        <w:tblBorders>
          <w:top w:val="single" w:color="auto" w:sz="12" w:space="0"/>
          <w:left w:val="none" w:color="auto" w:sz="0" w:space="0"/>
          <w:bottom w:val="single" w:color="auto" w:sz="12" w:space="0"/>
          <w:right w:val="none" w:color="auto" w:sz="0" w:space="0"/>
          <w:insideH w:val="single" w:color="000000" w:sz="4" w:space="0"/>
          <w:insideV w:val="single" w:color="auto" w:sz="2" w:space="0"/>
        </w:tblBorders>
        <w:tblLayout w:type="fixed"/>
        <w:tblCellMar>
          <w:top w:w="0" w:type="dxa"/>
          <w:left w:w="108" w:type="dxa"/>
          <w:bottom w:w="0" w:type="dxa"/>
          <w:right w:w="108" w:type="dxa"/>
        </w:tblCellMar>
      </w:tblPr>
      <w:tblGrid>
        <w:gridCol w:w="1663"/>
        <w:gridCol w:w="906"/>
        <w:gridCol w:w="907"/>
        <w:gridCol w:w="1199"/>
        <w:gridCol w:w="1417"/>
        <w:gridCol w:w="1276"/>
        <w:gridCol w:w="794"/>
        <w:gridCol w:w="703"/>
      </w:tblGrid>
      <w:tr>
        <w:tblPrEx>
          <w:tblBorders>
            <w:top w:val="single" w:color="auto" w:sz="12" w:space="0"/>
            <w:left w:val="none" w:color="auto" w:sz="0" w:space="0"/>
            <w:bottom w:val="single" w:color="auto" w:sz="12" w:space="0"/>
            <w:right w:val="none" w:color="auto" w:sz="0" w:space="0"/>
            <w:insideH w:val="single" w:color="000000" w:sz="4" w:space="0"/>
            <w:insideV w:val="single" w:color="auto" w:sz="2" w:space="0"/>
          </w:tblBorders>
          <w:tblCellMar>
            <w:top w:w="0" w:type="dxa"/>
            <w:left w:w="108" w:type="dxa"/>
            <w:bottom w:w="0" w:type="dxa"/>
            <w:right w:w="108" w:type="dxa"/>
          </w:tblCellMar>
        </w:tblPrEx>
        <w:trPr>
          <w:trHeight w:val="174" w:hRule="atLeast"/>
          <w:jc w:val="center"/>
        </w:trPr>
        <w:tc>
          <w:tcPr>
            <w:tcW w:w="1663" w:type="dxa"/>
            <w:vMerge w:val="restart"/>
            <w:vAlign w:val="center"/>
          </w:tcPr>
          <w:p>
            <w:pPr>
              <w:pStyle w:val="97"/>
              <w:rPr>
                <w:b/>
                <w:bCs/>
              </w:rPr>
            </w:pPr>
            <w:r>
              <w:rPr>
                <w:b/>
                <w:bCs/>
              </w:rPr>
              <w:t>项目组成</w:t>
            </w:r>
          </w:p>
        </w:tc>
        <w:tc>
          <w:tcPr>
            <w:tcW w:w="5705" w:type="dxa"/>
            <w:gridSpan w:val="5"/>
            <w:vAlign w:val="center"/>
          </w:tcPr>
          <w:p>
            <w:pPr>
              <w:pStyle w:val="97"/>
              <w:rPr>
                <w:b/>
                <w:bCs/>
              </w:rPr>
            </w:pPr>
            <w:r>
              <w:rPr>
                <w:b/>
                <w:bCs/>
              </w:rPr>
              <w:t>占地类型（m</w:t>
            </w:r>
            <w:r>
              <w:rPr>
                <w:b/>
                <w:bCs/>
                <w:vertAlign w:val="superscript"/>
              </w:rPr>
              <w:t>2</w:t>
            </w:r>
            <w:r>
              <w:rPr>
                <w:b/>
                <w:bCs/>
              </w:rPr>
              <w:t>）</w:t>
            </w:r>
          </w:p>
        </w:tc>
        <w:tc>
          <w:tcPr>
            <w:tcW w:w="794" w:type="dxa"/>
            <w:vMerge w:val="restart"/>
            <w:vAlign w:val="center"/>
          </w:tcPr>
          <w:p>
            <w:pPr>
              <w:pStyle w:val="97"/>
              <w:rPr>
                <w:b/>
                <w:bCs/>
              </w:rPr>
            </w:pPr>
            <w:r>
              <w:rPr>
                <w:b/>
                <w:bCs/>
              </w:rPr>
              <w:t>合计</w:t>
            </w:r>
          </w:p>
        </w:tc>
        <w:tc>
          <w:tcPr>
            <w:tcW w:w="703" w:type="dxa"/>
            <w:vMerge w:val="restart"/>
            <w:vAlign w:val="center"/>
          </w:tcPr>
          <w:p>
            <w:pPr>
              <w:pStyle w:val="97"/>
              <w:rPr>
                <w:b/>
                <w:bCs/>
              </w:rPr>
            </w:pPr>
            <w:r>
              <w:rPr>
                <w:b/>
                <w:bCs/>
              </w:rPr>
              <w:t>占地性质</w:t>
            </w:r>
          </w:p>
        </w:tc>
      </w:tr>
      <w:tr>
        <w:tblPrEx>
          <w:tblBorders>
            <w:top w:val="single" w:color="auto" w:sz="12" w:space="0"/>
            <w:left w:val="none" w:color="auto" w:sz="0" w:space="0"/>
            <w:bottom w:val="single" w:color="auto" w:sz="12" w:space="0"/>
            <w:right w:val="none" w:color="auto" w:sz="0" w:space="0"/>
            <w:insideH w:val="single" w:color="000000" w:sz="4" w:space="0"/>
            <w:insideV w:val="single" w:color="auto" w:sz="2" w:space="0"/>
          </w:tblBorders>
          <w:tblCellMar>
            <w:top w:w="0" w:type="dxa"/>
            <w:left w:w="108" w:type="dxa"/>
            <w:bottom w:w="0" w:type="dxa"/>
            <w:right w:w="108" w:type="dxa"/>
          </w:tblCellMar>
        </w:tblPrEx>
        <w:trPr>
          <w:trHeight w:val="50" w:hRule="atLeast"/>
          <w:jc w:val="center"/>
        </w:trPr>
        <w:tc>
          <w:tcPr>
            <w:tcW w:w="1663" w:type="dxa"/>
            <w:vMerge w:val="continue"/>
            <w:vAlign w:val="center"/>
          </w:tcPr>
          <w:p>
            <w:pPr>
              <w:pStyle w:val="97"/>
              <w:rPr>
                <w:b/>
                <w:bCs/>
              </w:rPr>
            </w:pPr>
          </w:p>
        </w:tc>
        <w:tc>
          <w:tcPr>
            <w:tcW w:w="906" w:type="dxa"/>
            <w:vAlign w:val="center"/>
          </w:tcPr>
          <w:p>
            <w:pPr>
              <w:pStyle w:val="97"/>
              <w:rPr>
                <w:b/>
                <w:bCs/>
              </w:rPr>
            </w:pPr>
            <w:r>
              <w:rPr>
                <w:b/>
                <w:bCs/>
              </w:rPr>
              <w:t>耕地</w:t>
            </w:r>
          </w:p>
        </w:tc>
        <w:tc>
          <w:tcPr>
            <w:tcW w:w="907" w:type="dxa"/>
            <w:vAlign w:val="center"/>
          </w:tcPr>
          <w:p>
            <w:pPr>
              <w:pStyle w:val="97"/>
              <w:rPr>
                <w:b/>
                <w:bCs/>
              </w:rPr>
            </w:pPr>
            <w:r>
              <w:rPr>
                <w:b/>
                <w:bCs/>
              </w:rPr>
              <w:t>水田</w:t>
            </w:r>
          </w:p>
        </w:tc>
        <w:tc>
          <w:tcPr>
            <w:tcW w:w="1199" w:type="dxa"/>
            <w:vAlign w:val="center"/>
          </w:tcPr>
          <w:p>
            <w:pPr>
              <w:pStyle w:val="97"/>
              <w:rPr>
                <w:b/>
                <w:bCs/>
              </w:rPr>
            </w:pPr>
            <w:r>
              <w:rPr>
                <w:b/>
                <w:bCs/>
              </w:rPr>
              <w:t>林地</w:t>
            </w:r>
          </w:p>
        </w:tc>
        <w:tc>
          <w:tcPr>
            <w:tcW w:w="1417" w:type="dxa"/>
            <w:tcBorders>
              <w:left w:val="single" w:color="auto" w:sz="2" w:space="0"/>
            </w:tcBorders>
            <w:vAlign w:val="center"/>
          </w:tcPr>
          <w:p>
            <w:pPr>
              <w:pStyle w:val="97"/>
              <w:rPr>
                <w:b/>
                <w:bCs/>
              </w:rPr>
            </w:pPr>
            <w:r>
              <w:rPr>
                <w:b/>
                <w:bCs/>
              </w:rPr>
              <w:t>草地</w:t>
            </w:r>
          </w:p>
        </w:tc>
        <w:tc>
          <w:tcPr>
            <w:tcW w:w="1276" w:type="dxa"/>
            <w:tcBorders>
              <w:left w:val="single" w:color="auto" w:sz="2" w:space="0"/>
            </w:tcBorders>
            <w:vAlign w:val="center"/>
          </w:tcPr>
          <w:p>
            <w:pPr>
              <w:pStyle w:val="97"/>
              <w:rPr>
                <w:b/>
                <w:bCs/>
              </w:rPr>
            </w:pPr>
            <w:r>
              <w:rPr>
                <w:b/>
                <w:bCs/>
              </w:rPr>
              <w:t>其他土地</w:t>
            </w:r>
          </w:p>
        </w:tc>
        <w:tc>
          <w:tcPr>
            <w:tcW w:w="794" w:type="dxa"/>
            <w:vMerge w:val="continue"/>
            <w:vAlign w:val="center"/>
          </w:tcPr>
          <w:p>
            <w:pPr>
              <w:pStyle w:val="97"/>
              <w:rPr>
                <w:b/>
                <w:bCs/>
              </w:rPr>
            </w:pPr>
          </w:p>
        </w:tc>
        <w:tc>
          <w:tcPr>
            <w:tcW w:w="703" w:type="dxa"/>
            <w:vMerge w:val="continue"/>
            <w:vAlign w:val="center"/>
          </w:tcPr>
          <w:p>
            <w:pPr>
              <w:pStyle w:val="97"/>
              <w:rPr>
                <w:b/>
                <w:bCs/>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auto" w:sz="2" w:space="0"/>
          </w:tblBorders>
          <w:tblCellMar>
            <w:top w:w="0" w:type="dxa"/>
            <w:left w:w="108" w:type="dxa"/>
            <w:bottom w:w="0" w:type="dxa"/>
            <w:right w:w="108" w:type="dxa"/>
          </w:tblCellMar>
        </w:tblPrEx>
        <w:trPr>
          <w:trHeight w:val="50" w:hRule="atLeast"/>
          <w:jc w:val="center"/>
        </w:trPr>
        <w:tc>
          <w:tcPr>
            <w:tcW w:w="1663" w:type="dxa"/>
            <w:vAlign w:val="center"/>
          </w:tcPr>
          <w:p>
            <w:pPr>
              <w:pStyle w:val="97"/>
              <w:rPr>
                <w:bCs/>
              </w:rPr>
            </w:pPr>
            <w:r>
              <w:rPr>
                <w:bCs/>
              </w:rPr>
              <w:t>表土堆场</w:t>
            </w:r>
          </w:p>
        </w:tc>
        <w:tc>
          <w:tcPr>
            <w:tcW w:w="906" w:type="dxa"/>
            <w:vAlign w:val="center"/>
          </w:tcPr>
          <w:p>
            <w:pPr>
              <w:pStyle w:val="97"/>
              <w:rPr>
                <w:bCs/>
              </w:rPr>
            </w:pPr>
            <w:r>
              <w:rPr>
                <w:bCs/>
              </w:rPr>
              <w:t>/</w:t>
            </w:r>
          </w:p>
        </w:tc>
        <w:tc>
          <w:tcPr>
            <w:tcW w:w="907" w:type="dxa"/>
            <w:vAlign w:val="center"/>
          </w:tcPr>
          <w:p>
            <w:pPr>
              <w:pStyle w:val="97"/>
              <w:rPr>
                <w:bCs/>
              </w:rPr>
            </w:pPr>
            <w:r>
              <w:rPr>
                <w:bCs/>
              </w:rPr>
              <w:t>/</w:t>
            </w:r>
          </w:p>
        </w:tc>
        <w:tc>
          <w:tcPr>
            <w:tcW w:w="1199" w:type="dxa"/>
            <w:vAlign w:val="center"/>
          </w:tcPr>
          <w:p>
            <w:pPr>
              <w:pStyle w:val="97"/>
              <w:rPr>
                <w:bCs/>
              </w:rPr>
            </w:pPr>
            <w:r>
              <w:rPr>
                <w:bCs/>
              </w:rPr>
              <w:t>/</w:t>
            </w:r>
          </w:p>
        </w:tc>
        <w:tc>
          <w:tcPr>
            <w:tcW w:w="1417" w:type="dxa"/>
            <w:tcBorders>
              <w:left w:val="single" w:color="auto" w:sz="2" w:space="0"/>
            </w:tcBorders>
            <w:vAlign w:val="center"/>
          </w:tcPr>
          <w:p>
            <w:pPr>
              <w:pStyle w:val="97"/>
              <w:rPr>
                <w:bCs/>
              </w:rPr>
            </w:pPr>
            <w:r>
              <w:rPr>
                <w:bCs/>
              </w:rPr>
              <w:t>/</w:t>
            </w:r>
          </w:p>
        </w:tc>
        <w:tc>
          <w:tcPr>
            <w:tcW w:w="1276" w:type="dxa"/>
            <w:tcBorders>
              <w:left w:val="single" w:color="auto" w:sz="2" w:space="0"/>
            </w:tcBorders>
            <w:vAlign w:val="center"/>
          </w:tcPr>
          <w:p>
            <w:pPr>
              <w:pStyle w:val="97"/>
              <w:rPr>
                <w:bCs/>
              </w:rPr>
            </w:pPr>
            <w:r>
              <w:rPr>
                <w:rFonts w:hint="eastAsia"/>
                <w:bCs/>
              </w:rPr>
              <w:t>1021</w:t>
            </w:r>
          </w:p>
        </w:tc>
        <w:tc>
          <w:tcPr>
            <w:tcW w:w="794" w:type="dxa"/>
            <w:vAlign w:val="center"/>
          </w:tcPr>
          <w:p>
            <w:pPr>
              <w:pStyle w:val="97"/>
              <w:rPr>
                <w:bCs/>
              </w:rPr>
            </w:pPr>
            <w:r>
              <w:rPr>
                <w:rFonts w:hint="eastAsia"/>
                <w:bCs/>
              </w:rPr>
              <w:t>1021</w:t>
            </w:r>
          </w:p>
        </w:tc>
        <w:tc>
          <w:tcPr>
            <w:tcW w:w="703" w:type="dxa"/>
            <w:vAlign w:val="center"/>
          </w:tcPr>
          <w:p>
            <w:pPr>
              <w:pStyle w:val="97"/>
              <w:rPr>
                <w:bCs/>
              </w:rPr>
            </w:pPr>
            <w:r>
              <w:rPr>
                <w:bCs/>
              </w:rPr>
              <w:t>临时占地</w:t>
            </w:r>
          </w:p>
        </w:tc>
      </w:tr>
      <w:tr>
        <w:tblPrEx>
          <w:tblBorders>
            <w:top w:val="single" w:color="auto" w:sz="12" w:space="0"/>
            <w:left w:val="none" w:color="auto" w:sz="0" w:space="0"/>
            <w:bottom w:val="single" w:color="auto" w:sz="12" w:space="0"/>
            <w:right w:val="none" w:color="auto" w:sz="0" w:space="0"/>
            <w:insideH w:val="single" w:color="000000" w:sz="4" w:space="0"/>
            <w:insideV w:val="single" w:color="auto" w:sz="2" w:space="0"/>
          </w:tblBorders>
          <w:tblCellMar>
            <w:top w:w="0" w:type="dxa"/>
            <w:left w:w="108" w:type="dxa"/>
            <w:bottom w:w="0" w:type="dxa"/>
            <w:right w:w="108" w:type="dxa"/>
          </w:tblCellMar>
        </w:tblPrEx>
        <w:trPr>
          <w:trHeight w:val="50" w:hRule="atLeast"/>
          <w:jc w:val="center"/>
        </w:trPr>
        <w:tc>
          <w:tcPr>
            <w:tcW w:w="1663" w:type="dxa"/>
            <w:vAlign w:val="center"/>
          </w:tcPr>
          <w:p>
            <w:pPr>
              <w:pStyle w:val="97"/>
              <w:rPr>
                <w:bCs/>
              </w:rPr>
            </w:pPr>
            <w:r>
              <w:rPr>
                <w:bCs/>
              </w:rPr>
              <w:t>合计</w:t>
            </w:r>
          </w:p>
        </w:tc>
        <w:tc>
          <w:tcPr>
            <w:tcW w:w="906" w:type="dxa"/>
            <w:vAlign w:val="center"/>
          </w:tcPr>
          <w:p>
            <w:pPr>
              <w:pStyle w:val="97"/>
              <w:rPr>
                <w:bCs/>
              </w:rPr>
            </w:pPr>
            <w:r>
              <w:rPr>
                <w:bCs/>
              </w:rPr>
              <w:t>/</w:t>
            </w:r>
          </w:p>
        </w:tc>
        <w:tc>
          <w:tcPr>
            <w:tcW w:w="907" w:type="dxa"/>
            <w:vAlign w:val="center"/>
          </w:tcPr>
          <w:p>
            <w:pPr>
              <w:pStyle w:val="97"/>
              <w:rPr>
                <w:bCs/>
              </w:rPr>
            </w:pPr>
            <w:r>
              <w:rPr>
                <w:bCs/>
              </w:rPr>
              <w:t>/</w:t>
            </w:r>
          </w:p>
        </w:tc>
        <w:tc>
          <w:tcPr>
            <w:tcW w:w="1199" w:type="dxa"/>
            <w:vAlign w:val="center"/>
          </w:tcPr>
          <w:p>
            <w:pPr>
              <w:pStyle w:val="97"/>
              <w:rPr>
                <w:bCs/>
              </w:rPr>
            </w:pPr>
            <w:r>
              <w:rPr>
                <w:bCs/>
              </w:rPr>
              <w:t>/</w:t>
            </w:r>
          </w:p>
        </w:tc>
        <w:tc>
          <w:tcPr>
            <w:tcW w:w="1417" w:type="dxa"/>
            <w:tcBorders>
              <w:left w:val="single" w:color="auto" w:sz="2" w:space="0"/>
            </w:tcBorders>
            <w:vAlign w:val="center"/>
          </w:tcPr>
          <w:p>
            <w:pPr>
              <w:pStyle w:val="97"/>
              <w:rPr>
                <w:bCs/>
              </w:rPr>
            </w:pPr>
            <w:r>
              <w:rPr>
                <w:bCs/>
              </w:rPr>
              <w:t>/</w:t>
            </w:r>
          </w:p>
        </w:tc>
        <w:tc>
          <w:tcPr>
            <w:tcW w:w="1276" w:type="dxa"/>
            <w:tcBorders>
              <w:left w:val="single" w:color="auto" w:sz="2" w:space="0"/>
            </w:tcBorders>
            <w:vAlign w:val="center"/>
          </w:tcPr>
          <w:p>
            <w:pPr>
              <w:pStyle w:val="97"/>
              <w:rPr>
                <w:bCs/>
              </w:rPr>
            </w:pPr>
            <w:r>
              <w:rPr>
                <w:rFonts w:hint="eastAsia"/>
                <w:bCs/>
              </w:rPr>
              <w:t>1021</w:t>
            </w:r>
          </w:p>
        </w:tc>
        <w:tc>
          <w:tcPr>
            <w:tcW w:w="794" w:type="dxa"/>
            <w:vAlign w:val="center"/>
          </w:tcPr>
          <w:p>
            <w:pPr>
              <w:pStyle w:val="97"/>
              <w:rPr>
                <w:bCs/>
              </w:rPr>
            </w:pPr>
            <w:r>
              <w:rPr>
                <w:rFonts w:hint="eastAsia"/>
                <w:bCs/>
              </w:rPr>
              <w:t>1021</w:t>
            </w:r>
          </w:p>
        </w:tc>
        <w:tc>
          <w:tcPr>
            <w:tcW w:w="703" w:type="dxa"/>
            <w:vAlign w:val="center"/>
          </w:tcPr>
          <w:p>
            <w:pPr>
              <w:pStyle w:val="97"/>
              <w:rPr>
                <w:bCs/>
              </w:rPr>
            </w:pPr>
          </w:p>
        </w:tc>
      </w:tr>
      <w:bookmarkEnd w:id="276"/>
    </w:tbl>
    <w:p>
      <w:pPr>
        <w:pStyle w:val="6"/>
        <w:ind w:firstLine="482"/>
        <w:rPr>
          <w:rFonts w:ascii="Times New Roman" w:cs="Times New Roman"/>
          <w:b/>
        </w:rPr>
      </w:pPr>
      <w:r>
        <w:rPr>
          <w:rFonts w:ascii="Times New Roman" w:cs="Times New Roman"/>
          <w:b/>
        </w:rPr>
        <w:t>②占地影响</w:t>
      </w:r>
    </w:p>
    <w:p>
      <w:pPr>
        <w:pStyle w:val="114"/>
        <w:ind w:firstLine="480"/>
      </w:pPr>
      <w:r>
        <w:t>项目</w:t>
      </w:r>
      <w:r>
        <w:rPr>
          <w:rFonts w:hint="eastAsia"/>
        </w:rPr>
        <w:t>表土</w:t>
      </w:r>
      <w:r>
        <w:t>土临时暂存，后期用于井场复耕</w:t>
      </w:r>
      <w:r>
        <w:rPr>
          <w:rFonts w:hint="eastAsia"/>
        </w:rPr>
        <w:t>，</w:t>
      </w:r>
      <w:r>
        <w:t>表土临时堆放场设计图见图4-1。</w:t>
      </w:r>
    </w:p>
    <w:p>
      <w:pPr>
        <w:pStyle w:val="114"/>
        <w:ind w:firstLine="480"/>
      </w:pPr>
      <w:r>
        <w:drawing>
          <wp:inline distT="0" distB="0" distL="114300" distR="114300">
            <wp:extent cx="4116070" cy="1962150"/>
            <wp:effectExtent l="0" t="0" r="17780" b="0"/>
            <wp:docPr id="19" name="图片 1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1"/>
                    <pic:cNvPicPr>
                      <a:picLocks noChangeAspect="1"/>
                    </pic:cNvPicPr>
                  </pic:nvPicPr>
                  <pic:blipFill>
                    <a:blip r:embed="rId50"/>
                    <a:srcRect b="7054"/>
                    <a:stretch>
                      <a:fillRect/>
                    </a:stretch>
                  </pic:blipFill>
                  <pic:spPr>
                    <a:xfrm>
                      <a:off x="0" y="0"/>
                      <a:ext cx="4116070" cy="1962150"/>
                    </a:xfrm>
                    <a:prstGeom prst="rect">
                      <a:avLst/>
                    </a:prstGeom>
                    <a:noFill/>
                    <a:ln>
                      <a:noFill/>
                    </a:ln>
                  </pic:spPr>
                </pic:pic>
              </a:graphicData>
            </a:graphic>
          </wp:inline>
        </w:drawing>
      </w:r>
    </w:p>
    <w:p>
      <w:pPr>
        <w:pStyle w:val="114"/>
        <w:ind w:firstLine="0" w:firstLineChars="0"/>
        <w:jc w:val="center"/>
        <w:rPr>
          <w:b/>
          <w:bCs/>
        </w:rPr>
      </w:pPr>
      <w:r>
        <w:rPr>
          <w:b/>
          <w:bCs/>
        </w:rPr>
        <w:t>图4-1    表土临时堆放场设计图</w:t>
      </w:r>
    </w:p>
    <w:p>
      <w:pPr>
        <w:pStyle w:val="114"/>
        <w:ind w:firstLine="480"/>
      </w:pPr>
      <w:r>
        <w:t>工程的表土堆放场周边设挡土墙，并夯压整形，为防止降雨对表土堆放场造成冲刷，项目在表土堆放场周边设置临时排水沟对雨水进行拦截和排导，考虑其排水的临时性与过渡性，临时排水沟采用土质梯形断面，沟内壁采用粘土拍实。为防止泥沙进入周边排水系统，在排水沟出口设置临时土质沉沙池。根据“先拦后弃”的原则，先将剥离的表土装入编织袋内采用“品”字形码放在表土堆放场用作临时挡护，再进行表土堆放，堆土结束后再在其表面采用土工布或塑料膜防止雨水冲刷。通过以上措施可有效防止耕植土堆放场的水土流失，待钻井结束后，多余土方用于项目临时占地的恢复</w:t>
      </w:r>
      <w:r>
        <w:rPr>
          <w:rFonts w:hint="eastAsia"/>
        </w:rPr>
        <w:t>。</w:t>
      </w:r>
    </w:p>
    <w:p>
      <w:pPr>
        <w:pStyle w:val="114"/>
        <w:ind w:firstLine="480"/>
      </w:pPr>
      <w:r>
        <w:t>项目表土堆场临时占地主要在施工期。表土堆场为临时占用土地，一般仅在施工阶段造成土地利用的暂时改变，在施工结束后短期内（1年～2年）能恢复原有的利用功能。</w:t>
      </w:r>
    </w:p>
    <w:p>
      <w:pPr>
        <w:pStyle w:val="6"/>
        <w:ind w:firstLine="480"/>
        <w:rPr>
          <w:rFonts w:ascii="Times New Roman" w:cs="Times New Roman"/>
          <w:bCs/>
        </w:rPr>
      </w:pPr>
      <w:r>
        <w:rPr>
          <w:rFonts w:ascii="Times New Roman" w:cs="Times New Roman"/>
        </w:rPr>
        <w:t>临时性工程占地短期内将影响土地的利用状况，施工结束后，随着生态补偿或生态恢复措施的实施，这一影响将逐渐小或消失。</w:t>
      </w:r>
    </w:p>
    <w:bookmarkEnd w:id="271"/>
    <w:bookmarkEnd w:id="272"/>
    <w:bookmarkEnd w:id="273"/>
    <w:bookmarkEnd w:id="275"/>
    <w:p>
      <w:pPr>
        <w:pStyle w:val="6"/>
        <w:ind w:firstLine="482"/>
        <w:rPr>
          <w:rFonts w:ascii="Times New Roman" w:cs="Times New Roman"/>
          <w:b/>
          <w:bCs/>
        </w:rPr>
      </w:pPr>
      <w:r>
        <w:rPr>
          <w:rFonts w:ascii="Times New Roman" w:cs="Times New Roman"/>
          <w:b/>
          <w:bCs/>
        </w:rPr>
        <w:t>2、生态环境影响分析</w:t>
      </w:r>
    </w:p>
    <w:p>
      <w:pPr>
        <w:pStyle w:val="6"/>
        <w:ind w:firstLine="482"/>
        <w:rPr>
          <w:rFonts w:ascii="Times New Roman" w:cs="Times New Roman"/>
          <w:b/>
        </w:rPr>
      </w:pPr>
      <w:r>
        <w:rPr>
          <w:rFonts w:ascii="Times New Roman" w:cs="Times New Roman"/>
          <w:b/>
        </w:rPr>
        <w:t>（1）生态影响分析</w:t>
      </w:r>
    </w:p>
    <w:p>
      <w:pPr>
        <w:pStyle w:val="6"/>
        <w:ind w:firstLine="480"/>
        <w:rPr>
          <w:rFonts w:ascii="Times New Roman" w:cs="Times New Roman"/>
        </w:rPr>
      </w:pPr>
      <w:r>
        <w:rPr>
          <w:rFonts w:ascii="Times New Roman" w:cs="Times New Roman"/>
        </w:rPr>
        <w:t>施工期间土石方工程的开挖引起自然地貌的改变和地表自然及人工植被的破坏，生物量和生产力的变化，由此引发的区域生态环境的破坏。</w:t>
      </w:r>
    </w:p>
    <w:p>
      <w:pPr>
        <w:pStyle w:val="6"/>
        <w:ind w:firstLine="482"/>
        <w:rPr>
          <w:rFonts w:ascii="Times New Roman" w:cs="Times New Roman"/>
          <w:b/>
        </w:rPr>
      </w:pPr>
      <w:bookmarkStart w:id="277" w:name="_Toc12288510"/>
      <w:r>
        <w:rPr>
          <w:rFonts w:ascii="Times New Roman" w:cs="Times New Roman"/>
          <w:b/>
        </w:rPr>
        <w:t>（2）拟采取的生态保护措施</w:t>
      </w:r>
      <w:bookmarkEnd w:id="277"/>
    </w:p>
    <w:p>
      <w:pPr>
        <w:pStyle w:val="6"/>
        <w:ind w:firstLine="480"/>
        <w:rPr>
          <w:rFonts w:ascii="Times New Roman" w:cs="Times New Roman"/>
        </w:rPr>
      </w:pPr>
      <w:r>
        <w:rPr>
          <w:rFonts w:ascii="Times New Roman" w:cs="Times New Roman"/>
        </w:rPr>
        <w:t>①施工作业应避开暴雨季节，减少降雨引发的水土流失</w:t>
      </w:r>
      <w:r>
        <w:rPr>
          <w:rFonts w:hint="eastAsia" w:ascii="Times New Roman" w:cs="Times New Roman"/>
          <w:lang w:eastAsia="zh-CN"/>
        </w:rPr>
        <w:t>几率</w:t>
      </w:r>
      <w:r>
        <w:rPr>
          <w:rFonts w:ascii="Times New Roman" w:cs="Times New Roman"/>
        </w:rPr>
        <w:t>。应尽量避开农作物生长季节，减少农业生产的损失。</w:t>
      </w:r>
    </w:p>
    <w:p>
      <w:pPr>
        <w:pStyle w:val="6"/>
        <w:ind w:firstLine="480"/>
        <w:rPr>
          <w:rFonts w:ascii="Times New Roman" w:cs="Times New Roman"/>
        </w:rPr>
      </w:pPr>
      <w:r>
        <w:rPr>
          <w:rFonts w:ascii="Times New Roman" w:cs="Times New Roman"/>
        </w:rPr>
        <w:t>②妥善处理施工期产生的各类污染物，防止其对生态环境造成污染，特别是对河流和土壤的影响。施工回填时，应尽量按原有土壤层次进行回填，以恢复土壤的生产能力。回填后多余的土应平铺在田间或作为田埂等，不得随意丢弃。回填完成后，应立即开展复耕、复植工作，完善相应的水土保持工程。</w:t>
      </w:r>
    </w:p>
    <w:p>
      <w:pPr>
        <w:pStyle w:val="4"/>
        <w:rPr>
          <w:rStyle w:val="66"/>
          <w:b/>
          <w:bCs/>
        </w:rPr>
      </w:pPr>
      <w:bookmarkStart w:id="278" w:name="_Toc12288511"/>
      <w:r>
        <w:rPr>
          <w:rStyle w:val="66"/>
          <w:b/>
          <w:bCs/>
        </w:rPr>
        <w:t>4.1.</w:t>
      </w:r>
      <w:bookmarkEnd w:id="278"/>
      <w:r>
        <w:rPr>
          <w:rStyle w:val="66"/>
          <w:b/>
          <w:bCs/>
        </w:rPr>
        <w:t>4 废气产生情况及治理措施</w:t>
      </w:r>
    </w:p>
    <w:p>
      <w:pPr>
        <w:pStyle w:val="6"/>
        <w:ind w:firstLine="480"/>
        <w:rPr>
          <w:rFonts w:ascii="Times New Roman" w:cs="Times New Roman"/>
        </w:rPr>
      </w:pPr>
      <w:r>
        <w:rPr>
          <w:rFonts w:ascii="Times New Roman" w:cs="Times New Roman"/>
        </w:rPr>
        <w:t>本项目施工大气污染源包括站场土石方开挖产生的扬尘、裸露地面扬尘、施工运输车辆扬尘、施工机械及运输车辆燃油废气、气体钻粉尘、测试放喷废气。</w:t>
      </w:r>
    </w:p>
    <w:p>
      <w:pPr>
        <w:pStyle w:val="114"/>
        <w:ind w:firstLine="482"/>
        <w:rPr>
          <w:b/>
          <w:bCs/>
        </w:rPr>
      </w:pPr>
      <w:r>
        <w:rPr>
          <w:b/>
          <w:bCs/>
        </w:rPr>
        <w:t>1、污染源分析</w:t>
      </w:r>
    </w:p>
    <w:p>
      <w:pPr>
        <w:pStyle w:val="114"/>
        <w:ind w:firstLine="482"/>
        <w:rPr>
          <w:b/>
          <w:bCs/>
        </w:rPr>
      </w:pPr>
      <w:bookmarkStart w:id="279" w:name="_Hlk52895135"/>
      <w:r>
        <w:rPr>
          <w:b/>
          <w:bCs/>
        </w:rPr>
        <w:t>（1）施工扬尘</w:t>
      </w:r>
    </w:p>
    <w:p>
      <w:pPr>
        <w:pStyle w:val="114"/>
        <w:ind w:firstLine="480"/>
        <w:rPr>
          <w:highlight w:val="yellow"/>
        </w:rPr>
      </w:pPr>
      <w:r>
        <w:t>裸露地表在工程扰动或风力扰动的情况下会产生一定的扬尘，扬尘的产生量及产生浓度与扰动的严重程度有关，但在去除外界扰动的</w:t>
      </w:r>
      <w:r>
        <w:rPr>
          <w:rFonts w:hint="eastAsia"/>
          <w:lang w:eastAsia="zh-CN"/>
        </w:rPr>
        <w:t>情况</w:t>
      </w:r>
      <w:r>
        <w:t>下扬尘会随自身重力降至地面。同时，根据相关经验表明，裸露地表在扰动的</w:t>
      </w:r>
      <w:r>
        <w:rPr>
          <w:rFonts w:hint="eastAsia"/>
          <w:lang w:eastAsia="zh-CN"/>
        </w:rPr>
        <w:t>情况</w:t>
      </w:r>
      <w:r>
        <w:t>下所产生的扬尘量及浓度还与地表土壤的湿润程度有很大的联系，地表土壤所含水分越多，越不容易产生扬尘、放空废气。</w:t>
      </w:r>
    </w:p>
    <w:p>
      <w:pPr>
        <w:pStyle w:val="534"/>
        <w:spacing w:line="360" w:lineRule="auto"/>
        <w:ind w:firstLine="482"/>
        <w:rPr>
          <w:rFonts w:ascii="Times New Roman" w:hAnsi="Times New Roman"/>
          <w:b/>
          <w:bCs/>
        </w:rPr>
      </w:pPr>
      <w:r>
        <w:rPr>
          <w:rFonts w:ascii="Times New Roman" w:hAnsi="Times New Roman"/>
          <w:b/>
          <w:bCs/>
        </w:rPr>
        <w:t>（2）运输扬尘</w:t>
      </w:r>
    </w:p>
    <w:p>
      <w:pPr>
        <w:pStyle w:val="534"/>
        <w:spacing w:line="360" w:lineRule="auto"/>
        <w:ind w:firstLine="480"/>
        <w:rPr>
          <w:rFonts w:ascii="Times New Roman" w:hAnsi="Times New Roman"/>
        </w:rPr>
      </w:pPr>
      <w:r>
        <w:rPr>
          <w:rFonts w:ascii="Times New Roman" w:hAnsi="Times New Roman"/>
        </w:rPr>
        <w:t>在对大气环境的影响中，运输车辆引起的扬尘影响最大、时间较长，其影响程度因施工场地内路面破坏、泥土裸露而加重，一般扬尘量与汽车速度、汽车重量、道路表面积尘量成比例关系，据有关方面的研究，当汽车运送土方时，行车道路两侧的扬尘短期浓度可达8~10mg/m</w:t>
      </w:r>
      <w:r>
        <w:rPr>
          <w:rFonts w:ascii="Times New Roman" w:hAnsi="Times New Roman"/>
          <w:vertAlign w:val="superscript"/>
        </w:rPr>
        <w:t>3</w:t>
      </w:r>
      <w:r>
        <w:rPr>
          <w:rFonts w:ascii="Times New Roman" w:hAnsi="Times New Roman"/>
        </w:rPr>
        <w:t>。但是，道路扬尘浓度随距离增加迅速下降，扬尘下风向200米处的浓度几乎接近上风向对照点的浓度。据对同类工程的比较分析，车辆运输产生的二次扬尘对项目周边运输路线二侧居民会造成一定影响。</w:t>
      </w:r>
    </w:p>
    <w:p>
      <w:pPr>
        <w:pStyle w:val="534"/>
        <w:spacing w:line="360" w:lineRule="auto"/>
        <w:ind w:firstLine="482"/>
        <w:rPr>
          <w:rFonts w:ascii="Times New Roman" w:hAnsi="Times New Roman"/>
          <w:b/>
          <w:bCs/>
        </w:rPr>
      </w:pPr>
      <w:r>
        <w:rPr>
          <w:rFonts w:ascii="Times New Roman" w:hAnsi="Times New Roman"/>
          <w:b/>
          <w:bCs/>
        </w:rPr>
        <w:t>（3）运输车辆和施工机械运行过程中排放的尾气</w:t>
      </w:r>
    </w:p>
    <w:p>
      <w:pPr>
        <w:pStyle w:val="534"/>
        <w:spacing w:line="360" w:lineRule="auto"/>
        <w:ind w:firstLine="480"/>
        <w:rPr>
          <w:rFonts w:ascii="Times New Roman" w:hAnsi="Times New Roman"/>
        </w:rPr>
      </w:pPr>
      <w:r>
        <w:rPr>
          <w:rFonts w:ascii="Times New Roman" w:hAnsi="Times New Roman"/>
        </w:rPr>
        <w:t>其主要污染物是未完全燃烧的C</w:t>
      </w:r>
      <w:r>
        <w:rPr>
          <w:rFonts w:ascii="Times New Roman" w:hAnsi="Times New Roman"/>
          <w:vertAlign w:val="subscript"/>
        </w:rPr>
        <w:t>m</w:t>
      </w:r>
      <w:r>
        <w:rPr>
          <w:rFonts w:ascii="Times New Roman" w:hAnsi="Times New Roman"/>
        </w:rPr>
        <w:t>H</w:t>
      </w:r>
      <w:r>
        <w:rPr>
          <w:rFonts w:ascii="Times New Roman" w:hAnsi="Times New Roman"/>
          <w:vertAlign w:val="subscript"/>
        </w:rPr>
        <w:t>n</w:t>
      </w:r>
      <w:r>
        <w:rPr>
          <w:rFonts w:ascii="Times New Roman" w:hAnsi="Times New Roman"/>
        </w:rPr>
        <w:t>和CO、NO</w:t>
      </w:r>
      <w:r>
        <w:rPr>
          <w:rFonts w:ascii="Times New Roman" w:hAnsi="Times New Roman"/>
          <w:vertAlign w:val="subscript"/>
        </w:rPr>
        <w:t>x</w:t>
      </w:r>
      <w:r>
        <w:rPr>
          <w:rFonts w:ascii="Times New Roman" w:hAnsi="Times New Roman"/>
        </w:rPr>
        <w:t>等，其特点是产生量较小，属间歇式、分散式排放。本项目工程量小，施工机械、车辆少，施工车辆尾气很少，本次评价不定量分析。</w:t>
      </w:r>
    </w:p>
    <w:bookmarkEnd w:id="279"/>
    <w:p>
      <w:pPr>
        <w:pStyle w:val="114"/>
        <w:ind w:firstLine="482"/>
        <w:rPr>
          <w:b/>
          <w:bCs/>
        </w:rPr>
      </w:pPr>
      <w:r>
        <w:rPr>
          <w:b/>
          <w:bCs/>
        </w:rPr>
        <w:t>2、防治措施</w:t>
      </w:r>
    </w:p>
    <w:p>
      <w:pPr>
        <w:pStyle w:val="114"/>
        <w:ind w:firstLine="480"/>
      </w:pPr>
      <w:r>
        <w:t>本项目在施工建设中应严格按照《四川省〈中华人民共和国大气污染防治法〉实施办法》等相关扬尘防治管理规定进行施工建设，最大程度减少大气污染物产生的环境污染。针对本项目特点和区域特征，本项目施工期的具体大气污染物治理措施如下：</w:t>
      </w:r>
    </w:p>
    <w:p>
      <w:pPr>
        <w:pStyle w:val="114"/>
        <w:ind w:firstLine="480"/>
      </w:pPr>
      <w:r>
        <w:t>①施工期间，大风天禁止施工作业；</w:t>
      </w:r>
    </w:p>
    <w:p>
      <w:pPr>
        <w:pStyle w:val="114"/>
        <w:ind w:firstLine="480"/>
      </w:pPr>
      <w:r>
        <w:t>②散体材料装卸必须采取防风遮挡等降尘措施；</w:t>
      </w:r>
    </w:p>
    <w:p>
      <w:pPr>
        <w:pStyle w:val="114"/>
        <w:ind w:firstLine="480"/>
      </w:pPr>
      <w:r>
        <w:t>③定期对作业面和土堆洒水，使其保持一定湿度，降低施工期的粉尘散发量；</w:t>
      </w:r>
    </w:p>
    <w:p>
      <w:pPr>
        <w:pStyle w:val="114"/>
        <w:ind w:firstLine="480"/>
      </w:pPr>
      <w:r>
        <w:t>④对施工临时堆放的土方，应采取防护措施，如加盖防尘网、喷淋保湿等，防止扬尘污染；</w:t>
      </w:r>
    </w:p>
    <w:p>
      <w:pPr>
        <w:pStyle w:val="114"/>
        <w:ind w:firstLine="480"/>
      </w:pPr>
      <w:r>
        <w:t>⑤施工场地进行打围和封闭，采取边坡防护等措施；</w:t>
      </w:r>
    </w:p>
    <w:p>
      <w:pPr>
        <w:pStyle w:val="114"/>
        <w:ind w:firstLine="480"/>
      </w:pPr>
      <w:r>
        <w:t>⑥施工单位应严格落实本环评提出各项降尘措施。</w:t>
      </w:r>
    </w:p>
    <w:p>
      <w:pPr>
        <w:pStyle w:val="114"/>
        <w:ind w:firstLine="480"/>
      </w:pPr>
      <w:r>
        <w:t>通过采取以上措施后，可有效减少施工扬尘、燃油尾气及放空废气对周围环境的影响。</w:t>
      </w:r>
    </w:p>
    <w:p>
      <w:pPr>
        <w:ind w:firstLine="482"/>
        <w:rPr>
          <w:rFonts w:ascii="Times New Roman" w:cs="Times New Roman"/>
          <w:b/>
          <w:bCs/>
        </w:rPr>
      </w:pPr>
      <w:bookmarkStart w:id="280" w:name="OLE_LINK189"/>
      <w:r>
        <w:rPr>
          <w:rFonts w:ascii="Times New Roman" w:cs="Times New Roman"/>
          <w:b/>
          <w:bCs/>
        </w:rPr>
        <w:t>（6）</w:t>
      </w:r>
      <w:bookmarkStart w:id="281" w:name="OLE_LINK267"/>
      <w:bookmarkStart w:id="282" w:name="OLE_LINK268"/>
      <w:r>
        <w:rPr>
          <w:rFonts w:ascii="Times New Roman" w:cs="Times New Roman"/>
          <w:b/>
          <w:bCs/>
        </w:rPr>
        <w:t>气体钻粉尘</w:t>
      </w:r>
      <w:bookmarkEnd w:id="281"/>
      <w:bookmarkEnd w:id="282"/>
    </w:p>
    <w:p>
      <w:pPr>
        <w:pStyle w:val="114"/>
        <w:ind w:firstLine="480"/>
      </w:pPr>
      <w:r>
        <w:t>钻井过程</w:t>
      </w:r>
      <w:bookmarkEnd w:id="280"/>
      <w:r>
        <w:t>中，使用气体钻时会返出一定量的粉尘，从而导致周围空气粉尘量增加。本项目在气体钻的排屑管处喷淋降尘，同时产生的污水及泥砂进入污水及清洁化操作平台。由于产生的粉尘量小，因此对周围环境影响较小。</w:t>
      </w:r>
    </w:p>
    <w:p>
      <w:pPr>
        <w:ind w:firstLine="482"/>
        <w:rPr>
          <w:rFonts w:ascii="Times New Roman" w:cs="Times New Roman"/>
          <w:b/>
          <w:bCs/>
        </w:rPr>
      </w:pPr>
      <w:r>
        <w:rPr>
          <w:rFonts w:ascii="Times New Roman" w:cs="Times New Roman"/>
          <w:b/>
          <w:bCs/>
        </w:rPr>
        <w:t>（7）测试放喷废气</w:t>
      </w:r>
    </w:p>
    <w:p>
      <w:pPr>
        <w:pStyle w:val="114"/>
        <w:ind w:firstLine="480"/>
      </w:pPr>
      <w:r>
        <w:t>测试放喷的天然气经专用放喷管线引至放喷池后点火燃烧，单井测试放喷时间约1d～2d，依据测试气量，间歇放喷，每次持续放喷时间约4h～6h，废气排放属不连续排放。测试放喷的天然气经点火燃烧，其主要污染物为SO</w:t>
      </w:r>
      <w:r>
        <w:rPr>
          <w:vertAlign w:val="subscript"/>
        </w:rPr>
        <w:t>2</w:t>
      </w:r>
      <w:r>
        <w:t>。根据企业提供的资料，预计本项目可能放喷的最大天然气流量为</w:t>
      </w:r>
      <w:r>
        <w:rPr>
          <w:rFonts w:hint="eastAsia"/>
          <w:bCs/>
        </w:rPr>
        <w:t>20</w:t>
      </w:r>
      <w:r>
        <w:rPr>
          <w:bCs/>
        </w:rPr>
        <w:t>×10</w:t>
      </w:r>
      <w:r>
        <w:rPr>
          <w:bCs/>
          <w:vertAlign w:val="superscript"/>
        </w:rPr>
        <w:t>4</w:t>
      </w:r>
      <w:r>
        <w:rPr>
          <w:bCs/>
        </w:rPr>
        <w:t>m</w:t>
      </w:r>
      <w:r>
        <w:rPr>
          <w:bCs/>
          <w:vertAlign w:val="superscript"/>
        </w:rPr>
        <w:t>3</w:t>
      </w:r>
      <w:r>
        <w:rPr>
          <w:bCs/>
        </w:rPr>
        <w:t>/d</w:t>
      </w:r>
      <w:r>
        <w:t>（</w:t>
      </w:r>
      <w:r>
        <w:rPr>
          <w:rFonts w:hint="eastAsia"/>
        </w:rPr>
        <w:t>9.26</w:t>
      </w:r>
      <w:r>
        <w:t>m</w:t>
      </w:r>
      <w:r>
        <w:rPr>
          <w:vertAlign w:val="superscript"/>
        </w:rPr>
        <w:t>3</w:t>
      </w:r>
      <w:r>
        <w:t>/s），H</w:t>
      </w:r>
      <w:r>
        <w:rPr>
          <w:vertAlign w:val="subscript"/>
        </w:rPr>
        <w:t>2</w:t>
      </w:r>
      <w:r>
        <w:t>S含量11.54</w:t>
      </w:r>
      <w:r>
        <w:rPr>
          <w:bCs/>
        </w:rPr>
        <w:t>%</w:t>
      </w:r>
      <w:r>
        <w:t>，排放速率为</w:t>
      </w:r>
      <w:r>
        <w:rPr>
          <w:rFonts w:hint="eastAsia"/>
        </w:rPr>
        <w:t>1.21</w:t>
      </w:r>
      <w:r>
        <w:t>kg/s，天然气经放喷管线外输至放喷池点燃，燃烧1m</w:t>
      </w:r>
      <w:r>
        <w:rPr>
          <w:vertAlign w:val="superscript"/>
        </w:rPr>
        <w:t>3</w:t>
      </w:r>
      <w:r>
        <w:t>天然气产生烟气量约为13.6m</w:t>
      </w:r>
      <w:r>
        <w:rPr>
          <w:vertAlign w:val="superscript"/>
        </w:rPr>
        <w:t>3</w:t>
      </w:r>
      <w:r>
        <w:t>，则</w:t>
      </w:r>
      <w:bookmarkStart w:id="283" w:name="OLE_LINK273"/>
      <w:bookmarkStart w:id="284" w:name="OLE_LINK274"/>
      <w:r>
        <w:t>SO</w:t>
      </w:r>
      <w:r>
        <w:rPr>
          <w:vertAlign w:val="subscript"/>
        </w:rPr>
        <w:t>2</w:t>
      </w:r>
      <w:r>
        <w:t>排放速率为</w:t>
      </w:r>
      <w:r>
        <w:rPr>
          <w:rFonts w:hint="eastAsia"/>
        </w:rPr>
        <w:t>2.28</w:t>
      </w:r>
      <w:r>
        <w:t>kg/s，烟气量</w:t>
      </w:r>
      <w:bookmarkStart w:id="285" w:name="OLE_LINK272"/>
      <w:bookmarkStart w:id="286" w:name="OLE_LINK271"/>
      <w:r>
        <w:rPr>
          <w:rFonts w:hint="eastAsia"/>
        </w:rPr>
        <w:t>45.34</w:t>
      </w:r>
      <w:r>
        <w:rPr>
          <w:bCs/>
        </w:rPr>
        <w:t>×10</w:t>
      </w:r>
      <w:r>
        <w:rPr>
          <w:bCs/>
          <w:vertAlign w:val="superscript"/>
        </w:rPr>
        <w:t>4</w:t>
      </w:r>
      <w:r>
        <w:t>m</w:t>
      </w:r>
      <w:r>
        <w:rPr>
          <w:vertAlign w:val="superscript"/>
        </w:rPr>
        <w:t>3</w:t>
      </w:r>
      <w:r>
        <w:t>/h</w:t>
      </w:r>
      <w:bookmarkEnd w:id="283"/>
      <w:bookmarkEnd w:id="284"/>
      <w:bookmarkEnd w:id="285"/>
      <w:bookmarkEnd w:id="286"/>
      <w:r>
        <w:t>。项目预计每天测试放喷1次，每次放喷6h，共放喷2d。</w:t>
      </w:r>
    </w:p>
    <w:p>
      <w:pPr>
        <w:pStyle w:val="4"/>
        <w:rPr>
          <w:rFonts w:eastAsia="宋体"/>
        </w:rPr>
      </w:pPr>
      <w:bookmarkStart w:id="287" w:name="_Toc12288512"/>
      <w:r>
        <w:rPr>
          <w:rFonts w:eastAsia="宋体"/>
        </w:rPr>
        <w:t>4.1.5 废水</w:t>
      </w:r>
      <w:bookmarkEnd w:id="287"/>
      <w:r>
        <w:rPr>
          <w:rFonts w:eastAsia="宋体"/>
        </w:rPr>
        <w:t>产生情况及治理措施</w:t>
      </w:r>
    </w:p>
    <w:p>
      <w:pPr>
        <w:pStyle w:val="114"/>
        <w:ind w:firstLine="480"/>
      </w:pPr>
      <w:r>
        <w:t>井场施工</w:t>
      </w:r>
      <w:bookmarkStart w:id="288" w:name="OLE_LINK195"/>
      <w:bookmarkStart w:id="289" w:name="OLE_LINK194"/>
      <w:r>
        <w:t>、</w:t>
      </w:r>
      <w:bookmarkStart w:id="290" w:name="OLE_LINK198"/>
      <w:bookmarkStart w:id="291" w:name="OLE_LINK199"/>
      <w:r>
        <w:t>钻井</w:t>
      </w:r>
      <w:bookmarkEnd w:id="288"/>
      <w:bookmarkEnd w:id="289"/>
      <w:r>
        <w:t>施工</w:t>
      </w:r>
      <w:bookmarkEnd w:id="290"/>
      <w:bookmarkEnd w:id="291"/>
      <w:r>
        <w:t>废水主要来自施工人员在施工作业中产生的生活污水、井场施工废水、初期雨水、钻井废水、压裂、洗井废水。</w:t>
      </w:r>
    </w:p>
    <w:p>
      <w:pPr>
        <w:pStyle w:val="114"/>
        <w:ind w:firstLine="482"/>
        <w:rPr>
          <w:b/>
          <w:bCs/>
        </w:rPr>
      </w:pPr>
      <w:r>
        <w:rPr>
          <w:b/>
          <w:bCs/>
        </w:rPr>
        <w:t>1、人员生活污水</w:t>
      </w:r>
    </w:p>
    <w:p>
      <w:pPr>
        <w:pStyle w:val="114"/>
        <w:ind w:firstLine="480"/>
      </w:pPr>
      <w:r>
        <w:t>站场施工和钻井施工时，施工人员生活污水的主要污染物主要为pH、SS、COD和BOD</w:t>
      </w:r>
      <w:r>
        <w:rPr>
          <w:vertAlign w:val="subscript"/>
        </w:rPr>
        <w:t>5</w:t>
      </w:r>
      <w:r>
        <w:t>等，施工期生活污水量按以下公式计算：</w:t>
      </w:r>
    </w:p>
    <w:p>
      <w:pPr>
        <w:pStyle w:val="114"/>
        <w:ind w:firstLine="0" w:firstLineChars="0"/>
        <w:jc w:val="center"/>
      </w:pPr>
      <w:r>
        <w:t>Qs=（k•q</w:t>
      </w:r>
      <w:r>
        <w:rPr>
          <w:vertAlign w:val="subscript"/>
        </w:rPr>
        <w:t>1</w:t>
      </w:r>
      <w:r>
        <w:t>）/1000</w:t>
      </w:r>
    </w:p>
    <w:p>
      <w:pPr>
        <w:pStyle w:val="114"/>
        <w:ind w:firstLine="480"/>
      </w:pPr>
      <w:r>
        <w:t>式中：</w:t>
      </w:r>
    </w:p>
    <w:p>
      <w:pPr>
        <w:pStyle w:val="114"/>
        <w:ind w:firstLine="1200" w:firstLineChars="500"/>
      </w:pPr>
      <w:r>
        <w:t>Qs—每人每天生活污水排放量（t/人·d）；</w:t>
      </w:r>
    </w:p>
    <w:p>
      <w:pPr>
        <w:pStyle w:val="114"/>
        <w:ind w:firstLine="1200" w:firstLineChars="500"/>
      </w:pPr>
      <w:r>
        <w:t>k—生活污水排放系数，一般为0.6～0.9，取k=0.9；</w:t>
      </w:r>
    </w:p>
    <w:p>
      <w:pPr>
        <w:pStyle w:val="114"/>
        <w:ind w:firstLine="1200" w:firstLineChars="500"/>
      </w:pPr>
      <w:r>
        <w:t>q1—每人每天生活用水量定额，L/（人·d），取q1=80L/（人·d）。</w:t>
      </w:r>
    </w:p>
    <w:p>
      <w:pPr>
        <w:pStyle w:val="114"/>
        <w:ind w:firstLine="480"/>
      </w:pPr>
      <w:r>
        <w:t>项目施工人员主要为当地劳动力，站场施工人员数量</w:t>
      </w:r>
      <w:bookmarkStart w:id="292" w:name="OLE_LINK200"/>
      <w:r>
        <w:t>按20人</w:t>
      </w:r>
      <w:bookmarkEnd w:id="292"/>
      <w:r>
        <w:t>计，</w:t>
      </w:r>
      <w:bookmarkStart w:id="293" w:name="OLE_LINK202"/>
      <w:bookmarkStart w:id="294" w:name="OLE_LINK203"/>
      <w:r>
        <w:t>则站场施工生活污水产生量约20×80L/（人·d）=1.6m</w:t>
      </w:r>
      <w:r>
        <w:rPr>
          <w:vertAlign w:val="superscript"/>
        </w:rPr>
        <w:t>3</w:t>
      </w:r>
      <w:r>
        <w:t>/d，站场</w:t>
      </w:r>
      <w:r>
        <w:rPr>
          <w:szCs w:val="24"/>
        </w:rPr>
        <w:t>施工期废水产生量约为48m</w:t>
      </w:r>
      <w:r>
        <w:rPr>
          <w:szCs w:val="24"/>
          <w:vertAlign w:val="superscript"/>
        </w:rPr>
        <w:t>3</w:t>
      </w:r>
      <w:bookmarkEnd w:id="293"/>
      <w:bookmarkEnd w:id="294"/>
      <w:r>
        <w:rPr>
          <w:szCs w:val="24"/>
        </w:rPr>
        <w:t>；</w:t>
      </w:r>
      <w:bookmarkStart w:id="295" w:name="OLE_LINK204"/>
      <w:bookmarkStart w:id="296" w:name="_Hlk105534660"/>
      <w:bookmarkStart w:id="297" w:name="OLE_LINK206"/>
      <w:bookmarkStart w:id="298" w:name="OLE_LINK205"/>
      <w:r>
        <w:t>钻井</w:t>
      </w:r>
      <w:bookmarkEnd w:id="295"/>
      <w:bookmarkEnd w:id="296"/>
      <w:r>
        <w:t>及试采施工</w:t>
      </w:r>
      <w:bookmarkEnd w:id="297"/>
      <w:bookmarkEnd w:id="298"/>
      <w:r>
        <w:t>人数均按50人计，则钻井施工生活污水产生量约50×80L/（人·d）=4m</w:t>
      </w:r>
      <w:r>
        <w:rPr>
          <w:vertAlign w:val="superscript"/>
        </w:rPr>
        <w:t>3</w:t>
      </w:r>
      <w:r>
        <w:t>/d，钻井及试采</w:t>
      </w:r>
      <w:r>
        <w:rPr>
          <w:szCs w:val="24"/>
        </w:rPr>
        <w:t>施工期废水产生量约为</w:t>
      </w:r>
      <w:bookmarkStart w:id="299" w:name="OLE_LINK278"/>
      <w:bookmarkStart w:id="300" w:name="OLE_LINK277"/>
      <w:r>
        <w:rPr>
          <w:szCs w:val="24"/>
        </w:rPr>
        <w:t>1040m</w:t>
      </w:r>
      <w:r>
        <w:rPr>
          <w:szCs w:val="24"/>
          <w:vertAlign w:val="superscript"/>
        </w:rPr>
        <w:t>3</w:t>
      </w:r>
      <w:bookmarkEnd w:id="299"/>
      <w:bookmarkEnd w:id="300"/>
      <w:r>
        <w:t>，施工期生活污水共计1088m</w:t>
      </w:r>
      <w:r>
        <w:rPr>
          <w:vertAlign w:val="superscript"/>
        </w:rPr>
        <w:t>3</w:t>
      </w:r>
      <w:r>
        <w:t>。</w:t>
      </w:r>
    </w:p>
    <w:p>
      <w:pPr>
        <w:pStyle w:val="114"/>
        <w:ind w:firstLine="480"/>
      </w:pPr>
      <w:r>
        <w:t>施工期生活污水的水质指标浓度见下表所示：</w:t>
      </w:r>
    </w:p>
    <w:p>
      <w:pPr>
        <w:pStyle w:val="39"/>
        <w:rPr>
          <w:rFonts w:cs="Times New Roman"/>
        </w:rPr>
      </w:pPr>
      <w:r>
        <w:rPr>
          <w:rFonts w:cs="Times New Roman"/>
        </w:rPr>
        <w:t>表4.1-7  施工期生活污水成分及浓度表   单位：mg/L</w:t>
      </w:r>
    </w:p>
    <w:tbl>
      <w:tblPr>
        <w:tblStyle w:val="59"/>
        <w:tblW w:w="4850" w:type="pct"/>
        <w:jc w:val="center"/>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579"/>
        <w:gridCol w:w="1132"/>
        <w:gridCol w:w="1054"/>
        <w:gridCol w:w="1356"/>
        <w:gridCol w:w="1221"/>
        <w:gridCol w:w="1003"/>
        <w:gridCol w:w="1389"/>
      </w:tblGrid>
      <w:tr>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517" w:type="dxa"/>
            <w:vAlign w:val="center"/>
          </w:tcPr>
          <w:p>
            <w:pPr>
              <w:pStyle w:val="134"/>
              <w:rPr>
                <w:b/>
                <w:bCs/>
              </w:rPr>
            </w:pPr>
            <w:r>
              <w:rPr>
                <w:b/>
                <w:bCs/>
              </w:rPr>
              <w:t>污染物</w:t>
            </w:r>
          </w:p>
        </w:tc>
        <w:tc>
          <w:tcPr>
            <w:tcW w:w="1087" w:type="dxa"/>
            <w:vAlign w:val="center"/>
          </w:tcPr>
          <w:p>
            <w:pPr>
              <w:pStyle w:val="134"/>
              <w:rPr>
                <w:b/>
                <w:bCs/>
              </w:rPr>
            </w:pPr>
            <w:r>
              <w:rPr>
                <w:b/>
                <w:bCs/>
              </w:rPr>
              <w:t>COD</w:t>
            </w:r>
          </w:p>
        </w:tc>
        <w:tc>
          <w:tcPr>
            <w:tcW w:w="1012" w:type="dxa"/>
            <w:vAlign w:val="center"/>
          </w:tcPr>
          <w:p>
            <w:pPr>
              <w:pStyle w:val="134"/>
              <w:rPr>
                <w:b/>
                <w:bCs/>
              </w:rPr>
            </w:pPr>
            <w:r>
              <w:rPr>
                <w:b/>
                <w:bCs/>
              </w:rPr>
              <w:t>BOD</w:t>
            </w:r>
            <w:r>
              <w:rPr>
                <w:b/>
                <w:bCs/>
                <w:vertAlign w:val="subscript"/>
              </w:rPr>
              <w:t>5</w:t>
            </w:r>
          </w:p>
        </w:tc>
        <w:tc>
          <w:tcPr>
            <w:tcW w:w="1302" w:type="dxa"/>
            <w:vAlign w:val="center"/>
          </w:tcPr>
          <w:p>
            <w:pPr>
              <w:pStyle w:val="134"/>
              <w:rPr>
                <w:b/>
                <w:bCs/>
              </w:rPr>
            </w:pPr>
            <w:r>
              <w:rPr>
                <w:b/>
                <w:bCs/>
              </w:rPr>
              <w:t>氨氮</w:t>
            </w:r>
          </w:p>
        </w:tc>
        <w:tc>
          <w:tcPr>
            <w:tcW w:w="1173" w:type="dxa"/>
            <w:vAlign w:val="center"/>
          </w:tcPr>
          <w:p>
            <w:pPr>
              <w:pStyle w:val="134"/>
              <w:rPr>
                <w:b/>
                <w:bCs/>
              </w:rPr>
            </w:pPr>
            <w:r>
              <w:rPr>
                <w:b/>
                <w:bCs/>
              </w:rPr>
              <w:t>SS</w:t>
            </w:r>
          </w:p>
        </w:tc>
        <w:tc>
          <w:tcPr>
            <w:tcW w:w="963" w:type="dxa"/>
            <w:vAlign w:val="center"/>
          </w:tcPr>
          <w:p>
            <w:pPr>
              <w:pStyle w:val="134"/>
              <w:rPr>
                <w:b/>
                <w:bCs/>
              </w:rPr>
            </w:pPr>
            <w:r>
              <w:rPr>
                <w:b/>
                <w:bCs/>
              </w:rPr>
              <w:t>石油类</w:t>
            </w:r>
          </w:p>
        </w:tc>
        <w:tc>
          <w:tcPr>
            <w:tcW w:w="1334" w:type="dxa"/>
            <w:vAlign w:val="center"/>
          </w:tcPr>
          <w:p>
            <w:pPr>
              <w:pStyle w:val="134"/>
              <w:rPr>
                <w:b/>
                <w:bCs/>
              </w:rPr>
            </w:pPr>
            <w:r>
              <w:rPr>
                <w:b/>
                <w:bCs/>
              </w:rPr>
              <w:t>动植物油</w:t>
            </w:r>
          </w:p>
        </w:tc>
      </w:tr>
      <w:tr>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517" w:type="dxa"/>
            <w:vAlign w:val="center"/>
          </w:tcPr>
          <w:p>
            <w:pPr>
              <w:pStyle w:val="134"/>
            </w:pPr>
            <w:r>
              <w:t>浓度（mg/L）</w:t>
            </w:r>
          </w:p>
        </w:tc>
        <w:tc>
          <w:tcPr>
            <w:tcW w:w="1087" w:type="dxa"/>
            <w:vAlign w:val="center"/>
          </w:tcPr>
          <w:p>
            <w:pPr>
              <w:pStyle w:val="134"/>
            </w:pPr>
            <w:r>
              <w:t>300</w:t>
            </w:r>
          </w:p>
        </w:tc>
        <w:tc>
          <w:tcPr>
            <w:tcW w:w="1012" w:type="dxa"/>
            <w:vAlign w:val="center"/>
          </w:tcPr>
          <w:p>
            <w:pPr>
              <w:pStyle w:val="134"/>
            </w:pPr>
            <w:r>
              <w:t>250</w:t>
            </w:r>
          </w:p>
        </w:tc>
        <w:tc>
          <w:tcPr>
            <w:tcW w:w="1302" w:type="dxa"/>
            <w:vAlign w:val="center"/>
          </w:tcPr>
          <w:p>
            <w:pPr>
              <w:pStyle w:val="134"/>
            </w:pPr>
            <w:r>
              <w:t>35</w:t>
            </w:r>
          </w:p>
        </w:tc>
        <w:tc>
          <w:tcPr>
            <w:tcW w:w="1173" w:type="dxa"/>
            <w:vAlign w:val="center"/>
          </w:tcPr>
          <w:p>
            <w:pPr>
              <w:pStyle w:val="134"/>
            </w:pPr>
            <w:r>
              <w:t>200</w:t>
            </w:r>
          </w:p>
        </w:tc>
        <w:tc>
          <w:tcPr>
            <w:tcW w:w="963" w:type="dxa"/>
            <w:vAlign w:val="center"/>
          </w:tcPr>
          <w:p>
            <w:pPr>
              <w:pStyle w:val="134"/>
            </w:pPr>
            <w:r>
              <w:t>5</w:t>
            </w:r>
          </w:p>
        </w:tc>
        <w:tc>
          <w:tcPr>
            <w:tcW w:w="1334" w:type="dxa"/>
            <w:vAlign w:val="center"/>
          </w:tcPr>
          <w:p>
            <w:pPr>
              <w:pStyle w:val="134"/>
            </w:pPr>
            <w:r>
              <w:t>30</w:t>
            </w:r>
          </w:p>
        </w:tc>
      </w:tr>
    </w:tbl>
    <w:p>
      <w:pPr>
        <w:pStyle w:val="114"/>
        <w:ind w:firstLine="480"/>
      </w:pPr>
      <w:r>
        <w:t>项目不设置施工营地，井场施工、钻井</w:t>
      </w:r>
      <w:r>
        <w:rPr>
          <w:spacing w:val="-8"/>
          <w:szCs w:val="21"/>
        </w:rPr>
        <w:t>施工</w:t>
      </w:r>
      <w:r>
        <w:rPr>
          <w:rFonts w:hint="eastAsia"/>
          <w:spacing w:val="-8"/>
          <w:szCs w:val="21"/>
          <w:lang w:eastAsia="zh-CN"/>
        </w:rPr>
        <w:t>人员</w:t>
      </w:r>
      <w:r>
        <w:rPr>
          <w:spacing w:val="-8"/>
          <w:szCs w:val="21"/>
        </w:rPr>
        <w:t>生活污水依托经</w:t>
      </w:r>
      <w:r>
        <w:rPr>
          <w:bCs/>
          <w:spacing w:val="-8"/>
          <w:szCs w:val="21"/>
        </w:rPr>
        <w:t>生态环保厕所收集处理</w:t>
      </w:r>
      <w:r>
        <w:t>后，用作周边农肥，不外排；员工洗澡、食堂废水经单独收集后拉运至普光镇场镇污水处理厂处理。</w:t>
      </w:r>
    </w:p>
    <w:p>
      <w:pPr>
        <w:pStyle w:val="114"/>
        <w:ind w:firstLine="482"/>
        <w:rPr>
          <w:b/>
        </w:rPr>
      </w:pPr>
      <w:r>
        <w:rPr>
          <w:b/>
        </w:rPr>
        <w:t>3、井场施工废水</w:t>
      </w:r>
    </w:p>
    <w:p>
      <w:pPr>
        <w:pStyle w:val="114"/>
        <w:ind w:firstLine="480"/>
      </w:pPr>
      <w:r>
        <w:t>井场基础建设产生的施工废水，主要来自砂石骨料加工、混凝土搅拌及养护等过程，废水经沉淀处理后循环使用，不外排。</w:t>
      </w:r>
    </w:p>
    <w:p>
      <w:pPr>
        <w:pStyle w:val="6"/>
        <w:ind w:firstLine="482"/>
        <w:rPr>
          <w:rFonts w:ascii="Times New Roman" w:cs="Times New Roman"/>
          <w:b/>
          <w:bCs/>
        </w:rPr>
      </w:pPr>
      <w:bookmarkStart w:id="301" w:name="OLE_LINK214"/>
      <w:bookmarkStart w:id="302" w:name="OLE_LINK213"/>
      <w:r>
        <w:rPr>
          <w:rFonts w:ascii="Times New Roman" w:cs="Times New Roman"/>
          <w:b/>
          <w:bCs/>
        </w:rPr>
        <w:t>4、初期雨水</w:t>
      </w:r>
    </w:p>
    <w:p>
      <w:pPr>
        <w:pStyle w:val="553"/>
        <w:spacing w:line="360" w:lineRule="auto"/>
        <w:ind w:firstLine="480"/>
        <w:rPr>
          <w:rFonts w:ascii="Times New Roman" w:hAnsi="Times New Roman"/>
        </w:rPr>
      </w:pPr>
      <w:r>
        <w:rPr>
          <w:rFonts w:ascii="Times New Roman" w:hAnsi="Times New Roman"/>
        </w:rPr>
        <w:t>初</w:t>
      </w:r>
      <w:bookmarkEnd w:id="301"/>
      <w:bookmarkEnd w:id="302"/>
      <w:r>
        <w:rPr>
          <w:rFonts w:ascii="Times New Roman" w:hAnsi="Times New Roman"/>
        </w:rPr>
        <w:t>期雨水量按照如下公示计算：</w:t>
      </w:r>
    </w:p>
    <w:p>
      <w:pPr>
        <w:pStyle w:val="553"/>
        <w:spacing w:line="360" w:lineRule="auto"/>
        <w:ind w:firstLine="0" w:firstLineChars="0"/>
        <w:jc w:val="center"/>
        <w:rPr>
          <w:rFonts w:ascii="Times New Roman" w:hAnsi="Times New Roman"/>
        </w:rPr>
      </w:pPr>
      <w:r>
        <w:rPr>
          <w:rFonts w:ascii="Times New Roman" w:hAnsi="Times New Roman"/>
        </w:rPr>
        <w:t>V=q×ψ×F×t×60÷1000</w:t>
      </w:r>
    </w:p>
    <w:p>
      <w:pPr>
        <w:pStyle w:val="553"/>
        <w:spacing w:line="360" w:lineRule="auto"/>
        <w:ind w:firstLine="480"/>
        <w:rPr>
          <w:rFonts w:ascii="Times New Roman" w:hAnsi="Times New Roman"/>
        </w:rPr>
      </w:pPr>
      <w:r>
        <w:rPr>
          <w:rFonts w:ascii="Times New Roman" w:hAnsi="Times New Roman"/>
        </w:rPr>
        <w:t>式中：V-初期雨水最大量，m</w:t>
      </w:r>
      <w:r>
        <w:rPr>
          <w:rFonts w:ascii="Times New Roman" w:hAnsi="Times New Roman"/>
          <w:vertAlign w:val="superscript"/>
        </w:rPr>
        <w:t>3</w:t>
      </w:r>
      <w:r>
        <w:rPr>
          <w:rFonts w:ascii="Times New Roman" w:hAnsi="Times New Roman"/>
        </w:rPr>
        <w:t>；</w:t>
      </w:r>
    </w:p>
    <w:p>
      <w:pPr>
        <w:pStyle w:val="553"/>
        <w:spacing w:line="360" w:lineRule="auto"/>
        <w:ind w:firstLine="480"/>
        <w:rPr>
          <w:rFonts w:ascii="Times New Roman" w:hAnsi="Times New Roman"/>
        </w:rPr>
      </w:pPr>
      <w:r>
        <w:rPr>
          <w:rFonts w:ascii="Times New Roman" w:hAnsi="Times New Roman"/>
        </w:rPr>
        <w:t xml:space="preserve">      t-降雨历时，min；</w:t>
      </w:r>
    </w:p>
    <w:p>
      <w:pPr>
        <w:pStyle w:val="553"/>
        <w:spacing w:line="360" w:lineRule="auto"/>
        <w:ind w:firstLine="1200" w:firstLineChars="500"/>
        <w:rPr>
          <w:rFonts w:ascii="Times New Roman" w:hAnsi="Times New Roman"/>
        </w:rPr>
      </w:pPr>
      <w:r>
        <w:rPr>
          <w:rFonts w:ascii="Times New Roman" w:hAnsi="Times New Roman"/>
        </w:rPr>
        <w:t>ψ-径流系数，取0.85；</w:t>
      </w:r>
    </w:p>
    <w:p>
      <w:pPr>
        <w:pStyle w:val="553"/>
        <w:spacing w:line="360" w:lineRule="auto"/>
        <w:ind w:firstLine="1200" w:firstLineChars="500"/>
        <w:rPr>
          <w:rFonts w:ascii="Times New Roman" w:hAnsi="Times New Roman"/>
        </w:rPr>
      </w:pPr>
      <w:r>
        <w:rPr>
          <w:rFonts w:ascii="Times New Roman" w:hAnsi="Times New Roman"/>
        </w:rPr>
        <w:t>F-汇水面积，hm</w:t>
      </w:r>
      <w:r>
        <w:rPr>
          <w:rFonts w:ascii="Times New Roman" w:hAnsi="Times New Roman"/>
          <w:vertAlign w:val="superscript"/>
        </w:rPr>
        <w:t>2</w:t>
      </w:r>
      <w:r>
        <w:rPr>
          <w:rFonts w:ascii="Times New Roman" w:hAnsi="Times New Roman"/>
        </w:rPr>
        <w:t>，本次计算泥浆循环系统区域、油罐区域、井口区域，合计5000m</w:t>
      </w:r>
      <w:r>
        <w:rPr>
          <w:rFonts w:ascii="Times New Roman" w:hAnsi="Times New Roman"/>
          <w:vertAlign w:val="superscript"/>
        </w:rPr>
        <w:t>2</w:t>
      </w:r>
      <w:r>
        <w:rPr>
          <w:rFonts w:ascii="Times New Roman" w:hAnsi="Times New Roman"/>
        </w:rPr>
        <w:t>；</w:t>
      </w:r>
    </w:p>
    <w:p>
      <w:pPr>
        <w:pStyle w:val="553"/>
        <w:spacing w:line="360" w:lineRule="auto"/>
        <w:ind w:firstLine="1200" w:firstLineChars="500"/>
        <w:rPr>
          <w:rFonts w:ascii="Times New Roman" w:hAnsi="Times New Roman"/>
        </w:rPr>
      </w:pPr>
      <w:r>
        <w:rPr>
          <w:rFonts w:ascii="Times New Roman" w:hAnsi="Times New Roman"/>
        </w:rPr>
        <w:t>q-设计暴雨强度，L/（s·hm</w:t>
      </w:r>
      <w:r>
        <w:rPr>
          <w:rFonts w:ascii="Times New Roman" w:hAnsi="Times New Roman"/>
          <w:vertAlign w:val="superscript"/>
        </w:rPr>
        <w:t>2</w:t>
      </w:r>
      <w:r>
        <w:rPr>
          <w:rFonts w:ascii="Times New Roman" w:hAnsi="Times New Roman"/>
        </w:rPr>
        <w:t>）。</w:t>
      </w:r>
    </w:p>
    <w:p>
      <w:pPr>
        <w:pStyle w:val="553"/>
        <w:spacing w:line="360" w:lineRule="auto"/>
        <w:ind w:firstLine="480"/>
        <w:rPr>
          <w:rFonts w:ascii="Times New Roman" w:hAnsi="Times New Roman"/>
        </w:rPr>
      </w:pPr>
      <w:r>
        <w:rPr>
          <w:rFonts w:ascii="Times New Roman" w:hAnsi="Times New Roman"/>
        </w:rPr>
        <w:t>设计暴雨强度采用达州市中心城区的暴雨强度公式，公式如下：</w:t>
      </w:r>
    </w:p>
    <w:p>
      <w:pPr>
        <w:pStyle w:val="553"/>
        <w:ind w:firstLine="0" w:firstLineChars="0"/>
        <w:jc w:val="center"/>
        <w:rPr>
          <w:rFonts w:ascii="Times New Roman" w:hAnsi="Times New Roman"/>
        </w:rPr>
      </w:pPr>
      <w:r>
        <w:rPr>
          <w:rFonts w:ascii="Times New Roman" w:hAnsi="Times New Roman"/>
        </w:rPr>
        <w:drawing>
          <wp:inline distT="0" distB="0" distL="0" distR="0">
            <wp:extent cx="2763520" cy="447040"/>
            <wp:effectExtent l="0" t="0" r="17780" b="101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51" cstate="print"/>
                    <a:srcRect/>
                    <a:stretch>
                      <a:fillRect/>
                    </a:stretch>
                  </pic:blipFill>
                  <pic:spPr>
                    <a:xfrm>
                      <a:off x="0" y="0"/>
                      <a:ext cx="2763520" cy="447040"/>
                    </a:xfrm>
                    <a:prstGeom prst="rect">
                      <a:avLst/>
                    </a:prstGeom>
                    <a:noFill/>
                    <a:ln w="9525">
                      <a:noFill/>
                      <a:miter lim="800000"/>
                      <a:headEnd/>
                      <a:tailEnd/>
                    </a:ln>
                  </pic:spPr>
                </pic:pic>
              </a:graphicData>
            </a:graphic>
          </wp:inline>
        </w:drawing>
      </w:r>
    </w:p>
    <w:p>
      <w:pPr>
        <w:pStyle w:val="553"/>
        <w:spacing w:line="360" w:lineRule="auto"/>
        <w:ind w:firstLine="480"/>
        <w:rPr>
          <w:rFonts w:ascii="Times New Roman" w:hAnsi="Times New Roman"/>
        </w:rPr>
      </w:pPr>
      <w:r>
        <w:rPr>
          <w:rFonts w:ascii="Times New Roman" w:hAnsi="Times New Roman"/>
        </w:rPr>
        <w:t>式中：</w:t>
      </w:r>
    </w:p>
    <w:p>
      <w:pPr>
        <w:pStyle w:val="553"/>
        <w:spacing w:line="360" w:lineRule="auto"/>
        <w:ind w:firstLine="1200" w:firstLineChars="500"/>
        <w:rPr>
          <w:rFonts w:ascii="Times New Roman" w:hAnsi="Times New Roman"/>
        </w:rPr>
      </w:pPr>
      <w:r>
        <w:rPr>
          <w:rFonts w:ascii="Times New Roman" w:hAnsi="Times New Roman"/>
        </w:rPr>
        <w:t>q-暴雨强度，L/（s·hm</w:t>
      </w:r>
      <w:r>
        <w:rPr>
          <w:rFonts w:ascii="Times New Roman" w:hAnsi="Times New Roman"/>
          <w:vertAlign w:val="superscript"/>
        </w:rPr>
        <w:t>2</w:t>
      </w:r>
      <w:r>
        <w:rPr>
          <w:rFonts w:ascii="Times New Roman" w:hAnsi="Times New Roman"/>
        </w:rPr>
        <w:t>）；</w:t>
      </w:r>
    </w:p>
    <w:p>
      <w:pPr>
        <w:pStyle w:val="553"/>
        <w:spacing w:line="360" w:lineRule="auto"/>
        <w:ind w:firstLine="480"/>
        <w:rPr>
          <w:rFonts w:ascii="Times New Roman" w:hAnsi="Times New Roman"/>
        </w:rPr>
      </w:pPr>
      <w:r>
        <w:rPr>
          <w:rFonts w:ascii="Times New Roman" w:hAnsi="Times New Roman"/>
        </w:rPr>
        <w:t xml:space="preserve">      p-设计重现期（年）：本次取值为3年；</w:t>
      </w:r>
    </w:p>
    <w:p>
      <w:pPr>
        <w:pStyle w:val="553"/>
        <w:spacing w:line="360" w:lineRule="auto"/>
        <w:ind w:firstLine="480"/>
        <w:rPr>
          <w:rFonts w:ascii="Times New Roman" w:hAnsi="Times New Roman"/>
        </w:rPr>
      </w:pPr>
      <w:r>
        <w:rPr>
          <w:rFonts w:ascii="Times New Roman" w:hAnsi="Times New Roman"/>
        </w:rPr>
        <w:t xml:space="preserve">      t-降雨历时（min）：取15min。</w:t>
      </w:r>
    </w:p>
    <w:p>
      <w:pPr>
        <w:pStyle w:val="6"/>
        <w:ind w:firstLine="480"/>
        <w:rPr>
          <w:rFonts w:ascii="Times New Roman" w:cs="Times New Roman"/>
        </w:rPr>
      </w:pPr>
      <w:r>
        <w:rPr>
          <w:rFonts w:ascii="Times New Roman" w:cs="Times New Roman"/>
        </w:rPr>
        <w:t>经计算，本项目15min初期雨水产生量为</w:t>
      </w:r>
      <w:bookmarkStart w:id="303" w:name="OLE_LINK283"/>
      <w:r>
        <w:rPr>
          <w:rFonts w:ascii="Times New Roman" w:cs="Times New Roman"/>
        </w:rPr>
        <w:t>88.9m</w:t>
      </w:r>
      <w:r>
        <w:rPr>
          <w:rFonts w:ascii="Times New Roman" w:cs="Times New Roman"/>
          <w:vertAlign w:val="superscript"/>
        </w:rPr>
        <w:t>3</w:t>
      </w:r>
      <w:bookmarkEnd w:id="303"/>
      <w:r>
        <w:rPr>
          <w:rFonts w:ascii="Times New Roman" w:cs="Times New Roman"/>
        </w:rPr>
        <w:t>。</w:t>
      </w:r>
    </w:p>
    <w:p>
      <w:pPr>
        <w:pStyle w:val="6"/>
        <w:ind w:firstLine="480"/>
        <w:rPr>
          <w:rFonts w:ascii="Times New Roman" w:cs="Times New Roman"/>
        </w:rPr>
      </w:pPr>
      <w:r>
        <w:rPr>
          <w:rFonts w:ascii="Times New Roman" w:cs="Times New Roman"/>
        </w:rPr>
        <w:t>井场内四周设排水边沟，井场雨水随四周排水边沟汇至排放口，排放口设监控池，初期雨水与钻井废水一同</w:t>
      </w:r>
      <w:r>
        <w:rPr>
          <w:rFonts w:ascii="Times New Roman" w:cs="Times New Roman"/>
          <w:spacing w:val="-8"/>
          <w:szCs w:val="21"/>
        </w:rPr>
        <w:t>经清洁化操作平台预处理后装车拉运至毛开1井回注站回注</w:t>
      </w:r>
      <w:r>
        <w:rPr>
          <w:rFonts w:ascii="Times New Roman" w:cs="Times New Roman"/>
        </w:rPr>
        <w:t>，不外排。</w:t>
      </w:r>
    </w:p>
    <w:p>
      <w:pPr>
        <w:pStyle w:val="6"/>
        <w:ind w:firstLine="482"/>
        <w:rPr>
          <w:rFonts w:ascii="Times New Roman" w:cs="Times New Roman"/>
          <w:b/>
          <w:bCs/>
        </w:rPr>
      </w:pPr>
      <w:r>
        <w:rPr>
          <w:rFonts w:ascii="Times New Roman" w:cs="Times New Roman"/>
          <w:b/>
          <w:bCs/>
        </w:rPr>
        <w:t>5、钻井废水</w:t>
      </w:r>
    </w:p>
    <w:p>
      <w:pPr>
        <w:widowControl/>
        <w:topLinePunct w:val="0"/>
        <w:snapToGrid w:val="0"/>
        <w:ind w:firstLine="480"/>
        <w:rPr>
          <w:rFonts w:ascii="Times New Roman" w:cs="Times New Roman"/>
          <w:kern w:val="2"/>
        </w:rPr>
      </w:pPr>
      <w:bookmarkStart w:id="304" w:name="OLE_LINK218"/>
      <w:bookmarkStart w:id="305" w:name="OLE_LINK217"/>
      <w:r>
        <w:rPr>
          <w:rFonts w:ascii="Times New Roman" w:cs="Times New Roman"/>
          <w:kern w:val="2"/>
        </w:rPr>
        <w:t>本项目在钻井阶段采用气体钻井和常规钻井相结合的工艺。在使用气体钻（空气或氮气）的过程中会产生一定量的粉尘，本项目通过喷淋的方式降低空气中的粉尘，喷淋所产生的废水进入清洁化操作平台处理后回用，不可回用的部分同钻井废水一同进行处理。</w:t>
      </w:r>
    </w:p>
    <w:p>
      <w:pPr>
        <w:widowControl/>
        <w:topLinePunct w:val="0"/>
        <w:snapToGrid w:val="0"/>
        <w:ind w:firstLine="480"/>
        <w:rPr>
          <w:rFonts w:ascii="Times New Roman" w:cs="Times New Roman"/>
          <w:kern w:val="2"/>
        </w:rPr>
      </w:pPr>
      <w:r>
        <w:rPr>
          <w:rFonts w:ascii="Times New Roman" w:cs="Times New Roman"/>
          <w:kern w:val="2"/>
        </w:rPr>
        <w:t>钻井作业的配浆过程中会根据泥浆的不同要求加入不等量的水，这些水随钻井液进入井底协助钻井作业，在钻井液返回地面后，大部分水随泥浆进入泥浆净化系统，小部分水随钻屑进入清洁化操作平台，经固液分离后，回收上清液用于泥浆配置，剩余废水由罐车拉运至毛开1井回注标准后回注，不外排。</w:t>
      </w:r>
    </w:p>
    <w:p>
      <w:pPr>
        <w:widowControl/>
        <w:topLinePunct w:val="0"/>
        <w:snapToGrid w:val="0"/>
        <w:ind w:firstLine="480"/>
        <w:rPr>
          <w:rFonts w:ascii="Times New Roman" w:cs="Times New Roman"/>
          <w:kern w:val="2"/>
        </w:rPr>
      </w:pPr>
      <w:r>
        <w:rPr>
          <w:rFonts w:ascii="Times New Roman" w:cs="Times New Roman"/>
          <w:kern w:val="2"/>
        </w:rPr>
        <w:t>根据普光气田钻井工程的类比分析，每米进尺产生钻井废水量为0.05m</w:t>
      </w:r>
      <w:r>
        <w:rPr>
          <w:rFonts w:ascii="Times New Roman" w:cs="Times New Roman"/>
          <w:kern w:val="2"/>
          <w:vertAlign w:val="superscript"/>
        </w:rPr>
        <w:t>3</w:t>
      </w:r>
      <w:r>
        <w:rPr>
          <w:rFonts w:ascii="Times New Roman" w:cs="Times New Roman"/>
          <w:kern w:val="2"/>
        </w:rPr>
        <w:t>。本项目P108-2H井钻井进尺</w:t>
      </w:r>
      <w:r>
        <w:rPr>
          <w:rFonts w:ascii="Times New Roman" w:cs="Times New Roman"/>
        </w:rPr>
        <w:t>5988</w:t>
      </w:r>
      <w:r>
        <w:rPr>
          <w:rFonts w:ascii="Times New Roman" w:cs="Times New Roman"/>
          <w:kern w:val="2"/>
        </w:rPr>
        <w:t>m，P108-3井钻井进尺6670m，则产生的钻井废水共为</w:t>
      </w:r>
      <w:bookmarkStart w:id="306" w:name="OLE_LINK287"/>
      <w:bookmarkStart w:id="307" w:name="OLE_LINK288"/>
      <w:r>
        <w:rPr>
          <w:rFonts w:ascii="Times New Roman" w:cs="Times New Roman"/>
          <w:kern w:val="2"/>
        </w:rPr>
        <w:t>632.9m</w:t>
      </w:r>
      <w:r>
        <w:rPr>
          <w:rFonts w:ascii="Times New Roman" w:cs="Times New Roman"/>
          <w:kern w:val="2"/>
          <w:vertAlign w:val="superscript"/>
        </w:rPr>
        <w:t>3</w:t>
      </w:r>
      <w:bookmarkEnd w:id="306"/>
      <w:bookmarkEnd w:id="307"/>
      <w:r>
        <w:rPr>
          <w:rFonts w:ascii="Times New Roman" w:cs="Times New Roman"/>
          <w:kern w:val="2"/>
        </w:rPr>
        <w:t>。</w:t>
      </w:r>
      <w:bookmarkEnd w:id="304"/>
      <w:bookmarkEnd w:id="305"/>
    </w:p>
    <w:p>
      <w:pPr>
        <w:widowControl/>
        <w:topLinePunct w:val="0"/>
        <w:snapToGrid w:val="0"/>
        <w:ind w:firstLine="480"/>
        <w:rPr>
          <w:rFonts w:ascii="Times New Roman" w:cs="Times New Roman"/>
          <w:kern w:val="2"/>
        </w:rPr>
      </w:pPr>
      <w:r>
        <w:rPr>
          <w:rFonts w:ascii="Times New Roman" w:cs="Times New Roman"/>
          <w:kern w:val="2"/>
        </w:rPr>
        <w:t>本项目钻井废水主要污染物浓度根据普光气田钻井工程钻井废水类比，钻井废水水质污染物浓度见表4.1-8。</w:t>
      </w:r>
    </w:p>
    <w:p>
      <w:pPr>
        <w:topLinePunct w:val="0"/>
        <w:snapToGrid w:val="0"/>
        <w:ind w:firstLine="482" w:firstLineChars="0"/>
        <w:jc w:val="center"/>
        <w:rPr>
          <w:rFonts w:ascii="Times New Roman" w:cs="Times New Roman"/>
          <w:b/>
          <w:kern w:val="2"/>
          <w:sz w:val="21"/>
          <w:szCs w:val="20"/>
        </w:rPr>
      </w:pPr>
      <w:bookmarkStart w:id="308" w:name="_Ref477986982"/>
      <w:r>
        <w:rPr>
          <w:rFonts w:ascii="Times New Roman" w:cs="Times New Roman"/>
          <w:b/>
          <w:kern w:val="2"/>
          <w:sz w:val="21"/>
          <w:szCs w:val="20"/>
        </w:rPr>
        <w:t>表</w:t>
      </w:r>
      <w:bookmarkEnd w:id="308"/>
      <w:r>
        <w:rPr>
          <w:rFonts w:ascii="Times New Roman" w:cs="Times New Roman"/>
          <w:b/>
          <w:kern w:val="2"/>
          <w:sz w:val="21"/>
          <w:szCs w:val="20"/>
        </w:rPr>
        <w:t>4.1-8  钻井废水综合水质污染物浓度表（单位：mg/L，pH值无量纲）</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6"/>
        <w:gridCol w:w="1502"/>
        <w:gridCol w:w="2571"/>
        <w:gridCol w:w="32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86"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污染物名称</w:t>
            </w:r>
          </w:p>
        </w:tc>
        <w:tc>
          <w:tcPr>
            <w:tcW w:w="1555"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pH</w:t>
            </w:r>
          </w:p>
        </w:tc>
        <w:tc>
          <w:tcPr>
            <w:tcW w:w="2669"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bookmarkStart w:id="309" w:name="OLE_LINK289"/>
            <w:r>
              <w:rPr>
                <w:rFonts w:ascii="Times New Roman" w:cs="Times New Roman"/>
                <w:b/>
                <w:kern w:val="2"/>
                <w:sz w:val="21"/>
                <w:szCs w:val="21"/>
              </w:rPr>
              <w:t>SS</w:t>
            </w:r>
            <w:bookmarkEnd w:id="309"/>
          </w:p>
        </w:tc>
        <w:tc>
          <w:tcPr>
            <w:tcW w:w="3350"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8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浓度</w:t>
            </w:r>
          </w:p>
        </w:tc>
        <w:tc>
          <w:tcPr>
            <w:tcW w:w="155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8.3～12.5</w:t>
            </w:r>
          </w:p>
        </w:tc>
        <w:tc>
          <w:tcPr>
            <w:tcW w:w="266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≤7500</w:t>
            </w:r>
          </w:p>
        </w:tc>
        <w:tc>
          <w:tcPr>
            <w:tcW w:w="335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≤200</w:t>
            </w:r>
          </w:p>
        </w:tc>
      </w:tr>
    </w:tbl>
    <w:p>
      <w:pPr>
        <w:widowControl/>
        <w:topLinePunct w:val="0"/>
        <w:snapToGrid w:val="0"/>
        <w:ind w:firstLine="482"/>
        <w:rPr>
          <w:rFonts w:ascii="Times New Roman" w:cs="Times New Roman"/>
          <w:b/>
          <w:kern w:val="2"/>
        </w:rPr>
      </w:pPr>
      <w:r>
        <w:rPr>
          <w:rFonts w:ascii="Times New Roman" w:cs="Times New Roman"/>
          <w:b/>
          <w:kern w:val="2"/>
        </w:rPr>
        <w:t>6、</w:t>
      </w:r>
      <w:bookmarkStart w:id="310" w:name="OLE_LINK222"/>
      <w:bookmarkStart w:id="311" w:name="OLE_LINK221"/>
      <w:bookmarkStart w:id="312" w:name="_Hlk105537178"/>
      <w:r>
        <w:rPr>
          <w:rFonts w:ascii="Times New Roman" w:cs="Times New Roman"/>
          <w:b/>
          <w:kern w:val="2"/>
        </w:rPr>
        <w:t>压裂、洗井</w:t>
      </w:r>
      <w:bookmarkEnd w:id="310"/>
      <w:bookmarkEnd w:id="311"/>
      <w:r>
        <w:rPr>
          <w:rFonts w:ascii="Times New Roman" w:cs="Times New Roman"/>
          <w:b/>
          <w:kern w:val="2"/>
        </w:rPr>
        <w:t>废水</w:t>
      </w:r>
      <w:bookmarkEnd w:id="312"/>
    </w:p>
    <w:p>
      <w:pPr>
        <w:widowControl/>
        <w:topLinePunct w:val="0"/>
        <w:snapToGrid w:val="0"/>
        <w:ind w:firstLine="480"/>
        <w:rPr>
          <w:rFonts w:ascii="Times New Roman" w:cs="Times New Roman"/>
        </w:rPr>
      </w:pPr>
      <w:r>
        <w:rPr>
          <w:rFonts w:ascii="Times New Roman" w:cs="Times New Roman"/>
          <w:kern w:val="2"/>
        </w:rPr>
        <w:t>完井工程产生的作业废水主要是压裂酸化、洗井等施工时产生的废水。本项目洗井采用清水，洗井废水产生约200m</w:t>
      </w:r>
      <w:r>
        <w:rPr>
          <w:rFonts w:ascii="Times New Roman" w:cs="Times New Roman"/>
          <w:kern w:val="2"/>
          <w:vertAlign w:val="superscript"/>
        </w:rPr>
        <w:t>3</w:t>
      </w:r>
      <w:r>
        <w:rPr>
          <w:rFonts w:ascii="Times New Roman" w:cs="Times New Roman"/>
          <w:kern w:val="2"/>
        </w:rPr>
        <w:t>；本项目压裂酸化过程酸液用量共约2000m</w:t>
      </w:r>
      <w:r>
        <w:rPr>
          <w:rFonts w:ascii="Times New Roman" w:cs="Times New Roman"/>
          <w:kern w:val="2"/>
          <w:vertAlign w:val="superscript"/>
        </w:rPr>
        <w:t>3</w:t>
      </w:r>
      <w:r>
        <w:rPr>
          <w:rFonts w:ascii="Times New Roman" w:cs="Times New Roman"/>
          <w:bCs/>
          <w:kern w:val="2"/>
        </w:rPr>
        <w:t>。</w:t>
      </w:r>
      <w:r>
        <w:rPr>
          <w:rFonts w:ascii="Times New Roman" w:cs="Times New Roman"/>
        </w:rPr>
        <w:t>根据该区域已完钻钻井工程可知，该区域</w:t>
      </w:r>
      <w:r>
        <w:rPr>
          <w:rFonts w:ascii="Times New Roman" w:cs="Times New Roman"/>
          <w:bCs/>
        </w:rPr>
        <w:t>压裂返排液返排率按</w:t>
      </w:r>
      <w:r>
        <w:rPr>
          <w:rFonts w:hint="eastAsia" w:ascii="Times New Roman" w:cs="Times New Roman"/>
          <w:bCs/>
          <w:lang w:val="en-US" w:eastAsia="zh-CN"/>
        </w:rPr>
        <w:t>30</w:t>
      </w:r>
      <w:r>
        <w:rPr>
          <w:rFonts w:ascii="Times New Roman" w:cs="Times New Roman"/>
          <w:bCs/>
        </w:rPr>
        <w:t>%计</w:t>
      </w:r>
      <w:r>
        <w:rPr>
          <w:rFonts w:ascii="Times New Roman" w:cs="Times New Roman"/>
        </w:rPr>
        <w:t>，则本项目返排液量为</w:t>
      </w:r>
      <w:r>
        <w:rPr>
          <w:rFonts w:hint="eastAsia" w:ascii="Times New Roman" w:cs="Times New Roman"/>
          <w:lang w:val="en-US" w:eastAsia="zh-CN"/>
        </w:rPr>
        <w:t>6</w:t>
      </w:r>
      <w:r>
        <w:rPr>
          <w:rFonts w:ascii="Times New Roman" w:cs="Times New Roman"/>
        </w:rPr>
        <w:t>00m</w:t>
      </w:r>
      <w:r>
        <w:rPr>
          <w:rFonts w:ascii="Times New Roman" w:cs="Times New Roman"/>
          <w:vertAlign w:val="superscript"/>
        </w:rPr>
        <w:t>3</w:t>
      </w:r>
      <w:r>
        <w:rPr>
          <w:rFonts w:ascii="Times New Roman" w:cs="Times New Roman"/>
        </w:rPr>
        <w:t>，返排周期3~5d。压裂酸化废水和洗井废水</w:t>
      </w:r>
      <w:r>
        <w:rPr>
          <w:rFonts w:ascii="Times New Roman" w:cs="Times New Roman"/>
          <w:spacing w:val="-8"/>
          <w:szCs w:val="21"/>
        </w:rPr>
        <w:t>暂存于</w:t>
      </w:r>
      <w:r>
        <w:rPr>
          <w:rFonts w:hint="eastAsia" w:ascii="Times New Roman" w:cs="Times New Roman"/>
          <w:spacing w:val="-8"/>
          <w:szCs w:val="21"/>
        </w:rPr>
        <w:t>废水池，</w:t>
      </w:r>
      <w:r>
        <w:rPr>
          <w:rFonts w:ascii="Times New Roman" w:cs="Times New Roman"/>
        </w:rPr>
        <w:t>返排酸液不回用，</w:t>
      </w:r>
      <w:r>
        <w:rPr>
          <w:rFonts w:hint="eastAsia" w:ascii="Times New Roman" w:cs="Times New Roman"/>
        </w:rPr>
        <w:t>定期</w:t>
      </w:r>
      <w:r>
        <w:rPr>
          <w:rFonts w:ascii="Times New Roman" w:cs="Times New Roman"/>
        </w:rPr>
        <w:t>由罐车运至大湾403污水站处理达标后管输至毛开1井回注站回注。</w:t>
      </w:r>
    </w:p>
    <w:p>
      <w:pPr>
        <w:widowControl/>
        <w:topLinePunct w:val="0"/>
        <w:snapToGrid w:val="0"/>
        <w:ind w:firstLine="480"/>
        <w:rPr>
          <w:rFonts w:ascii="Times New Roman" w:cs="Times New Roman"/>
          <w:kern w:val="2"/>
        </w:rPr>
      </w:pPr>
      <w:r>
        <w:rPr>
          <w:rFonts w:ascii="Times New Roman" w:cs="Times New Roman"/>
          <w:kern w:val="2"/>
        </w:rPr>
        <w:t>根据普光气田钻井工程类比调查，作业废水污染物浓度情况见表4.1-9。</w:t>
      </w:r>
    </w:p>
    <w:p>
      <w:pPr>
        <w:topLinePunct w:val="0"/>
        <w:snapToGrid w:val="0"/>
        <w:ind w:firstLine="480" w:firstLineChars="0"/>
        <w:jc w:val="center"/>
        <w:rPr>
          <w:rFonts w:ascii="Times New Roman" w:cs="Times New Roman"/>
          <w:b/>
          <w:kern w:val="2"/>
          <w:sz w:val="21"/>
          <w:szCs w:val="20"/>
        </w:rPr>
      </w:pPr>
      <w:bookmarkStart w:id="313" w:name="_Ref472452376"/>
      <w:r>
        <w:rPr>
          <w:rFonts w:ascii="Times New Roman" w:cs="Times New Roman"/>
          <w:b/>
          <w:kern w:val="2"/>
          <w:sz w:val="21"/>
          <w:szCs w:val="20"/>
        </w:rPr>
        <w:t xml:space="preserve">表 </w:t>
      </w:r>
      <w:bookmarkEnd w:id="313"/>
      <w:r>
        <w:rPr>
          <w:rFonts w:ascii="Times New Roman" w:cs="Times New Roman"/>
          <w:b/>
          <w:kern w:val="2"/>
          <w:sz w:val="21"/>
          <w:szCs w:val="20"/>
        </w:rPr>
        <w:t>4.1-9  压裂、洗井废水污染物浓度表（单位：mg/L）</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1740"/>
        <w:gridCol w:w="1174"/>
        <w:gridCol w:w="1174"/>
        <w:gridCol w:w="1174"/>
        <w:gridCol w:w="1034"/>
        <w:gridCol w:w="12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52" w:type="dxa"/>
            <w:tcBorders>
              <w:tl2br w:val="single" w:color="auto" w:sz="12" w:space="0"/>
            </w:tcBorders>
            <w:vAlign w:val="center"/>
          </w:tcPr>
          <w:p>
            <w:pPr>
              <w:widowControl/>
              <w:topLinePunct w:val="0"/>
              <w:snapToGrid w:val="0"/>
              <w:spacing w:line="240" w:lineRule="auto"/>
              <w:ind w:firstLine="0" w:firstLineChars="0"/>
              <w:jc w:val="right"/>
              <w:rPr>
                <w:rFonts w:ascii="Times New Roman" w:cs="Times New Roman"/>
                <w:b/>
                <w:kern w:val="2"/>
                <w:sz w:val="21"/>
                <w:szCs w:val="21"/>
              </w:rPr>
            </w:pPr>
            <w:r>
              <w:rPr>
                <w:rFonts w:ascii="Times New Roman" w:cs="Times New Roman"/>
                <w:b/>
                <w:kern w:val="2"/>
                <w:sz w:val="21"/>
                <w:szCs w:val="21"/>
              </w:rPr>
              <w:t>污染物名称</w:t>
            </w:r>
          </w:p>
          <w:p>
            <w:pPr>
              <w:widowControl/>
              <w:topLinePunct w:val="0"/>
              <w:snapToGrid w:val="0"/>
              <w:spacing w:line="240" w:lineRule="auto"/>
              <w:ind w:firstLine="0" w:firstLineChars="0"/>
              <w:jc w:val="left"/>
              <w:rPr>
                <w:rFonts w:ascii="Times New Roman" w:cs="Times New Roman"/>
                <w:b/>
                <w:kern w:val="2"/>
                <w:sz w:val="21"/>
                <w:szCs w:val="21"/>
              </w:rPr>
            </w:pPr>
            <w:r>
              <w:rPr>
                <w:rFonts w:hint="eastAsia" w:ascii="Times New Roman" w:cs="Times New Roman"/>
                <w:b/>
                <w:kern w:val="2"/>
                <w:sz w:val="21"/>
                <w:szCs w:val="21"/>
              </w:rPr>
              <w:t>污染物</w:t>
            </w:r>
          </w:p>
        </w:tc>
        <w:tc>
          <w:tcPr>
            <w:tcW w:w="1498"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pH</w:t>
            </w:r>
          </w:p>
        </w:tc>
        <w:tc>
          <w:tcPr>
            <w:tcW w:w="1011"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COD</w:t>
            </w:r>
          </w:p>
        </w:tc>
        <w:tc>
          <w:tcPr>
            <w:tcW w:w="1011"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SS</w:t>
            </w:r>
          </w:p>
        </w:tc>
        <w:tc>
          <w:tcPr>
            <w:tcW w:w="1011"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石油类</w:t>
            </w:r>
          </w:p>
        </w:tc>
        <w:tc>
          <w:tcPr>
            <w:tcW w:w="890"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挥发酚</w:t>
            </w:r>
          </w:p>
        </w:tc>
        <w:tc>
          <w:tcPr>
            <w:tcW w:w="1079"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氯离子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5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洗井废水</w:t>
            </w:r>
          </w:p>
        </w:tc>
        <w:tc>
          <w:tcPr>
            <w:tcW w:w="149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6~9</w:t>
            </w:r>
          </w:p>
        </w:tc>
        <w:tc>
          <w:tcPr>
            <w:tcW w:w="101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≤2500</w:t>
            </w:r>
          </w:p>
        </w:tc>
        <w:tc>
          <w:tcPr>
            <w:tcW w:w="101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≤4500</w:t>
            </w:r>
          </w:p>
        </w:tc>
        <w:tc>
          <w:tcPr>
            <w:tcW w:w="101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≤50</w:t>
            </w:r>
          </w:p>
        </w:tc>
        <w:tc>
          <w:tcPr>
            <w:tcW w:w="89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w:t>
            </w:r>
          </w:p>
        </w:tc>
        <w:tc>
          <w:tcPr>
            <w:tcW w:w="107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52" w:type="dxa"/>
            <w:vAlign w:val="center"/>
          </w:tcPr>
          <w:p>
            <w:pPr>
              <w:widowControl/>
              <w:topLinePunct w:val="0"/>
              <w:snapToGrid w:val="0"/>
              <w:spacing w:line="240" w:lineRule="auto"/>
              <w:ind w:firstLine="0" w:firstLineChars="0"/>
              <w:jc w:val="center"/>
              <w:rPr>
                <w:rFonts w:ascii="Times New Roman" w:cs="Times New Roman"/>
                <w:kern w:val="2"/>
                <w:sz w:val="21"/>
                <w:szCs w:val="21"/>
              </w:rPr>
            </w:pPr>
            <w:bookmarkStart w:id="314" w:name="_Toc12288513"/>
            <w:r>
              <w:rPr>
                <w:rFonts w:hint="eastAsia" w:ascii="Times New Roman" w:cs="Times New Roman"/>
                <w:kern w:val="2"/>
                <w:sz w:val="21"/>
                <w:szCs w:val="21"/>
              </w:rPr>
              <w:t>压裂废水</w:t>
            </w:r>
          </w:p>
        </w:tc>
        <w:tc>
          <w:tcPr>
            <w:tcW w:w="149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4～6</w:t>
            </w:r>
          </w:p>
        </w:tc>
        <w:tc>
          <w:tcPr>
            <w:tcW w:w="101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≤5000</w:t>
            </w:r>
          </w:p>
        </w:tc>
        <w:tc>
          <w:tcPr>
            <w:tcW w:w="101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≤7500</w:t>
            </w:r>
          </w:p>
        </w:tc>
        <w:tc>
          <w:tcPr>
            <w:tcW w:w="101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≤200</w:t>
            </w:r>
          </w:p>
        </w:tc>
        <w:tc>
          <w:tcPr>
            <w:tcW w:w="89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≤7.0</w:t>
            </w:r>
          </w:p>
        </w:tc>
        <w:tc>
          <w:tcPr>
            <w:tcW w:w="107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≤4000</w:t>
            </w:r>
          </w:p>
        </w:tc>
      </w:tr>
    </w:tbl>
    <w:p>
      <w:pPr>
        <w:pStyle w:val="4"/>
        <w:rPr>
          <w:rFonts w:eastAsia="宋体"/>
        </w:rPr>
      </w:pPr>
      <w:r>
        <w:rPr>
          <w:rFonts w:eastAsia="宋体"/>
        </w:rPr>
        <w:t>4.1.6 噪声产生情况及治理措施</w:t>
      </w:r>
    </w:p>
    <w:p>
      <w:pPr>
        <w:pStyle w:val="114"/>
        <w:ind w:firstLine="480"/>
      </w:pPr>
      <w:r>
        <w:t>噪声源主要来站场施工作业机械，如挖掘机、凿岩机等，其强度在85~105dB（A）；钻井施工过程中的噪声主要包括正常生产过程中的机械噪声、作业噪声其产生情况为：</w:t>
      </w:r>
    </w:p>
    <w:p>
      <w:pPr>
        <w:pStyle w:val="114"/>
        <w:ind w:firstLine="480"/>
      </w:pPr>
      <w:r>
        <w:t>机械噪声：包括钻机、振动筛、泥浆泵、离心机、空压机、增压机以及其他各种机械转动所产生的噪声；</w:t>
      </w:r>
    </w:p>
    <w:p>
      <w:pPr>
        <w:pStyle w:val="114"/>
        <w:ind w:firstLine="480"/>
      </w:pPr>
      <w:r>
        <w:t>作业噪声：包括固井作业、下套管、起下钻具、钻机气路控制系统操作时快速放气阀放气、跳钻时吊环与水龙头的撞击等所产生的噪声。</w:t>
      </w:r>
    </w:p>
    <w:p>
      <w:pPr>
        <w:pStyle w:val="114"/>
        <w:ind w:firstLine="480"/>
      </w:pPr>
      <w:r>
        <w:t>同时完井工程中主要噪声为压裂噪声、测试放喷噪声。</w:t>
      </w:r>
    </w:p>
    <w:p>
      <w:pPr>
        <w:pStyle w:val="39"/>
        <w:rPr>
          <w:rFonts w:cs="Times New Roman"/>
        </w:rPr>
      </w:pPr>
      <w:r>
        <w:rPr>
          <w:rFonts w:cs="Times New Roman"/>
        </w:rPr>
        <w:t>表</w:t>
      </w:r>
      <w:bookmarkStart w:id="315" w:name="OLE_LINK231"/>
      <w:bookmarkStart w:id="316" w:name="OLE_LINK232"/>
      <w:r>
        <w:rPr>
          <w:rFonts w:cs="Times New Roman"/>
        </w:rPr>
        <w:t>4.1-10</w:t>
      </w:r>
      <w:bookmarkEnd w:id="315"/>
      <w:bookmarkEnd w:id="316"/>
      <w:r>
        <w:rPr>
          <w:rFonts w:cs="Times New Roman"/>
        </w:rPr>
        <w:t xml:space="preserve">  站场工程施工机械噪声强度测试值</w:t>
      </w:r>
    </w:p>
    <w:tbl>
      <w:tblPr>
        <w:tblStyle w:val="59"/>
        <w:tblW w:w="4850" w:type="pct"/>
        <w:jc w:val="center"/>
        <w:tblLayout w:type="autofit"/>
        <w:tblCellMar>
          <w:top w:w="0" w:type="dxa"/>
          <w:left w:w="0" w:type="dxa"/>
          <w:bottom w:w="0" w:type="dxa"/>
          <w:right w:w="0" w:type="dxa"/>
        </w:tblCellMar>
      </w:tblPr>
      <w:tblGrid>
        <w:gridCol w:w="816"/>
        <w:gridCol w:w="1566"/>
        <w:gridCol w:w="1545"/>
        <w:gridCol w:w="873"/>
        <w:gridCol w:w="1891"/>
        <w:gridCol w:w="1833"/>
      </w:tblGrid>
      <w:tr>
        <w:tblPrEx>
          <w:tblCellMar>
            <w:top w:w="0" w:type="dxa"/>
            <w:left w:w="0" w:type="dxa"/>
            <w:bottom w:w="0" w:type="dxa"/>
            <w:right w:w="0" w:type="dxa"/>
          </w:tblCellMar>
        </w:tblPrEx>
        <w:trPr>
          <w:trHeight w:val="369" w:hRule="atLeast"/>
          <w:jc w:val="center"/>
        </w:trPr>
        <w:tc>
          <w:tcPr>
            <w:tcW w:w="479" w:type="pct"/>
            <w:tcBorders>
              <w:top w:val="single" w:color="000000" w:sz="12" w:space="0"/>
              <w:left w:val="nil"/>
              <w:bottom w:val="single" w:color="000000" w:sz="4" w:space="0"/>
              <w:right w:val="single" w:color="000000" w:sz="4" w:space="0"/>
            </w:tcBorders>
            <w:vAlign w:val="center"/>
          </w:tcPr>
          <w:p>
            <w:pPr>
              <w:pStyle w:val="134"/>
              <w:rPr>
                <w:b/>
                <w:bCs/>
                <w:szCs w:val="21"/>
              </w:rPr>
            </w:pPr>
            <w:r>
              <w:rPr>
                <w:b/>
                <w:bCs/>
                <w:szCs w:val="21"/>
              </w:rPr>
              <w:t>序号</w:t>
            </w:r>
          </w:p>
        </w:tc>
        <w:tc>
          <w:tcPr>
            <w:tcW w:w="919" w:type="pct"/>
            <w:tcBorders>
              <w:top w:val="single" w:color="000000" w:sz="12" w:space="0"/>
              <w:left w:val="single" w:color="000000" w:sz="4" w:space="0"/>
              <w:bottom w:val="single" w:color="000000" w:sz="4" w:space="0"/>
              <w:right w:val="single" w:color="000000" w:sz="4" w:space="0"/>
            </w:tcBorders>
            <w:vAlign w:val="center"/>
          </w:tcPr>
          <w:p>
            <w:pPr>
              <w:pStyle w:val="134"/>
              <w:rPr>
                <w:b/>
                <w:bCs/>
                <w:szCs w:val="21"/>
              </w:rPr>
            </w:pPr>
            <w:r>
              <w:rPr>
                <w:b/>
                <w:bCs/>
                <w:szCs w:val="21"/>
              </w:rPr>
              <w:t>噪声源</w:t>
            </w:r>
          </w:p>
        </w:tc>
        <w:tc>
          <w:tcPr>
            <w:tcW w:w="906" w:type="pct"/>
            <w:tcBorders>
              <w:top w:val="single" w:color="000000" w:sz="12" w:space="0"/>
              <w:left w:val="single" w:color="000000" w:sz="4" w:space="0"/>
              <w:bottom w:val="single" w:color="000000" w:sz="4" w:space="0"/>
              <w:right w:val="single" w:color="000000" w:sz="4" w:space="0"/>
            </w:tcBorders>
            <w:vAlign w:val="center"/>
          </w:tcPr>
          <w:p>
            <w:pPr>
              <w:pStyle w:val="134"/>
              <w:rPr>
                <w:b/>
                <w:bCs/>
                <w:szCs w:val="21"/>
              </w:rPr>
            </w:pPr>
            <w:r>
              <w:rPr>
                <w:b/>
                <w:bCs/>
                <w:szCs w:val="21"/>
              </w:rPr>
              <w:t>噪声强度dB(A)</w:t>
            </w:r>
          </w:p>
        </w:tc>
        <w:tc>
          <w:tcPr>
            <w:tcW w:w="512" w:type="pct"/>
            <w:tcBorders>
              <w:top w:val="single" w:color="000000" w:sz="12" w:space="0"/>
              <w:left w:val="single" w:color="000000" w:sz="4" w:space="0"/>
              <w:bottom w:val="single" w:color="000000" w:sz="4" w:space="0"/>
              <w:right w:val="single" w:color="000000" w:sz="4" w:space="0"/>
            </w:tcBorders>
            <w:vAlign w:val="center"/>
          </w:tcPr>
          <w:p>
            <w:pPr>
              <w:pStyle w:val="134"/>
              <w:rPr>
                <w:b/>
                <w:bCs/>
                <w:szCs w:val="21"/>
              </w:rPr>
            </w:pPr>
            <w:r>
              <w:rPr>
                <w:b/>
                <w:bCs/>
                <w:szCs w:val="21"/>
              </w:rPr>
              <w:t>序号</w:t>
            </w:r>
          </w:p>
        </w:tc>
        <w:tc>
          <w:tcPr>
            <w:tcW w:w="1109" w:type="pct"/>
            <w:tcBorders>
              <w:top w:val="single" w:color="000000" w:sz="12" w:space="0"/>
              <w:left w:val="single" w:color="000000" w:sz="4" w:space="0"/>
              <w:bottom w:val="single" w:color="000000" w:sz="4" w:space="0"/>
              <w:right w:val="single" w:color="000000" w:sz="4" w:space="0"/>
            </w:tcBorders>
            <w:vAlign w:val="center"/>
          </w:tcPr>
          <w:p>
            <w:pPr>
              <w:pStyle w:val="134"/>
              <w:rPr>
                <w:b/>
                <w:bCs/>
                <w:szCs w:val="21"/>
              </w:rPr>
            </w:pPr>
            <w:r>
              <w:rPr>
                <w:b/>
                <w:bCs/>
                <w:szCs w:val="21"/>
              </w:rPr>
              <w:t>噪声源</w:t>
            </w:r>
          </w:p>
        </w:tc>
        <w:tc>
          <w:tcPr>
            <w:tcW w:w="1075" w:type="pct"/>
            <w:tcBorders>
              <w:top w:val="single" w:color="000000" w:sz="12" w:space="0"/>
              <w:left w:val="single" w:color="000000" w:sz="4" w:space="0"/>
              <w:bottom w:val="single" w:color="000000" w:sz="4" w:space="0"/>
              <w:right w:val="nil"/>
            </w:tcBorders>
            <w:vAlign w:val="center"/>
          </w:tcPr>
          <w:p>
            <w:pPr>
              <w:pStyle w:val="134"/>
              <w:rPr>
                <w:b/>
                <w:bCs/>
                <w:szCs w:val="21"/>
              </w:rPr>
            </w:pPr>
            <w:r>
              <w:rPr>
                <w:b/>
                <w:bCs/>
                <w:szCs w:val="21"/>
              </w:rPr>
              <w:t>噪声强度dB(A)</w:t>
            </w:r>
          </w:p>
        </w:tc>
      </w:tr>
      <w:tr>
        <w:tblPrEx>
          <w:tblCellMar>
            <w:top w:w="0" w:type="dxa"/>
            <w:left w:w="0" w:type="dxa"/>
            <w:bottom w:w="0" w:type="dxa"/>
            <w:right w:w="0" w:type="dxa"/>
          </w:tblCellMar>
        </w:tblPrEx>
        <w:trPr>
          <w:trHeight w:val="369" w:hRule="atLeast"/>
          <w:jc w:val="center"/>
        </w:trPr>
        <w:tc>
          <w:tcPr>
            <w:tcW w:w="479" w:type="pct"/>
            <w:tcBorders>
              <w:top w:val="single" w:color="000000" w:sz="4" w:space="0"/>
              <w:left w:val="nil"/>
              <w:bottom w:val="single" w:color="000000" w:sz="4" w:space="0"/>
              <w:right w:val="single" w:color="000000" w:sz="4" w:space="0"/>
            </w:tcBorders>
            <w:vAlign w:val="center"/>
          </w:tcPr>
          <w:p>
            <w:pPr>
              <w:pStyle w:val="134"/>
              <w:rPr>
                <w:szCs w:val="21"/>
              </w:rPr>
            </w:pPr>
            <w:r>
              <w:rPr>
                <w:szCs w:val="21"/>
              </w:rPr>
              <w:t>1</w:t>
            </w:r>
          </w:p>
        </w:tc>
        <w:tc>
          <w:tcPr>
            <w:tcW w:w="919" w:type="pct"/>
            <w:tcBorders>
              <w:top w:val="single" w:color="000000" w:sz="4" w:space="0"/>
              <w:left w:val="single" w:color="000000" w:sz="4" w:space="0"/>
              <w:bottom w:val="single" w:color="000000" w:sz="4" w:space="0"/>
              <w:right w:val="single" w:color="000000" w:sz="4" w:space="0"/>
            </w:tcBorders>
            <w:vAlign w:val="center"/>
          </w:tcPr>
          <w:p>
            <w:pPr>
              <w:pStyle w:val="134"/>
              <w:rPr>
                <w:szCs w:val="21"/>
              </w:rPr>
            </w:pPr>
            <w:r>
              <w:rPr>
                <w:szCs w:val="21"/>
              </w:rPr>
              <w:t>挖掘机</w:t>
            </w:r>
          </w:p>
        </w:tc>
        <w:tc>
          <w:tcPr>
            <w:tcW w:w="906" w:type="pct"/>
            <w:tcBorders>
              <w:top w:val="single" w:color="000000" w:sz="4" w:space="0"/>
              <w:left w:val="single" w:color="000000" w:sz="4" w:space="0"/>
              <w:bottom w:val="single" w:color="000000" w:sz="4" w:space="0"/>
              <w:right w:val="single" w:color="000000" w:sz="4" w:space="0"/>
            </w:tcBorders>
            <w:vAlign w:val="center"/>
          </w:tcPr>
          <w:p>
            <w:pPr>
              <w:pStyle w:val="134"/>
              <w:rPr>
                <w:szCs w:val="21"/>
              </w:rPr>
            </w:pPr>
            <w:r>
              <w:rPr>
                <w:szCs w:val="21"/>
              </w:rPr>
              <w:t>92</w:t>
            </w:r>
          </w:p>
        </w:tc>
        <w:tc>
          <w:tcPr>
            <w:tcW w:w="512" w:type="pct"/>
            <w:tcBorders>
              <w:top w:val="single" w:color="000000" w:sz="4" w:space="0"/>
              <w:left w:val="single" w:color="000000" w:sz="4" w:space="0"/>
              <w:bottom w:val="single" w:color="000000" w:sz="4" w:space="0"/>
              <w:right w:val="single" w:color="000000" w:sz="4" w:space="0"/>
            </w:tcBorders>
            <w:vAlign w:val="center"/>
          </w:tcPr>
          <w:p>
            <w:pPr>
              <w:pStyle w:val="134"/>
              <w:rPr>
                <w:szCs w:val="21"/>
              </w:rPr>
            </w:pPr>
            <w:r>
              <w:rPr>
                <w:szCs w:val="21"/>
              </w:rPr>
              <w:t>6</w:t>
            </w:r>
          </w:p>
        </w:tc>
        <w:tc>
          <w:tcPr>
            <w:tcW w:w="1109" w:type="pct"/>
            <w:tcBorders>
              <w:top w:val="single" w:color="000000" w:sz="4" w:space="0"/>
              <w:left w:val="single" w:color="000000" w:sz="4" w:space="0"/>
              <w:bottom w:val="single" w:color="000000" w:sz="4" w:space="0"/>
              <w:right w:val="single" w:color="000000" w:sz="4" w:space="0"/>
            </w:tcBorders>
            <w:vAlign w:val="center"/>
          </w:tcPr>
          <w:p>
            <w:pPr>
              <w:pStyle w:val="134"/>
              <w:rPr>
                <w:szCs w:val="21"/>
              </w:rPr>
            </w:pPr>
            <w:r>
              <w:rPr>
                <w:szCs w:val="21"/>
              </w:rPr>
              <w:t>混凝土搅拌机</w:t>
            </w:r>
          </w:p>
        </w:tc>
        <w:tc>
          <w:tcPr>
            <w:tcW w:w="1075" w:type="pct"/>
            <w:tcBorders>
              <w:top w:val="single" w:color="000000" w:sz="4" w:space="0"/>
              <w:left w:val="single" w:color="000000" w:sz="4" w:space="0"/>
              <w:bottom w:val="single" w:color="000000" w:sz="4" w:space="0"/>
              <w:right w:val="nil"/>
            </w:tcBorders>
            <w:vAlign w:val="center"/>
          </w:tcPr>
          <w:p>
            <w:pPr>
              <w:pStyle w:val="134"/>
              <w:rPr>
                <w:szCs w:val="21"/>
              </w:rPr>
            </w:pPr>
            <w:r>
              <w:rPr>
                <w:szCs w:val="21"/>
              </w:rPr>
              <w:t>95</w:t>
            </w:r>
          </w:p>
        </w:tc>
      </w:tr>
      <w:tr>
        <w:tblPrEx>
          <w:tblCellMar>
            <w:top w:w="0" w:type="dxa"/>
            <w:left w:w="0" w:type="dxa"/>
            <w:bottom w:w="0" w:type="dxa"/>
            <w:right w:w="0" w:type="dxa"/>
          </w:tblCellMar>
        </w:tblPrEx>
        <w:trPr>
          <w:trHeight w:val="369" w:hRule="atLeast"/>
          <w:jc w:val="center"/>
        </w:trPr>
        <w:tc>
          <w:tcPr>
            <w:tcW w:w="479" w:type="pct"/>
            <w:tcBorders>
              <w:top w:val="single" w:color="000000" w:sz="4" w:space="0"/>
              <w:left w:val="nil"/>
              <w:bottom w:val="single" w:color="000000" w:sz="4" w:space="0"/>
              <w:right w:val="single" w:color="000000" w:sz="4" w:space="0"/>
            </w:tcBorders>
            <w:vAlign w:val="center"/>
          </w:tcPr>
          <w:p>
            <w:pPr>
              <w:pStyle w:val="134"/>
              <w:rPr>
                <w:szCs w:val="21"/>
              </w:rPr>
            </w:pPr>
            <w:r>
              <w:rPr>
                <w:szCs w:val="21"/>
              </w:rPr>
              <w:t>2</w:t>
            </w:r>
          </w:p>
        </w:tc>
        <w:tc>
          <w:tcPr>
            <w:tcW w:w="919" w:type="pct"/>
            <w:tcBorders>
              <w:top w:val="single" w:color="000000" w:sz="4" w:space="0"/>
              <w:left w:val="single" w:color="000000" w:sz="4" w:space="0"/>
              <w:bottom w:val="single" w:color="000000" w:sz="4" w:space="0"/>
              <w:right w:val="single" w:color="000000" w:sz="4" w:space="0"/>
            </w:tcBorders>
            <w:vAlign w:val="center"/>
          </w:tcPr>
          <w:p>
            <w:pPr>
              <w:pStyle w:val="134"/>
              <w:rPr>
                <w:szCs w:val="21"/>
              </w:rPr>
            </w:pPr>
            <w:r>
              <w:rPr>
                <w:szCs w:val="21"/>
              </w:rPr>
              <w:t>定向钻机</w:t>
            </w:r>
          </w:p>
        </w:tc>
        <w:tc>
          <w:tcPr>
            <w:tcW w:w="906" w:type="pct"/>
            <w:tcBorders>
              <w:top w:val="single" w:color="000000" w:sz="4" w:space="0"/>
              <w:left w:val="single" w:color="000000" w:sz="4" w:space="0"/>
              <w:bottom w:val="single" w:color="000000" w:sz="4" w:space="0"/>
              <w:right w:val="single" w:color="000000" w:sz="4" w:space="0"/>
            </w:tcBorders>
            <w:vAlign w:val="center"/>
          </w:tcPr>
          <w:p>
            <w:pPr>
              <w:pStyle w:val="134"/>
              <w:rPr>
                <w:szCs w:val="21"/>
              </w:rPr>
            </w:pPr>
            <w:r>
              <w:rPr>
                <w:szCs w:val="21"/>
              </w:rPr>
              <w:t>90</w:t>
            </w:r>
          </w:p>
        </w:tc>
        <w:tc>
          <w:tcPr>
            <w:tcW w:w="512" w:type="pct"/>
            <w:tcBorders>
              <w:top w:val="single" w:color="000000" w:sz="4" w:space="0"/>
              <w:left w:val="single" w:color="000000" w:sz="4" w:space="0"/>
              <w:bottom w:val="single" w:color="000000" w:sz="4" w:space="0"/>
              <w:right w:val="single" w:color="000000" w:sz="4" w:space="0"/>
            </w:tcBorders>
            <w:vAlign w:val="center"/>
          </w:tcPr>
          <w:p>
            <w:pPr>
              <w:pStyle w:val="134"/>
              <w:rPr>
                <w:szCs w:val="21"/>
              </w:rPr>
            </w:pPr>
            <w:r>
              <w:rPr>
                <w:szCs w:val="21"/>
              </w:rPr>
              <w:t>9</w:t>
            </w:r>
          </w:p>
        </w:tc>
        <w:tc>
          <w:tcPr>
            <w:tcW w:w="1109" w:type="pct"/>
            <w:tcBorders>
              <w:top w:val="single" w:color="000000" w:sz="4" w:space="0"/>
              <w:left w:val="single" w:color="000000" w:sz="4" w:space="0"/>
              <w:bottom w:val="single" w:color="000000" w:sz="4" w:space="0"/>
              <w:right w:val="single" w:color="000000" w:sz="4" w:space="0"/>
            </w:tcBorders>
            <w:vAlign w:val="center"/>
          </w:tcPr>
          <w:p>
            <w:pPr>
              <w:pStyle w:val="134"/>
              <w:rPr>
                <w:szCs w:val="21"/>
              </w:rPr>
            </w:pPr>
            <w:r>
              <w:rPr>
                <w:szCs w:val="21"/>
              </w:rPr>
              <w:t>切割机</w:t>
            </w:r>
          </w:p>
        </w:tc>
        <w:tc>
          <w:tcPr>
            <w:tcW w:w="1075" w:type="pct"/>
            <w:tcBorders>
              <w:top w:val="single" w:color="000000" w:sz="4" w:space="0"/>
              <w:left w:val="single" w:color="000000" w:sz="4" w:space="0"/>
              <w:bottom w:val="single" w:color="000000" w:sz="4" w:space="0"/>
              <w:right w:val="nil"/>
            </w:tcBorders>
            <w:vAlign w:val="center"/>
          </w:tcPr>
          <w:p>
            <w:pPr>
              <w:pStyle w:val="134"/>
              <w:rPr>
                <w:szCs w:val="21"/>
              </w:rPr>
            </w:pPr>
            <w:r>
              <w:rPr>
                <w:szCs w:val="21"/>
              </w:rPr>
              <w:t>95</w:t>
            </w:r>
          </w:p>
        </w:tc>
      </w:tr>
      <w:tr>
        <w:tblPrEx>
          <w:tblCellMar>
            <w:top w:w="0" w:type="dxa"/>
            <w:left w:w="0" w:type="dxa"/>
            <w:bottom w:w="0" w:type="dxa"/>
            <w:right w:w="0" w:type="dxa"/>
          </w:tblCellMar>
        </w:tblPrEx>
        <w:trPr>
          <w:trHeight w:val="369" w:hRule="atLeast"/>
          <w:jc w:val="center"/>
        </w:trPr>
        <w:tc>
          <w:tcPr>
            <w:tcW w:w="479" w:type="pct"/>
            <w:tcBorders>
              <w:top w:val="single" w:color="000000" w:sz="4" w:space="0"/>
              <w:left w:val="nil"/>
              <w:bottom w:val="single" w:color="000000" w:sz="4" w:space="0"/>
              <w:right w:val="single" w:color="000000" w:sz="4" w:space="0"/>
            </w:tcBorders>
            <w:vAlign w:val="center"/>
          </w:tcPr>
          <w:p>
            <w:pPr>
              <w:pStyle w:val="134"/>
              <w:rPr>
                <w:szCs w:val="21"/>
              </w:rPr>
            </w:pPr>
            <w:r>
              <w:rPr>
                <w:szCs w:val="21"/>
              </w:rPr>
              <w:t>3</w:t>
            </w:r>
          </w:p>
        </w:tc>
        <w:tc>
          <w:tcPr>
            <w:tcW w:w="919" w:type="pct"/>
            <w:tcBorders>
              <w:top w:val="single" w:color="000000" w:sz="4" w:space="0"/>
              <w:left w:val="single" w:color="000000" w:sz="4" w:space="0"/>
              <w:bottom w:val="single" w:color="000000" w:sz="4" w:space="0"/>
              <w:right w:val="single" w:color="000000" w:sz="4" w:space="0"/>
            </w:tcBorders>
            <w:vAlign w:val="center"/>
          </w:tcPr>
          <w:p>
            <w:pPr>
              <w:pStyle w:val="134"/>
              <w:rPr>
                <w:szCs w:val="21"/>
              </w:rPr>
            </w:pPr>
            <w:r>
              <w:rPr>
                <w:szCs w:val="21"/>
              </w:rPr>
              <w:t>推土机</w:t>
            </w:r>
          </w:p>
        </w:tc>
        <w:tc>
          <w:tcPr>
            <w:tcW w:w="906" w:type="pct"/>
            <w:tcBorders>
              <w:top w:val="single" w:color="000000" w:sz="4" w:space="0"/>
              <w:left w:val="single" w:color="000000" w:sz="4" w:space="0"/>
              <w:bottom w:val="single" w:color="000000" w:sz="4" w:space="0"/>
              <w:right w:val="single" w:color="000000" w:sz="4" w:space="0"/>
            </w:tcBorders>
            <w:vAlign w:val="center"/>
          </w:tcPr>
          <w:p>
            <w:pPr>
              <w:pStyle w:val="134"/>
              <w:rPr>
                <w:szCs w:val="21"/>
              </w:rPr>
            </w:pPr>
            <w:r>
              <w:rPr>
                <w:szCs w:val="21"/>
              </w:rPr>
              <w:t>90</w:t>
            </w:r>
          </w:p>
        </w:tc>
        <w:tc>
          <w:tcPr>
            <w:tcW w:w="512" w:type="pct"/>
            <w:tcBorders>
              <w:top w:val="single" w:color="000000" w:sz="4" w:space="0"/>
              <w:left w:val="single" w:color="000000" w:sz="4" w:space="0"/>
              <w:bottom w:val="single" w:color="000000" w:sz="4" w:space="0"/>
              <w:right w:val="single" w:color="000000" w:sz="4" w:space="0"/>
            </w:tcBorders>
            <w:vAlign w:val="center"/>
          </w:tcPr>
          <w:p>
            <w:pPr>
              <w:pStyle w:val="134"/>
              <w:rPr>
                <w:szCs w:val="21"/>
              </w:rPr>
            </w:pPr>
            <w:r>
              <w:rPr>
                <w:szCs w:val="21"/>
              </w:rPr>
              <w:t>10</w:t>
            </w:r>
          </w:p>
        </w:tc>
        <w:tc>
          <w:tcPr>
            <w:tcW w:w="1109" w:type="pct"/>
            <w:tcBorders>
              <w:top w:val="single" w:color="000000" w:sz="4" w:space="0"/>
              <w:left w:val="single" w:color="000000" w:sz="4" w:space="0"/>
              <w:bottom w:val="single" w:color="000000" w:sz="4" w:space="0"/>
              <w:right w:val="single" w:color="000000" w:sz="4" w:space="0"/>
            </w:tcBorders>
            <w:vAlign w:val="center"/>
          </w:tcPr>
          <w:p>
            <w:pPr>
              <w:pStyle w:val="134"/>
              <w:rPr>
                <w:szCs w:val="21"/>
              </w:rPr>
            </w:pPr>
            <w:r>
              <w:rPr>
                <w:szCs w:val="21"/>
              </w:rPr>
              <w:t>柴油发电机</w:t>
            </w:r>
          </w:p>
        </w:tc>
        <w:tc>
          <w:tcPr>
            <w:tcW w:w="1075" w:type="pct"/>
            <w:tcBorders>
              <w:top w:val="single" w:color="000000" w:sz="4" w:space="0"/>
              <w:left w:val="single" w:color="000000" w:sz="4" w:space="0"/>
              <w:bottom w:val="single" w:color="000000" w:sz="4" w:space="0"/>
              <w:right w:val="nil"/>
            </w:tcBorders>
            <w:vAlign w:val="center"/>
          </w:tcPr>
          <w:p>
            <w:pPr>
              <w:pStyle w:val="134"/>
              <w:rPr>
                <w:szCs w:val="21"/>
              </w:rPr>
            </w:pPr>
            <w:r>
              <w:rPr>
                <w:szCs w:val="21"/>
              </w:rPr>
              <w:t>100</w:t>
            </w:r>
          </w:p>
        </w:tc>
      </w:tr>
    </w:tbl>
    <w:p>
      <w:pPr>
        <w:topLinePunct w:val="0"/>
        <w:snapToGrid w:val="0"/>
        <w:spacing w:before="156" w:beforeLines="50"/>
        <w:ind w:firstLine="480" w:firstLineChars="0"/>
        <w:jc w:val="center"/>
        <w:rPr>
          <w:rFonts w:ascii="Times New Roman" w:cs="Times New Roman"/>
          <w:b/>
          <w:kern w:val="2"/>
          <w:sz w:val="21"/>
          <w:szCs w:val="20"/>
        </w:rPr>
      </w:pPr>
      <w:bookmarkStart w:id="317" w:name="_Ref471280915"/>
      <w:r>
        <w:rPr>
          <w:rFonts w:ascii="Times New Roman" w:cs="Times New Roman"/>
          <w:b/>
          <w:kern w:val="2"/>
          <w:sz w:val="21"/>
          <w:szCs w:val="20"/>
        </w:rPr>
        <w:t>表</w:t>
      </w:r>
      <w:bookmarkEnd w:id="317"/>
      <w:bookmarkStart w:id="318" w:name="OLE_LINK253"/>
      <w:bookmarkStart w:id="319" w:name="OLE_LINK254"/>
      <w:r>
        <w:rPr>
          <w:rFonts w:ascii="Times New Roman" w:cs="Times New Roman"/>
          <w:b/>
          <w:sz w:val="21"/>
          <w:szCs w:val="21"/>
        </w:rPr>
        <w:t>4.1-10</w:t>
      </w:r>
      <w:bookmarkEnd w:id="318"/>
      <w:bookmarkEnd w:id="319"/>
      <w:r>
        <w:rPr>
          <w:rFonts w:ascii="Times New Roman" w:cs="Times New Roman"/>
          <w:b/>
          <w:kern w:val="2"/>
          <w:sz w:val="21"/>
          <w:szCs w:val="20"/>
        </w:rPr>
        <w:t xml:space="preserve">  </w:t>
      </w:r>
      <w:bookmarkStart w:id="320" w:name="OLE_LINK82"/>
      <w:bookmarkStart w:id="321" w:name="OLE_LINK81"/>
      <w:r>
        <w:rPr>
          <w:rFonts w:ascii="Times New Roman" w:cs="Times New Roman"/>
          <w:b/>
          <w:kern w:val="2"/>
          <w:sz w:val="21"/>
          <w:szCs w:val="20"/>
        </w:rPr>
        <w:t>钻井、压裂、测试放喷噪声</w:t>
      </w:r>
      <w:bookmarkEnd w:id="320"/>
      <w:bookmarkEnd w:id="321"/>
      <w:r>
        <w:rPr>
          <w:rFonts w:ascii="Times New Roman" w:cs="Times New Roman"/>
          <w:b/>
          <w:kern w:val="2"/>
          <w:sz w:val="21"/>
          <w:szCs w:val="20"/>
        </w:rPr>
        <w:t>产生情况一览表</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6" w:type="dxa"/>
          <w:bottom w:w="0" w:type="dxa"/>
          <w:right w:w="6" w:type="dxa"/>
        </w:tblCellMar>
      </w:tblPr>
      <w:tblGrid>
        <w:gridCol w:w="894"/>
        <w:gridCol w:w="1386"/>
        <w:gridCol w:w="1277"/>
        <w:gridCol w:w="1099"/>
        <w:gridCol w:w="2676"/>
        <w:gridCol w:w="12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69" w:hRule="atLeast"/>
          <w:tblHeader/>
          <w:jc w:val="center"/>
        </w:trPr>
        <w:tc>
          <w:tcPr>
            <w:tcW w:w="894"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声源名称</w:t>
            </w:r>
          </w:p>
        </w:tc>
        <w:tc>
          <w:tcPr>
            <w:tcW w:w="1386"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数量（台）</w:t>
            </w:r>
          </w:p>
        </w:tc>
        <w:tc>
          <w:tcPr>
            <w:tcW w:w="1277"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声级dB（A）</w:t>
            </w:r>
          </w:p>
        </w:tc>
        <w:tc>
          <w:tcPr>
            <w:tcW w:w="1099"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声源高度（m）</w:t>
            </w:r>
          </w:p>
        </w:tc>
        <w:tc>
          <w:tcPr>
            <w:tcW w:w="2676"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运行时段</w:t>
            </w:r>
          </w:p>
        </w:tc>
        <w:tc>
          <w:tcPr>
            <w:tcW w:w="1204"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69" w:hRule="atLeast"/>
          <w:jc w:val="center"/>
        </w:trPr>
        <w:tc>
          <w:tcPr>
            <w:tcW w:w="89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钻机</w:t>
            </w:r>
          </w:p>
        </w:tc>
        <w:tc>
          <w:tcPr>
            <w:tcW w:w="138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1277" w:type="dxa"/>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eastAsia" w:ascii="Times New Roman" w:cs="Times New Roman"/>
                <w:kern w:val="2"/>
                <w:sz w:val="21"/>
                <w:szCs w:val="21"/>
                <w:lang w:val="en-US" w:eastAsia="zh-CN"/>
              </w:rPr>
              <w:t>85</w:t>
            </w:r>
          </w:p>
        </w:tc>
        <w:tc>
          <w:tcPr>
            <w:tcW w:w="109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w:t>
            </w:r>
          </w:p>
        </w:tc>
        <w:tc>
          <w:tcPr>
            <w:tcW w:w="267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气体钻、常规钻</w:t>
            </w:r>
          </w:p>
        </w:tc>
        <w:tc>
          <w:tcPr>
            <w:tcW w:w="120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单台声源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69" w:hRule="atLeast"/>
          <w:jc w:val="center"/>
        </w:trPr>
        <w:tc>
          <w:tcPr>
            <w:tcW w:w="89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空压机</w:t>
            </w:r>
          </w:p>
        </w:tc>
        <w:tc>
          <w:tcPr>
            <w:tcW w:w="138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lang w:val="en-US" w:eastAsia="zh-CN"/>
              </w:rPr>
              <w:t>2</w:t>
            </w:r>
            <w:r>
              <w:rPr>
                <w:rFonts w:ascii="Times New Roman" w:cs="Times New Roman"/>
                <w:kern w:val="2"/>
                <w:sz w:val="21"/>
                <w:szCs w:val="21"/>
              </w:rPr>
              <w:t>（</w:t>
            </w:r>
            <w:r>
              <w:rPr>
                <w:rFonts w:hint="eastAsia" w:ascii="Times New Roman" w:cs="Times New Roman"/>
                <w:kern w:val="2"/>
                <w:sz w:val="21"/>
                <w:szCs w:val="21"/>
                <w:lang w:val="en-US" w:eastAsia="zh-CN"/>
              </w:rPr>
              <w:t>1</w:t>
            </w:r>
            <w:r>
              <w:rPr>
                <w:rFonts w:ascii="Times New Roman" w:cs="Times New Roman"/>
                <w:kern w:val="2"/>
                <w:sz w:val="21"/>
                <w:szCs w:val="21"/>
              </w:rPr>
              <w:t>用</w:t>
            </w:r>
            <w:r>
              <w:rPr>
                <w:rFonts w:hint="eastAsia" w:ascii="Times New Roman" w:cs="Times New Roman"/>
                <w:kern w:val="2"/>
                <w:sz w:val="21"/>
                <w:szCs w:val="21"/>
                <w:lang w:val="en-US" w:eastAsia="zh-CN"/>
              </w:rPr>
              <w:t>1</w:t>
            </w:r>
            <w:r>
              <w:rPr>
                <w:rFonts w:ascii="Times New Roman" w:cs="Times New Roman"/>
                <w:kern w:val="2"/>
                <w:sz w:val="21"/>
                <w:szCs w:val="21"/>
              </w:rPr>
              <w:t>备）</w:t>
            </w:r>
          </w:p>
        </w:tc>
        <w:tc>
          <w:tcPr>
            <w:tcW w:w="1277" w:type="dxa"/>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eastAsia" w:ascii="Times New Roman" w:cs="Times New Roman"/>
                <w:kern w:val="2"/>
                <w:sz w:val="21"/>
                <w:szCs w:val="21"/>
                <w:lang w:val="en-US" w:eastAsia="zh-CN"/>
              </w:rPr>
              <w:t>80</w:t>
            </w:r>
          </w:p>
        </w:tc>
        <w:tc>
          <w:tcPr>
            <w:tcW w:w="109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267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气体钻（钻井时间43d）</w:t>
            </w:r>
          </w:p>
        </w:tc>
        <w:tc>
          <w:tcPr>
            <w:tcW w:w="120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单台声源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69" w:hRule="atLeast"/>
          <w:jc w:val="center"/>
        </w:trPr>
        <w:tc>
          <w:tcPr>
            <w:tcW w:w="89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增压机</w:t>
            </w:r>
          </w:p>
        </w:tc>
        <w:tc>
          <w:tcPr>
            <w:tcW w:w="138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w:t>
            </w:r>
          </w:p>
        </w:tc>
        <w:tc>
          <w:tcPr>
            <w:tcW w:w="1277" w:type="dxa"/>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eastAsia" w:ascii="Times New Roman" w:cs="Times New Roman"/>
                <w:kern w:val="2"/>
                <w:sz w:val="21"/>
                <w:szCs w:val="21"/>
                <w:lang w:val="en-US" w:eastAsia="zh-CN"/>
              </w:rPr>
              <w:t>80</w:t>
            </w:r>
          </w:p>
        </w:tc>
        <w:tc>
          <w:tcPr>
            <w:tcW w:w="109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267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气体钻（钻井时间43d）</w:t>
            </w:r>
          </w:p>
        </w:tc>
        <w:tc>
          <w:tcPr>
            <w:tcW w:w="120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单台声源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69" w:hRule="atLeast"/>
          <w:jc w:val="center"/>
        </w:trPr>
        <w:tc>
          <w:tcPr>
            <w:tcW w:w="89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泥浆泵</w:t>
            </w:r>
          </w:p>
        </w:tc>
        <w:tc>
          <w:tcPr>
            <w:tcW w:w="138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w:t>
            </w:r>
          </w:p>
        </w:tc>
        <w:tc>
          <w:tcPr>
            <w:tcW w:w="1277" w:type="dxa"/>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eastAsia" w:ascii="Times New Roman" w:cs="Times New Roman"/>
                <w:kern w:val="2"/>
                <w:sz w:val="21"/>
                <w:szCs w:val="21"/>
                <w:lang w:val="en-US" w:eastAsia="zh-CN"/>
              </w:rPr>
              <w:t>80</w:t>
            </w:r>
          </w:p>
        </w:tc>
        <w:tc>
          <w:tcPr>
            <w:tcW w:w="109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267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常规钻（钻井时间87d）</w:t>
            </w:r>
          </w:p>
        </w:tc>
        <w:tc>
          <w:tcPr>
            <w:tcW w:w="120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单台声源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69" w:hRule="atLeast"/>
          <w:jc w:val="center"/>
        </w:trPr>
        <w:tc>
          <w:tcPr>
            <w:tcW w:w="89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振动筛</w:t>
            </w:r>
          </w:p>
        </w:tc>
        <w:tc>
          <w:tcPr>
            <w:tcW w:w="138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w:t>
            </w:r>
          </w:p>
        </w:tc>
        <w:tc>
          <w:tcPr>
            <w:tcW w:w="127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80</w:t>
            </w:r>
          </w:p>
        </w:tc>
        <w:tc>
          <w:tcPr>
            <w:tcW w:w="109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267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常规钻（钻井时间87d）</w:t>
            </w:r>
          </w:p>
        </w:tc>
        <w:tc>
          <w:tcPr>
            <w:tcW w:w="120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单台声源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69" w:hRule="atLeast"/>
          <w:jc w:val="center"/>
        </w:trPr>
        <w:tc>
          <w:tcPr>
            <w:tcW w:w="89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离心机</w:t>
            </w:r>
          </w:p>
        </w:tc>
        <w:tc>
          <w:tcPr>
            <w:tcW w:w="138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1277" w:type="dxa"/>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eastAsia" w:ascii="Times New Roman" w:cs="Times New Roman"/>
                <w:kern w:val="2"/>
                <w:sz w:val="21"/>
                <w:szCs w:val="21"/>
                <w:lang w:val="en-US" w:eastAsia="zh-CN"/>
              </w:rPr>
              <w:t>75</w:t>
            </w:r>
          </w:p>
        </w:tc>
        <w:tc>
          <w:tcPr>
            <w:tcW w:w="109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267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常规钻（钻井时间87d）</w:t>
            </w:r>
          </w:p>
        </w:tc>
        <w:tc>
          <w:tcPr>
            <w:tcW w:w="120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单台声源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69" w:hRule="atLeast"/>
          <w:jc w:val="center"/>
        </w:trPr>
        <w:tc>
          <w:tcPr>
            <w:tcW w:w="89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压裂泵</w:t>
            </w:r>
          </w:p>
        </w:tc>
        <w:tc>
          <w:tcPr>
            <w:tcW w:w="138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w:t>
            </w:r>
          </w:p>
        </w:tc>
        <w:tc>
          <w:tcPr>
            <w:tcW w:w="1277" w:type="dxa"/>
            <w:vAlign w:val="center"/>
          </w:tcPr>
          <w:p>
            <w:pPr>
              <w:widowControl/>
              <w:topLinePunct w:val="0"/>
              <w:snapToGrid w:val="0"/>
              <w:spacing w:line="240" w:lineRule="auto"/>
              <w:ind w:firstLine="0" w:firstLineChars="0"/>
              <w:jc w:val="center"/>
              <w:rPr>
                <w:rFonts w:hint="eastAsia" w:ascii="Times New Roman" w:eastAsia="宋体" w:cs="Times New Roman"/>
                <w:kern w:val="2"/>
                <w:sz w:val="21"/>
                <w:szCs w:val="21"/>
                <w:lang w:eastAsia="zh-CN"/>
              </w:rPr>
            </w:pPr>
            <w:r>
              <w:rPr>
                <w:rFonts w:ascii="Times New Roman" w:cs="Times New Roman"/>
                <w:kern w:val="2"/>
                <w:sz w:val="21"/>
                <w:szCs w:val="21"/>
              </w:rPr>
              <w:t>9</w:t>
            </w:r>
            <w:r>
              <w:rPr>
                <w:rFonts w:hint="eastAsia" w:ascii="Times New Roman" w:cs="Times New Roman"/>
                <w:kern w:val="2"/>
                <w:sz w:val="21"/>
                <w:szCs w:val="21"/>
                <w:lang w:val="en-US" w:eastAsia="zh-CN"/>
              </w:rPr>
              <w:t>0</w:t>
            </w:r>
          </w:p>
        </w:tc>
        <w:tc>
          <w:tcPr>
            <w:tcW w:w="109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267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压裂</w:t>
            </w:r>
          </w:p>
        </w:tc>
        <w:tc>
          <w:tcPr>
            <w:tcW w:w="120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单台声源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69" w:hRule="atLeast"/>
          <w:jc w:val="center"/>
        </w:trPr>
        <w:tc>
          <w:tcPr>
            <w:tcW w:w="89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测试放喷</w:t>
            </w:r>
          </w:p>
        </w:tc>
        <w:tc>
          <w:tcPr>
            <w:tcW w:w="138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127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95</w:t>
            </w:r>
          </w:p>
        </w:tc>
        <w:tc>
          <w:tcPr>
            <w:tcW w:w="109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0.2</w:t>
            </w:r>
          </w:p>
        </w:tc>
        <w:tc>
          <w:tcPr>
            <w:tcW w:w="267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4h～6h</w:t>
            </w:r>
          </w:p>
        </w:tc>
        <w:tc>
          <w:tcPr>
            <w:tcW w:w="120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临时排放</w:t>
            </w:r>
          </w:p>
        </w:tc>
      </w:tr>
    </w:tbl>
    <w:p>
      <w:pPr>
        <w:pStyle w:val="114"/>
        <w:ind w:firstLine="480"/>
      </w:pPr>
      <w:r>
        <w:t>环评要求：项目在施工期间</w:t>
      </w:r>
      <w:bookmarkStart w:id="322" w:name="OLE_LINK122"/>
      <w:bookmarkStart w:id="323" w:name="OLE_LINK121"/>
      <w:bookmarkStart w:id="324" w:name="OLE_LINK126"/>
      <w:bookmarkStart w:id="325" w:name="OLE_LINK125"/>
      <w:r>
        <w:t>合理安排施工作业时间，合理布局施工现场；夜间原则上禁止施工</w:t>
      </w:r>
      <w:bookmarkEnd w:id="322"/>
      <w:bookmarkEnd w:id="323"/>
      <w:r>
        <w:t>，若遇特定工艺需连续作业需报相关部门同意后，方可开展夜间施工，同时做好夜间环境保护防护及应急措施</w:t>
      </w:r>
      <w:bookmarkEnd w:id="324"/>
      <w:bookmarkEnd w:id="325"/>
      <w:r>
        <w:t>；</w:t>
      </w:r>
      <w:bookmarkStart w:id="326" w:name="OLE_LINK129"/>
      <w:bookmarkStart w:id="327" w:name="OLE_LINK130"/>
      <w:r>
        <w:t>钻井施工采用网电</w:t>
      </w:r>
      <w:bookmarkEnd w:id="326"/>
      <w:bookmarkEnd w:id="327"/>
      <w:r>
        <w:t>。</w:t>
      </w:r>
    </w:p>
    <w:bookmarkEnd w:id="314"/>
    <w:p>
      <w:pPr>
        <w:pStyle w:val="4"/>
        <w:rPr>
          <w:rFonts w:eastAsia="宋体"/>
        </w:rPr>
      </w:pPr>
      <w:bookmarkStart w:id="328" w:name="_Toc12288514"/>
      <w:r>
        <w:rPr>
          <w:rFonts w:eastAsia="宋体"/>
          <w:bCs/>
        </w:rPr>
        <w:t>4.1.7</w:t>
      </w:r>
      <w:r>
        <w:rPr>
          <w:rFonts w:eastAsia="宋体"/>
        </w:rPr>
        <w:t xml:space="preserve"> </w:t>
      </w:r>
      <w:bookmarkEnd w:id="328"/>
      <w:r>
        <w:rPr>
          <w:rFonts w:eastAsia="宋体"/>
        </w:rPr>
        <w:t>固体废物产生情况及治理措施</w:t>
      </w:r>
    </w:p>
    <w:p>
      <w:pPr>
        <w:pStyle w:val="114"/>
        <w:ind w:firstLine="480"/>
      </w:pPr>
      <w:bookmarkStart w:id="329" w:name="_Hlk56969655"/>
      <w:r>
        <w:t>施工期产生的固体废物主要为生活垃圾、施工废料、</w:t>
      </w:r>
      <w:bookmarkStart w:id="330" w:name="OLE_LINK240"/>
      <w:bookmarkStart w:id="331" w:name="OLE_LINK239"/>
      <w:r>
        <w:t>土石方、钻井岩屑、废泥浆、废油</w:t>
      </w:r>
      <w:bookmarkEnd w:id="330"/>
      <w:bookmarkEnd w:id="331"/>
      <w:r>
        <w:t>等。</w:t>
      </w:r>
    </w:p>
    <w:p>
      <w:pPr>
        <w:pStyle w:val="114"/>
        <w:ind w:firstLine="482"/>
        <w:rPr>
          <w:b/>
          <w:bCs/>
        </w:rPr>
      </w:pPr>
      <w:r>
        <w:rPr>
          <w:b/>
          <w:bCs/>
        </w:rPr>
        <w:t>1、生活垃圾</w:t>
      </w:r>
    </w:p>
    <w:p>
      <w:pPr>
        <w:pStyle w:val="114"/>
        <w:ind w:firstLine="480"/>
      </w:pPr>
      <w:bookmarkStart w:id="332" w:name="_Hlk43111258"/>
      <w:r>
        <w:t>参考普光区域内同类型项目，施工人员生活垃圾排放量约为0.5kg/（人·d）。本项目施工期站场施工</w:t>
      </w:r>
      <w:bookmarkStart w:id="333" w:name="OLE_LINK236"/>
      <w:r>
        <w:t>人员约20人</w:t>
      </w:r>
      <w:bookmarkEnd w:id="333"/>
      <w:r>
        <w:t>，钻井施工人员约50人，钻前施工人员生活垃圾排放量约为10kg/d，钻井施工人员生活垃圾排放量约为25kg/d，施工期排放总量约为6.5t。</w:t>
      </w:r>
    </w:p>
    <w:p>
      <w:pPr>
        <w:pStyle w:val="114"/>
        <w:ind w:firstLine="482"/>
      </w:pPr>
      <w:r>
        <w:rPr>
          <w:b/>
          <w:bCs/>
        </w:rPr>
        <w:t>治理措施：</w:t>
      </w:r>
      <w:r>
        <w:t>施工人员的垃圾经垃圾收集设施收集，统一送环卫部门处理。</w:t>
      </w:r>
    </w:p>
    <w:bookmarkEnd w:id="332"/>
    <w:p>
      <w:pPr>
        <w:pStyle w:val="114"/>
        <w:ind w:firstLine="482"/>
        <w:rPr>
          <w:b/>
          <w:bCs/>
        </w:rPr>
      </w:pPr>
      <w:bookmarkStart w:id="334" w:name="OLE_LINK241"/>
      <w:bookmarkStart w:id="335" w:name="OLE_LINK242"/>
      <w:r>
        <w:rPr>
          <w:b/>
          <w:bCs/>
        </w:rPr>
        <w:t>2、土石方</w:t>
      </w:r>
    </w:p>
    <w:p>
      <w:pPr>
        <w:pStyle w:val="111"/>
        <w:ind w:firstLine="480"/>
      </w:pPr>
      <w:r>
        <w:t>项目</w:t>
      </w:r>
      <w:bookmarkEnd w:id="334"/>
      <w:bookmarkEnd w:id="335"/>
      <w:r>
        <w:t>土石方挖方量共计</w:t>
      </w:r>
      <w:r>
        <w:rPr>
          <w:rFonts w:hint="eastAsia"/>
        </w:rPr>
        <w:t>1.952</w:t>
      </w:r>
      <w:r>
        <w:t>万m</w:t>
      </w:r>
      <w:r>
        <w:rPr>
          <w:vertAlign w:val="superscript"/>
        </w:rPr>
        <w:t>3</w:t>
      </w:r>
      <w:r>
        <w:t>，填方量共计</w:t>
      </w:r>
      <w:r>
        <w:rPr>
          <w:rFonts w:hint="eastAsia"/>
        </w:rPr>
        <w:t>1.952</w:t>
      </w:r>
      <w:r>
        <w:t>万m</w:t>
      </w:r>
      <w:r>
        <w:rPr>
          <w:vertAlign w:val="superscript"/>
        </w:rPr>
        <w:t>3</w:t>
      </w:r>
      <w:r>
        <w:t>，实现土石方挖填方平衡，因此无弃方产生。</w:t>
      </w:r>
    </w:p>
    <w:p>
      <w:pPr>
        <w:pStyle w:val="114"/>
        <w:ind w:firstLine="482"/>
        <w:rPr>
          <w:b/>
          <w:bCs/>
        </w:rPr>
      </w:pPr>
      <w:r>
        <w:rPr>
          <w:b/>
          <w:bCs/>
        </w:rPr>
        <w:t>3、</w:t>
      </w:r>
      <w:bookmarkStart w:id="336" w:name="OLE_LINK299"/>
      <w:bookmarkStart w:id="337" w:name="OLE_LINK300"/>
      <w:r>
        <w:rPr>
          <w:b/>
          <w:bCs/>
        </w:rPr>
        <w:t>钻井岩屑</w:t>
      </w:r>
      <w:bookmarkEnd w:id="336"/>
      <w:bookmarkEnd w:id="337"/>
    </w:p>
    <w:p>
      <w:pPr>
        <w:pStyle w:val="553"/>
        <w:spacing w:line="360" w:lineRule="auto"/>
        <w:ind w:firstLine="480"/>
        <w:rPr>
          <w:rFonts w:ascii="Times New Roman" w:hAnsi="Times New Roman"/>
        </w:rPr>
      </w:pPr>
      <w:r>
        <w:rPr>
          <w:rFonts w:ascii="Times New Roman" w:hAnsi="Times New Roman"/>
        </w:rPr>
        <w:t>钻井岩屑的产生情况按两种情况进行分析。</w:t>
      </w:r>
    </w:p>
    <w:p>
      <w:pPr>
        <w:pStyle w:val="553"/>
        <w:spacing w:line="360" w:lineRule="auto"/>
        <w:ind w:firstLine="480"/>
        <w:rPr>
          <w:rFonts w:ascii="Times New Roman" w:hAnsi="Times New Roman"/>
        </w:rPr>
      </w:pPr>
      <w:r>
        <w:rPr>
          <w:rFonts w:ascii="Times New Roman" w:hAnsi="Times New Roman"/>
        </w:rPr>
        <w:t>（1）一~三开井段均采用水基钻井液</w:t>
      </w:r>
    </w:p>
    <w:p>
      <w:pPr>
        <w:pStyle w:val="553"/>
        <w:spacing w:line="360" w:lineRule="auto"/>
        <w:ind w:firstLine="480"/>
        <w:rPr>
          <w:rFonts w:ascii="Times New Roman" w:hAnsi="Times New Roman"/>
        </w:rPr>
      </w:pPr>
      <w:r>
        <w:rPr>
          <w:rFonts w:ascii="Times New Roman" w:hAnsi="Times New Roman"/>
        </w:rPr>
        <w:t>钻井岩屑是在钻井过程中连续产生，根据普光气田钻井类比调查，每米进尺岩屑产生量约为0.1m</w:t>
      </w:r>
      <w:r>
        <w:rPr>
          <w:rFonts w:ascii="Times New Roman" w:hAnsi="Times New Roman"/>
          <w:vertAlign w:val="superscript"/>
        </w:rPr>
        <w:t>3</w:t>
      </w:r>
      <w:r>
        <w:rPr>
          <w:rFonts w:ascii="Times New Roman" w:hAnsi="Times New Roman"/>
        </w:rPr>
        <w:t>，本项目共进尺约12658m，因此本项目岩屑产生量约为1265.8m</w:t>
      </w:r>
      <w:r>
        <w:rPr>
          <w:rFonts w:ascii="Times New Roman" w:hAnsi="Times New Roman"/>
          <w:vertAlign w:val="superscript"/>
        </w:rPr>
        <w:t>3</w:t>
      </w:r>
      <w:r>
        <w:rPr>
          <w:rFonts w:ascii="Times New Roman" w:hAnsi="Times New Roman"/>
        </w:rPr>
        <w:t>。本项目采取清洁化操作平台，空气钻岩屑及时拉运填埋处理，废泥浆和与常规钻产生的岩屑</w:t>
      </w:r>
      <w:r>
        <w:rPr>
          <w:rFonts w:ascii="Times New Roman" w:hAnsi="Times New Roman"/>
          <w:bCs/>
          <w:spacing w:val="10"/>
        </w:rPr>
        <w:t>采用清洁化操作平台，并采取泥浆不落地措施</w:t>
      </w:r>
      <w:r>
        <w:rPr>
          <w:rFonts w:ascii="Times New Roman" w:hAnsi="Times New Roman"/>
        </w:rPr>
        <w:t>，待项目完成后按照《达州市生态环境局办公室关于进一步加强固体废物污染防治工作的通知》（达市环办发〔2021〕24号）要求（详见附件15），就近交给依法取得生态环境部门关于利用和处置相关工业固体废物项目环评批复、具有处理处置相应固体废物能力并配套建设有废气、废水、固废等污染物治理设施的单位进行资源化利用。</w:t>
      </w:r>
    </w:p>
    <w:p>
      <w:pPr>
        <w:pStyle w:val="111"/>
        <w:ind w:firstLine="480"/>
      </w:pPr>
      <w:r>
        <w:t>钻井岩屑为钻井过程中从地层携带出的岩石物质，天然气开采过程中产生的钻井岩屑未列入</w:t>
      </w:r>
      <w:bookmarkStart w:id="338" w:name="OLE_LINK32"/>
      <w:bookmarkStart w:id="339" w:name="OLE_LINK31"/>
      <w:r>
        <w:t>《国家危险废物名录》（2021年1月1日）</w:t>
      </w:r>
      <w:bookmarkEnd w:id="338"/>
      <w:bookmarkEnd w:id="339"/>
      <w:r>
        <w:t>，天然气开采行业中采用的水基钻井液钻井过程中产生的钻井岩屑按照一般工业固体废物进行管理。</w:t>
      </w:r>
    </w:p>
    <w:p>
      <w:pPr>
        <w:pStyle w:val="111"/>
        <w:ind w:firstLine="480"/>
      </w:pPr>
      <w:r>
        <w:t>（2）三开井段采用白油基钻井液</w:t>
      </w:r>
    </w:p>
    <w:p>
      <w:pPr>
        <w:pStyle w:val="111"/>
        <w:ind w:firstLine="480"/>
      </w:pPr>
      <w:r>
        <w:t>若封堵性聚合物润滑防塌钻井液不能满足三开井段安全钻井要求，则更换为白油基钻井液体系。根据钻井方式，采用封堵性聚合物润滑防塌钻井液核算出水基岩屑产生量共为459.1m</w:t>
      </w:r>
      <w:r>
        <w:rPr>
          <w:vertAlign w:val="superscript"/>
        </w:rPr>
        <w:t>3</w:t>
      </w:r>
      <w:r>
        <w:t>，采用白油基钻井液体系油基岩屑产生量共为550.9m</w:t>
      </w:r>
      <w:r>
        <w:rPr>
          <w:vertAlign w:val="superscript"/>
        </w:rPr>
        <w:t>3</w:t>
      </w:r>
      <w:r>
        <w:t>。本项目</w:t>
      </w:r>
      <w:r>
        <w:rPr>
          <w:bCs/>
        </w:rPr>
        <w:t>采用清洁化操作平台，并采取泥浆不落地措施，</w:t>
      </w:r>
      <w:r>
        <w:t>水基岩屑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废油基岩屑袋装后暂存于危废暂存间，面积约</w:t>
      </w:r>
      <w:r>
        <w:rPr>
          <w:rFonts w:hint="eastAsia"/>
        </w:rPr>
        <w:t>2</w:t>
      </w:r>
      <w:r>
        <w:t>5m</w:t>
      </w:r>
      <w:r>
        <w:rPr>
          <w:vertAlign w:val="superscript"/>
        </w:rPr>
        <w:t>2</w:t>
      </w:r>
      <w:r>
        <w:t>，暂存间地面采取必要的防护措施（防风、防雨、防晒、防渗、防漏、防腐）及其他环境污染防护措施，委托有资质单位处理，委托有资质单位处理。</w:t>
      </w:r>
    </w:p>
    <w:p>
      <w:pPr>
        <w:pStyle w:val="114"/>
        <w:ind w:firstLine="482"/>
        <w:rPr>
          <w:b/>
          <w:bCs/>
        </w:rPr>
      </w:pPr>
      <w:bookmarkStart w:id="340" w:name="OLE_LINK262"/>
      <w:bookmarkStart w:id="341" w:name="OLE_LINK261"/>
      <w:r>
        <w:rPr>
          <w:b/>
          <w:bCs/>
        </w:rPr>
        <w:t>4、</w:t>
      </w:r>
      <w:bookmarkStart w:id="342" w:name="OLE_LINK12"/>
      <w:bookmarkStart w:id="343" w:name="OLE_LINK11"/>
      <w:r>
        <w:rPr>
          <w:b/>
          <w:bCs/>
        </w:rPr>
        <w:t>废泥浆</w:t>
      </w:r>
      <w:bookmarkEnd w:id="342"/>
      <w:bookmarkEnd w:id="343"/>
    </w:p>
    <w:p>
      <w:pPr>
        <w:pStyle w:val="553"/>
        <w:ind w:firstLine="480"/>
        <w:rPr>
          <w:rFonts w:ascii="Times New Roman" w:hAnsi="Times New Roman"/>
        </w:rPr>
      </w:pPr>
      <w:r>
        <w:rPr>
          <w:rFonts w:ascii="Times New Roman" w:hAnsi="Times New Roman"/>
        </w:rPr>
        <w:t>废泥浆的产生情况按两种情况进行分析。</w:t>
      </w:r>
    </w:p>
    <w:p>
      <w:pPr>
        <w:pStyle w:val="553"/>
        <w:ind w:firstLine="480"/>
        <w:rPr>
          <w:rFonts w:ascii="Times New Roman" w:hAnsi="Times New Roman"/>
        </w:rPr>
      </w:pPr>
      <w:r>
        <w:rPr>
          <w:rFonts w:ascii="Times New Roman" w:hAnsi="Times New Roman"/>
        </w:rPr>
        <w:t>（1）一~三开井段均采用水基钻井液</w:t>
      </w:r>
    </w:p>
    <w:p>
      <w:pPr>
        <w:pStyle w:val="575"/>
        <w:ind w:firstLine="480"/>
        <w:rPr>
          <w:rFonts w:ascii="Times New Roman" w:hAnsi="Times New Roman"/>
        </w:rPr>
      </w:pPr>
      <w:r>
        <w:rPr>
          <w:rFonts w:ascii="Times New Roman" w:hAnsi="Times New Roman"/>
        </w:rPr>
        <w:t>a、组成</w:t>
      </w:r>
    </w:p>
    <w:bookmarkEnd w:id="340"/>
    <w:bookmarkEnd w:id="341"/>
    <w:p>
      <w:pPr>
        <w:pStyle w:val="553"/>
        <w:ind w:firstLine="480"/>
        <w:rPr>
          <w:rFonts w:ascii="Times New Roman" w:hAnsi="Times New Roman"/>
        </w:rPr>
      </w:pPr>
      <w:r>
        <w:rPr>
          <w:rFonts w:ascii="Times New Roman" w:hAnsi="Times New Roman"/>
        </w:rPr>
        <w:t>废钻井液主要是由黏土、钻屑、加重材料、化学添加剂、无机盐等组成的多相稳定悬浮液，pH值较高。导致环境污染的有害成分为盐类、杀菌剂、化学添加剂，高分子有机化合物经生物降解后产生的低分子有机化合物和碱性物质。</w:t>
      </w:r>
    </w:p>
    <w:p>
      <w:pPr>
        <w:pStyle w:val="575"/>
        <w:rPr>
          <w:rFonts w:ascii="Times New Roman" w:hAnsi="Times New Roman"/>
        </w:rPr>
      </w:pPr>
      <w:r>
        <w:rPr>
          <w:rFonts w:ascii="Times New Roman" w:hAnsi="Times New Roman"/>
        </w:rPr>
        <w:t>b、产生量</w:t>
      </w:r>
    </w:p>
    <w:p>
      <w:pPr>
        <w:pStyle w:val="553"/>
        <w:ind w:firstLine="480"/>
        <w:rPr>
          <w:rFonts w:ascii="Times New Roman" w:hAnsi="Times New Roman"/>
        </w:rPr>
      </w:pPr>
      <w:r>
        <w:rPr>
          <w:rFonts w:ascii="Times New Roman" w:hAnsi="Times New Roman"/>
        </w:rPr>
        <w:t>钻井过程中水基泥浆的回收利用率为95%，其余为废水基泥浆。</w:t>
      </w:r>
      <w:r>
        <w:rPr>
          <w:rFonts w:hint="eastAsia" w:ascii="Times New Roman" w:hAnsi="Times New Roman"/>
        </w:rPr>
        <w:t>根据表3.4-4 钻井液预计消耗情况一览表，</w:t>
      </w:r>
      <w:r>
        <w:rPr>
          <w:rFonts w:ascii="Times New Roman" w:hAnsi="Times New Roman"/>
        </w:rPr>
        <w:t>本项目</w:t>
      </w:r>
      <w:r>
        <w:rPr>
          <w:rFonts w:hint="eastAsia" w:ascii="Times New Roman" w:hAnsi="Times New Roman"/>
        </w:rPr>
        <w:t>水基</w:t>
      </w:r>
      <w:r>
        <w:rPr>
          <w:rFonts w:ascii="Times New Roman" w:hAnsi="Times New Roman"/>
        </w:rPr>
        <w:t>钻井液用量为</w:t>
      </w:r>
      <w:r>
        <w:rPr>
          <w:rFonts w:hint="eastAsia" w:ascii="Times New Roman" w:hAnsi="Times New Roman"/>
        </w:rPr>
        <w:t>5620</w:t>
      </w:r>
      <w:r>
        <w:rPr>
          <w:rFonts w:ascii="Times New Roman" w:hAnsi="Times New Roman"/>
        </w:rPr>
        <w:t>m</w:t>
      </w:r>
      <w:r>
        <w:rPr>
          <w:rFonts w:ascii="Times New Roman" w:hAnsi="Times New Roman"/>
          <w:vertAlign w:val="superscript"/>
        </w:rPr>
        <w:t>3</w:t>
      </w:r>
      <w:r>
        <w:rPr>
          <w:rFonts w:ascii="Times New Roman" w:hAnsi="Times New Roman"/>
        </w:rPr>
        <w:t>，则废弃泥浆产生量为</w:t>
      </w:r>
      <w:r>
        <w:rPr>
          <w:rFonts w:hint="eastAsia" w:ascii="Times New Roman" w:hAnsi="Times New Roman"/>
        </w:rPr>
        <w:t>281</w:t>
      </w:r>
      <w:r>
        <w:rPr>
          <w:rFonts w:ascii="Times New Roman" w:hAnsi="Times New Roman"/>
        </w:rPr>
        <w:t>m</w:t>
      </w:r>
      <w:r>
        <w:rPr>
          <w:rFonts w:ascii="Times New Roman" w:hAnsi="Times New Roman"/>
          <w:vertAlign w:val="superscript"/>
        </w:rPr>
        <w:t>3</w:t>
      </w:r>
      <w:r>
        <w:rPr>
          <w:rFonts w:ascii="Times New Roman" w:hAnsi="Times New Roman"/>
        </w:rPr>
        <w:t>。废弃泥浆采用清洁化操作平台，并采取泥浆不落地措施，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w:t>
      </w:r>
    </w:p>
    <w:p>
      <w:pPr>
        <w:pStyle w:val="111"/>
        <w:ind w:firstLine="480"/>
      </w:pPr>
      <w:r>
        <w:t>类比普光3井及普光7井钻井液固化物浸出液检测结果（见表</w:t>
      </w:r>
      <w:bookmarkStart w:id="344" w:name="OLE_LINK258"/>
      <w:bookmarkStart w:id="345" w:name="OLE_LINK257"/>
      <w:r>
        <w:t>4.1-11</w:t>
      </w:r>
      <w:bookmarkEnd w:id="344"/>
      <w:bookmarkEnd w:id="345"/>
      <w:r>
        <w:t>），样品污染物浓度均不超过《危险废物鉴别标准 浸出毒性鉴别》（GB 5085.3-2007）中表1标准，因此，钻井废泥浆属于第Ⅱ类一般工业固体废物。同时经与《国家危险废物名录》（2021年1月1日）对比，废水基泥浆不在上述名录中规定的危险废物之列。因此，废水基泥浆不属于危险废物。</w:t>
      </w:r>
    </w:p>
    <w:p>
      <w:pPr>
        <w:topLinePunct w:val="0"/>
        <w:snapToGrid w:val="0"/>
        <w:spacing w:before="156" w:beforeLines="50"/>
        <w:ind w:firstLine="480" w:firstLineChars="0"/>
        <w:jc w:val="center"/>
        <w:rPr>
          <w:rFonts w:ascii="Times New Roman" w:cs="Times New Roman"/>
          <w:b/>
          <w:kern w:val="2"/>
          <w:sz w:val="21"/>
          <w:szCs w:val="20"/>
        </w:rPr>
      </w:pPr>
      <w:bookmarkStart w:id="346" w:name="_Ref477502032"/>
      <w:r>
        <w:rPr>
          <w:rFonts w:ascii="Times New Roman" w:cs="Times New Roman"/>
          <w:b/>
          <w:kern w:val="2"/>
          <w:sz w:val="21"/>
          <w:szCs w:val="20"/>
        </w:rPr>
        <w:t>表</w:t>
      </w:r>
      <w:bookmarkEnd w:id="346"/>
      <w:r>
        <w:rPr>
          <w:rFonts w:ascii="Times New Roman" w:cs="Times New Roman"/>
          <w:b/>
          <w:sz w:val="21"/>
          <w:szCs w:val="21"/>
        </w:rPr>
        <w:t>4.1-11</w:t>
      </w:r>
      <w:r>
        <w:rPr>
          <w:rFonts w:ascii="Times New Roman" w:cs="Times New Roman"/>
          <w:b/>
          <w:kern w:val="2"/>
          <w:sz w:val="21"/>
          <w:szCs w:val="21"/>
        </w:rPr>
        <w:t xml:space="preserve"> </w:t>
      </w:r>
      <w:r>
        <w:rPr>
          <w:rFonts w:ascii="Times New Roman" w:cs="Times New Roman"/>
          <w:b/>
          <w:kern w:val="2"/>
          <w:sz w:val="21"/>
          <w:szCs w:val="20"/>
        </w:rPr>
        <w:t xml:space="preserve"> 普光3井及普光7井固化样浸出液检测结果</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0"/>
        <w:gridCol w:w="2215"/>
        <w:gridCol w:w="2351"/>
        <w:gridCol w:w="28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327"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项目</w:t>
            </w:r>
          </w:p>
        </w:tc>
        <w:tc>
          <w:tcPr>
            <w:tcW w:w="2161"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普光3井检测值</w:t>
            </w:r>
          </w:p>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（mg/L）</w:t>
            </w:r>
          </w:p>
        </w:tc>
        <w:tc>
          <w:tcPr>
            <w:tcW w:w="2294"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普光7井检测值</w:t>
            </w:r>
          </w:p>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（mg/L）</w:t>
            </w:r>
          </w:p>
        </w:tc>
        <w:tc>
          <w:tcPr>
            <w:tcW w:w="2740"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GB 5085.3-2007标准值</w:t>
            </w:r>
          </w:p>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铬（六价）</w:t>
            </w:r>
          </w:p>
        </w:tc>
        <w:tc>
          <w:tcPr>
            <w:tcW w:w="216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未检出</w:t>
            </w:r>
          </w:p>
        </w:tc>
        <w:tc>
          <w:tcPr>
            <w:tcW w:w="229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未检出</w:t>
            </w:r>
          </w:p>
        </w:tc>
        <w:tc>
          <w:tcPr>
            <w:tcW w:w="274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铜</w:t>
            </w:r>
          </w:p>
        </w:tc>
        <w:tc>
          <w:tcPr>
            <w:tcW w:w="216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0.105</w:t>
            </w:r>
          </w:p>
        </w:tc>
        <w:tc>
          <w:tcPr>
            <w:tcW w:w="229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未检出</w:t>
            </w:r>
          </w:p>
        </w:tc>
        <w:tc>
          <w:tcPr>
            <w:tcW w:w="274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锌</w:t>
            </w:r>
          </w:p>
        </w:tc>
        <w:tc>
          <w:tcPr>
            <w:tcW w:w="216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0.072</w:t>
            </w:r>
          </w:p>
        </w:tc>
        <w:tc>
          <w:tcPr>
            <w:tcW w:w="229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未检出</w:t>
            </w:r>
          </w:p>
        </w:tc>
        <w:tc>
          <w:tcPr>
            <w:tcW w:w="274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铅</w:t>
            </w:r>
          </w:p>
        </w:tc>
        <w:tc>
          <w:tcPr>
            <w:tcW w:w="216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未检出</w:t>
            </w:r>
          </w:p>
        </w:tc>
        <w:tc>
          <w:tcPr>
            <w:tcW w:w="229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未检出</w:t>
            </w:r>
          </w:p>
        </w:tc>
        <w:tc>
          <w:tcPr>
            <w:tcW w:w="274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镉</w:t>
            </w:r>
          </w:p>
        </w:tc>
        <w:tc>
          <w:tcPr>
            <w:tcW w:w="216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未检出</w:t>
            </w:r>
          </w:p>
        </w:tc>
        <w:tc>
          <w:tcPr>
            <w:tcW w:w="229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未检出</w:t>
            </w:r>
          </w:p>
        </w:tc>
        <w:tc>
          <w:tcPr>
            <w:tcW w:w="274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汞</w:t>
            </w:r>
          </w:p>
        </w:tc>
        <w:tc>
          <w:tcPr>
            <w:tcW w:w="216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未检出</w:t>
            </w:r>
          </w:p>
        </w:tc>
        <w:tc>
          <w:tcPr>
            <w:tcW w:w="229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274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砷</w:t>
            </w:r>
          </w:p>
        </w:tc>
        <w:tc>
          <w:tcPr>
            <w:tcW w:w="216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0.0003</w:t>
            </w:r>
          </w:p>
        </w:tc>
        <w:tc>
          <w:tcPr>
            <w:tcW w:w="229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274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w:t>
            </w:r>
          </w:p>
        </w:tc>
      </w:tr>
    </w:tbl>
    <w:p>
      <w:pPr>
        <w:pStyle w:val="553"/>
        <w:ind w:firstLine="480"/>
        <w:rPr>
          <w:rFonts w:ascii="Times New Roman" w:hAnsi="Times New Roman"/>
        </w:rPr>
      </w:pPr>
      <w:r>
        <w:rPr>
          <w:rFonts w:ascii="Times New Roman" w:hAnsi="Times New Roman"/>
        </w:rPr>
        <w:t xml:space="preserve">c.废岩屑、废泥浆处置方式 </w:t>
      </w:r>
    </w:p>
    <w:p>
      <w:pPr>
        <w:pStyle w:val="111"/>
        <w:ind w:firstLine="480"/>
      </w:pPr>
      <w:r>
        <w:rPr>
          <w:bCs/>
        </w:rPr>
        <w:t>本项目采用清洁化操作平台，并采取泥浆不落地措施，</w:t>
      </w:r>
      <w:r>
        <w:t>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w:t>
      </w:r>
    </w:p>
    <w:p>
      <w:pPr>
        <w:pStyle w:val="111"/>
        <w:ind w:firstLine="480"/>
      </w:pPr>
      <w:r>
        <w:t>（2）三开井段采用白油基钻井液</w:t>
      </w:r>
    </w:p>
    <w:p>
      <w:pPr>
        <w:pStyle w:val="111"/>
        <w:ind w:firstLine="480"/>
      </w:pPr>
      <w:r>
        <w:t>若封堵性聚合物润滑防塌钻井液不能满足三开井段安全钻井要求，则更换为白油基钻井液体系。根据</w:t>
      </w:r>
      <w:r>
        <w:rPr>
          <w:rFonts w:hint="eastAsia"/>
        </w:rPr>
        <w:t xml:space="preserve">表3.4-4 </w:t>
      </w:r>
      <w:r>
        <w:t>钻井</w:t>
      </w:r>
      <w:r>
        <w:rPr>
          <w:rFonts w:hint="eastAsia"/>
        </w:rPr>
        <w:t>液预计消耗情况三开钻井液需要量为1440m</w:t>
      </w:r>
      <w:r>
        <w:rPr>
          <w:rFonts w:hint="eastAsia"/>
          <w:vertAlign w:val="superscript"/>
        </w:rPr>
        <w:t>3</w:t>
      </w:r>
      <w:r>
        <w:rPr>
          <w:rFonts w:hint="eastAsia"/>
        </w:rPr>
        <w:t>，根据建设单位提供资料，在区域内相同钻井的白油基钻井液回收利用率约为95%</w:t>
      </w:r>
      <w:r>
        <w:t>，</w:t>
      </w:r>
      <w:r>
        <w:rPr>
          <w:rFonts w:hint="eastAsia"/>
        </w:rPr>
        <w:t>因此</w:t>
      </w:r>
      <w:r>
        <w:t>油基泥浆产生量约为</w:t>
      </w:r>
      <w:r>
        <w:rPr>
          <w:rFonts w:hint="eastAsia"/>
        </w:rPr>
        <w:t>72</w:t>
      </w:r>
      <w:r>
        <w:t>m</w:t>
      </w:r>
      <w:r>
        <w:rPr>
          <w:vertAlign w:val="superscript"/>
        </w:rPr>
        <w:t>3</w:t>
      </w:r>
      <w:r>
        <w:t>。本项目</w:t>
      </w:r>
      <w:r>
        <w:rPr>
          <w:bCs/>
        </w:rPr>
        <w:t>采用清洁化操作平台，并采取泥浆不落地措施，</w:t>
      </w:r>
      <w:r>
        <w:t>水基泥浆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废油基泥浆袋装后暂存于危废暂存间，面积约</w:t>
      </w:r>
      <w:r>
        <w:rPr>
          <w:rFonts w:hint="eastAsia"/>
        </w:rPr>
        <w:t>2</w:t>
      </w:r>
      <w:r>
        <w:t>5m</w:t>
      </w:r>
      <w:r>
        <w:rPr>
          <w:vertAlign w:val="superscript"/>
        </w:rPr>
        <w:t>2</w:t>
      </w:r>
      <w:r>
        <w:t>，暂存间地面采取必要的防护措施（防风、防雨、防晒、防渗、防漏、防腐）及其他环境污染防护措施，委托有资质单位处理。</w:t>
      </w:r>
    </w:p>
    <w:p>
      <w:pPr>
        <w:pStyle w:val="114"/>
        <w:ind w:firstLine="482"/>
        <w:rPr>
          <w:b/>
          <w:bCs/>
        </w:rPr>
      </w:pPr>
      <w:r>
        <w:rPr>
          <w:b/>
          <w:bCs/>
        </w:rPr>
        <w:t>5、</w:t>
      </w:r>
      <w:r>
        <w:rPr>
          <w:b/>
        </w:rPr>
        <w:t>废油</w:t>
      </w:r>
    </w:p>
    <w:p>
      <w:pPr>
        <w:pStyle w:val="111"/>
        <w:ind w:firstLine="480"/>
      </w:pPr>
      <w:r>
        <w:t>钻井过程中废油的主要来源是：机械（泥浆泵、转盘、链条等）润滑废油；清洗、保养产生的废油。</w:t>
      </w:r>
      <w:r>
        <w:rPr>
          <w:rFonts w:hint="eastAsia"/>
          <w:lang w:val="en-US" w:eastAsia="zh-CN"/>
        </w:rPr>
        <w:t>本项目</w:t>
      </w:r>
      <w:r>
        <w:t>钻井期间废油产生量约0.5m</w:t>
      </w:r>
      <w:r>
        <w:rPr>
          <w:vertAlign w:val="superscript"/>
        </w:rPr>
        <w:t>3</w:t>
      </w:r>
      <w:r>
        <w:t>，废油暂存于危废暂存间，面积约</w:t>
      </w:r>
      <w:r>
        <w:rPr>
          <w:rFonts w:hint="eastAsia"/>
        </w:rPr>
        <w:t>2</w:t>
      </w:r>
      <w:r>
        <w:t>5m</w:t>
      </w:r>
      <w:r>
        <w:rPr>
          <w:vertAlign w:val="superscript"/>
        </w:rPr>
        <w:t>2</w:t>
      </w:r>
      <w:r>
        <w:t>，暂存间地面必要的防护措施（防风、防雨、防晒、防渗、防漏、防腐）及其他环境污染防护措施，并及时清运至企业净化厂危险废物贮存仓库，定期送有资质单位处理。废油属危险废物（《国家危险废物名录》（2021年1月1日）中HW08废矿物油与含矿物油废物），由有危险废物处置资质的单位代为处置。本项目对废油的收集、贮存和运输应满足《危险废物收集 贮存 运输技术规范》（HJ 2025-2012）的相关规定。</w:t>
      </w:r>
    </w:p>
    <w:p>
      <w:pPr>
        <w:pStyle w:val="111"/>
        <w:ind w:firstLine="480"/>
      </w:pPr>
      <w:bookmarkStart w:id="347" w:name="OLE_LINK78"/>
      <w:bookmarkStart w:id="348" w:name="OLE_LINK77"/>
      <w:bookmarkStart w:id="349" w:name="_Hlk105537821"/>
      <w:r>
        <w:t>HW08</w:t>
      </w:r>
      <w:bookmarkEnd w:id="347"/>
      <w:bookmarkEnd w:id="348"/>
      <w:r>
        <w:t>废矿物油</w:t>
      </w:r>
      <w:bookmarkEnd w:id="349"/>
      <w:r>
        <w:t>与含矿物油废物委托有危险废物处置资质的单位进行处理，可满足本项目废油处置的需求。</w:t>
      </w:r>
    </w:p>
    <w:p>
      <w:pPr>
        <w:pStyle w:val="111"/>
        <w:ind w:firstLine="480"/>
        <w:rPr>
          <w:szCs w:val="22"/>
        </w:rPr>
      </w:pPr>
      <w:r>
        <w:rPr>
          <w:szCs w:val="22"/>
        </w:rPr>
        <w:t>本项目钻井工程危险废物产生量见下表。</w:t>
      </w:r>
    </w:p>
    <w:p>
      <w:pPr>
        <w:pStyle w:val="111"/>
        <w:ind w:firstLine="480"/>
        <w:rPr>
          <w:rFonts w:hint="eastAsia"/>
          <w:bCs/>
        </w:rPr>
      </w:pPr>
    </w:p>
    <w:p>
      <w:pPr>
        <w:pStyle w:val="111"/>
        <w:ind w:firstLine="480"/>
        <w:rPr>
          <w:bCs/>
        </w:rPr>
        <w:sectPr>
          <w:headerReference r:id="rId24" w:type="default"/>
          <w:footerReference r:id="rId25" w:type="default"/>
          <w:pgSz w:w="11906" w:h="16838"/>
          <w:pgMar w:top="1417" w:right="1417" w:bottom="1417" w:left="1701" w:header="851" w:footer="992" w:gutter="0"/>
          <w:pgBorders>
            <w:top w:val="none" w:sz="0" w:space="0"/>
            <w:left w:val="none" w:sz="0" w:space="0"/>
            <w:bottom w:val="none" w:sz="0" w:space="0"/>
            <w:right w:val="none" w:sz="0" w:space="0"/>
          </w:pgBorders>
          <w:cols w:space="425" w:num="1"/>
          <w:docGrid w:type="lines" w:linePitch="312" w:charSpace="0"/>
        </w:sectPr>
      </w:pPr>
    </w:p>
    <w:p>
      <w:pPr>
        <w:pStyle w:val="111"/>
        <w:ind w:firstLine="480"/>
        <w:jc w:val="center"/>
        <w:rPr>
          <w:bCs/>
        </w:rPr>
      </w:pPr>
      <w:r>
        <w:rPr>
          <w:b/>
          <w:bCs w:val="0"/>
        </w:rPr>
        <w:t>表4.1-12  钻井工程危险废物汇总表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15" w:type="dxa"/>
          <w:left w:w="15" w:type="dxa"/>
          <w:bottom w:w="15" w:type="dxa"/>
          <w:right w:w="15" w:type="dxa"/>
        </w:tblCellMar>
      </w:tblPr>
      <w:tblGrid>
        <w:gridCol w:w="540"/>
        <w:gridCol w:w="1706"/>
        <w:gridCol w:w="936"/>
        <w:gridCol w:w="1110"/>
        <w:gridCol w:w="1127"/>
        <w:gridCol w:w="1113"/>
        <w:gridCol w:w="1113"/>
        <w:gridCol w:w="700"/>
        <w:gridCol w:w="1124"/>
        <w:gridCol w:w="894"/>
        <w:gridCol w:w="880"/>
        <w:gridCol w:w="947"/>
        <w:gridCol w:w="18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tblHeader/>
          <w:jc w:val="center"/>
        </w:trPr>
        <w:tc>
          <w:tcPr>
            <w:tcW w:w="192" w:type="pct"/>
            <w:tcBorders>
              <w:tl2br w:val="nil"/>
              <w:tr2bl w:val="nil"/>
            </w:tcBorders>
            <w:shd w:val="clear" w:color="auto" w:fill="FFFFFF" w:themeFill="background1"/>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val="0"/>
                <w:sz w:val="21"/>
                <w:szCs w:val="21"/>
              </w:rPr>
            </w:pPr>
            <w:r>
              <w:rPr>
                <w:rFonts w:hint="eastAsia"/>
                <w:b/>
                <w:bCs w:val="0"/>
                <w:sz w:val="21"/>
                <w:szCs w:val="21"/>
              </w:rPr>
              <w:t>序号</w:t>
            </w:r>
          </w:p>
        </w:tc>
        <w:tc>
          <w:tcPr>
            <w:tcW w:w="607" w:type="pct"/>
            <w:tcBorders>
              <w:tl2br w:val="nil"/>
              <w:tr2bl w:val="nil"/>
            </w:tcBorders>
            <w:shd w:val="clear" w:color="auto" w:fill="FFFFFF" w:themeFill="background1"/>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val="0"/>
                <w:sz w:val="21"/>
                <w:szCs w:val="21"/>
              </w:rPr>
            </w:pPr>
            <w:r>
              <w:rPr>
                <w:rFonts w:hint="eastAsia"/>
                <w:b/>
                <w:bCs w:val="0"/>
                <w:sz w:val="21"/>
                <w:szCs w:val="21"/>
              </w:rPr>
              <w:t>废物名称</w:t>
            </w:r>
          </w:p>
        </w:tc>
        <w:tc>
          <w:tcPr>
            <w:tcW w:w="333" w:type="pct"/>
            <w:tcBorders>
              <w:tl2br w:val="nil"/>
              <w:tr2bl w:val="nil"/>
            </w:tcBorders>
            <w:shd w:val="clear" w:color="auto" w:fill="FFFFFF" w:themeFill="background1"/>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val="0"/>
                <w:sz w:val="21"/>
                <w:szCs w:val="21"/>
              </w:rPr>
            </w:pPr>
            <w:r>
              <w:rPr>
                <w:rFonts w:hint="eastAsia"/>
                <w:b/>
                <w:bCs w:val="0"/>
                <w:sz w:val="21"/>
                <w:szCs w:val="21"/>
              </w:rPr>
              <w:t>废物类别</w:t>
            </w:r>
          </w:p>
        </w:tc>
        <w:tc>
          <w:tcPr>
            <w:tcW w:w="395" w:type="pct"/>
            <w:tcBorders>
              <w:tl2br w:val="nil"/>
              <w:tr2bl w:val="nil"/>
            </w:tcBorders>
            <w:shd w:val="clear" w:color="auto" w:fill="FFFFFF" w:themeFill="background1"/>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val="0"/>
                <w:sz w:val="21"/>
                <w:szCs w:val="21"/>
              </w:rPr>
            </w:pPr>
            <w:r>
              <w:rPr>
                <w:rFonts w:hint="eastAsia"/>
                <w:b/>
                <w:bCs w:val="0"/>
                <w:sz w:val="21"/>
                <w:szCs w:val="21"/>
              </w:rPr>
              <w:t>废物代码</w:t>
            </w:r>
          </w:p>
        </w:tc>
        <w:tc>
          <w:tcPr>
            <w:tcW w:w="401" w:type="pct"/>
            <w:tcBorders>
              <w:tl2br w:val="nil"/>
              <w:tr2bl w:val="nil"/>
            </w:tcBorders>
            <w:shd w:val="clear" w:color="auto" w:fill="FFFFFF" w:themeFill="background1"/>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val="0"/>
                <w:sz w:val="21"/>
                <w:szCs w:val="21"/>
              </w:rPr>
            </w:pPr>
            <w:r>
              <w:rPr>
                <w:rFonts w:hint="eastAsia"/>
                <w:b/>
                <w:bCs w:val="0"/>
                <w:sz w:val="21"/>
                <w:szCs w:val="21"/>
              </w:rPr>
              <w:t>性质判断</w:t>
            </w:r>
          </w:p>
        </w:tc>
        <w:tc>
          <w:tcPr>
            <w:tcW w:w="396" w:type="pct"/>
            <w:tcBorders>
              <w:tl2br w:val="nil"/>
              <w:tr2bl w:val="nil"/>
            </w:tcBorders>
            <w:shd w:val="clear" w:color="auto" w:fill="FFFFFF" w:themeFill="background1"/>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val="0"/>
                <w:sz w:val="21"/>
                <w:szCs w:val="21"/>
              </w:rPr>
            </w:pPr>
            <w:r>
              <w:rPr>
                <w:rFonts w:hint="eastAsia"/>
                <w:b/>
                <w:bCs w:val="0"/>
                <w:sz w:val="21"/>
                <w:szCs w:val="21"/>
              </w:rPr>
              <w:t>产生量</w:t>
            </w:r>
          </w:p>
        </w:tc>
        <w:tc>
          <w:tcPr>
            <w:tcW w:w="396" w:type="pct"/>
            <w:tcBorders>
              <w:tl2br w:val="nil"/>
              <w:tr2bl w:val="nil"/>
            </w:tcBorders>
            <w:shd w:val="clear" w:color="auto" w:fill="FFFFFF" w:themeFill="background1"/>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val="0"/>
                <w:sz w:val="21"/>
                <w:szCs w:val="21"/>
              </w:rPr>
            </w:pPr>
            <w:r>
              <w:rPr>
                <w:rFonts w:hint="eastAsia"/>
                <w:b/>
                <w:bCs w:val="0"/>
                <w:sz w:val="21"/>
                <w:szCs w:val="21"/>
              </w:rPr>
              <w:t>产生工序及装置</w:t>
            </w:r>
          </w:p>
        </w:tc>
        <w:tc>
          <w:tcPr>
            <w:tcW w:w="249" w:type="pct"/>
            <w:tcBorders>
              <w:tl2br w:val="nil"/>
              <w:tr2bl w:val="nil"/>
            </w:tcBorders>
            <w:shd w:val="clear" w:color="auto" w:fill="FFFFFF" w:themeFill="background1"/>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val="0"/>
                <w:sz w:val="21"/>
                <w:szCs w:val="21"/>
              </w:rPr>
            </w:pPr>
            <w:r>
              <w:rPr>
                <w:rFonts w:hint="eastAsia"/>
                <w:b/>
                <w:bCs w:val="0"/>
                <w:sz w:val="21"/>
                <w:szCs w:val="21"/>
              </w:rPr>
              <w:t>形态</w:t>
            </w:r>
          </w:p>
        </w:tc>
        <w:tc>
          <w:tcPr>
            <w:tcW w:w="400" w:type="pct"/>
            <w:tcBorders>
              <w:tl2br w:val="nil"/>
              <w:tr2bl w:val="nil"/>
            </w:tcBorders>
            <w:shd w:val="clear" w:color="auto" w:fill="FFFFFF" w:themeFill="background1"/>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val="0"/>
                <w:sz w:val="21"/>
                <w:szCs w:val="21"/>
              </w:rPr>
            </w:pPr>
            <w:r>
              <w:rPr>
                <w:rFonts w:hint="eastAsia"/>
                <w:b/>
                <w:bCs w:val="0"/>
                <w:sz w:val="21"/>
                <w:szCs w:val="21"/>
              </w:rPr>
              <w:t>主要成分</w:t>
            </w:r>
          </w:p>
        </w:tc>
        <w:tc>
          <w:tcPr>
            <w:tcW w:w="318" w:type="pct"/>
            <w:tcBorders>
              <w:tl2br w:val="nil"/>
              <w:tr2bl w:val="nil"/>
            </w:tcBorders>
            <w:shd w:val="clear" w:color="auto" w:fill="FFFFFF" w:themeFill="background1"/>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val="0"/>
                <w:sz w:val="21"/>
                <w:szCs w:val="21"/>
              </w:rPr>
            </w:pPr>
            <w:r>
              <w:rPr>
                <w:rFonts w:hint="eastAsia"/>
                <w:b/>
                <w:bCs w:val="0"/>
                <w:sz w:val="21"/>
                <w:szCs w:val="21"/>
              </w:rPr>
              <w:t>有害成分</w:t>
            </w:r>
          </w:p>
        </w:tc>
        <w:tc>
          <w:tcPr>
            <w:tcW w:w="313" w:type="pct"/>
            <w:tcBorders>
              <w:tl2br w:val="nil"/>
              <w:tr2bl w:val="nil"/>
            </w:tcBorders>
            <w:shd w:val="clear" w:color="auto" w:fill="FFFFFF" w:themeFill="background1"/>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val="0"/>
                <w:sz w:val="21"/>
                <w:szCs w:val="21"/>
              </w:rPr>
            </w:pPr>
            <w:r>
              <w:rPr>
                <w:rFonts w:hint="eastAsia"/>
                <w:b/>
                <w:bCs w:val="0"/>
                <w:sz w:val="21"/>
                <w:szCs w:val="21"/>
              </w:rPr>
              <w:t>产废周期</w:t>
            </w:r>
          </w:p>
        </w:tc>
        <w:tc>
          <w:tcPr>
            <w:tcW w:w="337" w:type="pct"/>
            <w:tcBorders>
              <w:tl2br w:val="nil"/>
              <w:tr2bl w:val="nil"/>
            </w:tcBorders>
            <w:shd w:val="clear" w:color="auto" w:fill="FFFFFF" w:themeFill="background1"/>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val="0"/>
                <w:sz w:val="21"/>
                <w:szCs w:val="21"/>
              </w:rPr>
            </w:pPr>
            <w:r>
              <w:rPr>
                <w:rFonts w:hint="eastAsia"/>
                <w:b/>
                <w:bCs w:val="0"/>
                <w:sz w:val="21"/>
                <w:szCs w:val="21"/>
              </w:rPr>
              <w:t>危险特性</w:t>
            </w:r>
          </w:p>
        </w:tc>
        <w:tc>
          <w:tcPr>
            <w:tcW w:w="656" w:type="pct"/>
            <w:tcBorders>
              <w:tl2br w:val="nil"/>
              <w:tr2bl w:val="nil"/>
            </w:tcBorders>
            <w:shd w:val="clear" w:color="auto" w:fill="FFFFFF" w:themeFill="background1"/>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val="0"/>
                <w:sz w:val="21"/>
                <w:szCs w:val="21"/>
              </w:rPr>
            </w:pPr>
            <w:r>
              <w:rPr>
                <w:rFonts w:hint="eastAsia"/>
                <w:b/>
                <w:bCs w:val="0"/>
                <w:sz w:val="21"/>
                <w:szCs w:val="21"/>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sz w:val="21"/>
                <w:szCs w:val="21"/>
              </w:rPr>
            </w:pPr>
            <w:r>
              <w:rPr>
                <w:rFonts w:hint="eastAsia"/>
                <w:bCs/>
                <w:sz w:val="21"/>
                <w:szCs w:val="21"/>
                <w:lang w:val="en-US" w:eastAsia="zh-CN"/>
              </w:rPr>
              <w:t>1</w:t>
            </w:r>
          </w:p>
        </w:tc>
        <w:tc>
          <w:tcPr>
            <w:tcW w:w="607"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sz w:val="21"/>
                <w:szCs w:val="21"/>
              </w:rPr>
            </w:pPr>
            <w:r>
              <w:rPr>
                <w:bCs/>
                <w:sz w:val="21"/>
                <w:szCs w:val="21"/>
              </w:rPr>
              <w:t>油基岩屑</w:t>
            </w:r>
          </w:p>
        </w:tc>
        <w:tc>
          <w:tcPr>
            <w:tcW w:w="333"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Cs/>
                <w:sz w:val="21"/>
                <w:szCs w:val="21"/>
                <w:lang w:val="en-US" w:eastAsia="zh-CN"/>
              </w:rPr>
            </w:pPr>
            <w:r>
              <w:rPr>
                <w:rFonts w:hint="eastAsia"/>
                <w:bCs/>
                <w:sz w:val="21"/>
                <w:szCs w:val="21"/>
              </w:rPr>
              <w:t>HW</w:t>
            </w:r>
            <w:r>
              <w:rPr>
                <w:rFonts w:hint="eastAsia"/>
                <w:bCs/>
                <w:sz w:val="21"/>
                <w:szCs w:val="21"/>
                <w:lang w:val="en-US" w:eastAsia="zh-CN"/>
              </w:rPr>
              <w:t>08</w:t>
            </w:r>
          </w:p>
        </w:tc>
        <w:tc>
          <w:tcPr>
            <w:tcW w:w="395"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sz w:val="21"/>
                <w:szCs w:val="21"/>
              </w:rPr>
            </w:pPr>
            <w:r>
              <w:rPr>
                <w:bCs/>
                <w:sz w:val="21"/>
                <w:szCs w:val="21"/>
              </w:rPr>
              <w:t>072-001-08</w:t>
            </w:r>
          </w:p>
        </w:tc>
        <w:tc>
          <w:tcPr>
            <w:tcW w:w="401"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sz w:val="21"/>
                <w:szCs w:val="21"/>
              </w:rPr>
            </w:pPr>
            <w:r>
              <w:rPr>
                <w:rFonts w:hint="eastAsia"/>
                <w:bCs/>
                <w:sz w:val="21"/>
                <w:szCs w:val="21"/>
              </w:rPr>
              <w:t>危险废物</w:t>
            </w:r>
          </w:p>
        </w:tc>
        <w:tc>
          <w:tcPr>
            <w:tcW w:w="396"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Cs/>
                <w:sz w:val="21"/>
                <w:szCs w:val="21"/>
                <w:lang w:val="en-US" w:eastAsia="zh-CN"/>
              </w:rPr>
            </w:pPr>
            <w:r>
              <w:rPr>
                <w:rFonts w:hint="eastAsia"/>
                <w:bCs/>
                <w:sz w:val="21"/>
                <w:szCs w:val="21"/>
                <w:lang w:val="en-US" w:eastAsia="zh-CN"/>
              </w:rPr>
              <w:t>550.9m</w:t>
            </w:r>
            <w:r>
              <w:rPr>
                <w:rFonts w:hint="eastAsia"/>
                <w:bCs/>
                <w:sz w:val="21"/>
                <w:szCs w:val="21"/>
                <w:vertAlign w:val="superscript"/>
                <w:lang w:val="en-US" w:eastAsia="zh-CN"/>
              </w:rPr>
              <w:t>3</w:t>
            </w:r>
          </w:p>
        </w:tc>
        <w:tc>
          <w:tcPr>
            <w:tcW w:w="396"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Cs/>
                <w:sz w:val="21"/>
                <w:szCs w:val="21"/>
                <w:lang w:val="en-US" w:eastAsia="zh-CN"/>
              </w:rPr>
            </w:pPr>
            <w:r>
              <w:rPr>
                <w:rFonts w:hint="eastAsia"/>
                <w:bCs/>
                <w:sz w:val="21"/>
                <w:szCs w:val="21"/>
                <w:lang w:val="en-US" w:eastAsia="zh-CN"/>
              </w:rPr>
              <w:t>三开钻井</w:t>
            </w:r>
          </w:p>
        </w:tc>
        <w:tc>
          <w:tcPr>
            <w:tcW w:w="249"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Cs/>
                <w:sz w:val="21"/>
                <w:szCs w:val="21"/>
                <w:lang w:val="en-US" w:eastAsia="zh-CN"/>
              </w:rPr>
            </w:pPr>
            <w:r>
              <w:rPr>
                <w:rFonts w:hint="eastAsia"/>
                <w:bCs/>
                <w:sz w:val="21"/>
                <w:szCs w:val="21"/>
                <w:lang w:val="en-US" w:eastAsia="zh-CN"/>
              </w:rPr>
              <w:t>半</w:t>
            </w:r>
            <w:r>
              <w:rPr>
                <w:rFonts w:hint="eastAsia"/>
                <w:bCs/>
                <w:sz w:val="21"/>
                <w:szCs w:val="21"/>
              </w:rPr>
              <w:t>固</w:t>
            </w:r>
            <w:r>
              <w:rPr>
                <w:rFonts w:hint="eastAsia"/>
                <w:bCs/>
                <w:sz w:val="21"/>
                <w:szCs w:val="21"/>
                <w:lang w:val="en-US" w:eastAsia="zh-CN"/>
              </w:rPr>
              <w:t>态</w:t>
            </w:r>
          </w:p>
        </w:tc>
        <w:tc>
          <w:tcPr>
            <w:tcW w:w="400"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sz w:val="21"/>
                <w:szCs w:val="21"/>
              </w:rPr>
            </w:pPr>
            <w:r>
              <w:rPr>
                <w:bCs/>
                <w:sz w:val="21"/>
                <w:szCs w:val="21"/>
              </w:rPr>
              <w:t>含油岩屑</w:t>
            </w:r>
          </w:p>
        </w:tc>
        <w:tc>
          <w:tcPr>
            <w:tcW w:w="318"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Cs/>
                <w:sz w:val="21"/>
                <w:szCs w:val="21"/>
                <w:lang w:val="en-US" w:eastAsia="zh-CN"/>
              </w:rPr>
            </w:pPr>
            <w:r>
              <w:rPr>
                <w:rFonts w:hint="eastAsia"/>
                <w:bCs/>
                <w:sz w:val="21"/>
                <w:szCs w:val="21"/>
                <w:lang w:val="en-US" w:eastAsia="zh-CN"/>
              </w:rPr>
              <w:t>油类</w:t>
            </w:r>
          </w:p>
        </w:tc>
        <w:tc>
          <w:tcPr>
            <w:tcW w:w="313"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Cs/>
                <w:sz w:val="21"/>
                <w:szCs w:val="21"/>
                <w:lang w:val="en-US" w:eastAsia="zh-CN"/>
              </w:rPr>
            </w:pPr>
            <w:r>
              <w:rPr>
                <w:rFonts w:hint="eastAsia"/>
                <w:bCs/>
                <w:sz w:val="21"/>
                <w:szCs w:val="21"/>
                <w:lang w:val="en-US" w:eastAsia="zh-CN"/>
              </w:rPr>
              <w:t>钻井期间</w:t>
            </w:r>
          </w:p>
        </w:tc>
        <w:tc>
          <w:tcPr>
            <w:tcW w:w="337"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sz w:val="21"/>
                <w:szCs w:val="21"/>
              </w:rPr>
            </w:pPr>
            <w:r>
              <w:rPr>
                <w:bCs/>
                <w:sz w:val="21"/>
                <w:szCs w:val="21"/>
              </w:rPr>
              <w:t>T</w:t>
            </w:r>
          </w:p>
        </w:tc>
        <w:tc>
          <w:tcPr>
            <w:tcW w:w="656" w:type="pct"/>
            <w:vMerge w:val="restar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sz w:val="21"/>
                <w:szCs w:val="21"/>
              </w:rPr>
            </w:pPr>
            <w:r>
              <w:rPr>
                <w:rFonts w:hint="eastAsia"/>
                <w:bCs/>
                <w:sz w:val="21"/>
                <w:szCs w:val="21"/>
                <w:lang w:val="en-US" w:eastAsia="zh-CN"/>
              </w:rPr>
              <w:t>收集后</w:t>
            </w:r>
            <w:r>
              <w:rPr>
                <w:bCs/>
                <w:sz w:val="21"/>
                <w:szCs w:val="21"/>
              </w:rPr>
              <w:t>暂存于危废暂存间，委托有资质单位处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Cs/>
                <w:sz w:val="21"/>
                <w:szCs w:val="21"/>
                <w:lang w:val="en-US" w:eastAsia="zh-CN"/>
              </w:rPr>
            </w:pPr>
            <w:r>
              <w:rPr>
                <w:rFonts w:hint="eastAsia"/>
                <w:bCs/>
                <w:sz w:val="21"/>
                <w:szCs w:val="21"/>
                <w:lang w:val="en-US" w:eastAsia="zh-CN"/>
              </w:rPr>
              <w:t>2</w:t>
            </w:r>
          </w:p>
        </w:tc>
        <w:tc>
          <w:tcPr>
            <w:tcW w:w="607"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Cs/>
                <w:sz w:val="21"/>
                <w:szCs w:val="21"/>
                <w:lang w:val="en-US" w:eastAsia="zh-CN"/>
              </w:rPr>
            </w:pPr>
            <w:r>
              <w:rPr>
                <w:rFonts w:hint="eastAsia"/>
                <w:bCs/>
                <w:sz w:val="21"/>
                <w:szCs w:val="21"/>
                <w:lang w:val="en-US" w:eastAsia="zh-CN"/>
              </w:rPr>
              <w:t>油基泥浆</w:t>
            </w:r>
          </w:p>
        </w:tc>
        <w:tc>
          <w:tcPr>
            <w:tcW w:w="333"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Cs/>
                <w:sz w:val="21"/>
                <w:szCs w:val="21"/>
                <w:lang w:val="en-US" w:eastAsia="zh-CN"/>
              </w:rPr>
            </w:pPr>
            <w:r>
              <w:rPr>
                <w:rFonts w:hint="eastAsia"/>
                <w:bCs/>
                <w:sz w:val="21"/>
                <w:szCs w:val="21"/>
                <w:lang w:val="en-US" w:eastAsia="zh-CN"/>
              </w:rPr>
              <w:t>HW08</w:t>
            </w:r>
          </w:p>
        </w:tc>
        <w:tc>
          <w:tcPr>
            <w:tcW w:w="395"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sz w:val="21"/>
                <w:szCs w:val="21"/>
              </w:rPr>
            </w:pPr>
            <w:r>
              <w:rPr>
                <w:bCs/>
                <w:sz w:val="21"/>
                <w:szCs w:val="21"/>
              </w:rPr>
              <w:t>072-001-08</w:t>
            </w:r>
          </w:p>
        </w:tc>
        <w:tc>
          <w:tcPr>
            <w:tcW w:w="401"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sz w:val="21"/>
                <w:szCs w:val="21"/>
              </w:rPr>
            </w:pPr>
            <w:r>
              <w:rPr>
                <w:rFonts w:hint="eastAsia"/>
                <w:bCs/>
                <w:sz w:val="21"/>
                <w:szCs w:val="21"/>
              </w:rPr>
              <w:t>危险废物</w:t>
            </w:r>
          </w:p>
        </w:tc>
        <w:tc>
          <w:tcPr>
            <w:tcW w:w="396"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Cs/>
                <w:sz w:val="21"/>
                <w:szCs w:val="21"/>
                <w:lang w:val="en-US" w:eastAsia="zh-CN"/>
              </w:rPr>
            </w:pPr>
            <w:r>
              <w:rPr>
                <w:rFonts w:hint="eastAsia"/>
                <w:bCs/>
                <w:sz w:val="21"/>
                <w:szCs w:val="21"/>
                <w:lang w:val="en-US" w:eastAsia="zh-CN"/>
              </w:rPr>
              <w:t>72m</w:t>
            </w:r>
            <w:r>
              <w:rPr>
                <w:rFonts w:hint="eastAsia"/>
                <w:bCs/>
                <w:sz w:val="21"/>
                <w:szCs w:val="21"/>
                <w:vertAlign w:val="superscript"/>
                <w:lang w:val="en-US" w:eastAsia="zh-CN"/>
              </w:rPr>
              <w:t>3</w:t>
            </w:r>
          </w:p>
        </w:tc>
        <w:tc>
          <w:tcPr>
            <w:tcW w:w="396"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Cs/>
                <w:sz w:val="21"/>
                <w:szCs w:val="21"/>
                <w:lang w:val="en-US" w:eastAsia="zh-CN"/>
              </w:rPr>
            </w:pPr>
            <w:r>
              <w:rPr>
                <w:rFonts w:hint="eastAsia"/>
                <w:bCs/>
                <w:sz w:val="21"/>
                <w:szCs w:val="21"/>
                <w:lang w:val="en-US" w:eastAsia="zh-CN"/>
              </w:rPr>
              <w:t>三开钻井</w:t>
            </w:r>
          </w:p>
        </w:tc>
        <w:tc>
          <w:tcPr>
            <w:tcW w:w="249"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Cs/>
                <w:sz w:val="21"/>
                <w:szCs w:val="21"/>
                <w:lang w:val="en-US" w:eastAsia="zh-CN"/>
              </w:rPr>
            </w:pPr>
            <w:r>
              <w:rPr>
                <w:rFonts w:hint="eastAsia"/>
                <w:bCs/>
                <w:sz w:val="21"/>
                <w:szCs w:val="21"/>
                <w:lang w:val="en-US" w:eastAsia="zh-CN"/>
              </w:rPr>
              <w:t>半固态</w:t>
            </w:r>
          </w:p>
        </w:tc>
        <w:tc>
          <w:tcPr>
            <w:tcW w:w="400"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Cs/>
                <w:sz w:val="21"/>
                <w:szCs w:val="21"/>
                <w:lang w:val="en-US" w:eastAsia="zh-CN"/>
              </w:rPr>
            </w:pPr>
            <w:r>
              <w:rPr>
                <w:rFonts w:hint="eastAsia"/>
                <w:bCs/>
                <w:sz w:val="21"/>
                <w:szCs w:val="21"/>
                <w:lang w:val="en-US" w:eastAsia="zh-CN"/>
              </w:rPr>
              <w:t>含油泥浆</w:t>
            </w:r>
          </w:p>
        </w:tc>
        <w:tc>
          <w:tcPr>
            <w:tcW w:w="318"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Cs/>
                <w:sz w:val="21"/>
                <w:szCs w:val="21"/>
                <w:lang w:val="en-US" w:eastAsia="zh-CN"/>
              </w:rPr>
            </w:pPr>
            <w:r>
              <w:rPr>
                <w:rFonts w:hint="eastAsia"/>
                <w:bCs/>
                <w:sz w:val="21"/>
                <w:szCs w:val="21"/>
                <w:lang w:val="en-US" w:eastAsia="zh-CN"/>
              </w:rPr>
              <w:t>油类</w:t>
            </w:r>
          </w:p>
        </w:tc>
        <w:tc>
          <w:tcPr>
            <w:tcW w:w="313"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Cs/>
                <w:sz w:val="21"/>
                <w:szCs w:val="21"/>
                <w:lang w:val="en-US" w:eastAsia="zh-CN"/>
              </w:rPr>
            </w:pPr>
            <w:r>
              <w:rPr>
                <w:rFonts w:hint="eastAsia"/>
                <w:bCs/>
                <w:sz w:val="21"/>
                <w:szCs w:val="21"/>
                <w:lang w:val="en-US" w:eastAsia="zh-CN"/>
              </w:rPr>
              <w:t>钻井期间</w:t>
            </w:r>
          </w:p>
        </w:tc>
        <w:tc>
          <w:tcPr>
            <w:tcW w:w="337"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Cs/>
                <w:sz w:val="21"/>
                <w:szCs w:val="21"/>
                <w:lang w:val="en-US" w:eastAsia="zh-CN"/>
              </w:rPr>
            </w:pPr>
            <w:r>
              <w:rPr>
                <w:rFonts w:hint="eastAsia"/>
                <w:bCs/>
                <w:sz w:val="21"/>
                <w:szCs w:val="21"/>
                <w:lang w:val="en-US" w:eastAsia="zh-CN"/>
              </w:rPr>
              <w:t>T</w:t>
            </w:r>
          </w:p>
        </w:tc>
        <w:tc>
          <w:tcPr>
            <w:tcW w:w="656" w:type="pct"/>
            <w:vMerge w:val="continue"/>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Cs/>
                <w:sz w:val="21"/>
                <w:szCs w:val="21"/>
                <w:lang w:val="en-US" w:eastAsia="zh-CN"/>
              </w:rPr>
            </w:pPr>
            <w:r>
              <w:rPr>
                <w:rFonts w:hint="eastAsia"/>
                <w:bCs/>
                <w:sz w:val="21"/>
                <w:szCs w:val="21"/>
                <w:lang w:val="en-US" w:eastAsia="zh-CN"/>
              </w:rPr>
              <w:t>3</w:t>
            </w:r>
          </w:p>
        </w:tc>
        <w:tc>
          <w:tcPr>
            <w:tcW w:w="607"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sz w:val="21"/>
                <w:szCs w:val="21"/>
              </w:rPr>
            </w:pPr>
            <w:r>
              <w:rPr>
                <w:bCs/>
                <w:sz w:val="21"/>
                <w:szCs w:val="21"/>
              </w:rPr>
              <w:t>废油及其他含油固废</w:t>
            </w:r>
          </w:p>
        </w:tc>
        <w:tc>
          <w:tcPr>
            <w:tcW w:w="333"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Cs/>
                <w:sz w:val="21"/>
                <w:szCs w:val="21"/>
                <w:lang w:val="en-US" w:eastAsia="zh-CN"/>
              </w:rPr>
            </w:pPr>
            <w:r>
              <w:rPr>
                <w:rFonts w:hint="eastAsia"/>
                <w:bCs/>
                <w:sz w:val="21"/>
                <w:szCs w:val="21"/>
                <w:lang w:val="en-US" w:eastAsia="zh-CN"/>
              </w:rPr>
              <w:t>HW08</w:t>
            </w:r>
          </w:p>
        </w:tc>
        <w:tc>
          <w:tcPr>
            <w:tcW w:w="395"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Cs/>
                <w:sz w:val="21"/>
                <w:szCs w:val="21"/>
                <w:lang w:val="en-US" w:eastAsia="zh-CN"/>
              </w:rPr>
            </w:pPr>
            <w:r>
              <w:rPr>
                <w:rFonts w:hint="eastAsia"/>
                <w:bCs/>
                <w:sz w:val="21"/>
                <w:szCs w:val="21"/>
                <w:lang w:val="en-US" w:eastAsia="zh-CN"/>
              </w:rPr>
              <w:t>900-249-08</w:t>
            </w:r>
          </w:p>
        </w:tc>
        <w:tc>
          <w:tcPr>
            <w:tcW w:w="401"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Cs/>
                <w:sz w:val="21"/>
                <w:szCs w:val="21"/>
                <w:lang w:val="en-US" w:eastAsia="zh-CN"/>
              </w:rPr>
            </w:pPr>
            <w:r>
              <w:rPr>
                <w:rFonts w:hint="eastAsia"/>
                <w:bCs/>
                <w:sz w:val="21"/>
                <w:szCs w:val="21"/>
                <w:lang w:val="en-US" w:eastAsia="zh-CN"/>
              </w:rPr>
              <w:t>危险废物</w:t>
            </w:r>
          </w:p>
        </w:tc>
        <w:tc>
          <w:tcPr>
            <w:tcW w:w="396"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Cs/>
                <w:sz w:val="21"/>
                <w:szCs w:val="21"/>
                <w:lang w:val="en-US" w:eastAsia="zh-CN"/>
              </w:rPr>
            </w:pPr>
            <w:r>
              <w:rPr>
                <w:rFonts w:hint="eastAsia"/>
                <w:bCs/>
                <w:sz w:val="21"/>
                <w:szCs w:val="21"/>
                <w:lang w:val="en-US" w:eastAsia="zh-CN"/>
              </w:rPr>
              <w:t>0.5m</w:t>
            </w:r>
            <w:r>
              <w:rPr>
                <w:rFonts w:hint="eastAsia"/>
                <w:bCs/>
                <w:sz w:val="21"/>
                <w:szCs w:val="21"/>
                <w:vertAlign w:val="superscript"/>
                <w:lang w:val="en-US" w:eastAsia="zh-CN"/>
              </w:rPr>
              <w:t>3</w:t>
            </w:r>
          </w:p>
        </w:tc>
        <w:tc>
          <w:tcPr>
            <w:tcW w:w="396"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Cs/>
                <w:sz w:val="21"/>
                <w:szCs w:val="21"/>
                <w:lang w:val="en-US" w:eastAsia="zh-CN"/>
              </w:rPr>
            </w:pPr>
            <w:r>
              <w:rPr>
                <w:rFonts w:hint="eastAsia"/>
                <w:bCs/>
                <w:sz w:val="21"/>
                <w:szCs w:val="21"/>
                <w:lang w:val="en-US" w:eastAsia="zh-CN"/>
              </w:rPr>
              <w:t>钻井机具</w:t>
            </w:r>
          </w:p>
        </w:tc>
        <w:tc>
          <w:tcPr>
            <w:tcW w:w="249"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Cs/>
                <w:sz w:val="21"/>
                <w:szCs w:val="21"/>
                <w:lang w:val="en-US" w:eastAsia="zh-CN"/>
              </w:rPr>
            </w:pPr>
            <w:r>
              <w:rPr>
                <w:rFonts w:hint="eastAsia"/>
                <w:bCs/>
                <w:sz w:val="21"/>
                <w:szCs w:val="21"/>
                <w:lang w:val="en-US" w:eastAsia="zh-CN"/>
              </w:rPr>
              <w:t>液态</w:t>
            </w:r>
          </w:p>
        </w:tc>
        <w:tc>
          <w:tcPr>
            <w:tcW w:w="400"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Cs/>
                <w:sz w:val="21"/>
                <w:szCs w:val="21"/>
                <w:lang w:val="en-US" w:eastAsia="zh-CN"/>
              </w:rPr>
            </w:pPr>
            <w:r>
              <w:rPr>
                <w:rFonts w:hint="eastAsia"/>
                <w:bCs/>
                <w:sz w:val="21"/>
                <w:szCs w:val="21"/>
                <w:lang w:val="en-US" w:eastAsia="zh-CN"/>
              </w:rPr>
              <w:t>废润滑油</w:t>
            </w:r>
          </w:p>
        </w:tc>
        <w:tc>
          <w:tcPr>
            <w:tcW w:w="318"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Cs/>
                <w:sz w:val="21"/>
                <w:szCs w:val="21"/>
                <w:lang w:val="en-US" w:eastAsia="zh-CN"/>
              </w:rPr>
            </w:pPr>
            <w:r>
              <w:rPr>
                <w:rFonts w:hint="eastAsia"/>
                <w:bCs/>
                <w:sz w:val="21"/>
                <w:szCs w:val="21"/>
                <w:lang w:val="en-US" w:eastAsia="zh-CN"/>
              </w:rPr>
              <w:t>润滑油</w:t>
            </w:r>
          </w:p>
        </w:tc>
        <w:tc>
          <w:tcPr>
            <w:tcW w:w="313"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Cs/>
                <w:sz w:val="21"/>
                <w:szCs w:val="21"/>
                <w:lang w:val="en-US" w:eastAsia="zh-CN"/>
              </w:rPr>
            </w:pPr>
            <w:r>
              <w:rPr>
                <w:rFonts w:hint="eastAsia"/>
                <w:bCs/>
                <w:sz w:val="21"/>
                <w:szCs w:val="21"/>
                <w:lang w:val="en-US" w:eastAsia="zh-CN"/>
              </w:rPr>
              <w:t>钻井期间</w:t>
            </w:r>
          </w:p>
        </w:tc>
        <w:tc>
          <w:tcPr>
            <w:tcW w:w="337"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Cs/>
                <w:sz w:val="21"/>
                <w:szCs w:val="21"/>
                <w:lang w:val="en-US" w:eastAsia="zh-CN"/>
              </w:rPr>
            </w:pPr>
            <w:r>
              <w:rPr>
                <w:rFonts w:hint="eastAsia"/>
                <w:bCs/>
                <w:sz w:val="21"/>
                <w:szCs w:val="21"/>
                <w:lang w:val="en-US" w:eastAsia="zh-CN"/>
              </w:rPr>
              <w:t>T/I</w:t>
            </w:r>
          </w:p>
        </w:tc>
        <w:tc>
          <w:tcPr>
            <w:tcW w:w="656" w:type="pct"/>
            <w:tcBorders>
              <w:tl2br w:val="nil"/>
              <w:tr2bl w:val="nil"/>
            </w:tcBorders>
            <w:vAlign w:val="center"/>
          </w:tcPr>
          <w:p>
            <w:pPr>
              <w:pStyle w:val="11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sz w:val="21"/>
                <w:szCs w:val="21"/>
              </w:rPr>
            </w:pPr>
            <w:r>
              <w:rPr>
                <w:bCs/>
                <w:sz w:val="21"/>
                <w:szCs w:val="21"/>
              </w:rPr>
              <w:t>废油桶收集，暂存于危废暂存间，委托有资质单位处理</w:t>
            </w:r>
          </w:p>
        </w:tc>
      </w:tr>
    </w:tbl>
    <w:p>
      <w:pPr>
        <w:pStyle w:val="111"/>
        <w:ind w:firstLine="480"/>
        <w:rPr>
          <w:bCs/>
        </w:rPr>
      </w:pPr>
    </w:p>
    <w:p>
      <w:pPr>
        <w:pStyle w:val="111"/>
        <w:ind w:firstLine="480"/>
        <w:rPr>
          <w:bCs/>
        </w:rPr>
      </w:pPr>
    </w:p>
    <w:p>
      <w:pPr>
        <w:pStyle w:val="111"/>
        <w:ind w:firstLine="480"/>
        <w:rPr>
          <w:bCs/>
        </w:rPr>
        <w:sectPr>
          <w:pgSz w:w="16838" w:h="11906" w:orient="landscape"/>
          <w:pgMar w:top="1417" w:right="1417" w:bottom="1417" w:left="1417" w:header="851" w:footer="992" w:gutter="0"/>
          <w:pgBorders>
            <w:top w:val="none" w:sz="0" w:space="0"/>
            <w:left w:val="none" w:sz="0" w:space="0"/>
            <w:bottom w:val="none" w:sz="0" w:space="0"/>
            <w:right w:val="none" w:sz="0" w:space="0"/>
          </w:pgBorders>
          <w:cols w:space="425" w:num="1"/>
          <w:docGrid w:type="lines" w:linePitch="326" w:charSpace="0"/>
        </w:sectPr>
      </w:pPr>
    </w:p>
    <w:p>
      <w:pPr>
        <w:pStyle w:val="111"/>
        <w:ind w:firstLine="480"/>
        <w:rPr>
          <w:bCs/>
        </w:rPr>
      </w:pPr>
      <w:r>
        <w:rPr>
          <w:bCs/>
        </w:rPr>
        <w:t>本项目危险废物暂存场所（设施）基本情况见下表。</w:t>
      </w:r>
    </w:p>
    <w:p>
      <w:pPr>
        <w:pStyle w:val="805"/>
        <w:rPr>
          <w:rFonts w:eastAsia="宋体"/>
          <w:snapToGrid w:val="0"/>
        </w:rPr>
      </w:pPr>
      <w:r>
        <w:rPr>
          <w:rFonts w:eastAsia="宋体"/>
          <w:snapToGrid w:val="0"/>
        </w:rPr>
        <w:t>表4.</w:t>
      </w:r>
      <w:r>
        <w:rPr>
          <w:rFonts w:hint="eastAsia" w:eastAsia="宋体"/>
          <w:snapToGrid w:val="0"/>
          <w:lang w:val="en-US" w:eastAsia="zh-CN"/>
        </w:rPr>
        <w:t>1</w:t>
      </w:r>
      <w:r>
        <w:rPr>
          <w:rFonts w:eastAsia="宋体"/>
          <w:snapToGrid w:val="0"/>
        </w:rPr>
        <w:t>-13  项目危险废物贮存场所（设施）基本情况表</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1018"/>
        <w:gridCol w:w="1387"/>
        <w:gridCol w:w="1293"/>
        <w:gridCol w:w="1111"/>
        <w:gridCol w:w="657"/>
        <w:gridCol w:w="819"/>
        <w:gridCol w:w="1276"/>
        <w:gridCol w:w="101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1068" w:type="dxa"/>
            <w:vAlign w:val="center"/>
          </w:tcPr>
          <w:p>
            <w:pPr>
              <w:pStyle w:val="555"/>
              <w:rPr>
                <w:b/>
              </w:rPr>
            </w:pPr>
            <w:r>
              <w:rPr>
                <w:b/>
              </w:rPr>
              <w:t>贮存场所名称</w:t>
            </w:r>
          </w:p>
        </w:tc>
        <w:tc>
          <w:tcPr>
            <w:tcW w:w="1457" w:type="dxa"/>
            <w:vAlign w:val="center"/>
          </w:tcPr>
          <w:p>
            <w:pPr>
              <w:pStyle w:val="555"/>
              <w:rPr>
                <w:b/>
              </w:rPr>
            </w:pPr>
            <w:r>
              <w:rPr>
                <w:b/>
              </w:rPr>
              <w:t>危险废物名称</w:t>
            </w:r>
          </w:p>
        </w:tc>
        <w:tc>
          <w:tcPr>
            <w:tcW w:w="1358" w:type="dxa"/>
            <w:vAlign w:val="center"/>
          </w:tcPr>
          <w:p>
            <w:pPr>
              <w:pStyle w:val="555"/>
              <w:rPr>
                <w:b/>
              </w:rPr>
            </w:pPr>
            <w:r>
              <w:rPr>
                <w:b/>
              </w:rPr>
              <w:t>危险废物类别</w:t>
            </w:r>
          </w:p>
        </w:tc>
        <w:tc>
          <w:tcPr>
            <w:tcW w:w="1166" w:type="dxa"/>
            <w:vAlign w:val="center"/>
          </w:tcPr>
          <w:p>
            <w:pPr>
              <w:pStyle w:val="555"/>
              <w:rPr>
                <w:b/>
              </w:rPr>
            </w:pPr>
            <w:r>
              <w:rPr>
                <w:b/>
              </w:rPr>
              <w:t>危险废物代码</w:t>
            </w:r>
          </w:p>
        </w:tc>
        <w:tc>
          <w:tcPr>
            <w:tcW w:w="688" w:type="dxa"/>
            <w:vAlign w:val="center"/>
          </w:tcPr>
          <w:p>
            <w:pPr>
              <w:pStyle w:val="555"/>
              <w:rPr>
                <w:b/>
              </w:rPr>
            </w:pPr>
            <w:r>
              <w:rPr>
                <w:b/>
              </w:rPr>
              <w:t>位置</w:t>
            </w:r>
          </w:p>
        </w:tc>
        <w:tc>
          <w:tcPr>
            <w:tcW w:w="859" w:type="dxa"/>
            <w:vAlign w:val="center"/>
          </w:tcPr>
          <w:p>
            <w:pPr>
              <w:pStyle w:val="555"/>
              <w:rPr>
                <w:b/>
              </w:rPr>
            </w:pPr>
            <w:r>
              <w:rPr>
                <w:b/>
              </w:rPr>
              <w:t>占地面积（m</w:t>
            </w:r>
            <w:r>
              <w:rPr>
                <w:b/>
                <w:vertAlign w:val="superscript"/>
              </w:rPr>
              <w:t>2</w:t>
            </w:r>
            <w:r>
              <w:rPr>
                <w:b/>
              </w:rPr>
              <w:t>）</w:t>
            </w:r>
          </w:p>
        </w:tc>
        <w:tc>
          <w:tcPr>
            <w:tcW w:w="1340" w:type="dxa"/>
            <w:vAlign w:val="center"/>
          </w:tcPr>
          <w:p>
            <w:pPr>
              <w:pStyle w:val="555"/>
              <w:rPr>
                <w:b/>
              </w:rPr>
            </w:pPr>
            <w:r>
              <w:rPr>
                <w:b/>
              </w:rPr>
              <w:t>贮存方式</w:t>
            </w:r>
          </w:p>
        </w:tc>
        <w:tc>
          <w:tcPr>
            <w:tcW w:w="1068" w:type="dxa"/>
            <w:vAlign w:val="center"/>
          </w:tcPr>
          <w:p>
            <w:pPr>
              <w:pStyle w:val="555"/>
              <w:rPr>
                <w:b/>
              </w:rPr>
            </w:pPr>
            <w:r>
              <w:rPr>
                <w:b/>
              </w:rPr>
              <w:t>贮存周期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1068" w:type="dxa"/>
            <w:vAlign w:val="center"/>
          </w:tcPr>
          <w:p>
            <w:pPr>
              <w:pStyle w:val="555"/>
            </w:pPr>
            <w:r>
              <w:t>危废暂存间</w:t>
            </w:r>
          </w:p>
        </w:tc>
        <w:tc>
          <w:tcPr>
            <w:tcW w:w="1457" w:type="dxa"/>
            <w:vAlign w:val="center"/>
          </w:tcPr>
          <w:p>
            <w:pPr>
              <w:pStyle w:val="555"/>
            </w:pPr>
            <w:r>
              <w:rPr>
                <w:rFonts w:hint="eastAsia"/>
                <w:lang w:val="en-US" w:eastAsia="zh-CN"/>
              </w:rPr>
              <w:t>油基岩屑、</w:t>
            </w:r>
            <w:r>
              <w:t>废油</w:t>
            </w:r>
          </w:p>
        </w:tc>
        <w:tc>
          <w:tcPr>
            <w:tcW w:w="1358" w:type="dxa"/>
            <w:vAlign w:val="center"/>
          </w:tcPr>
          <w:p>
            <w:pPr>
              <w:pStyle w:val="555"/>
            </w:pPr>
            <w:r>
              <w:t>HW08</w:t>
            </w:r>
          </w:p>
          <w:p>
            <w:pPr>
              <w:pStyle w:val="555"/>
            </w:pPr>
            <w:r>
              <w:t>废矿物油与含矿物油废物</w:t>
            </w:r>
          </w:p>
        </w:tc>
        <w:tc>
          <w:tcPr>
            <w:tcW w:w="1166" w:type="dxa"/>
            <w:vAlign w:val="center"/>
          </w:tcPr>
          <w:p>
            <w:pPr>
              <w:pStyle w:val="555"/>
            </w:pPr>
            <w:r>
              <w:t>900-049-08</w:t>
            </w:r>
          </w:p>
        </w:tc>
        <w:tc>
          <w:tcPr>
            <w:tcW w:w="688" w:type="dxa"/>
            <w:vAlign w:val="center"/>
          </w:tcPr>
          <w:p>
            <w:pPr>
              <w:pStyle w:val="555"/>
            </w:pPr>
            <w:r>
              <w:t>材料房新建危废暂存</w:t>
            </w:r>
          </w:p>
        </w:tc>
        <w:tc>
          <w:tcPr>
            <w:tcW w:w="859" w:type="dxa"/>
            <w:vAlign w:val="center"/>
          </w:tcPr>
          <w:p>
            <w:pPr>
              <w:pStyle w:val="555"/>
            </w:pPr>
            <w:r>
              <w:rPr>
                <w:rFonts w:hint="eastAsia"/>
              </w:rPr>
              <w:t>2</w:t>
            </w:r>
            <w:r>
              <w:t>5</w:t>
            </w:r>
          </w:p>
        </w:tc>
        <w:tc>
          <w:tcPr>
            <w:tcW w:w="1340" w:type="dxa"/>
            <w:vAlign w:val="center"/>
          </w:tcPr>
          <w:p>
            <w:pPr>
              <w:pStyle w:val="555"/>
            </w:pPr>
            <w:r>
              <w:t>专用铁桶盛装</w:t>
            </w:r>
          </w:p>
        </w:tc>
        <w:tc>
          <w:tcPr>
            <w:tcW w:w="1068" w:type="dxa"/>
            <w:vAlign w:val="center"/>
          </w:tcPr>
          <w:p>
            <w:pPr>
              <w:pStyle w:val="555"/>
            </w:pPr>
            <w:r>
              <w:t>钻井期</w:t>
            </w:r>
          </w:p>
        </w:tc>
      </w:tr>
      <w:bookmarkEnd w:id="329"/>
    </w:tbl>
    <w:p>
      <w:pPr>
        <w:pStyle w:val="4"/>
        <w:rPr>
          <w:rFonts w:eastAsia="宋体"/>
        </w:rPr>
      </w:pPr>
      <w:r>
        <w:rPr>
          <w:rFonts w:eastAsia="宋体"/>
        </w:rPr>
        <w:t>4.1.8 施工期“三废”产生情况表</w:t>
      </w:r>
    </w:p>
    <w:p>
      <w:pPr>
        <w:pStyle w:val="114"/>
        <w:ind w:firstLine="480"/>
      </w:pPr>
      <w:r>
        <w:t>本项目施工期“三废”产生及排放情况见下表。</w:t>
      </w:r>
    </w:p>
    <w:p>
      <w:pPr>
        <w:pStyle w:val="39"/>
        <w:rPr>
          <w:rFonts w:cs="Times New Roman"/>
        </w:rPr>
      </w:pPr>
      <w:r>
        <w:rPr>
          <w:rFonts w:cs="Times New Roman"/>
        </w:rPr>
        <w:t>表4.1-14  施工期主要污染源和污染物统计表</w:t>
      </w:r>
    </w:p>
    <w:tbl>
      <w:tblPr>
        <w:tblStyle w:val="59"/>
        <w:tblW w:w="4849"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522"/>
        <w:gridCol w:w="674"/>
        <w:gridCol w:w="673"/>
        <w:gridCol w:w="1544"/>
        <w:gridCol w:w="1006"/>
        <w:gridCol w:w="1251"/>
        <w:gridCol w:w="2853"/>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22" w:type="dxa"/>
            <w:vAlign w:val="center"/>
          </w:tcPr>
          <w:p>
            <w:pPr>
              <w:pStyle w:val="134"/>
              <w:rPr>
                <w:b/>
                <w:bCs/>
              </w:rPr>
            </w:pPr>
            <w:r>
              <w:rPr>
                <w:b/>
                <w:bCs/>
              </w:rPr>
              <w:t>污染类型</w:t>
            </w:r>
          </w:p>
        </w:tc>
        <w:tc>
          <w:tcPr>
            <w:tcW w:w="1347" w:type="dxa"/>
            <w:gridSpan w:val="2"/>
            <w:vAlign w:val="center"/>
          </w:tcPr>
          <w:p>
            <w:pPr>
              <w:pStyle w:val="134"/>
              <w:rPr>
                <w:b/>
                <w:bCs/>
              </w:rPr>
            </w:pPr>
            <w:r>
              <w:rPr>
                <w:b/>
                <w:bCs/>
              </w:rPr>
              <w:t>污染源</w:t>
            </w:r>
          </w:p>
        </w:tc>
        <w:tc>
          <w:tcPr>
            <w:tcW w:w="1544" w:type="dxa"/>
            <w:vAlign w:val="center"/>
          </w:tcPr>
          <w:p>
            <w:pPr>
              <w:pStyle w:val="134"/>
              <w:rPr>
                <w:b/>
                <w:bCs/>
              </w:rPr>
            </w:pPr>
            <w:r>
              <w:rPr>
                <w:b/>
                <w:bCs/>
              </w:rPr>
              <w:t>排放量</w:t>
            </w:r>
          </w:p>
        </w:tc>
        <w:tc>
          <w:tcPr>
            <w:tcW w:w="1006" w:type="dxa"/>
            <w:vAlign w:val="center"/>
          </w:tcPr>
          <w:p>
            <w:pPr>
              <w:pStyle w:val="134"/>
              <w:rPr>
                <w:b/>
                <w:bCs/>
              </w:rPr>
            </w:pPr>
            <w:r>
              <w:rPr>
                <w:b/>
                <w:bCs/>
              </w:rPr>
              <w:t>排放方式</w:t>
            </w:r>
          </w:p>
        </w:tc>
        <w:tc>
          <w:tcPr>
            <w:tcW w:w="1251" w:type="dxa"/>
            <w:vAlign w:val="center"/>
          </w:tcPr>
          <w:p>
            <w:pPr>
              <w:pStyle w:val="134"/>
              <w:rPr>
                <w:b/>
                <w:bCs/>
              </w:rPr>
            </w:pPr>
            <w:r>
              <w:rPr>
                <w:b/>
                <w:bCs/>
              </w:rPr>
              <w:t>主要污染物</w:t>
            </w:r>
          </w:p>
        </w:tc>
        <w:tc>
          <w:tcPr>
            <w:tcW w:w="2853" w:type="dxa"/>
            <w:vAlign w:val="center"/>
          </w:tcPr>
          <w:p>
            <w:pPr>
              <w:pStyle w:val="134"/>
              <w:rPr>
                <w:b/>
                <w:bCs/>
              </w:rPr>
            </w:pPr>
            <w:r>
              <w:rPr>
                <w:b/>
                <w:bCs/>
              </w:rPr>
              <w:t>排放去向</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22" w:type="dxa"/>
            <w:vMerge w:val="restart"/>
            <w:vAlign w:val="center"/>
          </w:tcPr>
          <w:p>
            <w:pPr>
              <w:pStyle w:val="134"/>
            </w:pPr>
            <w:bookmarkStart w:id="350" w:name="_Hlk105536694"/>
            <w:r>
              <w:t>废气</w:t>
            </w:r>
          </w:p>
        </w:tc>
        <w:tc>
          <w:tcPr>
            <w:tcW w:w="1347" w:type="dxa"/>
            <w:gridSpan w:val="2"/>
            <w:vAlign w:val="center"/>
          </w:tcPr>
          <w:p>
            <w:pPr>
              <w:pStyle w:val="134"/>
            </w:pPr>
            <w:r>
              <w:t>车辆行驶、地面开挖</w:t>
            </w:r>
          </w:p>
        </w:tc>
        <w:tc>
          <w:tcPr>
            <w:tcW w:w="1544" w:type="dxa"/>
            <w:vAlign w:val="center"/>
          </w:tcPr>
          <w:p>
            <w:pPr>
              <w:pStyle w:val="134"/>
            </w:pPr>
            <w:r>
              <w:t>少量</w:t>
            </w:r>
          </w:p>
        </w:tc>
        <w:tc>
          <w:tcPr>
            <w:tcW w:w="1006" w:type="dxa"/>
            <w:vAlign w:val="center"/>
          </w:tcPr>
          <w:p>
            <w:pPr>
              <w:pStyle w:val="134"/>
            </w:pPr>
            <w:r>
              <w:t>间断</w:t>
            </w:r>
          </w:p>
        </w:tc>
        <w:tc>
          <w:tcPr>
            <w:tcW w:w="1251" w:type="dxa"/>
            <w:vAlign w:val="center"/>
          </w:tcPr>
          <w:p>
            <w:pPr>
              <w:pStyle w:val="134"/>
            </w:pPr>
            <w:r>
              <w:t>粉尘</w:t>
            </w:r>
          </w:p>
        </w:tc>
        <w:tc>
          <w:tcPr>
            <w:tcW w:w="2853" w:type="dxa"/>
            <w:vMerge w:val="restart"/>
            <w:vAlign w:val="center"/>
          </w:tcPr>
          <w:p>
            <w:pPr>
              <w:pStyle w:val="134"/>
            </w:pPr>
            <w:r>
              <w:t>环境空气</w:t>
            </w:r>
          </w:p>
        </w:tc>
      </w:tr>
      <w:bookmarkEnd w:id="350"/>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22" w:type="dxa"/>
            <w:vMerge w:val="continue"/>
            <w:vAlign w:val="center"/>
          </w:tcPr>
          <w:p>
            <w:pPr>
              <w:pStyle w:val="134"/>
            </w:pPr>
          </w:p>
        </w:tc>
        <w:tc>
          <w:tcPr>
            <w:tcW w:w="1347" w:type="dxa"/>
            <w:gridSpan w:val="2"/>
            <w:vAlign w:val="center"/>
          </w:tcPr>
          <w:p>
            <w:pPr>
              <w:pStyle w:val="134"/>
            </w:pPr>
            <w:r>
              <w:t>施工机械、运输车辆尾气</w:t>
            </w:r>
          </w:p>
        </w:tc>
        <w:tc>
          <w:tcPr>
            <w:tcW w:w="1544" w:type="dxa"/>
            <w:vAlign w:val="center"/>
          </w:tcPr>
          <w:p>
            <w:pPr>
              <w:pStyle w:val="134"/>
            </w:pPr>
            <w:r>
              <w:t>少量</w:t>
            </w:r>
          </w:p>
        </w:tc>
        <w:tc>
          <w:tcPr>
            <w:tcW w:w="1006" w:type="dxa"/>
            <w:vAlign w:val="center"/>
          </w:tcPr>
          <w:p>
            <w:pPr>
              <w:pStyle w:val="134"/>
            </w:pPr>
            <w:r>
              <w:t>间断</w:t>
            </w:r>
          </w:p>
        </w:tc>
        <w:tc>
          <w:tcPr>
            <w:tcW w:w="1251" w:type="dxa"/>
            <w:vAlign w:val="center"/>
          </w:tcPr>
          <w:p>
            <w:pPr>
              <w:pStyle w:val="134"/>
            </w:pPr>
            <w:r>
              <w:t>SO</w:t>
            </w:r>
            <w:r>
              <w:rPr>
                <w:vertAlign w:val="subscript"/>
              </w:rPr>
              <w:t>2</w:t>
            </w:r>
            <w:r>
              <w:t>、NO</w:t>
            </w:r>
            <w:r>
              <w:rPr>
                <w:vertAlign w:val="subscript"/>
              </w:rPr>
              <w:t>2</w:t>
            </w:r>
            <w:r>
              <w:t>、C</w:t>
            </w:r>
            <w:r>
              <w:rPr>
                <w:vertAlign w:val="subscript"/>
              </w:rPr>
              <w:t>m</w:t>
            </w:r>
            <w:r>
              <w:t>H</w:t>
            </w:r>
            <w:r>
              <w:rPr>
                <w:vertAlign w:val="subscript"/>
              </w:rPr>
              <w:t>n</w:t>
            </w:r>
          </w:p>
        </w:tc>
        <w:tc>
          <w:tcPr>
            <w:tcW w:w="2853" w:type="dxa"/>
            <w:vMerge w:val="continue"/>
            <w:vAlign w:val="center"/>
          </w:tcPr>
          <w:p>
            <w:pPr>
              <w:pStyle w:val="134"/>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22" w:type="dxa"/>
            <w:vMerge w:val="continue"/>
            <w:vAlign w:val="center"/>
          </w:tcPr>
          <w:p>
            <w:pPr>
              <w:pStyle w:val="134"/>
            </w:pPr>
          </w:p>
        </w:tc>
        <w:tc>
          <w:tcPr>
            <w:tcW w:w="1347" w:type="dxa"/>
            <w:gridSpan w:val="2"/>
            <w:vAlign w:val="center"/>
          </w:tcPr>
          <w:p>
            <w:pPr>
              <w:pStyle w:val="134"/>
              <w:rPr>
                <w:szCs w:val="21"/>
              </w:rPr>
            </w:pPr>
            <w:r>
              <w:rPr>
                <w:szCs w:val="21"/>
              </w:rPr>
              <w:t>气体钻粉尘</w:t>
            </w:r>
          </w:p>
        </w:tc>
        <w:tc>
          <w:tcPr>
            <w:tcW w:w="1544" w:type="dxa"/>
            <w:vAlign w:val="center"/>
          </w:tcPr>
          <w:p>
            <w:pPr>
              <w:pStyle w:val="134"/>
            </w:pPr>
            <w:r>
              <w:t>少量</w:t>
            </w:r>
          </w:p>
        </w:tc>
        <w:tc>
          <w:tcPr>
            <w:tcW w:w="1006" w:type="dxa"/>
            <w:vAlign w:val="center"/>
          </w:tcPr>
          <w:p>
            <w:pPr>
              <w:pStyle w:val="134"/>
            </w:pPr>
            <w:r>
              <w:t>连续</w:t>
            </w:r>
          </w:p>
        </w:tc>
        <w:tc>
          <w:tcPr>
            <w:tcW w:w="1251" w:type="dxa"/>
            <w:vAlign w:val="center"/>
          </w:tcPr>
          <w:p>
            <w:pPr>
              <w:pStyle w:val="134"/>
            </w:pPr>
            <w:r>
              <w:t>粉尘</w:t>
            </w:r>
          </w:p>
        </w:tc>
        <w:tc>
          <w:tcPr>
            <w:tcW w:w="2853" w:type="dxa"/>
            <w:vMerge w:val="continue"/>
            <w:vAlign w:val="center"/>
          </w:tcPr>
          <w:p>
            <w:pPr>
              <w:pStyle w:val="134"/>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22" w:type="dxa"/>
            <w:vMerge w:val="continue"/>
            <w:vAlign w:val="center"/>
          </w:tcPr>
          <w:p>
            <w:pPr>
              <w:pStyle w:val="134"/>
            </w:pPr>
          </w:p>
        </w:tc>
        <w:tc>
          <w:tcPr>
            <w:tcW w:w="1347" w:type="dxa"/>
            <w:gridSpan w:val="2"/>
            <w:vAlign w:val="center"/>
          </w:tcPr>
          <w:p>
            <w:pPr>
              <w:pStyle w:val="134"/>
            </w:pPr>
            <w:r>
              <w:t>测试放喷废气</w:t>
            </w:r>
          </w:p>
        </w:tc>
        <w:tc>
          <w:tcPr>
            <w:tcW w:w="1544" w:type="dxa"/>
            <w:vAlign w:val="center"/>
          </w:tcPr>
          <w:p>
            <w:pPr>
              <w:pStyle w:val="134"/>
            </w:pPr>
            <w:r>
              <w:t>SO</w:t>
            </w:r>
            <w:r>
              <w:rPr>
                <w:vertAlign w:val="subscript"/>
              </w:rPr>
              <w:t>2</w:t>
            </w:r>
            <w:r>
              <w:t>排放速率为0.91kg/s，烟气量33.98</w:t>
            </w:r>
            <w:r>
              <w:rPr>
                <w:bCs/>
              </w:rPr>
              <w:t>×10</w:t>
            </w:r>
            <w:r>
              <w:rPr>
                <w:bCs/>
                <w:vertAlign w:val="superscript"/>
              </w:rPr>
              <w:t>4</w:t>
            </w:r>
            <w:r>
              <w:t>m</w:t>
            </w:r>
            <w:r>
              <w:rPr>
                <w:vertAlign w:val="superscript"/>
              </w:rPr>
              <w:t>3</w:t>
            </w:r>
            <w:r>
              <w:t>/h</w:t>
            </w:r>
          </w:p>
        </w:tc>
        <w:tc>
          <w:tcPr>
            <w:tcW w:w="1006" w:type="dxa"/>
            <w:vAlign w:val="center"/>
          </w:tcPr>
          <w:p>
            <w:pPr>
              <w:pStyle w:val="134"/>
            </w:pPr>
            <w:r>
              <w:t>间断</w:t>
            </w:r>
          </w:p>
        </w:tc>
        <w:tc>
          <w:tcPr>
            <w:tcW w:w="1251" w:type="dxa"/>
            <w:vAlign w:val="center"/>
          </w:tcPr>
          <w:p>
            <w:pPr>
              <w:pStyle w:val="134"/>
            </w:pPr>
            <w:r>
              <w:t>SO</w:t>
            </w:r>
            <w:r>
              <w:rPr>
                <w:vertAlign w:val="subscript"/>
              </w:rPr>
              <w:t>2</w:t>
            </w:r>
          </w:p>
        </w:tc>
        <w:tc>
          <w:tcPr>
            <w:tcW w:w="2853" w:type="dxa"/>
            <w:vMerge w:val="continue"/>
            <w:vAlign w:val="center"/>
          </w:tcPr>
          <w:p>
            <w:pPr>
              <w:pStyle w:val="134"/>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22" w:type="dxa"/>
            <w:vMerge w:val="restart"/>
            <w:vAlign w:val="center"/>
          </w:tcPr>
          <w:p>
            <w:pPr>
              <w:pStyle w:val="134"/>
            </w:pPr>
            <w:r>
              <w:t>废水</w:t>
            </w:r>
          </w:p>
        </w:tc>
        <w:tc>
          <w:tcPr>
            <w:tcW w:w="1347" w:type="dxa"/>
            <w:gridSpan w:val="2"/>
            <w:vAlign w:val="center"/>
          </w:tcPr>
          <w:p>
            <w:pPr>
              <w:pStyle w:val="134"/>
            </w:pPr>
            <w:r>
              <w:t>施工人员生活污水</w:t>
            </w:r>
          </w:p>
        </w:tc>
        <w:tc>
          <w:tcPr>
            <w:tcW w:w="1544" w:type="dxa"/>
            <w:vAlign w:val="center"/>
          </w:tcPr>
          <w:p>
            <w:pPr>
              <w:pStyle w:val="134"/>
            </w:pPr>
            <w:r>
              <w:t>1088m</w:t>
            </w:r>
            <w:r>
              <w:rPr>
                <w:vertAlign w:val="superscript"/>
              </w:rPr>
              <w:t>3</w:t>
            </w:r>
          </w:p>
        </w:tc>
        <w:tc>
          <w:tcPr>
            <w:tcW w:w="1006" w:type="dxa"/>
            <w:vAlign w:val="center"/>
          </w:tcPr>
          <w:p>
            <w:pPr>
              <w:pStyle w:val="134"/>
            </w:pPr>
            <w:r>
              <w:t>间断</w:t>
            </w:r>
          </w:p>
        </w:tc>
        <w:tc>
          <w:tcPr>
            <w:tcW w:w="1251" w:type="dxa"/>
            <w:vAlign w:val="center"/>
          </w:tcPr>
          <w:p>
            <w:pPr>
              <w:pStyle w:val="134"/>
            </w:pPr>
            <w:r>
              <w:t>COD、BOD</w:t>
            </w:r>
            <w:r>
              <w:rPr>
                <w:vertAlign w:val="subscript"/>
              </w:rPr>
              <w:t>5</w:t>
            </w:r>
            <w:r>
              <w:t>、氨氮</w:t>
            </w:r>
          </w:p>
        </w:tc>
        <w:tc>
          <w:tcPr>
            <w:tcW w:w="2853" w:type="dxa"/>
            <w:vAlign w:val="center"/>
          </w:tcPr>
          <w:p>
            <w:pPr>
              <w:pStyle w:val="134"/>
            </w:pPr>
            <w:r>
              <w:rPr>
                <w:szCs w:val="21"/>
              </w:rPr>
              <w:t>井场、钻井施工</w:t>
            </w:r>
            <w:r>
              <w:rPr>
                <w:rFonts w:hint="eastAsia"/>
                <w:szCs w:val="21"/>
                <w:lang w:val="en-US" w:eastAsia="zh-CN"/>
              </w:rPr>
              <w:t>人员</w:t>
            </w:r>
            <w:r>
              <w:rPr>
                <w:szCs w:val="21"/>
              </w:rPr>
              <w:t>厕生活污水依托经</w:t>
            </w:r>
            <w:r>
              <w:rPr>
                <w:bCs/>
                <w:szCs w:val="21"/>
              </w:rPr>
              <w:t>生态环保厕所收集处理</w:t>
            </w:r>
            <w:r>
              <w:t>后，用作周边农肥，不外排；员工洗澡、食堂废水经单独收集后拉运至普光镇场镇污水处理厂处理。</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22" w:type="dxa"/>
            <w:vMerge w:val="continue"/>
            <w:vAlign w:val="center"/>
          </w:tcPr>
          <w:p>
            <w:pPr>
              <w:pStyle w:val="134"/>
            </w:pPr>
          </w:p>
        </w:tc>
        <w:tc>
          <w:tcPr>
            <w:tcW w:w="1347" w:type="dxa"/>
            <w:gridSpan w:val="2"/>
            <w:vAlign w:val="center"/>
          </w:tcPr>
          <w:p>
            <w:pPr>
              <w:pStyle w:val="134"/>
            </w:pPr>
            <w:r>
              <w:t>井场施工废水</w:t>
            </w:r>
          </w:p>
        </w:tc>
        <w:tc>
          <w:tcPr>
            <w:tcW w:w="1544" w:type="dxa"/>
            <w:vAlign w:val="center"/>
          </w:tcPr>
          <w:p>
            <w:pPr>
              <w:pStyle w:val="134"/>
            </w:pPr>
            <w:r>
              <w:t>\</w:t>
            </w:r>
          </w:p>
        </w:tc>
        <w:tc>
          <w:tcPr>
            <w:tcW w:w="1006" w:type="dxa"/>
            <w:vAlign w:val="center"/>
          </w:tcPr>
          <w:p>
            <w:pPr>
              <w:pStyle w:val="134"/>
            </w:pPr>
            <w:r>
              <w:t>间断</w:t>
            </w:r>
          </w:p>
        </w:tc>
        <w:tc>
          <w:tcPr>
            <w:tcW w:w="1251" w:type="dxa"/>
            <w:vAlign w:val="center"/>
          </w:tcPr>
          <w:p>
            <w:pPr>
              <w:pStyle w:val="134"/>
            </w:pPr>
            <w:bookmarkStart w:id="351" w:name="OLE_LINK284"/>
            <w:r>
              <w:t>SS</w:t>
            </w:r>
            <w:bookmarkEnd w:id="351"/>
          </w:p>
        </w:tc>
        <w:tc>
          <w:tcPr>
            <w:tcW w:w="2853" w:type="dxa"/>
            <w:vAlign w:val="center"/>
          </w:tcPr>
          <w:p>
            <w:pPr>
              <w:pStyle w:val="134"/>
            </w:pPr>
            <w:r>
              <w:t>经隔油沉淀池收集处理后，洒水降尘</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22" w:type="dxa"/>
            <w:vMerge w:val="continue"/>
            <w:vAlign w:val="center"/>
          </w:tcPr>
          <w:p>
            <w:pPr>
              <w:pStyle w:val="134"/>
            </w:pPr>
          </w:p>
        </w:tc>
        <w:tc>
          <w:tcPr>
            <w:tcW w:w="1347" w:type="dxa"/>
            <w:gridSpan w:val="2"/>
            <w:vAlign w:val="center"/>
          </w:tcPr>
          <w:p>
            <w:pPr>
              <w:pStyle w:val="134"/>
            </w:pPr>
            <w:r>
              <w:t>初期雨水</w:t>
            </w:r>
          </w:p>
        </w:tc>
        <w:tc>
          <w:tcPr>
            <w:tcW w:w="1544" w:type="dxa"/>
            <w:vAlign w:val="center"/>
          </w:tcPr>
          <w:p>
            <w:pPr>
              <w:pStyle w:val="134"/>
            </w:pPr>
            <w:r>
              <w:t>88.9m</w:t>
            </w:r>
            <w:r>
              <w:rPr>
                <w:vertAlign w:val="superscript"/>
              </w:rPr>
              <w:t>3</w:t>
            </w:r>
          </w:p>
        </w:tc>
        <w:tc>
          <w:tcPr>
            <w:tcW w:w="1006" w:type="dxa"/>
            <w:vAlign w:val="center"/>
          </w:tcPr>
          <w:p>
            <w:pPr>
              <w:pStyle w:val="134"/>
            </w:pPr>
            <w:r>
              <w:t>连续</w:t>
            </w:r>
          </w:p>
        </w:tc>
        <w:tc>
          <w:tcPr>
            <w:tcW w:w="1251" w:type="dxa"/>
            <w:vAlign w:val="center"/>
          </w:tcPr>
          <w:p>
            <w:pPr>
              <w:pStyle w:val="134"/>
            </w:pPr>
            <w:r>
              <w:t>石油类</w:t>
            </w:r>
          </w:p>
        </w:tc>
        <w:tc>
          <w:tcPr>
            <w:tcW w:w="2853" w:type="dxa"/>
            <w:vAlign w:val="center"/>
          </w:tcPr>
          <w:p>
            <w:pPr>
              <w:pStyle w:val="134"/>
            </w:pPr>
            <w:r>
              <w:t>井场内四周设排水边沟，井场雨水随四周排水边沟汇至排放口，排放口设环保检测池，初期雨水经清洁化操作平台处理达到毛开1井回注标准后回注。</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22" w:type="dxa"/>
            <w:vMerge w:val="continue"/>
            <w:vAlign w:val="center"/>
          </w:tcPr>
          <w:p>
            <w:pPr>
              <w:pStyle w:val="134"/>
            </w:pPr>
          </w:p>
        </w:tc>
        <w:tc>
          <w:tcPr>
            <w:tcW w:w="1347" w:type="dxa"/>
            <w:gridSpan w:val="2"/>
            <w:vAlign w:val="center"/>
          </w:tcPr>
          <w:p>
            <w:pPr>
              <w:pStyle w:val="134"/>
            </w:pPr>
            <w:r>
              <w:t>钻井废水</w:t>
            </w:r>
          </w:p>
        </w:tc>
        <w:tc>
          <w:tcPr>
            <w:tcW w:w="1544" w:type="dxa"/>
            <w:vAlign w:val="center"/>
          </w:tcPr>
          <w:p>
            <w:pPr>
              <w:pStyle w:val="134"/>
            </w:pPr>
            <w:bookmarkStart w:id="352" w:name="OLE_LINK292"/>
            <w:bookmarkStart w:id="353" w:name="OLE_LINK291"/>
            <w:r>
              <w:t>632.9m</w:t>
            </w:r>
            <w:r>
              <w:rPr>
                <w:vertAlign w:val="superscript"/>
              </w:rPr>
              <w:t>3</w:t>
            </w:r>
            <w:bookmarkEnd w:id="352"/>
            <w:bookmarkEnd w:id="353"/>
          </w:p>
        </w:tc>
        <w:tc>
          <w:tcPr>
            <w:tcW w:w="1006" w:type="dxa"/>
            <w:vAlign w:val="center"/>
          </w:tcPr>
          <w:p>
            <w:pPr>
              <w:pStyle w:val="134"/>
            </w:pPr>
            <w:bookmarkStart w:id="354" w:name="OLE_LINK294"/>
            <w:bookmarkStart w:id="355" w:name="OLE_LINK293"/>
            <w:r>
              <w:t>连续</w:t>
            </w:r>
            <w:bookmarkEnd w:id="354"/>
            <w:bookmarkEnd w:id="355"/>
          </w:p>
        </w:tc>
        <w:tc>
          <w:tcPr>
            <w:tcW w:w="1251" w:type="dxa"/>
            <w:vAlign w:val="center"/>
          </w:tcPr>
          <w:p>
            <w:pPr>
              <w:pStyle w:val="134"/>
            </w:pPr>
            <w:bookmarkStart w:id="356" w:name="OLE_LINK295"/>
            <w:bookmarkStart w:id="357" w:name="OLE_LINK296"/>
            <w:r>
              <w:t>SS、石油类</w:t>
            </w:r>
            <w:bookmarkEnd w:id="356"/>
            <w:bookmarkEnd w:id="357"/>
          </w:p>
        </w:tc>
        <w:tc>
          <w:tcPr>
            <w:tcW w:w="2853" w:type="dxa"/>
            <w:vAlign w:val="center"/>
          </w:tcPr>
          <w:p>
            <w:pPr>
              <w:pStyle w:val="134"/>
            </w:pPr>
            <w:bookmarkStart w:id="358" w:name="_Hlk105537152"/>
            <w:r>
              <w:t>钻井废水经清洁化操作平台预处理后达到毛开1井回注标准后，拉运至毛开1井回注</w:t>
            </w:r>
            <w:bookmarkEnd w:id="358"/>
            <w: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22" w:type="dxa"/>
            <w:vMerge w:val="continue"/>
            <w:vAlign w:val="center"/>
          </w:tcPr>
          <w:p>
            <w:pPr>
              <w:pStyle w:val="134"/>
            </w:pPr>
          </w:p>
        </w:tc>
        <w:tc>
          <w:tcPr>
            <w:tcW w:w="1347" w:type="dxa"/>
            <w:gridSpan w:val="2"/>
            <w:vAlign w:val="center"/>
          </w:tcPr>
          <w:p>
            <w:pPr>
              <w:pStyle w:val="134"/>
            </w:pPr>
            <w:r>
              <w:t>压裂、洗井废水</w:t>
            </w:r>
          </w:p>
        </w:tc>
        <w:tc>
          <w:tcPr>
            <w:tcW w:w="1544" w:type="dxa"/>
            <w:vAlign w:val="center"/>
          </w:tcPr>
          <w:p>
            <w:pPr>
              <w:pStyle w:val="134"/>
            </w:pPr>
            <w:bookmarkStart w:id="359" w:name="OLE_LINK14"/>
            <w:bookmarkStart w:id="360" w:name="OLE_LINK13"/>
            <w:r>
              <w:rPr>
                <w:rFonts w:hint="eastAsia"/>
                <w:lang w:val="en-US" w:eastAsia="zh-CN"/>
              </w:rPr>
              <w:t>8</w:t>
            </w:r>
            <w:r>
              <w:t>00m</w:t>
            </w:r>
            <w:r>
              <w:rPr>
                <w:vertAlign w:val="superscript"/>
              </w:rPr>
              <w:t>3</w:t>
            </w:r>
            <w:bookmarkEnd w:id="359"/>
            <w:bookmarkEnd w:id="360"/>
          </w:p>
        </w:tc>
        <w:tc>
          <w:tcPr>
            <w:tcW w:w="1006" w:type="dxa"/>
            <w:vAlign w:val="center"/>
          </w:tcPr>
          <w:p>
            <w:pPr>
              <w:pStyle w:val="134"/>
            </w:pPr>
            <w:bookmarkStart w:id="361" w:name="OLE_LINK302"/>
            <w:bookmarkStart w:id="362" w:name="OLE_LINK301"/>
            <w:r>
              <w:t>连续</w:t>
            </w:r>
            <w:bookmarkEnd w:id="361"/>
            <w:bookmarkEnd w:id="362"/>
          </w:p>
        </w:tc>
        <w:tc>
          <w:tcPr>
            <w:tcW w:w="1251" w:type="dxa"/>
            <w:vAlign w:val="center"/>
          </w:tcPr>
          <w:p>
            <w:pPr>
              <w:pStyle w:val="134"/>
            </w:pPr>
            <w:r>
              <w:t>pH、COD、SS、石油类、挥发酚、氯离子</w:t>
            </w:r>
          </w:p>
        </w:tc>
        <w:tc>
          <w:tcPr>
            <w:tcW w:w="2853" w:type="dxa"/>
            <w:vAlign w:val="center"/>
          </w:tcPr>
          <w:p>
            <w:pPr>
              <w:pStyle w:val="134"/>
            </w:pPr>
            <w:r>
              <w:rPr>
                <w:rFonts w:hint="eastAsia"/>
                <w:szCs w:val="21"/>
                <w:lang w:eastAsia="zh-CN"/>
              </w:rPr>
              <w:t>压裂废水和洗井废水</w:t>
            </w:r>
            <w:r>
              <w:rPr>
                <w:szCs w:val="21"/>
              </w:rPr>
              <w:t>暂存于</w:t>
            </w:r>
            <w:r>
              <w:rPr>
                <w:rFonts w:hint="eastAsia"/>
                <w:szCs w:val="21"/>
              </w:rPr>
              <w:t>废水池</w:t>
            </w:r>
            <w:r>
              <w:rPr>
                <w:szCs w:val="21"/>
              </w:rPr>
              <w:t>，装车拉运至大湾403污水站处理达标后管输至毛开1井回注站回注。</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22" w:type="dxa"/>
            <w:vMerge w:val="restart"/>
            <w:vAlign w:val="center"/>
          </w:tcPr>
          <w:p>
            <w:pPr>
              <w:pStyle w:val="134"/>
            </w:pPr>
            <w:r>
              <w:t>固废</w:t>
            </w:r>
          </w:p>
        </w:tc>
        <w:tc>
          <w:tcPr>
            <w:tcW w:w="1347" w:type="dxa"/>
            <w:gridSpan w:val="2"/>
            <w:vAlign w:val="center"/>
          </w:tcPr>
          <w:p>
            <w:pPr>
              <w:pStyle w:val="134"/>
            </w:pPr>
            <w:r>
              <w:t>生活垃圾</w:t>
            </w:r>
          </w:p>
        </w:tc>
        <w:tc>
          <w:tcPr>
            <w:tcW w:w="1544" w:type="dxa"/>
            <w:vAlign w:val="center"/>
          </w:tcPr>
          <w:p>
            <w:pPr>
              <w:pStyle w:val="134"/>
            </w:pPr>
            <w:r>
              <w:t>6.5t</w:t>
            </w:r>
          </w:p>
        </w:tc>
        <w:tc>
          <w:tcPr>
            <w:tcW w:w="1006" w:type="dxa"/>
            <w:vAlign w:val="center"/>
          </w:tcPr>
          <w:p>
            <w:pPr>
              <w:pStyle w:val="134"/>
            </w:pPr>
            <w:r>
              <w:t>间断</w:t>
            </w:r>
          </w:p>
        </w:tc>
        <w:tc>
          <w:tcPr>
            <w:tcW w:w="1251" w:type="dxa"/>
            <w:vAlign w:val="center"/>
          </w:tcPr>
          <w:p>
            <w:pPr>
              <w:pStyle w:val="134"/>
            </w:pPr>
            <w:bookmarkStart w:id="363" w:name="OLE_LINK285"/>
            <w:bookmarkStart w:id="364" w:name="OLE_LINK286"/>
            <w:r>
              <w:t>/</w:t>
            </w:r>
            <w:bookmarkEnd w:id="363"/>
            <w:bookmarkEnd w:id="364"/>
          </w:p>
        </w:tc>
        <w:tc>
          <w:tcPr>
            <w:tcW w:w="2853" w:type="dxa"/>
            <w:vAlign w:val="center"/>
          </w:tcPr>
          <w:p>
            <w:pPr>
              <w:pStyle w:val="134"/>
            </w:pPr>
            <w:r>
              <w:t>当地环卫部门处理</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22" w:type="dxa"/>
            <w:vMerge w:val="continue"/>
            <w:vAlign w:val="center"/>
          </w:tcPr>
          <w:p>
            <w:pPr>
              <w:pStyle w:val="134"/>
            </w:pPr>
          </w:p>
        </w:tc>
        <w:tc>
          <w:tcPr>
            <w:tcW w:w="674" w:type="dxa"/>
            <w:vMerge w:val="restart"/>
            <w:tcBorders>
              <w:right w:val="single" w:color="auto" w:sz="4" w:space="0"/>
            </w:tcBorders>
            <w:vAlign w:val="center"/>
          </w:tcPr>
          <w:p>
            <w:pPr>
              <w:pStyle w:val="134"/>
            </w:pPr>
            <w:r>
              <w:t>一~三开井段均采用水基钻井液</w:t>
            </w:r>
          </w:p>
        </w:tc>
        <w:tc>
          <w:tcPr>
            <w:tcW w:w="673" w:type="dxa"/>
            <w:tcBorders>
              <w:left w:val="single" w:color="auto" w:sz="4" w:space="0"/>
            </w:tcBorders>
            <w:vAlign w:val="center"/>
          </w:tcPr>
          <w:p>
            <w:pPr>
              <w:pStyle w:val="134"/>
            </w:pPr>
            <w:r>
              <w:t>钻井岩屑</w:t>
            </w:r>
          </w:p>
        </w:tc>
        <w:tc>
          <w:tcPr>
            <w:tcW w:w="1544" w:type="dxa"/>
            <w:vAlign w:val="center"/>
          </w:tcPr>
          <w:p>
            <w:pPr>
              <w:pStyle w:val="134"/>
            </w:pPr>
            <w:r>
              <w:t>1265.8m</w:t>
            </w:r>
            <w:r>
              <w:rPr>
                <w:vertAlign w:val="superscript"/>
              </w:rPr>
              <w:t>3</w:t>
            </w:r>
          </w:p>
        </w:tc>
        <w:tc>
          <w:tcPr>
            <w:tcW w:w="1006" w:type="dxa"/>
            <w:vAlign w:val="center"/>
          </w:tcPr>
          <w:p>
            <w:pPr>
              <w:pStyle w:val="134"/>
            </w:pPr>
            <w:r>
              <w:t>连续</w:t>
            </w:r>
          </w:p>
        </w:tc>
        <w:tc>
          <w:tcPr>
            <w:tcW w:w="1251" w:type="dxa"/>
            <w:vAlign w:val="center"/>
          </w:tcPr>
          <w:p>
            <w:pPr>
              <w:pStyle w:val="134"/>
            </w:pPr>
            <w:r>
              <w:t>/</w:t>
            </w:r>
          </w:p>
        </w:tc>
        <w:tc>
          <w:tcPr>
            <w:tcW w:w="2853" w:type="dxa"/>
            <w:vMerge w:val="restart"/>
            <w:vAlign w:val="center"/>
          </w:tcPr>
          <w:p>
            <w:pPr>
              <w:pStyle w:val="134"/>
            </w:pPr>
            <w:r>
              <w:t>本项目采用清洁化操作平台，并采取泥浆不落地措施。</w:t>
            </w:r>
            <w:r>
              <w:rPr>
                <w:bCs/>
              </w:rPr>
              <w:t>就近交给依法取得生态环境部门关于利用和处置相关工业固体废物项目环评批复、具有处理处置相应固体废物能力并配套建设有废气、废水、固废等污染物治理设施的单位进行资源化利用。</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22" w:type="dxa"/>
            <w:vMerge w:val="continue"/>
            <w:vAlign w:val="center"/>
          </w:tcPr>
          <w:p>
            <w:pPr>
              <w:pStyle w:val="134"/>
            </w:pPr>
          </w:p>
        </w:tc>
        <w:tc>
          <w:tcPr>
            <w:tcW w:w="674" w:type="dxa"/>
            <w:vMerge w:val="continue"/>
            <w:tcBorders>
              <w:right w:val="single" w:color="auto" w:sz="4" w:space="0"/>
            </w:tcBorders>
            <w:vAlign w:val="center"/>
          </w:tcPr>
          <w:p>
            <w:pPr>
              <w:pStyle w:val="134"/>
            </w:pPr>
          </w:p>
        </w:tc>
        <w:tc>
          <w:tcPr>
            <w:tcW w:w="673" w:type="dxa"/>
            <w:tcBorders>
              <w:left w:val="single" w:color="auto" w:sz="4" w:space="0"/>
            </w:tcBorders>
            <w:vAlign w:val="center"/>
          </w:tcPr>
          <w:p>
            <w:pPr>
              <w:pStyle w:val="134"/>
            </w:pPr>
            <w:r>
              <w:t>废泥浆</w:t>
            </w:r>
          </w:p>
        </w:tc>
        <w:tc>
          <w:tcPr>
            <w:tcW w:w="1544" w:type="dxa"/>
            <w:vAlign w:val="center"/>
          </w:tcPr>
          <w:p>
            <w:pPr>
              <w:pStyle w:val="134"/>
            </w:pPr>
            <w:bookmarkStart w:id="365" w:name="OLE_LINK54"/>
            <w:bookmarkStart w:id="366" w:name="OLE_LINK53"/>
            <w:r>
              <w:rPr>
                <w:rFonts w:hint="eastAsia"/>
              </w:rPr>
              <w:t>281</w:t>
            </w:r>
            <w:r>
              <w:t>m</w:t>
            </w:r>
            <w:r>
              <w:rPr>
                <w:vertAlign w:val="superscript"/>
              </w:rPr>
              <w:t>3</w:t>
            </w:r>
            <w:bookmarkEnd w:id="365"/>
            <w:bookmarkEnd w:id="366"/>
          </w:p>
        </w:tc>
        <w:tc>
          <w:tcPr>
            <w:tcW w:w="1006" w:type="dxa"/>
            <w:vAlign w:val="center"/>
          </w:tcPr>
          <w:p>
            <w:pPr>
              <w:pStyle w:val="134"/>
            </w:pPr>
            <w:r>
              <w:t>连续</w:t>
            </w:r>
          </w:p>
        </w:tc>
        <w:tc>
          <w:tcPr>
            <w:tcW w:w="1251" w:type="dxa"/>
            <w:vAlign w:val="center"/>
          </w:tcPr>
          <w:p>
            <w:pPr>
              <w:pStyle w:val="134"/>
            </w:pPr>
            <w:r>
              <w:t>/</w:t>
            </w:r>
          </w:p>
        </w:tc>
        <w:tc>
          <w:tcPr>
            <w:tcW w:w="2853" w:type="dxa"/>
            <w:vMerge w:val="continue"/>
            <w:vAlign w:val="center"/>
          </w:tcPr>
          <w:p>
            <w:pPr>
              <w:pStyle w:val="134"/>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22" w:type="dxa"/>
            <w:vMerge w:val="continue"/>
            <w:vAlign w:val="center"/>
          </w:tcPr>
          <w:p>
            <w:pPr>
              <w:pStyle w:val="134"/>
            </w:pPr>
          </w:p>
        </w:tc>
        <w:tc>
          <w:tcPr>
            <w:tcW w:w="674" w:type="dxa"/>
            <w:vMerge w:val="continue"/>
            <w:tcBorders>
              <w:right w:val="single" w:color="auto" w:sz="4" w:space="0"/>
            </w:tcBorders>
            <w:vAlign w:val="center"/>
          </w:tcPr>
          <w:p>
            <w:pPr>
              <w:pStyle w:val="134"/>
            </w:pPr>
          </w:p>
        </w:tc>
        <w:tc>
          <w:tcPr>
            <w:tcW w:w="673" w:type="dxa"/>
            <w:tcBorders>
              <w:left w:val="single" w:color="auto" w:sz="4" w:space="0"/>
            </w:tcBorders>
            <w:vAlign w:val="center"/>
          </w:tcPr>
          <w:p>
            <w:pPr>
              <w:pStyle w:val="134"/>
            </w:pPr>
            <w:r>
              <w:t>水基岩屑</w:t>
            </w:r>
          </w:p>
        </w:tc>
        <w:tc>
          <w:tcPr>
            <w:tcW w:w="1544" w:type="dxa"/>
            <w:vAlign w:val="center"/>
          </w:tcPr>
          <w:p>
            <w:pPr>
              <w:pStyle w:val="134"/>
            </w:pPr>
            <w:r>
              <w:t>459.1m</w:t>
            </w:r>
            <w:r>
              <w:rPr>
                <w:vertAlign w:val="superscript"/>
              </w:rPr>
              <w:t>3</w:t>
            </w:r>
          </w:p>
        </w:tc>
        <w:tc>
          <w:tcPr>
            <w:tcW w:w="1006" w:type="dxa"/>
            <w:vAlign w:val="center"/>
          </w:tcPr>
          <w:p>
            <w:pPr>
              <w:pStyle w:val="134"/>
            </w:pPr>
            <w:r>
              <w:t>连续</w:t>
            </w:r>
          </w:p>
        </w:tc>
        <w:tc>
          <w:tcPr>
            <w:tcW w:w="1251" w:type="dxa"/>
            <w:vAlign w:val="center"/>
          </w:tcPr>
          <w:p>
            <w:pPr>
              <w:pStyle w:val="134"/>
            </w:pPr>
            <w:r>
              <w:t>/</w:t>
            </w:r>
          </w:p>
        </w:tc>
        <w:tc>
          <w:tcPr>
            <w:tcW w:w="2853" w:type="dxa"/>
            <w:vMerge w:val="continue"/>
            <w:vAlign w:val="center"/>
          </w:tcPr>
          <w:p>
            <w:pPr>
              <w:pStyle w:val="134"/>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22" w:type="dxa"/>
            <w:vMerge w:val="continue"/>
            <w:vAlign w:val="center"/>
          </w:tcPr>
          <w:p>
            <w:pPr>
              <w:pStyle w:val="134"/>
            </w:pPr>
          </w:p>
        </w:tc>
        <w:tc>
          <w:tcPr>
            <w:tcW w:w="674" w:type="dxa"/>
            <w:vMerge w:val="restart"/>
            <w:tcBorders>
              <w:right w:val="single" w:color="auto" w:sz="4" w:space="0"/>
            </w:tcBorders>
            <w:vAlign w:val="center"/>
          </w:tcPr>
          <w:p>
            <w:pPr>
              <w:pStyle w:val="134"/>
            </w:pPr>
            <w:r>
              <w:t>三开井段采用白油基钻井液</w:t>
            </w:r>
          </w:p>
        </w:tc>
        <w:tc>
          <w:tcPr>
            <w:tcW w:w="673" w:type="dxa"/>
            <w:tcBorders>
              <w:left w:val="single" w:color="auto" w:sz="4" w:space="0"/>
            </w:tcBorders>
            <w:vAlign w:val="center"/>
          </w:tcPr>
          <w:p>
            <w:pPr>
              <w:pStyle w:val="134"/>
            </w:pPr>
            <w:r>
              <w:t>油基岩屑</w:t>
            </w:r>
          </w:p>
        </w:tc>
        <w:tc>
          <w:tcPr>
            <w:tcW w:w="1544" w:type="dxa"/>
            <w:vAlign w:val="center"/>
          </w:tcPr>
          <w:p>
            <w:pPr>
              <w:pStyle w:val="134"/>
            </w:pPr>
            <w:r>
              <w:t>550.9m</w:t>
            </w:r>
            <w:r>
              <w:rPr>
                <w:vertAlign w:val="superscript"/>
              </w:rPr>
              <w:t>3</w:t>
            </w:r>
          </w:p>
        </w:tc>
        <w:tc>
          <w:tcPr>
            <w:tcW w:w="1006" w:type="dxa"/>
            <w:vAlign w:val="center"/>
          </w:tcPr>
          <w:p>
            <w:pPr>
              <w:pStyle w:val="134"/>
            </w:pPr>
            <w:r>
              <w:t>连续</w:t>
            </w:r>
          </w:p>
        </w:tc>
        <w:tc>
          <w:tcPr>
            <w:tcW w:w="1251" w:type="dxa"/>
            <w:vAlign w:val="center"/>
          </w:tcPr>
          <w:p>
            <w:pPr>
              <w:pStyle w:val="134"/>
            </w:pPr>
            <w:r>
              <w:t>/</w:t>
            </w:r>
          </w:p>
        </w:tc>
        <w:tc>
          <w:tcPr>
            <w:tcW w:w="2853" w:type="dxa"/>
            <w:vMerge w:val="restart"/>
            <w:vAlign w:val="center"/>
          </w:tcPr>
          <w:p>
            <w:pPr>
              <w:pStyle w:val="134"/>
            </w:pPr>
            <w:r>
              <w:t>本项目采用清洁化操作平台，并采取泥浆不落地措施。</w:t>
            </w:r>
            <w:r>
              <w:rPr>
                <w:bCs/>
              </w:rPr>
              <w:t>就近交给依法取得生态环境部门关于利用和处置相关工业固体废物项目环评批复、具有处理处置相应固体废物能力并配套建设有废气、废水、固废等污染物治理设施的单位进行资源化利用。</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22" w:type="dxa"/>
            <w:vMerge w:val="continue"/>
            <w:vAlign w:val="center"/>
          </w:tcPr>
          <w:p>
            <w:pPr>
              <w:pStyle w:val="134"/>
            </w:pPr>
          </w:p>
        </w:tc>
        <w:tc>
          <w:tcPr>
            <w:tcW w:w="674" w:type="dxa"/>
            <w:vMerge w:val="continue"/>
            <w:tcBorders>
              <w:right w:val="single" w:color="auto" w:sz="4" w:space="0"/>
            </w:tcBorders>
            <w:vAlign w:val="center"/>
          </w:tcPr>
          <w:p>
            <w:pPr>
              <w:pStyle w:val="134"/>
            </w:pPr>
          </w:p>
        </w:tc>
        <w:tc>
          <w:tcPr>
            <w:tcW w:w="673" w:type="dxa"/>
            <w:tcBorders>
              <w:left w:val="single" w:color="auto" w:sz="4" w:space="0"/>
            </w:tcBorders>
            <w:vAlign w:val="center"/>
          </w:tcPr>
          <w:p>
            <w:pPr>
              <w:pStyle w:val="134"/>
            </w:pPr>
            <w:r>
              <w:t>油基泥浆</w:t>
            </w:r>
          </w:p>
        </w:tc>
        <w:tc>
          <w:tcPr>
            <w:tcW w:w="1544" w:type="dxa"/>
            <w:vAlign w:val="center"/>
          </w:tcPr>
          <w:p>
            <w:pPr>
              <w:pStyle w:val="134"/>
            </w:pPr>
            <w:r>
              <w:rPr>
                <w:rFonts w:hint="eastAsia"/>
              </w:rPr>
              <w:t>72</w:t>
            </w:r>
            <w:r>
              <w:t>m</w:t>
            </w:r>
            <w:r>
              <w:rPr>
                <w:vertAlign w:val="superscript"/>
              </w:rPr>
              <w:t>3</w:t>
            </w:r>
          </w:p>
        </w:tc>
        <w:tc>
          <w:tcPr>
            <w:tcW w:w="1006" w:type="dxa"/>
            <w:vAlign w:val="center"/>
          </w:tcPr>
          <w:p>
            <w:pPr>
              <w:pStyle w:val="134"/>
            </w:pPr>
            <w:r>
              <w:t>连续</w:t>
            </w:r>
          </w:p>
        </w:tc>
        <w:tc>
          <w:tcPr>
            <w:tcW w:w="1251" w:type="dxa"/>
            <w:vAlign w:val="center"/>
          </w:tcPr>
          <w:p>
            <w:pPr>
              <w:pStyle w:val="134"/>
            </w:pPr>
            <w:r>
              <w:t>/</w:t>
            </w:r>
          </w:p>
        </w:tc>
        <w:tc>
          <w:tcPr>
            <w:tcW w:w="2853" w:type="dxa"/>
            <w:vMerge w:val="continue"/>
            <w:vAlign w:val="center"/>
          </w:tcPr>
          <w:p>
            <w:pPr>
              <w:pStyle w:val="134"/>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22" w:type="dxa"/>
            <w:vMerge w:val="continue"/>
            <w:vAlign w:val="center"/>
          </w:tcPr>
          <w:p>
            <w:pPr>
              <w:pStyle w:val="134"/>
            </w:pPr>
          </w:p>
        </w:tc>
        <w:tc>
          <w:tcPr>
            <w:tcW w:w="1347" w:type="dxa"/>
            <w:gridSpan w:val="2"/>
            <w:vAlign w:val="center"/>
          </w:tcPr>
          <w:p>
            <w:pPr>
              <w:pStyle w:val="134"/>
            </w:pPr>
            <w:r>
              <w:t>废油</w:t>
            </w:r>
          </w:p>
        </w:tc>
        <w:tc>
          <w:tcPr>
            <w:tcW w:w="1544" w:type="dxa"/>
            <w:vAlign w:val="center"/>
          </w:tcPr>
          <w:p>
            <w:pPr>
              <w:pStyle w:val="134"/>
            </w:pPr>
            <w:r>
              <w:t>0.5m</w:t>
            </w:r>
            <w:r>
              <w:rPr>
                <w:vertAlign w:val="superscript"/>
              </w:rPr>
              <w:t>3</w:t>
            </w:r>
          </w:p>
        </w:tc>
        <w:tc>
          <w:tcPr>
            <w:tcW w:w="1006" w:type="dxa"/>
            <w:vAlign w:val="center"/>
          </w:tcPr>
          <w:p>
            <w:pPr>
              <w:pStyle w:val="134"/>
            </w:pPr>
            <w:r>
              <w:t>间断</w:t>
            </w:r>
          </w:p>
        </w:tc>
        <w:tc>
          <w:tcPr>
            <w:tcW w:w="1251" w:type="dxa"/>
            <w:vAlign w:val="center"/>
          </w:tcPr>
          <w:p>
            <w:pPr>
              <w:pStyle w:val="134"/>
            </w:pPr>
            <w:r>
              <w:t>HW08废矿物油</w:t>
            </w:r>
          </w:p>
        </w:tc>
        <w:tc>
          <w:tcPr>
            <w:tcW w:w="2853" w:type="dxa"/>
            <w:vAlign w:val="center"/>
          </w:tcPr>
          <w:p>
            <w:pPr>
              <w:pStyle w:val="134"/>
            </w:pPr>
            <w:r>
              <w:t>暂存于危废暂存间，面积约</w:t>
            </w:r>
            <w:r>
              <w:rPr>
                <w:rFonts w:hint="eastAsia"/>
              </w:rPr>
              <w:t>2</w:t>
            </w:r>
            <w:r>
              <w:t>5m</w:t>
            </w:r>
            <w:r>
              <w:rPr>
                <w:vertAlign w:val="superscript"/>
              </w:rPr>
              <w:t>2</w:t>
            </w:r>
            <w:r>
              <w:t>，暂存间地面采取必要的防护措施（防风、防雨、防晒、防渗、防漏、防腐）及其他环境污染防护措施，并及时清运至企业净化厂危险废物贮存仓库，定期委托有资质单位进行处理。</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22" w:type="dxa"/>
            <w:vMerge w:val="restart"/>
            <w:vAlign w:val="center"/>
          </w:tcPr>
          <w:p>
            <w:pPr>
              <w:pStyle w:val="134"/>
            </w:pPr>
            <w:r>
              <w:t>噪声</w:t>
            </w:r>
          </w:p>
        </w:tc>
        <w:tc>
          <w:tcPr>
            <w:tcW w:w="1347" w:type="dxa"/>
            <w:gridSpan w:val="2"/>
            <w:vAlign w:val="center"/>
          </w:tcPr>
          <w:p>
            <w:pPr>
              <w:pStyle w:val="134"/>
            </w:pPr>
            <w:r>
              <w:t>施工机械、运输车辆</w:t>
            </w:r>
          </w:p>
        </w:tc>
        <w:tc>
          <w:tcPr>
            <w:tcW w:w="1544" w:type="dxa"/>
            <w:vAlign w:val="center"/>
          </w:tcPr>
          <w:p>
            <w:pPr>
              <w:pStyle w:val="134"/>
            </w:pPr>
            <w:r>
              <w:t>85～105dB（A）</w:t>
            </w:r>
          </w:p>
        </w:tc>
        <w:tc>
          <w:tcPr>
            <w:tcW w:w="1006" w:type="dxa"/>
            <w:vAlign w:val="center"/>
          </w:tcPr>
          <w:p>
            <w:pPr>
              <w:pStyle w:val="134"/>
            </w:pPr>
            <w:r>
              <w:t>间断</w:t>
            </w:r>
          </w:p>
        </w:tc>
        <w:tc>
          <w:tcPr>
            <w:tcW w:w="1251" w:type="dxa"/>
            <w:vAlign w:val="center"/>
          </w:tcPr>
          <w:p>
            <w:pPr>
              <w:pStyle w:val="134"/>
            </w:pPr>
            <w:bookmarkStart w:id="367" w:name="OLE_LINK119"/>
            <w:bookmarkStart w:id="368" w:name="OLE_LINK120"/>
            <w:r>
              <w:t>噪声</w:t>
            </w:r>
            <w:bookmarkEnd w:id="367"/>
            <w:bookmarkEnd w:id="368"/>
          </w:p>
        </w:tc>
        <w:tc>
          <w:tcPr>
            <w:tcW w:w="2853" w:type="dxa"/>
            <w:vAlign w:val="center"/>
          </w:tcPr>
          <w:p>
            <w:pPr>
              <w:pStyle w:val="134"/>
            </w:pPr>
            <w:r>
              <w:t>合理安排施工作业时间，合理布局施工现场；夜间原则上禁止施工，若遇特定工艺需连续作业需报相关部门同意后，方可开展夜间施工，同时做好夜间环境保护防护及应急措施。</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22" w:type="dxa"/>
            <w:vMerge w:val="continue"/>
            <w:vAlign w:val="center"/>
          </w:tcPr>
          <w:p>
            <w:pPr>
              <w:pStyle w:val="134"/>
            </w:pPr>
          </w:p>
        </w:tc>
        <w:tc>
          <w:tcPr>
            <w:tcW w:w="1347" w:type="dxa"/>
            <w:gridSpan w:val="2"/>
            <w:vAlign w:val="center"/>
          </w:tcPr>
          <w:p>
            <w:pPr>
              <w:pStyle w:val="134"/>
            </w:pPr>
            <w:r>
              <w:t>钻井、压裂、测试放喷</w:t>
            </w:r>
          </w:p>
        </w:tc>
        <w:tc>
          <w:tcPr>
            <w:tcW w:w="1544" w:type="dxa"/>
            <w:vAlign w:val="center"/>
          </w:tcPr>
          <w:p>
            <w:pPr>
              <w:pStyle w:val="134"/>
            </w:pPr>
            <w:r>
              <w:t>85～105dB（A）</w:t>
            </w:r>
          </w:p>
        </w:tc>
        <w:tc>
          <w:tcPr>
            <w:tcW w:w="1006" w:type="dxa"/>
            <w:vAlign w:val="center"/>
          </w:tcPr>
          <w:p>
            <w:pPr>
              <w:pStyle w:val="134"/>
            </w:pPr>
            <w:r>
              <w:t>连续</w:t>
            </w:r>
          </w:p>
        </w:tc>
        <w:tc>
          <w:tcPr>
            <w:tcW w:w="1251" w:type="dxa"/>
            <w:vAlign w:val="center"/>
          </w:tcPr>
          <w:p>
            <w:pPr>
              <w:pStyle w:val="134"/>
            </w:pPr>
            <w:r>
              <w:t>噪声</w:t>
            </w:r>
          </w:p>
        </w:tc>
        <w:tc>
          <w:tcPr>
            <w:tcW w:w="2853" w:type="dxa"/>
            <w:vAlign w:val="center"/>
          </w:tcPr>
          <w:p>
            <w:pPr>
              <w:pStyle w:val="134"/>
            </w:pPr>
            <w:r>
              <w:t>钻井施工采用网电</w:t>
            </w:r>
          </w:p>
        </w:tc>
      </w:tr>
    </w:tbl>
    <w:p>
      <w:pPr>
        <w:pStyle w:val="3"/>
        <w:spacing w:before="120"/>
        <w:rPr>
          <w:rFonts w:cs="Times New Roman"/>
        </w:rPr>
      </w:pPr>
      <w:bookmarkStart w:id="369" w:name="bookmark24"/>
      <w:bookmarkEnd w:id="369"/>
      <w:bookmarkStart w:id="370" w:name="_Toc19815990"/>
      <w:bookmarkStart w:id="371" w:name="_Toc12288519"/>
      <w:bookmarkStart w:id="372" w:name="_Toc24426"/>
      <w:r>
        <w:rPr>
          <w:rFonts w:cs="Times New Roman"/>
        </w:rPr>
        <w:t xml:space="preserve">4.2 </w:t>
      </w:r>
      <w:bookmarkEnd w:id="370"/>
      <w:bookmarkEnd w:id="371"/>
      <w:r>
        <w:rPr>
          <w:rFonts w:cs="Times New Roman"/>
        </w:rPr>
        <w:t>试采期工程分析</w:t>
      </w:r>
      <w:bookmarkEnd w:id="372"/>
    </w:p>
    <w:p>
      <w:pPr>
        <w:pStyle w:val="4"/>
        <w:rPr>
          <w:rFonts w:eastAsia="宋体"/>
        </w:rPr>
      </w:pPr>
      <w:r>
        <w:rPr>
          <w:rFonts w:eastAsia="宋体"/>
        </w:rPr>
        <w:t>4.2.1 试采期工艺流程</w:t>
      </w:r>
    </w:p>
    <w:p>
      <w:pPr>
        <w:spacing w:line="240" w:lineRule="auto"/>
        <w:ind w:firstLine="0" w:firstLineChars="0"/>
        <w:rPr>
          <w:rFonts w:ascii="Times New Roman" w:cs="Times New Roman"/>
        </w:rPr>
      </w:pPr>
    </w:p>
    <w:p>
      <w:pPr>
        <w:pStyle w:val="39"/>
        <w:rPr>
          <w:rFonts w:cs="Times New Roman"/>
        </w:rPr>
      </w:pPr>
      <w:r>
        <w:rPr>
          <w:rFonts w:cs="Times New Roman"/>
        </w:rPr>
        <w:t>图</w:t>
      </w:r>
      <w:r>
        <w:rPr>
          <w:rFonts w:cs="Times New Roman"/>
          <w:bCs/>
        </w:rPr>
        <w:t xml:space="preserve">4.2-1  </w:t>
      </w:r>
      <w:r>
        <w:rPr>
          <w:rFonts w:cs="Times New Roman"/>
        </w:rPr>
        <w:t>本项目试采期工艺流程及产污节点图</w:t>
      </w:r>
    </w:p>
    <w:p>
      <w:pPr>
        <w:pStyle w:val="114"/>
        <w:ind w:firstLine="482"/>
        <w:rPr>
          <w:b/>
          <w:bCs/>
        </w:rPr>
      </w:pPr>
      <w:r>
        <w:rPr>
          <w:b/>
          <w:bCs/>
        </w:rPr>
        <w:t>工艺流程描述：</w:t>
      </w:r>
    </w:p>
    <w:p>
      <w:pPr>
        <w:pStyle w:val="114"/>
        <w:ind w:firstLine="480"/>
        <w:rPr>
          <w:bCs/>
        </w:rPr>
      </w:pPr>
      <w:r>
        <w:rPr>
          <w:bCs/>
        </w:rPr>
        <w:t>P108-2H、P108-3气井产物通过二级节流工艺（井口压力约为34MPa，加热设备选用水套加热炉，共设置两级加热盘管，一级加热盘管设计压力20MPa，二级加热盘管设计压力12.5MPa）</w:t>
      </w:r>
      <w:bookmarkStart w:id="373" w:name="OLE_LINK188"/>
      <w:bookmarkStart w:id="374" w:name="OLE_LINK187"/>
      <w:r>
        <w:rPr>
          <w:bCs/>
        </w:rPr>
        <w:t>后同P108-1T气井产物一起依托</w:t>
      </w:r>
      <w:r>
        <w:t>P108集气管道</w:t>
      </w:r>
      <w:bookmarkEnd w:id="373"/>
      <w:bookmarkEnd w:id="374"/>
      <w:r>
        <w:t>至11#阀室管线</w:t>
      </w:r>
      <w:r>
        <w:rPr>
          <w:bCs/>
        </w:rPr>
        <w:t>（</w:t>
      </w:r>
      <w:r>
        <w:t>管道长度约300m，集气管道</w:t>
      </w:r>
      <w:r>
        <w:rPr>
          <w:bCs/>
        </w:rPr>
        <w:t>Φ114.3×（8+3）</w:t>
      </w:r>
      <w:r>
        <w:t>，材质：L360QS +UNSN08825，设计压力12.5MPa</w:t>
      </w:r>
      <w:r>
        <w:rPr>
          <w:bCs/>
        </w:rPr>
        <w:t>），最终输送至已建净化厂净化装置处理 。</w:t>
      </w:r>
    </w:p>
    <w:p>
      <w:pPr>
        <w:pStyle w:val="114"/>
        <w:ind w:firstLine="482"/>
        <w:rPr>
          <w:b/>
        </w:rPr>
      </w:pPr>
      <w:bookmarkStart w:id="375" w:name="_Hlk83484534"/>
      <w:r>
        <w:rPr>
          <w:b/>
        </w:rPr>
        <w:t>防止水合物形成工艺：</w:t>
      </w:r>
    </w:p>
    <w:p>
      <w:pPr>
        <w:pStyle w:val="114"/>
        <w:ind w:firstLine="480"/>
      </w:pPr>
      <w:r>
        <w:t>（1）概述</w:t>
      </w:r>
    </w:p>
    <w:p>
      <w:pPr>
        <w:pStyle w:val="114"/>
        <w:ind w:firstLine="480"/>
      </w:pPr>
      <w:r>
        <w:t>当天然气处于饱和或过饱和含水状态时将有游离水析出，同时在一定的温度、压力条件下，当气体压力波动或流向、流态发生突变时，天然气与水会形成一种白色结晶状固体，其外观类似松散的冰或致密的雪，此即为水合物。研究表明，水合物也有可能在未饱和的天然气中形成，但其条件是温度极低，且诱导期很长，而在天然气采输过程的工况条件下，形成稳定水合物的前提则是必须有液相水存在。</w:t>
      </w:r>
    </w:p>
    <w:p>
      <w:pPr>
        <w:pStyle w:val="114"/>
        <w:ind w:firstLine="480"/>
      </w:pPr>
      <w:r>
        <w:t>（2）天然气水合物形成温度预测</w:t>
      </w:r>
    </w:p>
    <w:p>
      <w:pPr>
        <w:pStyle w:val="114"/>
        <w:ind w:firstLine="480"/>
      </w:pPr>
      <w:r>
        <w:t>根据普光分公司提供的气质参数，通过HYSYS软件计算出不同压力下天然气水物的形成温度，P108-2H井、P108-3井试采过程中天然气水合物可能形成的温度在23.2～23.3℃之间。</w:t>
      </w:r>
    </w:p>
    <w:p>
      <w:pPr>
        <w:pStyle w:val="114"/>
        <w:ind w:firstLine="480"/>
      </w:pPr>
      <w:r>
        <w:t>（3）防止水合物形成的工艺比选</w:t>
      </w:r>
    </w:p>
    <w:p>
      <w:pPr>
        <w:pStyle w:val="114"/>
        <w:ind w:firstLine="480"/>
      </w:pPr>
      <w:r>
        <w:t>从井口采出的含水天然气当其温度降低至某一值后，就会形成固体水合物，堵塞管道和设备。为了防止高压天然气在节流和输送过程中形成水合物，必须采取防止水合物形成的措施，通常采用的措施有加热、加抑制剂（注醇）和脱水三种方法。</w:t>
      </w:r>
    </w:p>
    <w:p>
      <w:pPr>
        <w:pStyle w:val="114"/>
        <w:ind w:firstLine="480"/>
      </w:pPr>
      <w:r>
        <w:fldChar w:fldCharType="begin"/>
      </w:r>
      <w:r>
        <w:instrText xml:space="preserve"> = 1 \* GB3 </w:instrText>
      </w:r>
      <w:r>
        <w:fldChar w:fldCharType="separate"/>
      </w:r>
      <w:r>
        <w:t>①</w:t>
      </w:r>
      <w:r>
        <w:fldChar w:fldCharType="end"/>
      </w:r>
      <w:r>
        <w:t>加热方法</w:t>
      </w:r>
    </w:p>
    <w:p>
      <w:pPr>
        <w:pStyle w:val="114"/>
        <w:ind w:firstLine="480"/>
      </w:pPr>
      <w:r>
        <w:t>目前国内外常用的加热设备主要为水套加热炉和电热带。水套加热炉适用于热负荷波动范围较大的场合，且易于操作和控制，使用也比较安全，因而通常用于井口加热和长输管道加热输送。电热带则常用于集输系统的辅助加热，优点是热效率高、发热均匀、温度控制准确、可实现远控及遥控、易于实现自动化管理、管理费用低、投资少。其缺点是功率小、电热丝寿命短、加热量偏小、不适用于大输量的野外埋地管道加热。</w:t>
      </w:r>
    </w:p>
    <w:p>
      <w:pPr>
        <w:pStyle w:val="114"/>
        <w:ind w:firstLine="480"/>
      </w:pPr>
      <w:r>
        <w:t>经分离后的天然气进入加热炉加热，在压力和水含量不变的情况下，加热后的天然气中的水含量将处于不饱和状态，亦即天然气温度高于其露点温度，因而可以防止水合物的形成。输气管线采用保温处理，从而保证天然气输送管道温度高于水合物形成温度。</w:t>
      </w:r>
    </w:p>
    <w:p>
      <w:pPr>
        <w:pStyle w:val="114"/>
        <w:ind w:firstLine="480"/>
      </w:pPr>
      <w:r>
        <w:t>正常生产时，气田采用水套加热炉加热防止水合物的形成；事故工况和开停工状况采用注抑制剂方式防止水合物形成。</w:t>
      </w:r>
    </w:p>
    <w:p>
      <w:pPr>
        <w:pStyle w:val="114"/>
        <w:ind w:firstLine="480"/>
      </w:pPr>
      <w:r>
        <w:fldChar w:fldCharType="begin"/>
      </w:r>
      <w:r>
        <w:instrText xml:space="preserve"> = 2 \* GB3 </w:instrText>
      </w:r>
      <w:r>
        <w:fldChar w:fldCharType="separate"/>
      </w:r>
      <w:r>
        <w:t>②</w:t>
      </w:r>
      <w:r>
        <w:fldChar w:fldCharType="end"/>
      </w:r>
      <w:r>
        <w:t>抑制剂方法</w:t>
      </w:r>
    </w:p>
    <w:p>
      <w:pPr>
        <w:pStyle w:val="114"/>
        <w:ind w:firstLine="480"/>
      </w:pPr>
      <w:r>
        <w:t>加注水合物抑制剂是防止水合物形成的重要措施和有效方法，它能减轻水套炉热负荷，降低能耗。目前使用最广泛的热力学抑剂是乙二醇，它通过改变水合物相的化学位，使水合物形成条件向较低温度和较高压力的范围移动，从而达到抑制水合物形成的目的。</w:t>
      </w:r>
    </w:p>
    <w:p>
      <w:pPr>
        <w:pStyle w:val="114"/>
        <w:ind w:firstLine="480"/>
      </w:pPr>
      <w:r>
        <w:t>③脱水方法</w:t>
      </w:r>
    </w:p>
    <w:p>
      <w:pPr>
        <w:pStyle w:val="114"/>
        <w:ind w:firstLine="480"/>
      </w:pPr>
      <w:r>
        <w:t>由于P108-1T井接入P108集气站已建流程最终进入普光气田已建管网，区域内各井均采用“全湿气加热保温混输”工艺，故不再单独对P108-2H、P108-3井进行脱水。</w:t>
      </w:r>
    </w:p>
    <w:p>
      <w:pPr>
        <w:pStyle w:val="114"/>
        <w:ind w:firstLine="480"/>
      </w:pPr>
      <w:r>
        <w:t>（4）加热节流工艺</w:t>
      </w:r>
    </w:p>
    <w:p>
      <w:pPr>
        <w:pStyle w:val="114"/>
        <w:ind w:firstLine="480"/>
      </w:pPr>
      <w:r>
        <w:t>根据总体试采方案要求，集气站出站设计压力取12.5MPa，结合天然气组成、井口温度、压力条件以及外输温度要求，采用Hysys模拟计算，考虑一定的设计余量后，确定本项目集气站内采用一次加热节流模式，即通过采气树二级节流至外输压力，通过计算，P108-2H、P108-3井井总共所需要的热负荷为437kW。已建1000kW加热炉满足使用要求。</w:t>
      </w:r>
      <w:bookmarkEnd w:id="375"/>
    </w:p>
    <w:p>
      <w:pPr>
        <w:pStyle w:val="114"/>
        <w:ind w:firstLine="480"/>
      </w:pPr>
      <w:r>
        <w:t>（5）计量工艺</w:t>
      </w:r>
    </w:p>
    <w:p>
      <w:pPr>
        <w:pStyle w:val="114"/>
        <w:ind w:firstLine="480"/>
      </w:pPr>
      <w:r>
        <w:t>为了解气井生产动态及向气藏管理者提供可靠依据，在生产过程中需要对气井的产量进行计量。</w:t>
      </w:r>
    </w:p>
    <w:p>
      <w:pPr>
        <w:pStyle w:val="114"/>
        <w:ind w:firstLine="480"/>
      </w:pPr>
      <w:r>
        <w:t>P108-1T 井口已有1台流量计，P108-2H、P108-3井口各新建1台DN100、class1500 超声波流量计实现计量</w:t>
      </w:r>
      <w:r>
        <w:rPr>
          <w:rFonts w:hint="eastAsia"/>
        </w:rPr>
        <w:t>。</w:t>
      </w:r>
    </w:p>
    <w:p>
      <w:pPr>
        <w:pStyle w:val="114"/>
        <w:ind w:firstLine="480"/>
      </w:pPr>
      <w:r>
        <w:t>（6）分离工艺</w:t>
      </w:r>
    </w:p>
    <w:p>
      <w:pPr>
        <w:pStyle w:val="114"/>
        <w:ind w:firstLine="480"/>
      </w:pPr>
      <w:r>
        <w:t>因采气酸化压裂作业，开井前期采出气中含返排酸液，需建设井口临时分酸分离器进行分离，分离出的酸液</w:t>
      </w:r>
      <w:r>
        <w:rPr>
          <w:spacing w:val="-8"/>
          <w:szCs w:val="21"/>
        </w:rPr>
        <w:t>部分暂存于</w:t>
      </w:r>
      <w:r>
        <w:rPr>
          <w:rFonts w:hint="eastAsia"/>
          <w:spacing w:val="-8"/>
          <w:szCs w:val="21"/>
        </w:rPr>
        <w:t>酸液缓冲罐</w:t>
      </w:r>
      <w:r>
        <w:rPr>
          <w:spacing w:val="-8"/>
          <w:szCs w:val="21"/>
        </w:rPr>
        <w:t>，</w:t>
      </w:r>
      <w:r>
        <w:rPr>
          <w:rFonts w:hint="eastAsia"/>
          <w:spacing w:val="-8"/>
          <w:szCs w:val="21"/>
        </w:rPr>
        <w:t>定期</w:t>
      </w:r>
      <w:r>
        <w:rPr>
          <w:spacing w:val="-8"/>
          <w:szCs w:val="21"/>
        </w:rPr>
        <w:t>装车拉运至大湾403污水站处理达标后管输至毛开1井回注站回注；本项目试采期</w:t>
      </w:r>
      <w:r>
        <w:rPr>
          <w:rFonts w:hint="eastAsia"/>
          <w:spacing w:val="-8"/>
          <w:szCs w:val="21"/>
        </w:rPr>
        <w:t>产生的气田水经酸液缓冲罐收集</w:t>
      </w:r>
      <w:r>
        <w:rPr>
          <w:spacing w:val="-8"/>
          <w:szCs w:val="21"/>
        </w:rPr>
        <w:t>，然后通过密闭罐车拉运至大湾403污水站处理达到《气田水回注方法》（SY/T 6596-2016）中注入水基本要求后管输至毛开1井回注站回注处理，不外排</w:t>
      </w:r>
      <w:r>
        <w:t>。</w:t>
      </w:r>
    </w:p>
    <w:p>
      <w:pPr>
        <w:pStyle w:val="4"/>
        <w:rPr>
          <w:rFonts w:eastAsia="宋体"/>
        </w:rPr>
      </w:pPr>
      <w:r>
        <w:rPr>
          <w:rFonts w:eastAsia="宋体"/>
        </w:rPr>
        <w:t>4.2.2 废气产生情况及治理措施</w:t>
      </w:r>
    </w:p>
    <w:p>
      <w:pPr>
        <w:pStyle w:val="114"/>
        <w:ind w:firstLine="482"/>
        <w:rPr>
          <w:b/>
          <w:bCs/>
        </w:rPr>
      </w:pPr>
      <w:r>
        <w:rPr>
          <w:b/>
          <w:bCs/>
        </w:rPr>
        <w:t>1、正常工况</w:t>
      </w:r>
    </w:p>
    <w:p>
      <w:pPr>
        <w:pStyle w:val="114"/>
        <w:ind w:firstLine="480"/>
      </w:pPr>
      <w:r>
        <w:t>根据本项目所提供的设计资料，本项目正常生产时，天然气处于完全密闭系统内，无废气产生和排放。本项目不设置水套加热炉，气体加热依托P108集气站已建水套加热炉，该水套炉所使用的天然气来源于现有燃气返输管线输送的净化厂净化后天然气，不含硫化氢，主要成分为甲烷，燃烧后其废气中主要污染物为NO</w:t>
      </w:r>
      <w:r>
        <w:rPr>
          <w:vertAlign w:val="subscript"/>
        </w:rPr>
        <w:t>X</w:t>
      </w:r>
      <w:r>
        <w:t>，经水套炉自带8m高排气筒排放。</w:t>
      </w:r>
    </w:p>
    <w:p>
      <w:pPr>
        <w:pStyle w:val="114"/>
        <w:ind w:firstLine="482"/>
        <w:rPr>
          <w:b/>
          <w:bCs/>
        </w:rPr>
      </w:pPr>
      <w:r>
        <w:rPr>
          <w:b/>
          <w:bCs/>
        </w:rPr>
        <w:t>2、非正常工况</w:t>
      </w:r>
    </w:p>
    <w:p>
      <w:pPr>
        <w:pStyle w:val="114"/>
        <w:ind w:firstLine="480"/>
        <w:rPr>
          <w:bCs/>
        </w:rPr>
      </w:pPr>
      <w:r>
        <w:t>项目装置检修时为保证检修过程的安全，需排空装置及管道内的残留天然气，残留天然气通过井场放空系统点火排放。本项目设备检修预计每年约1～2次，检修前可利用截断装置，将集气管道和站场设备切断，放空废气仅为站场设备内残留的原料气，放空量约为30m</w:t>
      </w:r>
      <w:r>
        <w:rPr>
          <w:vertAlign w:val="superscript"/>
        </w:rPr>
        <w:t>3</w:t>
      </w:r>
      <w:r>
        <w:t>/次，</w:t>
      </w:r>
      <w:r>
        <w:rPr>
          <w:bCs/>
        </w:rPr>
        <w:t>放空废气通过放空火炬点火燃烧，主要污染物为二氧化硫和氮氧化物。</w:t>
      </w:r>
    </w:p>
    <w:p>
      <w:pPr>
        <w:pStyle w:val="114"/>
        <w:ind w:firstLine="480"/>
        <w:rPr>
          <w:bCs/>
        </w:rPr>
      </w:pPr>
      <w:r>
        <w:rPr>
          <w:bCs/>
        </w:rPr>
        <w:t>根据《工业污染源产排污系数手册》，废气量产生系数为12.31万m</w:t>
      </w:r>
      <w:r>
        <w:rPr>
          <w:bCs/>
          <w:vertAlign w:val="superscript"/>
        </w:rPr>
        <w:t>3</w:t>
      </w:r>
      <w:r>
        <w:rPr>
          <w:bCs/>
        </w:rPr>
        <w:t>/万m</w:t>
      </w:r>
      <w:r>
        <w:rPr>
          <w:bCs/>
          <w:vertAlign w:val="superscript"/>
        </w:rPr>
        <w:t>3</w:t>
      </w:r>
      <w:r>
        <w:rPr>
          <w:bCs/>
        </w:rPr>
        <w:t>天然气，本项目放空废气量分别为369.3m</w:t>
      </w:r>
      <w:r>
        <w:rPr>
          <w:bCs/>
          <w:vertAlign w:val="superscript"/>
        </w:rPr>
        <w:t>3</w:t>
      </w:r>
      <w:r>
        <w:rPr>
          <w:bCs/>
        </w:rPr>
        <w:t>；天然气燃烧NOx产污系数为18.71kg/10</w:t>
      </w:r>
      <w:r>
        <w:rPr>
          <w:bCs/>
          <w:vertAlign w:val="superscript"/>
        </w:rPr>
        <w:t>4</w:t>
      </w:r>
      <w:r>
        <w:rPr>
          <w:bCs/>
        </w:rPr>
        <w:t>m</w:t>
      </w:r>
      <w:r>
        <w:rPr>
          <w:bCs/>
          <w:vertAlign w:val="superscript"/>
        </w:rPr>
        <w:t>3</w:t>
      </w:r>
      <w:r>
        <w:rPr>
          <w:bCs/>
        </w:rPr>
        <w:t>计算，NOx产生量分别为0.056kg；天然气中硫化氢含量分别为107.42g/m</w:t>
      </w:r>
      <w:r>
        <w:rPr>
          <w:bCs/>
          <w:vertAlign w:val="superscript"/>
        </w:rPr>
        <w:t>3</w:t>
      </w:r>
      <w:r>
        <w:rPr>
          <w:bCs/>
        </w:rPr>
        <w:t>，根据质量守恒定律及废气产生量核算，输气管线氮气置换天然气放空排放的二氧化硫总量约为6.07kg。</w:t>
      </w:r>
    </w:p>
    <w:p>
      <w:pPr>
        <w:pStyle w:val="114"/>
        <w:ind w:firstLine="480"/>
        <w:rPr>
          <w:bCs/>
        </w:rPr>
      </w:pPr>
      <w:r>
        <w:t>根据项目设计资料，本项目每次放空持续时间约1h，放空废气通过P108集气站放空火炬燃烧后排放，燃烧排放主要污染物为氮氧化物和硫化氢，</w:t>
      </w:r>
      <w:r>
        <w:rPr>
          <w:bCs/>
        </w:rPr>
        <w:t>根据《工业污染源产排污系数手册》（2010年修订版），废气量产生系数为12.31万m</w:t>
      </w:r>
      <w:r>
        <w:rPr>
          <w:bCs/>
          <w:vertAlign w:val="superscript"/>
        </w:rPr>
        <w:t>3</w:t>
      </w:r>
      <w:r>
        <w:rPr>
          <w:bCs/>
        </w:rPr>
        <w:t>/万m</w:t>
      </w:r>
      <w:r>
        <w:rPr>
          <w:bCs/>
          <w:vertAlign w:val="superscript"/>
        </w:rPr>
        <w:t>3</w:t>
      </w:r>
      <w:r>
        <w:rPr>
          <w:bCs/>
        </w:rPr>
        <w:t>天然气，本项目放空废气量分别为1.39万m</w:t>
      </w:r>
      <w:r>
        <w:rPr>
          <w:bCs/>
          <w:vertAlign w:val="superscript"/>
        </w:rPr>
        <w:t>3</w:t>
      </w:r>
      <w:r>
        <w:rPr>
          <w:bCs/>
        </w:rPr>
        <w:t>；</w:t>
      </w:r>
      <w:r>
        <w:rPr>
          <w:rFonts w:hint="eastAsia"/>
          <w:bCs/>
        </w:rPr>
        <w:t>本项目</w:t>
      </w:r>
      <w:r>
        <w:rPr>
          <w:bCs/>
        </w:rPr>
        <w:t>天然气</w:t>
      </w:r>
      <w:r>
        <w:rPr>
          <w:rFonts w:hint="eastAsia"/>
          <w:bCs/>
        </w:rPr>
        <w:t>中N</w:t>
      </w:r>
      <w:r>
        <w:rPr>
          <w:rFonts w:hint="eastAsia"/>
          <w:bCs/>
          <w:vertAlign w:val="subscript"/>
        </w:rPr>
        <w:t>2</w:t>
      </w:r>
      <w:r>
        <w:rPr>
          <w:rFonts w:hint="eastAsia"/>
          <w:bCs/>
        </w:rPr>
        <w:t>含量</w:t>
      </w:r>
      <w:r>
        <w:rPr>
          <w:bCs/>
        </w:rPr>
        <w:t>为</w:t>
      </w:r>
      <w:r>
        <w:rPr>
          <w:rFonts w:hint="eastAsia"/>
          <w:bCs/>
        </w:rPr>
        <w:t>3.76mol/mol%</w:t>
      </w:r>
      <w:r>
        <w:rPr>
          <w:bCs/>
        </w:rPr>
        <w:t>，</w:t>
      </w:r>
      <w:r>
        <w:rPr>
          <w:rFonts w:hint="eastAsia"/>
          <w:bCs/>
        </w:rPr>
        <w:t>根据计算，N</w:t>
      </w:r>
      <w:r>
        <w:rPr>
          <w:rFonts w:hint="eastAsia"/>
          <w:bCs/>
          <w:vertAlign w:val="subscript"/>
        </w:rPr>
        <w:t>2</w:t>
      </w:r>
      <w:r>
        <w:rPr>
          <w:rFonts w:hint="eastAsia"/>
          <w:bCs/>
        </w:rPr>
        <w:t>的质量分数为4.9%，天然气密度按常规计算，则1h放空的天然气中N</w:t>
      </w:r>
      <w:r>
        <w:rPr>
          <w:rFonts w:hint="eastAsia"/>
          <w:bCs/>
          <w:vertAlign w:val="subscript"/>
        </w:rPr>
        <w:t>2</w:t>
      </w:r>
      <w:r>
        <w:rPr>
          <w:rFonts w:hint="eastAsia"/>
          <w:bCs/>
        </w:rPr>
        <w:t>的质量为0.29t，按照理想状态下经放空燃烧后</w:t>
      </w:r>
      <w:r>
        <w:rPr>
          <w:bCs/>
        </w:rPr>
        <w:t>NOx产生量为</w:t>
      </w:r>
      <w:r>
        <w:rPr>
          <w:rFonts w:hint="eastAsia"/>
          <w:bCs/>
        </w:rPr>
        <w:t>0.62t</w:t>
      </w:r>
      <w:r>
        <w:rPr>
          <w:bCs/>
        </w:rPr>
        <w:t>；天然气中</w:t>
      </w:r>
      <w:r>
        <w:rPr>
          <w:rFonts w:hint="eastAsia"/>
          <w:bCs/>
        </w:rPr>
        <w:t>H</w:t>
      </w:r>
      <w:r>
        <w:rPr>
          <w:rFonts w:hint="eastAsia"/>
          <w:bCs/>
          <w:vertAlign w:val="subscript"/>
        </w:rPr>
        <w:t>2</w:t>
      </w:r>
      <w:r>
        <w:rPr>
          <w:rFonts w:hint="eastAsia"/>
          <w:bCs/>
        </w:rPr>
        <w:t>S</w:t>
      </w:r>
      <w:r>
        <w:rPr>
          <w:bCs/>
        </w:rPr>
        <w:t>含量</w:t>
      </w:r>
      <w:r>
        <w:rPr>
          <w:rFonts w:hint="eastAsia"/>
          <w:bCs/>
        </w:rPr>
        <w:t>11.54mol/mol%</w:t>
      </w:r>
      <w:r>
        <w:rPr>
          <w:bCs/>
        </w:rPr>
        <w:t>，根据</w:t>
      </w:r>
      <w:r>
        <w:rPr>
          <w:rFonts w:hint="eastAsia"/>
          <w:bCs/>
        </w:rPr>
        <w:t>计算，H</w:t>
      </w:r>
      <w:r>
        <w:rPr>
          <w:rFonts w:hint="eastAsia"/>
          <w:bCs/>
          <w:vertAlign w:val="subscript"/>
        </w:rPr>
        <w:t>2</w:t>
      </w:r>
      <w:r>
        <w:rPr>
          <w:rFonts w:hint="eastAsia"/>
          <w:bCs/>
        </w:rPr>
        <w:t>S的质量分数为18.2%，天然气密度按常规计算，则1h放空天然气中H</w:t>
      </w:r>
      <w:r>
        <w:rPr>
          <w:rFonts w:hint="eastAsia"/>
          <w:bCs/>
          <w:vertAlign w:val="subscript"/>
        </w:rPr>
        <w:t>2</w:t>
      </w:r>
      <w:r>
        <w:rPr>
          <w:rFonts w:hint="eastAsia"/>
          <w:bCs/>
        </w:rPr>
        <w:t>S的质量为1.09t，按照理想状态下经</w:t>
      </w:r>
      <w:r>
        <w:rPr>
          <w:bCs/>
        </w:rPr>
        <w:t>放空</w:t>
      </w:r>
      <w:r>
        <w:rPr>
          <w:rFonts w:hint="eastAsia"/>
          <w:bCs/>
        </w:rPr>
        <w:t>燃烧</w:t>
      </w:r>
      <w:r>
        <w:rPr>
          <w:bCs/>
        </w:rPr>
        <w:t>排放的二氧化硫总量约为</w:t>
      </w:r>
      <w:r>
        <w:rPr>
          <w:rFonts w:hint="eastAsia"/>
          <w:bCs/>
        </w:rPr>
        <w:t>2.05</w:t>
      </w:r>
      <w:r>
        <w:rPr>
          <w:bCs/>
        </w:rPr>
        <w:t>t。事故放空频率较低，并且放空废气经点火燃烧后排放，加之当地地势开阔，大气扩散条件良好，故放空废气不会对周边环境造成明显不利影响。</w:t>
      </w:r>
    </w:p>
    <w:p>
      <w:pPr>
        <w:pStyle w:val="4"/>
        <w:rPr>
          <w:rFonts w:eastAsia="宋体"/>
        </w:rPr>
      </w:pPr>
      <w:r>
        <w:rPr>
          <w:rFonts w:eastAsia="宋体"/>
        </w:rPr>
        <w:t>4.2.3 废水产生情况及治理措施</w:t>
      </w:r>
    </w:p>
    <w:p>
      <w:pPr>
        <w:pStyle w:val="114"/>
        <w:ind w:firstLine="480"/>
      </w:pPr>
      <w:r>
        <w:t>开井前期采出气中含返排酸液，通过建设井口临时分酸分离器进行分离，分离出的酸液进入</w:t>
      </w:r>
      <w:r>
        <w:rPr>
          <w:rFonts w:hint="eastAsia"/>
        </w:rPr>
        <w:t>酸液</w:t>
      </w:r>
      <w:r>
        <w:t>缓冲罐，拉运至大湾403污水站处理达标后管输至毛开1井回注站回注，此部分污水已在施工期进行了分析，因此试采期不再进行核算和分析。</w:t>
      </w:r>
    </w:p>
    <w:p>
      <w:pPr>
        <w:pStyle w:val="114"/>
        <w:ind w:firstLine="480"/>
      </w:pPr>
      <w:r>
        <w:t>本项目依托的集气管道采用埋地敷设方式，在正常运行过程中集气管道不会产生废水。本项目站场为无人值守站，人员依托P108集气站，故本项目试采期间无生活污水产生。</w:t>
      </w:r>
    </w:p>
    <w:p>
      <w:pPr>
        <w:pStyle w:val="114"/>
        <w:ind w:firstLine="480"/>
        <w:rPr>
          <w:rFonts w:hint="eastAsia"/>
          <w:lang w:val="en-US" w:eastAsia="zh-CN"/>
        </w:rPr>
      </w:pPr>
      <w:r>
        <w:rPr>
          <w:szCs w:val="22"/>
        </w:rPr>
        <w:t>类比区域内普光气田工程实际情况，本项目</w:t>
      </w:r>
      <w:r>
        <w:rPr>
          <w:rFonts w:hint="eastAsia"/>
          <w:szCs w:val="22"/>
        </w:rPr>
        <w:t>P108-2H、P108-3经</w:t>
      </w:r>
      <w:r>
        <w:rPr>
          <w:szCs w:val="22"/>
        </w:rPr>
        <w:t>气田水产生量</w:t>
      </w:r>
      <w:r>
        <w:rPr>
          <w:rFonts w:hint="eastAsia"/>
          <w:szCs w:val="22"/>
        </w:rPr>
        <w:t>共</w:t>
      </w:r>
      <w:r>
        <w:rPr>
          <w:szCs w:val="22"/>
        </w:rPr>
        <w:t>为3m</w:t>
      </w:r>
      <w:r>
        <w:rPr>
          <w:szCs w:val="22"/>
          <w:vertAlign w:val="superscript"/>
        </w:rPr>
        <w:t>3</w:t>
      </w:r>
      <w:r>
        <w:rPr>
          <w:szCs w:val="22"/>
        </w:rPr>
        <w:t>/d，试采期</w:t>
      </w:r>
      <w:r>
        <w:rPr>
          <w:rFonts w:hint="eastAsia"/>
          <w:szCs w:val="22"/>
        </w:rPr>
        <w:t>产生的气田水经酸液缓冲罐收集</w:t>
      </w:r>
      <w:r>
        <w:rPr>
          <w:szCs w:val="22"/>
        </w:rPr>
        <w:t>，然后通过密闭罐车拉运至大湾403污水站处理达到《气田水回注方法》（SY/T 6596-2016）中注入水基本要求后管输至毛开1井回注站回注处理，不外排</w:t>
      </w:r>
      <w:r>
        <w:t>。</w:t>
      </w:r>
      <w:r>
        <w:rPr>
          <w:rFonts w:hint="eastAsia"/>
          <w:lang w:val="en-US" w:eastAsia="zh-CN"/>
        </w:rPr>
        <w:t>气田水水质情况参考</w:t>
      </w:r>
      <w:r>
        <w:rPr>
          <w:rFonts w:hint="default"/>
          <w:lang w:val="en-US" w:eastAsia="zh-CN"/>
        </w:rPr>
        <w:t>2021</w:t>
      </w:r>
      <w:r>
        <w:rPr>
          <w:rFonts w:hint="eastAsia"/>
          <w:lang w:val="en-US" w:eastAsia="zh-CN"/>
        </w:rPr>
        <w:t>年</w:t>
      </w:r>
      <w:r>
        <w:rPr>
          <w:rFonts w:hint="default"/>
          <w:lang w:val="en-US" w:eastAsia="zh-CN"/>
        </w:rPr>
        <w:t>12</w:t>
      </w:r>
      <w:r>
        <w:rPr>
          <w:rFonts w:hint="eastAsia"/>
          <w:lang w:val="en-US" w:eastAsia="zh-CN"/>
        </w:rPr>
        <w:t>月</w:t>
      </w:r>
      <w:r>
        <w:rPr>
          <w:rFonts w:hint="default"/>
          <w:lang w:val="en-US" w:eastAsia="zh-CN"/>
        </w:rPr>
        <w:t>31</w:t>
      </w:r>
      <w:r>
        <w:rPr>
          <w:rFonts w:hint="eastAsia"/>
          <w:lang w:val="en-US" w:eastAsia="zh-CN"/>
        </w:rPr>
        <w:t>日</w:t>
      </w:r>
      <w:r>
        <w:rPr>
          <w:rFonts w:hint="default"/>
          <w:lang w:val="en-US" w:eastAsia="zh-CN"/>
        </w:rPr>
        <w:t>P203</w:t>
      </w:r>
      <w:r>
        <w:rPr>
          <w:rFonts w:hint="eastAsia"/>
          <w:lang w:val="en-US" w:eastAsia="zh-CN"/>
        </w:rPr>
        <w:t>集气站酸液缓冲罐监测数据，详见下表。</w:t>
      </w:r>
    </w:p>
    <w:p>
      <w:pPr>
        <w:pStyle w:val="114"/>
        <w:ind w:firstLine="480"/>
        <w:rPr>
          <w:rFonts w:hint="eastAsia"/>
          <w:lang w:val="en-US" w:eastAsia="zh-CN"/>
        </w:rPr>
      </w:pPr>
    </w:p>
    <w:p>
      <w:pPr>
        <w:pStyle w:val="114"/>
        <w:ind w:firstLine="480"/>
        <w:rPr>
          <w:rFonts w:hint="eastAsia"/>
          <w:lang w:val="en-US" w:eastAsia="zh-CN"/>
        </w:rPr>
      </w:pPr>
    </w:p>
    <w:p>
      <w:pPr>
        <w:pStyle w:val="39"/>
        <w:rPr>
          <w:rFonts w:cs="Times New Roman"/>
        </w:rPr>
      </w:pPr>
      <w:r>
        <w:rPr>
          <w:rFonts w:hint="eastAsia" w:cs="Times New Roman"/>
          <w:lang w:val="en-US" w:eastAsia="zh-CN"/>
        </w:rPr>
        <w:t xml:space="preserve">表 </w:t>
      </w:r>
      <w:r>
        <w:rPr>
          <w:rFonts w:cs="Times New Roman"/>
          <w:lang w:val="en-US" w:eastAsia="zh-CN"/>
        </w:rPr>
        <w:t>4.2</w:t>
      </w:r>
      <w:r>
        <w:rPr>
          <w:rFonts w:hint="eastAsia" w:cs="Times New Roman"/>
          <w:lang w:val="en-US" w:eastAsia="zh-CN"/>
        </w:rPr>
        <w:t>-1</w:t>
      </w:r>
      <w:r>
        <w:rPr>
          <w:rFonts w:cs="Times New Roman"/>
          <w:lang w:val="en-US" w:eastAsia="zh-CN"/>
        </w:rPr>
        <w:t xml:space="preserve"> </w:t>
      </w:r>
      <w:r>
        <w:rPr>
          <w:rFonts w:hint="eastAsia" w:cs="Times New Roman"/>
          <w:lang w:val="en-US" w:eastAsia="zh-CN"/>
        </w:rPr>
        <w:t>气田水水质情况一览表</w:t>
      </w:r>
      <w:r>
        <w:rPr>
          <w:rFonts w:hint="default" w:cs="Times New Roman"/>
          <w:lang w:val="en-US" w:eastAsia="zh-CN"/>
        </w:rPr>
        <w:t xml:space="preserve"> </w:t>
      </w:r>
      <w:r>
        <w:rPr>
          <w:rFonts w:hint="eastAsia" w:cs="Times New Roman"/>
          <w:lang w:val="en-US" w:eastAsia="zh-CN"/>
        </w:rPr>
        <w:t>单位：</w:t>
      </w:r>
      <w:r>
        <w:rPr>
          <w:rFonts w:hint="default" w:cs="Times New Roman"/>
          <w:lang w:val="en-US" w:eastAsia="zh-CN"/>
        </w:rPr>
        <w:t>mg/L</w:t>
      </w:r>
    </w:p>
    <w:tbl>
      <w:tblPr>
        <w:tblStyle w:val="6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0"/>
        <w:gridCol w:w="1000"/>
        <w:gridCol w:w="1000"/>
        <w:gridCol w:w="1000"/>
        <w:gridCol w:w="1000"/>
        <w:gridCol w:w="630"/>
        <w:gridCol w:w="1211"/>
        <w:gridCol w:w="739"/>
        <w:gridCol w:w="14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trPr>
        <w:tc>
          <w:tcPr>
            <w:tcW w:w="1000" w:type="dxa"/>
            <w:tcBorders>
              <w:tl2br w:val="nil"/>
              <w:tr2bl w:val="nil"/>
            </w:tcBorders>
            <w:vAlign w:val="center"/>
          </w:tcPr>
          <w:p>
            <w:pPr>
              <w:pStyle w:val="134"/>
              <w:jc w:val="center"/>
              <w:rPr>
                <w:rFonts w:hint="eastAsia" w:eastAsia="宋体"/>
                <w:lang w:val="en-US" w:eastAsia="zh-CN"/>
              </w:rPr>
            </w:pPr>
            <w:r>
              <w:rPr>
                <w:rFonts w:hint="eastAsia"/>
                <w:lang w:val="en-US" w:eastAsia="zh-CN"/>
              </w:rPr>
              <w:t>项目</w:t>
            </w:r>
          </w:p>
        </w:tc>
        <w:tc>
          <w:tcPr>
            <w:tcW w:w="1000" w:type="dxa"/>
            <w:tcBorders>
              <w:tl2br w:val="nil"/>
              <w:tr2bl w:val="nil"/>
            </w:tcBorders>
            <w:vAlign w:val="center"/>
          </w:tcPr>
          <w:p>
            <w:pPr>
              <w:pStyle w:val="134"/>
              <w:jc w:val="center"/>
              <w:rPr>
                <w:rFonts w:hint="default" w:eastAsia="宋体"/>
                <w:lang w:val="en-US" w:eastAsia="zh-CN"/>
              </w:rPr>
            </w:pPr>
            <w:r>
              <w:rPr>
                <w:rFonts w:hint="eastAsia"/>
                <w:lang w:val="en-US" w:eastAsia="zh-CN"/>
              </w:rPr>
              <w:t>pH值</w:t>
            </w:r>
          </w:p>
        </w:tc>
        <w:tc>
          <w:tcPr>
            <w:tcW w:w="1000" w:type="dxa"/>
            <w:tcBorders>
              <w:tl2br w:val="nil"/>
              <w:tr2bl w:val="nil"/>
            </w:tcBorders>
            <w:vAlign w:val="center"/>
          </w:tcPr>
          <w:p>
            <w:pPr>
              <w:pStyle w:val="134"/>
              <w:jc w:val="center"/>
              <w:rPr>
                <w:rFonts w:hint="eastAsia" w:eastAsia="宋体"/>
                <w:lang w:val="en-US" w:eastAsia="zh-CN"/>
              </w:rPr>
            </w:pPr>
            <w:r>
              <w:rPr>
                <w:rFonts w:hint="eastAsia"/>
                <w:lang w:val="en-US" w:eastAsia="zh-CN"/>
              </w:rPr>
              <w:t>溶解氧</w:t>
            </w:r>
          </w:p>
        </w:tc>
        <w:tc>
          <w:tcPr>
            <w:tcW w:w="1000" w:type="dxa"/>
            <w:tcBorders>
              <w:tl2br w:val="nil"/>
              <w:tr2bl w:val="nil"/>
            </w:tcBorders>
            <w:vAlign w:val="center"/>
          </w:tcPr>
          <w:p>
            <w:pPr>
              <w:pStyle w:val="134"/>
              <w:jc w:val="center"/>
              <w:rPr>
                <w:rFonts w:hint="eastAsia" w:eastAsia="宋体"/>
                <w:lang w:val="en-US" w:eastAsia="zh-CN"/>
              </w:rPr>
            </w:pPr>
            <w:r>
              <w:rPr>
                <w:rFonts w:hint="eastAsia"/>
                <w:lang w:val="en-US" w:eastAsia="zh-CN"/>
              </w:rPr>
              <w:t>硫化物</w:t>
            </w:r>
          </w:p>
        </w:tc>
        <w:tc>
          <w:tcPr>
            <w:tcW w:w="1000" w:type="dxa"/>
            <w:tcBorders>
              <w:tl2br w:val="nil"/>
              <w:tr2bl w:val="nil"/>
            </w:tcBorders>
            <w:vAlign w:val="center"/>
          </w:tcPr>
          <w:p>
            <w:pPr>
              <w:pStyle w:val="134"/>
              <w:jc w:val="center"/>
              <w:rPr>
                <w:rFonts w:hint="eastAsia" w:eastAsia="宋体"/>
                <w:lang w:val="en-US" w:eastAsia="zh-CN"/>
              </w:rPr>
            </w:pPr>
            <w:r>
              <w:rPr>
                <w:rFonts w:hint="eastAsia"/>
                <w:lang w:val="en-US" w:eastAsia="zh-CN"/>
              </w:rPr>
              <w:t>含油量</w:t>
            </w:r>
          </w:p>
        </w:tc>
        <w:tc>
          <w:tcPr>
            <w:tcW w:w="630" w:type="dxa"/>
            <w:tcBorders>
              <w:tl2br w:val="nil"/>
              <w:tr2bl w:val="nil"/>
            </w:tcBorders>
            <w:vAlign w:val="center"/>
          </w:tcPr>
          <w:p>
            <w:pPr>
              <w:pStyle w:val="134"/>
              <w:jc w:val="center"/>
              <w:rPr>
                <w:rFonts w:hint="eastAsia" w:eastAsia="宋体"/>
                <w:lang w:val="en-US" w:eastAsia="zh-CN"/>
              </w:rPr>
            </w:pPr>
            <w:r>
              <w:rPr>
                <w:rFonts w:hint="eastAsia"/>
                <w:lang w:val="en-US" w:eastAsia="zh-CN"/>
              </w:rPr>
              <w:t>SS</w:t>
            </w:r>
          </w:p>
        </w:tc>
        <w:tc>
          <w:tcPr>
            <w:tcW w:w="1211" w:type="dxa"/>
            <w:tcBorders>
              <w:tl2br w:val="nil"/>
              <w:tr2bl w:val="nil"/>
            </w:tcBorders>
            <w:vAlign w:val="center"/>
          </w:tcPr>
          <w:p>
            <w:pPr>
              <w:pStyle w:val="134"/>
              <w:jc w:val="center"/>
              <w:rPr>
                <w:rFonts w:hint="default" w:eastAsia="宋体"/>
                <w:lang w:val="en-US" w:eastAsia="zh-CN"/>
              </w:rPr>
            </w:pPr>
            <w:r>
              <w:rPr>
                <w:rFonts w:hint="eastAsia"/>
                <w:lang w:val="en-US" w:eastAsia="zh-CN"/>
              </w:rPr>
              <w:t>二价铁含量</w:t>
            </w:r>
          </w:p>
        </w:tc>
        <w:tc>
          <w:tcPr>
            <w:tcW w:w="739" w:type="dxa"/>
            <w:tcBorders>
              <w:tl2br w:val="nil"/>
              <w:tr2bl w:val="nil"/>
            </w:tcBorders>
            <w:vAlign w:val="center"/>
          </w:tcPr>
          <w:p>
            <w:pPr>
              <w:pStyle w:val="134"/>
              <w:jc w:val="center"/>
              <w:rPr>
                <w:rFonts w:hint="default" w:eastAsia="宋体"/>
                <w:lang w:val="en-US" w:eastAsia="zh-CN"/>
              </w:rPr>
            </w:pPr>
            <w:r>
              <w:rPr>
                <w:rFonts w:hint="eastAsia"/>
                <w:lang w:val="en-US" w:eastAsia="zh-CN"/>
              </w:rPr>
              <w:t>总铁含量</w:t>
            </w:r>
          </w:p>
        </w:tc>
        <w:tc>
          <w:tcPr>
            <w:tcW w:w="1424" w:type="dxa"/>
            <w:tcBorders>
              <w:tl2br w:val="nil"/>
              <w:tr2bl w:val="nil"/>
            </w:tcBorders>
            <w:vAlign w:val="center"/>
          </w:tcPr>
          <w:p>
            <w:pPr>
              <w:pStyle w:val="134"/>
              <w:jc w:val="center"/>
              <w:rPr>
                <w:rFonts w:hint="default" w:eastAsia="宋体"/>
                <w:lang w:val="en-US" w:eastAsia="zh-CN"/>
              </w:rPr>
            </w:pPr>
            <w:r>
              <w:rPr>
                <w:rFonts w:hint="eastAsia"/>
                <w:lang w:val="en-US" w:eastAsia="zh-CN"/>
              </w:rPr>
              <w:t>悬浮物颗粒直径中值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00" w:type="dxa"/>
            <w:tcBorders>
              <w:tl2br w:val="nil"/>
              <w:tr2bl w:val="nil"/>
            </w:tcBorders>
            <w:vAlign w:val="center"/>
          </w:tcPr>
          <w:p>
            <w:pPr>
              <w:pStyle w:val="134"/>
              <w:jc w:val="center"/>
              <w:rPr>
                <w:rFonts w:hint="eastAsia" w:eastAsia="宋体"/>
                <w:lang w:val="en-US" w:eastAsia="zh-CN"/>
              </w:rPr>
            </w:pPr>
            <w:r>
              <w:rPr>
                <w:rFonts w:hint="eastAsia"/>
                <w:lang w:val="en-US" w:eastAsia="zh-CN"/>
              </w:rPr>
              <w:t>浓度</w:t>
            </w:r>
          </w:p>
        </w:tc>
        <w:tc>
          <w:tcPr>
            <w:tcW w:w="1000" w:type="dxa"/>
            <w:tcBorders>
              <w:tl2br w:val="nil"/>
              <w:tr2bl w:val="nil"/>
            </w:tcBorders>
            <w:vAlign w:val="center"/>
          </w:tcPr>
          <w:p>
            <w:pPr>
              <w:pStyle w:val="134"/>
              <w:jc w:val="center"/>
              <w:rPr>
                <w:rFonts w:hint="default" w:eastAsia="宋体"/>
                <w:lang w:val="en-US" w:eastAsia="zh-CN"/>
              </w:rPr>
            </w:pPr>
          </w:p>
        </w:tc>
        <w:tc>
          <w:tcPr>
            <w:tcW w:w="1000" w:type="dxa"/>
            <w:tcBorders>
              <w:tl2br w:val="nil"/>
              <w:tr2bl w:val="nil"/>
            </w:tcBorders>
            <w:vAlign w:val="center"/>
          </w:tcPr>
          <w:p>
            <w:pPr>
              <w:pStyle w:val="134"/>
              <w:jc w:val="center"/>
              <w:rPr>
                <w:rFonts w:hint="default" w:eastAsia="宋体"/>
                <w:lang w:val="en-US" w:eastAsia="zh-CN"/>
              </w:rPr>
            </w:pPr>
          </w:p>
        </w:tc>
        <w:tc>
          <w:tcPr>
            <w:tcW w:w="1000" w:type="dxa"/>
            <w:tcBorders>
              <w:tl2br w:val="nil"/>
              <w:tr2bl w:val="nil"/>
            </w:tcBorders>
            <w:vAlign w:val="center"/>
          </w:tcPr>
          <w:p>
            <w:pPr>
              <w:pStyle w:val="134"/>
              <w:jc w:val="center"/>
              <w:rPr>
                <w:rFonts w:hint="default" w:eastAsia="宋体"/>
                <w:lang w:val="en-US" w:eastAsia="zh-CN"/>
              </w:rPr>
            </w:pPr>
          </w:p>
        </w:tc>
        <w:tc>
          <w:tcPr>
            <w:tcW w:w="1000" w:type="dxa"/>
            <w:tcBorders>
              <w:tl2br w:val="nil"/>
              <w:tr2bl w:val="nil"/>
            </w:tcBorders>
            <w:vAlign w:val="center"/>
          </w:tcPr>
          <w:p>
            <w:pPr>
              <w:pStyle w:val="134"/>
              <w:jc w:val="center"/>
              <w:rPr>
                <w:rFonts w:hint="default" w:eastAsia="宋体"/>
                <w:lang w:val="en-US" w:eastAsia="zh-CN"/>
              </w:rPr>
            </w:pPr>
          </w:p>
        </w:tc>
        <w:tc>
          <w:tcPr>
            <w:tcW w:w="630" w:type="dxa"/>
            <w:tcBorders>
              <w:tl2br w:val="nil"/>
              <w:tr2bl w:val="nil"/>
            </w:tcBorders>
            <w:vAlign w:val="center"/>
          </w:tcPr>
          <w:p>
            <w:pPr>
              <w:pStyle w:val="134"/>
              <w:jc w:val="center"/>
              <w:rPr>
                <w:rFonts w:hint="default" w:eastAsia="宋体"/>
                <w:lang w:val="en-US" w:eastAsia="zh-CN"/>
              </w:rPr>
            </w:pPr>
          </w:p>
        </w:tc>
        <w:tc>
          <w:tcPr>
            <w:tcW w:w="1211" w:type="dxa"/>
            <w:tcBorders>
              <w:tl2br w:val="nil"/>
              <w:tr2bl w:val="nil"/>
            </w:tcBorders>
            <w:vAlign w:val="center"/>
          </w:tcPr>
          <w:p>
            <w:pPr>
              <w:pStyle w:val="134"/>
              <w:jc w:val="center"/>
              <w:rPr>
                <w:rFonts w:hint="eastAsia" w:eastAsia="宋体"/>
                <w:lang w:val="en-US" w:eastAsia="zh-CN"/>
              </w:rPr>
            </w:pPr>
          </w:p>
        </w:tc>
        <w:tc>
          <w:tcPr>
            <w:tcW w:w="739" w:type="dxa"/>
            <w:tcBorders>
              <w:tl2br w:val="nil"/>
              <w:tr2bl w:val="nil"/>
            </w:tcBorders>
            <w:vAlign w:val="center"/>
          </w:tcPr>
          <w:p>
            <w:pPr>
              <w:pStyle w:val="134"/>
              <w:jc w:val="center"/>
              <w:rPr>
                <w:rFonts w:hint="eastAsia" w:eastAsia="宋体"/>
                <w:lang w:val="en-US" w:eastAsia="zh-CN"/>
              </w:rPr>
            </w:pPr>
          </w:p>
        </w:tc>
        <w:tc>
          <w:tcPr>
            <w:tcW w:w="1424" w:type="dxa"/>
            <w:tcBorders>
              <w:tl2br w:val="nil"/>
              <w:tr2bl w:val="nil"/>
            </w:tcBorders>
            <w:vAlign w:val="center"/>
          </w:tcPr>
          <w:p>
            <w:pPr>
              <w:pStyle w:val="134"/>
              <w:jc w:val="center"/>
              <w:rPr>
                <w:rFonts w:hint="default" w:eastAsia="宋体"/>
                <w:lang w:val="en-US" w:eastAsia="zh-CN"/>
              </w:rPr>
            </w:pPr>
          </w:p>
        </w:tc>
      </w:tr>
    </w:tbl>
    <w:p>
      <w:pPr>
        <w:pStyle w:val="4"/>
        <w:rPr>
          <w:rFonts w:eastAsia="宋体"/>
        </w:rPr>
      </w:pPr>
      <w:r>
        <w:rPr>
          <w:rFonts w:eastAsia="宋体"/>
        </w:rPr>
        <w:t>4.2.4 噪声产生情况及治理措施</w:t>
      </w:r>
    </w:p>
    <w:p>
      <w:pPr>
        <w:pStyle w:val="114"/>
        <w:ind w:firstLine="480"/>
      </w:pPr>
      <w:r>
        <w:t>本项目依托的集气管道采用埋地敷设方式，在正常运行过程中集气管道不会产生噪声污染。站场噪声正常工况下主要产生于水套炉、节流阀等设备运行噪声和气流声；非正常工况下，站场噪声主要来源的于检修、事故时所产生的放空噪声。站场主要产噪设备及源强统计见下表。</w:t>
      </w:r>
    </w:p>
    <w:p>
      <w:pPr>
        <w:pStyle w:val="39"/>
        <w:rPr>
          <w:rFonts w:cs="Times New Roman"/>
        </w:rPr>
      </w:pPr>
      <w:r>
        <w:rPr>
          <w:rFonts w:cs="Times New Roman"/>
        </w:rPr>
        <w:t>表</w:t>
      </w:r>
      <w:r>
        <w:rPr>
          <w:rFonts w:cs="Times New Roman"/>
          <w:bCs/>
        </w:rPr>
        <w:t>4.2-</w:t>
      </w:r>
      <w:r>
        <w:rPr>
          <w:rFonts w:hint="eastAsia" w:cs="Times New Roman"/>
          <w:bCs/>
          <w:lang w:val="en-US" w:eastAsia="zh-CN"/>
        </w:rPr>
        <w:t>2</w:t>
      </w:r>
      <w:r>
        <w:rPr>
          <w:rFonts w:cs="Times New Roman"/>
          <w:bCs/>
        </w:rPr>
        <w:t xml:space="preserve">  </w:t>
      </w:r>
      <w:r>
        <w:rPr>
          <w:rFonts w:cs="Times New Roman"/>
        </w:rPr>
        <w:t>站场产噪设备及源强统计</w:t>
      </w:r>
    </w:p>
    <w:tbl>
      <w:tblPr>
        <w:tblStyle w:val="59"/>
        <w:tblW w:w="4850" w:type="pct"/>
        <w:jc w:val="center"/>
        <w:tblLayout w:type="autofit"/>
        <w:tblCellMar>
          <w:top w:w="0" w:type="dxa"/>
          <w:left w:w="0" w:type="dxa"/>
          <w:bottom w:w="0" w:type="dxa"/>
          <w:right w:w="0" w:type="dxa"/>
        </w:tblCellMar>
      </w:tblPr>
      <w:tblGrid>
        <w:gridCol w:w="1309"/>
        <w:gridCol w:w="1601"/>
        <w:gridCol w:w="2182"/>
        <w:gridCol w:w="1746"/>
        <w:gridCol w:w="1686"/>
      </w:tblGrid>
      <w:tr>
        <w:tblPrEx>
          <w:tblCellMar>
            <w:top w:w="0" w:type="dxa"/>
            <w:left w:w="0" w:type="dxa"/>
            <w:bottom w:w="0" w:type="dxa"/>
            <w:right w:w="0" w:type="dxa"/>
          </w:tblCellMar>
        </w:tblPrEx>
        <w:trPr>
          <w:trHeight w:val="16" w:hRule="atLeast"/>
          <w:jc w:val="center"/>
        </w:trPr>
        <w:tc>
          <w:tcPr>
            <w:tcW w:w="768" w:type="pct"/>
            <w:tcBorders>
              <w:top w:val="single" w:color="000000" w:sz="12" w:space="0"/>
              <w:left w:val="nil"/>
              <w:bottom w:val="single" w:color="000000" w:sz="4" w:space="0"/>
              <w:right w:val="single" w:color="000000" w:sz="4" w:space="0"/>
            </w:tcBorders>
            <w:vAlign w:val="center"/>
          </w:tcPr>
          <w:p>
            <w:pPr>
              <w:pStyle w:val="134"/>
              <w:rPr>
                <w:b/>
                <w:bCs/>
              </w:rPr>
            </w:pPr>
            <w:r>
              <w:rPr>
                <w:b/>
                <w:bCs/>
              </w:rPr>
              <w:t>井站</w:t>
            </w:r>
          </w:p>
        </w:tc>
        <w:tc>
          <w:tcPr>
            <w:tcW w:w="939" w:type="pct"/>
            <w:tcBorders>
              <w:top w:val="single" w:color="000000" w:sz="12" w:space="0"/>
              <w:left w:val="single" w:color="000000" w:sz="4" w:space="0"/>
              <w:bottom w:val="single" w:color="000000" w:sz="4" w:space="0"/>
              <w:right w:val="single" w:color="000000" w:sz="4" w:space="0"/>
            </w:tcBorders>
            <w:vAlign w:val="center"/>
          </w:tcPr>
          <w:p>
            <w:pPr>
              <w:pStyle w:val="121"/>
              <w:jc w:val="center"/>
              <w:rPr>
                <w:rFonts w:ascii="Times New Roman" w:hAnsi="Times New Roman" w:cs="Times New Roman"/>
                <w:b/>
                <w:bCs/>
                <w:color w:val="auto"/>
                <w:kern w:val="2"/>
              </w:rPr>
            </w:pPr>
            <w:r>
              <w:rPr>
                <w:rFonts w:ascii="Times New Roman" w:hAnsi="Times New Roman" w:cs="Times New Roman"/>
                <w:b/>
                <w:bCs/>
                <w:color w:val="auto"/>
                <w:kern w:val="2"/>
                <w:sz w:val="20"/>
                <w:szCs w:val="20"/>
              </w:rPr>
              <w:t>主要发声设备</w:t>
            </w:r>
          </w:p>
        </w:tc>
        <w:tc>
          <w:tcPr>
            <w:tcW w:w="1280" w:type="pct"/>
            <w:tcBorders>
              <w:top w:val="single" w:color="000000" w:sz="12" w:space="0"/>
              <w:left w:val="single" w:color="000000" w:sz="4" w:space="0"/>
              <w:bottom w:val="single" w:color="000000" w:sz="4" w:space="0"/>
              <w:right w:val="single" w:color="000000" w:sz="4" w:space="0"/>
            </w:tcBorders>
            <w:vAlign w:val="center"/>
          </w:tcPr>
          <w:p>
            <w:pPr>
              <w:pStyle w:val="121"/>
              <w:jc w:val="center"/>
              <w:rPr>
                <w:rFonts w:ascii="Times New Roman" w:hAnsi="Times New Roman" w:cs="Times New Roman"/>
                <w:b/>
                <w:bCs/>
                <w:color w:val="auto"/>
                <w:kern w:val="2"/>
              </w:rPr>
            </w:pPr>
            <w:r>
              <w:rPr>
                <w:rFonts w:ascii="Times New Roman" w:hAnsi="Times New Roman" w:cs="Times New Roman"/>
                <w:b/>
                <w:bCs/>
                <w:color w:val="auto"/>
                <w:kern w:val="2"/>
                <w:sz w:val="20"/>
                <w:szCs w:val="20"/>
              </w:rPr>
              <w:t>声级（dB（A））</w:t>
            </w:r>
          </w:p>
        </w:tc>
        <w:tc>
          <w:tcPr>
            <w:tcW w:w="1024" w:type="pct"/>
            <w:tcBorders>
              <w:top w:val="single" w:color="000000" w:sz="12" w:space="0"/>
              <w:left w:val="single" w:color="000000" w:sz="4" w:space="0"/>
              <w:bottom w:val="single" w:color="000000" w:sz="4" w:space="0"/>
              <w:right w:val="single" w:color="000000" w:sz="4" w:space="0"/>
            </w:tcBorders>
            <w:vAlign w:val="center"/>
          </w:tcPr>
          <w:p>
            <w:pPr>
              <w:pStyle w:val="121"/>
              <w:jc w:val="center"/>
              <w:rPr>
                <w:rFonts w:ascii="Times New Roman" w:hAnsi="Times New Roman" w:cs="Times New Roman"/>
                <w:b/>
                <w:bCs/>
                <w:color w:val="auto"/>
                <w:kern w:val="2"/>
              </w:rPr>
            </w:pPr>
            <w:r>
              <w:rPr>
                <w:rFonts w:ascii="Times New Roman" w:hAnsi="Times New Roman" w:cs="Times New Roman"/>
                <w:b/>
                <w:bCs/>
                <w:color w:val="auto"/>
                <w:kern w:val="2"/>
                <w:sz w:val="20"/>
                <w:szCs w:val="20"/>
              </w:rPr>
              <w:t>数量（台/套）</w:t>
            </w:r>
          </w:p>
        </w:tc>
        <w:tc>
          <w:tcPr>
            <w:tcW w:w="989" w:type="pct"/>
            <w:tcBorders>
              <w:top w:val="single" w:color="000000" w:sz="12" w:space="0"/>
              <w:left w:val="single" w:color="000000" w:sz="4" w:space="0"/>
              <w:bottom w:val="single" w:color="000000" w:sz="4" w:space="0"/>
              <w:right w:val="nil"/>
            </w:tcBorders>
            <w:vAlign w:val="center"/>
          </w:tcPr>
          <w:p>
            <w:pPr>
              <w:pStyle w:val="121"/>
              <w:jc w:val="center"/>
              <w:rPr>
                <w:rFonts w:ascii="Times New Roman" w:hAnsi="Times New Roman" w:cs="Times New Roman"/>
                <w:b/>
                <w:bCs/>
                <w:color w:val="auto"/>
                <w:kern w:val="2"/>
              </w:rPr>
            </w:pPr>
            <w:r>
              <w:rPr>
                <w:rFonts w:ascii="Times New Roman" w:hAnsi="Times New Roman" w:cs="Times New Roman"/>
                <w:b/>
                <w:bCs/>
                <w:color w:val="auto"/>
                <w:kern w:val="2"/>
                <w:sz w:val="20"/>
                <w:szCs w:val="20"/>
              </w:rPr>
              <w:t>运行状态</w:t>
            </w:r>
          </w:p>
        </w:tc>
      </w:tr>
      <w:tr>
        <w:tblPrEx>
          <w:tblCellMar>
            <w:top w:w="0" w:type="dxa"/>
            <w:left w:w="0" w:type="dxa"/>
            <w:bottom w:w="0" w:type="dxa"/>
            <w:right w:w="0" w:type="dxa"/>
          </w:tblCellMar>
        </w:tblPrEx>
        <w:trPr>
          <w:trHeight w:val="16" w:hRule="atLeast"/>
          <w:jc w:val="center"/>
        </w:trPr>
        <w:tc>
          <w:tcPr>
            <w:tcW w:w="768" w:type="pct"/>
            <w:vMerge w:val="restart"/>
            <w:tcBorders>
              <w:top w:val="single" w:color="000000" w:sz="4" w:space="0"/>
              <w:left w:val="nil"/>
              <w:right w:val="single" w:color="000000" w:sz="4" w:space="0"/>
            </w:tcBorders>
            <w:vAlign w:val="center"/>
          </w:tcPr>
          <w:p>
            <w:pPr>
              <w:pStyle w:val="134"/>
            </w:pPr>
            <w:r>
              <w:t>P108集气站</w:t>
            </w:r>
          </w:p>
        </w:tc>
        <w:tc>
          <w:tcPr>
            <w:tcW w:w="939" w:type="pct"/>
            <w:tcBorders>
              <w:top w:val="single" w:color="000000" w:sz="4" w:space="0"/>
              <w:left w:val="single" w:color="000000" w:sz="4" w:space="0"/>
              <w:bottom w:val="single" w:color="000000" w:sz="4" w:space="0"/>
              <w:right w:val="single" w:color="000000" w:sz="4" w:space="0"/>
            </w:tcBorders>
            <w:vAlign w:val="center"/>
          </w:tcPr>
          <w:p>
            <w:pPr>
              <w:pStyle w:val="121"/>
              <w:jc w:val="center"/>
              <w:rPr>
                <w:rFonts w:ascii="Times New Roman" w:hAnsi="Times New Roman" w:cs="Times New Roman"/>
                <w:color w:val="auto"/>
                <w:kern w:val="2"/>
              </w:rPr>
            </w:pPr>
            <w:r>
              <w:rPr>
                <w:rFonts w:ascii="Times New Roman" w:hAnsi="Times New Roman" w:cs="Times New Roman"/>
                <w:color w:val="auto"/>
                <w:kern w:val="2"/>
                <w:sz w:val="20"/>
                <w:szCs w:val="20"/>
              </w:rPr>
              <w:t>分离计量器</w:t>
            </w:r>
          </w:p>
        </w:tc>
        <w:tc>
          <w:tcPr>
            <w:tcW w:w="1280" w:type="pct"/>
            <w:tcBorders>
              <w:top w:val="single" w:color="000000" w:sz="4" w:space="0"/>
              <w:left w:val="single" w:color="000000" w:sz="4" w:space="0"/>
              <w:bottom w:val="single" w:color="000000" w:sz="4" w:space="0"/>
              <w:right w:val="single" w:color="000000" w:sz="4" w:space="0"/>
            </w:tcBorders>
            <w:vAlign w:val="center"/>
          </w:tcPr>
          <w:p>
            <w:pPr>
              <w:pStyle w:val="134"/>
            </w:pPr>
            <w:r>
              <w:t>62</w:t>
            </w:r>
          </w:p>
        </w:tc>
        <w:tc>
          <w:tcPr>
            <w:tcW w:w="1024" w:type="pct"/>
            <w:tcBorders>
              <w:top w:val="single" w:color="000000" w:sz="4" w:space="0"/>
              <w:left w:val="single" w:color="000000" w:sz="4" w:space="0"/>
              <w:bottom w:val="single" w:color="000000" w:sz="4" w:space="0"/>
              <w:right w:val="single" w:color="000000" w:sz="4" w:space="0"/>
            </w:tcBorders>
            <w:vAlign w:val="center"/>
          </w:tcPr>
          <w:p>
            <w:pPr>
              <w:pStyle w:val="134"/>
            </w:pPr>
            <w:r>
              <w:t>1</w:t>
            </w:r>
          </w:p>
        </w:tc>
        <w:tc>
          <w:tcPr>
            <w:tcW w:w="989" w:type="pct"/>
            <w:vMerge w:val="restart"/>
            <w:tcBorders>
              <w:top w:val="single" w:color="000000" w:sz="4" w:space="0"/>
              <w:left w:val="single" w:color="000000" w:sz="4" w:space="0"/>
              <w:right w:val="nil"/>
            </w:tcBorders>
            <w:vAlign w:val="center"/>
          </w:tcPr>
          <w:p>
            <w:pPr>
              <w:pStyle w:val="121"/>
              <w:jc w:val="center"/>
              <w:rPr>
                <w:rFonts w:ascii="Times New Roman" w:hAnsi="Times New Roman" w:cs="Times New Roman"/>
                <w:color w:val="auto"/>
                <w:kern w:val="2"/>
              </w:rPr>
            </w:pPr>
            <w:r>
              <w:rPr>
                <w:rFonts w:ascii="Times New Roman" w:hAnsi="Times New Roman" w:cs="Times New Roman"/>
                <w:color w:val="auto"/>
                <w:kern w:val="2"/>
                <w:sz w:val="20"/>
                <w:szCs w:val="20"/>
              </w:rPr>
              <w:t>正常生产</w:t>
            </w:r>
          </w:p>
        </w:tc>
      </w:tr>
      <w:tr>
        <w:tblPrEx>
          <w:tblCellMar>
            <w:top w:w="0" w:type="dxa"/>
            <w:left w:w="0" w:type="dxa"/>
            <w:bottom w:w="0" w:type="dxa"/>
            <w:right w:w="0" w:type="dxa"/>
          </w:tblCellMar>
        </w:tblPrEx>
        <w:trPr>
          <w:trHeight w:val="16" w:hRule="atLeast"/>
          <w:jc w:val="center"/>
        </w:trPr>
        <w:tc>
          <w:tcPr>
            <w:tcW w:w="768" w:type="pct"/>
            <w:vMerge w:val="continue"/>
            <w:tcBorders>
              <w:top w:val="single" w:color="000000" w:sz="4" w:space="0"/>
              <w:left w:val="nil"/>
              <w:right w:val="single" w:color="000000" w:sz="4" w:space="0"/>
            </w:tcBorders>
            <w:vAlign w:val="center"/>
          </w:tcPr>
          <w:p>
            <w:pPr>
              <w:pStyle w:val="134"/>
            </w:pPr>
          </w:p>
        </w:tc>
        <w:tc>
          <w:tcPr>
            <w:tcW w:w="939" w:type="pct"/>
            <w:tcBorders>
              <w:top w:val="single" w:color="000000" w:sz="4" w:space="0"/>
              <w:left w:val="single" w:color="000000" w:sz="4" w:space="0"/>
              <w:bottom w:val="single" w:color="000000" w:sz="4" w:space="0"/>
              <w:right w:val="single" w:color="000000" w:sz="4" w:space="0"/>
            </w:tcBorders>
            <w:vAlign w:val="center"/>
          </w:tcPr>
          <w:p>
            <w:pPr>
              <w:pStyle w:val="121"/>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水套炉</w:t>
            </w:r>
          </w:p>
        </w:tc>
        <w:tc>
          <w:tcPr>
            <w:tcW w:w="1280" w:type="pct"/>
            <w:tcBorders>
              <w:top w:val="single" w:color="000000" w:sz="4" w:space="0"/>
              <w:left w:val="single" w:color="000000" w:sz="4" w:space="0"/>
              <w:bottom w:val="single" w:color="000000" w:sz="4" w:space="0"/>
              <w:right w:val="single" w:color="000000" w:sz="4" w:space="0"/>
            </w:tcBorders>
            <w:vAlign w:val="center"/>
          </w:tcPr>
          <w:p>
            <w:pPr>
              <w:pStyle w:val="134"/>
            </w:pPr>
            <w:r>
              <w:t>67</w:t>
            </w:r>
          </w:p>
        </w:tc>
        <w:tc>
          <w:tcPr>
            <w:tcW w:w="1024" w:type="pct"/>
            <w:tcBorders>
              <w:top w:val="single" w:color="000000" w:sz="4" w:space="0"/>
              <w:left w:val="single" w:color="000000" w:sz="4" w:space="0"/>
              <w:bottom w:val="single" w:color="000000" w:sz="4" w:space="0"/>
              <w:right w:val="single" w:color="000000" w:sz="4" w:space="0"/>
            </w:tcBorders>
            <w:vAlign w:val="center"/>
          </w:tcPr>
          <w:p>
            <w:pPr>
              <w:pStyle w:val="134"/>
            </w:pPr>
            <w:r>
              <w:t>1</w:t>
            </w:r>
          </w:p>
        </w:tc>
        <w:tc>
          <w:tcPr>
            <w:tcW w:w="989" w:type="pct"/>
            <w:vMerge w:val="continue"/>
            <w:tcBorders>
              <w:left w:val="single" w:color="000000" w:sz="4" w:space="0"/>
              <w:right w:val="nil"/>
            </w:tcBorders>
            <w:vAlign w:val="center"/>
          </w:tcPr>
          <w:p>
            <w:pPr>
              <w:pStyle w:val="121"/>
              <w:jc w:val="center"/>
              <w:rPr>
                <w:rFonts w:ascii="Times New Roman" w:hAnsi="Times New Roman" w:cs="Times New Roman"/>
                <w:color w:val="auto"/>
                <w:kern w:val="2"/>
                <w:sz w:val="20"/>
                <w:szCs w:val="20"/>
              </w:rPr>
            </w:pPr>
          </w:p>
        </w:tc>
      </w:tr>
      <w:tr>
        <w:tblPrEx>
          <w:tblCellMar>
            <w:top w:w="0" w:type="dxa"/>
            <w:left w:w="0" w:type="dxa"/>
            <w:bottom w:w="0" w:type="dxa"/>
            <w:right w:w="0" w:type="dxa"/>
          </w:tblCellMar>
        </w:tblPrEx>
        <w:trPr>
          <w:trHeight w:val="16" w:hRule="atLeast"/>
          <w:jc w:val="center"/>
        </w:trPr>
        <w:tc>
          <w:tcPr>
            <w:tcW w:w="768" w:type="pct"/>
            <w:vMerge w:val="continue"/>
            <w:tcBorders>
              <w:top w:val="single" w:color="000000" w:sz="4" w:space="0"/>
              <w:left w:val="nil"/>
              <w:right w:val="single" w:color="000000" w:sz="4" w:space="0"/>
            </w:tcBorders>
            <w:vAlign w:val="center"/>
          </w:tcPr>
          <w:p>
            <w:pPr>
              <w:pStyle w:val="134"/>
            </w:pPr>
          </w:p>
        </w:tc>
        <w:tc>
          <w:tcPr>
            <w:tcW w:w="939" w:type="pct"/>
            <w:tcBorders>
              <w:top w:val="single" w:color="000000" w:sz="4" w:space="0"/>
              <w:left w:val="single" w:color="000000" w:sz="4" w:space="0"/>
              <w:bottom w:val="single" w:color="000000" w:sz="4" w:space="0"/>
              <w:right w:val="single" w:color="000000" w:sz="4" w:space="0"/>
            </w:tcBorders>
            <w:vAlign w:val="center"/>
          </w:tcPr>
          <w:p>
            <w:pPr>
              <w:pStyle w:val="121"/>
              <w:jc w:val="center"/>
              <w:rPr>
                <w:rFonts w:ascii="Times New Roman" w:hAnsi="Times New Roman" w:cs="Times New Roman"/>
                <w:color w:val="auto"/>
                <w:kern w:val="2"/>
                <w:sz w:val="20"/>
                <w:szCs w:val="20"/>
              </w:rPr>
            </w:pPr>
            <w:r>
              <w:rPr>
                <w:rFonts w:ascii="Times New Roman" w:hAnsi="Times New Roman" w:cs="Times New Roman"/>
                <w:color w:val="auto"/>
                <w:kern w:val="2"/>
                <w:sz w:val="20"/>
                <w:szCs w:val="20"/>
              </w:rPr>
              <w:t>节流阀</w:t>
            </w:r>
          </w:p>
        </w:tc>
        <w:tc>
          <w:tcPr>
            <w:tcW w:w="1280" w:type="pct"/>
            <w:tcBorders>
              <w:top w:val="single" w:color="000000" w:sz="4" w:space="0"/>
              <w:left w:val="single" w:color="000000" w:sz="4" w:space="0"/>
              <w:bottom w:val="single" w:color="000000" w:sz="4" w:space="0"/>
              <w:right w:val="single" w:color="000000" w:sz="4" w:space="0"/>
            </w:tcBorders>
            <w:vAlign w:val="center"/>
          </w:tcPr>
          <w:p>
            <w:pPr>
              <w:pStyle w:val="134"/>
            </w:pPr>
            <w:r>
              <w:t>68</w:t>
            </w:r>
          </w:p>
        </w:tc>
        <w:tc>
          <w:tcPr>
            <w:tcW w:w="1024" w:type="pct"/>
            <w:tcBorders>
              <w:top w:val="single" w:color="000000" w:sz="4" w:space="0"/>
              <w:left w:val="single" w:color="000000" w:sz="4" w:space="0"/>
              <w:bottom w:val="single" w:color="000000" w:sz="4" w:space="0"/>
              <w:right w:val="single" w:color="000000" w:sz="4" w:space="0"/>
            </w:tcBorders>
            <w:vAlign w:val="center"/>
          </w:tcPr>
          <w:p>
            <w:pPr>
              <w:pStyle w:val="134"/>
            </w:pPr>
            <w:r>
              <w:t>1</w:t>
            </w:r>
          </w:p>
        </w:tc>
        <w:tc>
          <w:tcPr>
            <w:tcW w:w="989" w:type="pct"/>
            <w:vMerge w:val="continue"/>
            <w:tcBorders>
              <w:left w:val="single" w:color="000000" w:sz="4" w:space="0"/>
              <w:right w:val="nil"/>
            </w:tcBorders>
            <w:vAlign w:val="center"/>
          </w:tcPr>
          <w:p>
            <w:pPr>
              <w:pStyle w:val="121"/>
              <w:jc w:val="center"/>
              <w:rPr>
                <w:rFonts w:ascii="Times New Roman" w:hAnsi="Times New Roman" w:cs="Times New Roman"/>
                <w:color w:val="auto"/>
                <w:kern w:val="2"/>
                <w:sz w:val="20"/>
                <w:szCs w:val="20"/>
              </w:rPr>
            </w:pPr>
          </w:p>
        </w:tc>
      </w:tr>
      <w:tr>
        <w:tblPrEx>
          <w:tblCellMar>
            <w:top w:w="0" w:type="dxa"/>
            <w:left w:w="0" w:type="dxa"/>
            <w:bottom w:w="0" w:type="dxa"/>
            <w:right w:w="0" w:type="dxa"/>
          </w:tblCellMar>
        </w:tblPrEx>
        <w:trPr>
          <w:trHeight w:val="16" w:hRule="atLeast"/>
          <w:jc w:val="center"/>
        </w:trPr>
        <w:tc>
          <w:tcPr>
            <w:tcW w:w="768" w:type="pct"/>
            <w:vMerge w:val="continue"/>
            <w:tcBorders>
              <w:left w:val="nil"/>
              <w:bottom w:val="single" w:color="000000" w:sz="12" w:space="0"/>
              <w:right w:val="single" w:color="000000" w:sz="4" w:space="0"/>
            </w:tcBorders>
            <w:vAlign w:val="center"/>
          </w:tcPr>
          <w:p>
            <w:pPr>
              <w:pStyle w:val="134"/>
            </w:pPr>
          </w:p>
        </w:tc>
        <w:tc>
          <w:tcPr>
            <w:tcW w:w="939" w:type="pct"/>
            <w:tcBorders>
              <w:top w:val="single" w:color="000000" w:sz="4" w:space="0"/>
              <w:left w:val="single" w:color="000000" w:sz="4" w:space="0"/>
              <w:bottom w:val="single" w:color="000000" w:sz="12" w:space="0"/>
              <w:right w:val="single" w:color="000000" w:sz="4" w:space="0"/>
            </w:tcBorders>
            <w:vAlign w:val="center"/>
          </w:tcPr>
          <w:p>
            <w:pPr>
              <w:pStyle w:val="134"/>
            </w:pPr>
            <w:r>
              <w:t>放空系统</w:t>
            </w:r>
          </w:p>
        </w:tc>
        <w:tc>
          <w:tcPr>
            <w:tcW w:w="1280" w:type="pct"/>
            <w:tcBorders>
              <w:top w:val="single" w:color="000000" w:sz="4" w:space="0"/>
              <w:left w:val="single" w:color="000000" w:sz="4" w:space="0"/>
              <w:bottom w:val="single" w:color="000000" w:sz="12" w:space="0"/>
              <w:right w:val="single" w:color="000000" w:sz="4" w:space="0"/>
            </w:tcBorders>
            <w:vAlign w:val="center"/>
          </w:tcPr>
          <w:p>
            <w:pPr>
              <w:pStyle w:val="134"/>
            </w:pPr>
            <w:r>
              <w:t>90</w:t>
            </w:r>
          </w:p>
        </w:tc>
        <w:tc>
          <w:tcPr>
            <w:tcW w:w="1024" w:type="pct"/>
            <w:tcBorders>
              <w:top w:val="single" w:color="000000" w:sz="4" w:space="0"/>
              <w:left w:val="single" w:color="000000" w:sz="4" w:space="0"/>
              <w:bottom w:val="single" w:color="000000" w:sz="12" w:space="0"/>
              <w:right w:val="single" w:color="000000" w:sz="4" w:space="0"/>
            </w:tcBorders>
            <w:vAlign w:val="center"/>
          </w:tcPr>
          <w:p>
            <w:pPr>
              <w:pStyle w:val="134"/>
            </w:pPr>
            <w:r>
              <w:t>1</w:t>
            </w:r>
          </w:p>
        </w:tc>
        <w:tc>
          <w:tcPr>
            <w:tcW w:w="989" w:type="pct"/>
            <w:tcBorders>
              <w:top w:val="single" w:color="000000" w:sz="4" w:space="0"/>
              <w:left w:val="single" w:color="000000" w:sz="4" w:space="0"/>
              <w:bottom w:val="single" w:color="000000" w:sz="12" w:space="0"/>
              <w:right w:val="nil"/>
            </w:tcBorders>
            <w:vAlign w:val="center"/>
          </w:tcPr>
          <w:p>
            <w:pPr>
              <w:pStyle w:val="121"/>
              <w:jc w:val="center"/>
              <w:rPr>
                <w:rFonts w:ascii="Times New Roman" w:hAnsi="Times New Roman" w:cs="Times New Roman"/>
                <w:color w:val="auto"/>
                <w:kern w:val="2"/>
              </w:rPr>
            </w:pPr>
            <w:r>
              <w:rPr>
                <w:rFonts w:ascii="Times New Roman" w:hAnsi="Times New Roman" w:cs="Times New Roman"/>
                <w:color w:val="auto"/>
                <w:kern w:val="2"/>
                <w:sz w:val="20"/>
                <w:szCs w:val="20"/>
              </w:rPr>
              <w:t>放空作业</w:t>
            </w:r>
          </w:p>
        </w:tc>
      </w:tr>
    </w:tbl>
    <w:p>
      <w:pPr>
        <w:pStyle w:val="4"/>
        <w:rPr>
          <w:rFonts w:eastAsia="宋体"/>
        </w:rPr>
      </w:pPr>
      <w:r>
        <w:rPr>
          <w:rFonts w:eastAsia="宋体"/>
        </w:rPr>
        <w:t>4.2.5 固体废物产生情况及治理措施</w:t>
      </w:r>
    </w:p>
    <w:p>
      <w:pPr>
        <w:pStyle w:val="114"/>
        <w:ind w:firstLine="480"/>
      </w:pPr>
      <w:r>
        <w:t>本项目依托的集气管道采用埋地敷设方式，在正常运行过程中集气管道不会产生固体废物。</w:t>
      </w:r>
    </w:p>
    <w:p>
      <w:pPr>
        <w:pStyle w:val="114"/>
        <w:ind w:firstLine="480"/>
      </w:pPr>
      <w:r>
        <w:t>本项目站场为无人值守站，人员依托P108集气站，试采期无生活垃圾产生。</w:t>
      </w:r>
    </w:p>
    <w:p>
      <w:pPr>
        <w:pStyle w:val="3"/>
        <w:spacing w:before="120"/>
        <w:rPr>
          <w:rFonts w:cs="Times New Roman"/>
        </w:rPr>
      </w:pPr>
      <w:bookmarkStart w:id="376" w:name="_Toc12288523"/>
      <w:bookmarkStart w:id="377" w:name="_Toc19815993"/>
      <w:bookmarkStart w:id="378" w:name="_Toc2566"/>
      <w:r>
        <w:rPr>
          <w:rFonts w:cs="Times New Roman"/>
        </w:rPr>
        <w:t>4.3 项目清洁生产分析</w:t>
      </w:r>
      <w:bookmarkEnd w:id="376"/>
      <w:bookmarkEnd w:id="377"/>
      <w:bookmarkEnd w:id="378"/>
    </w:p>
    <w:p>
      <w:pPr>
        <w:pStyle w:val="4"/>
        <w:rPr>
          <w:rFonts w:eastAsia="宋体"/>
        </w:rPr>
      </w:pPr>
      <w:r>
        <w:rPr>
          <w:rFonts w:eastAsia="宋体"/>
        </w:rPr>
        <w:t>4.3.1 清洁生产概述</w:t>
      </w:r>
    </w:p>
    <w:p>
      <w:pPr>
        <w:pStyle w:val="114"/>
        <w:ind w:firstLine="480"/>
      </w:pPr>
      <w:r>
        <w:t>本项目输送介质—天然气，本身就是一种清洁的能源，作为能源使用所产生的温室气体CO</w:t>
      </w:r>
      <w:r>
        <w:rPr>
          <w:vertAlign w:val="subscript"/>
        </w:rPr>
        <w:t>2</w:t>
      </w:r>
      <w:r>
        <w:t>的排放量比煤炭、原油、燃料油等少很多，对环境所产生的影响也相对较小，因而采用管道输送天然气，可以达到从源头上减轻环境污染的作用，符合国家节能减排的要求。</w:t>
      </w:r>
    </w:p>
    <w:p>
      <w:pPr>
        <w:pStyle w:val="114"/>
        <w:ind w:firstLine="480"/>
      </w:pPr>
      <w:r>
        <w:t>输气管道运输的能耗和成本远小于铁路、公路运输，且不受地形、气候、运力紧张、季节的影响；损耗和成本、输送产品的质量也更有保证，同样符合国家清洁生产的相关要求。</w:t>
      </w:r>
    </w:p>
    <w:p>
      <w:pPr>
        <w:pStyle w:val="4"/>
        <w:rPr>
          <w:rFonts w:eastAsia="宋体"/>
        </w:rPr>
      </w:pPr>
      <w:bookmarkStart w:id="379" w:name="_Toc19815994"/>
      <w:bookmarkStart w:id="380" w:name="_Toc12288524"/>
      <w:r>
        <w:rPr>
          <w:rFonts w:eastAsia="宋体"/>
        </w:rPr>
        <w:t xml:space="preserve">4.3.2 </w:t>
      </w:r>
      <w:bookmarkEnd w:id="379"/>
      <w:bookmarkEnd w:id="380"/>
      <w:r>
        <w:rPr>
          <w:rFonts w:eastAsia="宋体"/>
        </w:rPr>
        <w:t>本项目清洁生产概况</w:t>
      </w:r>
    </w:p>
    <w:p>
      <w:pPr>
        <w:pStyle w:val="114"/>
        <w:ind w:firstLine="480"/>
      </w:pPr>
      <w:r>
        <w:t>作为清洁燃料，天然气广泛用于民用燃料、工业燃料和发电。与煤相比，天然气不含灰份，其燃烧后产生的NOx仅为煤的19.2%，产生的CO</w:t>
      </w:r>
      <w:r>
        <w:rPr>
          <w:sz w:val="16"/>
          <w:szCs w:val="16"/>
        </w:rPr>
        <w:t>2</w:t>
      </w:r>
      <w:r>
        <w:t>仅为煤的42.1%，极大地降低了对环境空气的污染。</w:t>
      </w:r>
    </w:p>
    <w:p>
      <w:pPr>
        <w:pStyle w:val="114"/>
        <w:ind w:firstLine="480"/>
      </w:pPr>
      <w:r>
        <w:t>在输送工艺方面，优化工艺方案，减小能源消耗；采用节能设施，减少能耗；采用合理的防腐方式，保证管道运输的安全性；采用管道完整性管理，提高整体运营水平。</w:t>
      </w:r>
    </w:p>
    <w:p>
      <w:pPr>
        <w:pStyle w:val="114"/>
        <w:ind w:firstLine="480"/>
      </w:pPr>
      <w:r>
        <w:t>在生产设备和设施方面，使用世界上较为先进的SCADA自动控制系统，使输送介质的工艺条件实现由计算机自动控制，减少了由于人工控制而产生的生产损耗，可最大限度地减少由于事故引发的环境污染事故，减少事故停运及天然气损失，提高生产技术水平、操作效率和经济效率。</w:t>
      </w:r>
    </w:p>
    <w:p>
      <w:pPr>
        <w:pStyle w:val="114"/>
        <w:ind w:firstLine="480"/>
      </w:pPr>
      <w:r>
        <w:t>在施工期，采取加强施工管理，规范施工过程，实施环境监理；确定合理的施工带宽度，减少临时占地对环境的破坏；采用先进、合理的施工方式，减少对环境的污染和破坏；采取必要措施减少施工期扬尘对周围居民的影响；减少施工营地建设，减少污染物排放；作好生态恢复，水土保持等工作。</w:t>
      </w:r>
    </w:p>
    <w:p>
      <w:pPr>
        <w:pStyle w:val="114"/>
        <w:ind w:firstLine="480"/>
      </w:pPr>
      <w:r>
        <w:t>在试采期，做好废气、噪声、固废的达标排放工作，尽可能选择低噪声设备，满足清洁生产的要求。</w:t>
      </w:r>
    </w:p>
    <w:p>
      <w:pPr>
        <w:pStyle w:val="114"/>
        <w:ind w:firstLine="480"/>
      </w:pPr>
      <w:r>
        <w:t>本项目的清洁生产目标，除在设计、施工、运营环节中通过实施一系列清洁生产技术措施实现外，在运营管理中，也将通过采取一系列的相关措施和制度，实现持续的清洁生产。</w:t>
      </w:r>
    </w:p>
    <w:p>
      <w:pPr>
        <w:pStyle w:val="4"/>
        <w:rPr>
          <w:rFonts w:eastAsia="宋体"/>
        </w:rPr>
      </w:pPr>
      <w:bookmarkStart w:id="381" w:name="_Toc12288525"/>
      <w:bookmarkStart w:id="382" w:name="_Toc19815995"/>
      <w:r>
        <w:rPr>
          <w:rFonts w:eastAsia="宋体"/>
        </w:rPr>
        <w:t xml:space="preserve">4.3.3 </w:t>
      </w:r>
      <w:bookmarkEnd w:id="381"/>
      <w:bookmarkEnd w:id="382"/>
      <w:r>
        <w:rPr>
          <w:rFonts w:eastAsia="宋体"/>
        </w:rPr>
        <w:t>建议</w:t>
      </w:r>
    </w:p>
    <w:p>
      <w:pPr>
        <w:pStyle w:val="6"/>
        <w:ind w:firstLine="480"/>
        <w:rPr>
          <w:rFonts w:ascii="Times New Roman" w:cs="Times New Roman"/>
        </w:rPr>
      </w:pPr>
      <w:r>
        <w:rPr>
          <w:rFonts w:ascii="Times New Roman" w:cs="Times New Roman"/>
        </w:rPr>
        <w:t>本项目要提高清洁生产的水平，除了采取先进艺、技术和设备外，还应从以下几个方面进行改：</w:t>
      </w:r>
    </w:p>
    <w:p>
      <w:pPr>
        <w:pStyle w:val="6"/>
        <w:ind w:firstLine="480"/>
        <w:rPr>
          <w:rFonts w:ascii="Times New Roman" w:cs="Times New Roman"/>
        </w:rPr>
      </w:pPr>
      <w:r>
        <w:rPr>
          <w:rFonts w:ascii="Times New Roman" w:cs="Times New Roman"/>
        </w:rPr>
        <w:t>①建立健全的清洁生产管理机构；</w:t>
      </w:r>
    </w:p>
    <w:p>
      <w:pPr>
        <w:pStyle w:val="6"/>
        <w:ind w:firstLine="480"/>
        <w:rPr>
          <w:rFonts w:ascii="Times New Roman" w:cs="Times New Roman"/>
        </w:rPr>
      </w:pPr>
      <w:r>
        <w:rPr>
          <w:rFonts w:ascii="Times New Roman" w:cs="Times New Roman"/>
        </w:rPr>
        <w:t>②从源头抓起，注意工艺流程的各个环节；</w:t>
      </w:r>
    </w:p>
    <w:p>
      <w:pPr>
        <w:pStyle w:val="6"/>
        <w:ind w:firstLine="480"/>
        <w:rPr>
          <w:rFonts w:ascii="Times New Roman" w:cs="Times New Roman"/>
        </w:rPr>
      </w:pPr>
      <w:r>
        <w:rPr>
          <w:rFonts w:ascii="Times New Roman" w:cs="Times New Roman"/>
        </w:rPr>
        <w:t>③提高管理水平，加强环保知识宣传与培训；</w:t>
      </w:r>
    </w:p>
    <w:p>
      <w:pPr>
        <w:pStyle w:val="6"/>
        <w:ind w:firstLine="480"/>
        <w:rPr>
          <w:rFonts w:ascii="Times New Roman" w:cs="Times New Roman"/>
        </w:rPr>
      </w:pPr>
      <w:r>
        <w:rPr>
          <w:rFonts w:ascii="Times New Roman" w:cs="Times New Roman"/>
        </w:rPr>
        <w:t>④加强与外部的联系。</w:t>
      </w:r>
    </w:p>
    <w:p>
      <w:pPr>
        <w:pStyle w:val="3"/>
        <w:spacing w:before="120"/>
        <w:rPr>
          <w:rFonts w:cs="Times New Roman"/>
        </w:rPr>
      </w:pPr>
      <w:bookmarkStart w:id="383" w:name="_Toc19816001"/>
      <w:bookmarkStart w:id="384" w:name="_Toc12288536"/>
      <w:bookmarkStart w:id="385" w:name="_Toc705"/>
      <w:r>
        <w:rPr>
          <w:rFonts w:cs="Times New Roman"/>
        </w:rPr>
        <w:t>4.4 总量控制</w:t>
      </w:r>
      <w:bookmarkEnd w:id="383"/>
      <w:bookmarkEnd w:id="384"/>
      <w:bookmarkEnd w:id="385"/>
    </w:p>
    <w:p>
      <w:pPr>
        <w:pStyle w:val="114"/>
        <w:ind w:firstLine="480"/>
      </w:pPr>
      <w:r>
        <w:t>本项目正常运行时天然气处于密闭输送状态，一般无气体污染物外排；本项目不设置水套炉，正常工况条件下，无废气排放；试采期不产生生产废水和生活污水。因此本次评价建议不设总量控制指标。</w:t>
      </w:r>
    </w:p>
    <w:p>
      <w:pPr>
        <w:ind w:firstLine="480"/>
        <w:rPr>
          <w:rFonts w:ascii="Times New Roman" w:cs="Times New Roman"/>
        </w:rPr>
        <w:sectPr>
          <w:pgSz w:w="11906" w:h="16838"/>
          <w:pgMar w:top="1417" w:right="1417" w:bottom="1417" w:left="1701" w:header="851" w:footer="992" w:gutter="0"/>
          <w:pgBorders>
            <w:top w:val="none" w:sz="0" w:space="0"/>
            <w:left w:val="none" w:sz="0" w:space="0"/>
            <w:bottom w:val="none" w:sz="0" w:space="0"/>
            <w:right w:val="none" w:sz="0" w:space="0"/>
          </w:pgBorders>
          <w:cols w:space="425" w:num="1"/>
          <w:docGrid w:type="lines" w:linePitch="312" w:charSpace="0"/>
        </w:sectPr>
      </w:pPr>
    </w:p>
    <w:p>
      <w:pPr>
        <w:pStyle w:val="2"/>
        <w:spacing w:before="0" w:beforeAutospacing="0" w:after="0" w:afterAutospacing="0"/>
        <w:rPr>
          <w:rFonts w:eastAsia="宋体"/>
        </w:rPr>
      </w:pPr>
      <w:bookmarkStart w:id="386" w:name="_Toc19816003"/>
      <w:bookmarkStart w:id="387" w:name="_Toc28369"/>
      <w:r>
        <w:rPr>
          <w:rFonts w:eastAsia="宋体"/>
        </w:rPr>
        <w:t>5 环境质量现状调查与评价</w:t>
      </w:r>
      <w:bookmarkEnd w:id="386"/>
      <w:bookmarkEnd w:id="387"/>
    </w:p>
    <w:p>
      <w:pPr>
        <w:pStyle w:val="3"/>
        <w:spacing w:before="120"/>
        <w:rPr>
          <w:rFonts w:cs="Times New Roman"/>
        </w:rPr>
      </w:pPr>
      <w:bookmarkStart w:id="388" w:name="bookmark27"/>
      <w:bookmarkEnd w:id="388"/>
      <w:bookmarkStart w:id="389" w:name="_Toc19816004"/>
      <w:bookmarkStart w:id="390" w:name="_Toc12288539"/>
      <w:bookmarkStart w:id="391" w:name="_Toc10248"/>
      <w:r>
        <w:rPr>
          <w:rFonts w:cs="Times New Roman"/>
        </w:rPr>
        <w:t>5.1 自然环境概况</w:t>
      </w:r>
      <w:bookmarkEnd w:id="389"/>
      <w:bookmarkEnd w:id="390"/>
      <w:bookmarkEnd w:id="391"/>
    </w:p>
    <w:p>
      <w:pPr>
        <w:pStyle w:val="4"/>
        <w:rPr>
          <w:rFonts w:eastAsia="宋体"/>
        </w:rPr>
      </w:pPr>
      <w:bookmarkStart w:id="392" w:name="_Toc19816005"/>
      <w:bookmarkStart w:id="393" w:name="_Toc12288540"/>
      <w:r>
        <w:rPr>
          <w:rFonts w:eastAsia="宋体"/>
        </w:rPr>
        <w:t>5.1.1 地理位置</w:t>
      </w:r>
      <w:bookmarkEnd w:id="392"/>
      <w:bookmarkEnd w:id="393"/>
    </w:p>
    <w:p>
      <w:pPr>
        <w:pStyle w:val="114"/>
        <w:ind w:firstLine="480"/>
      </w:pPr>
      <w:r>
        <w:t>宣汉县介于东经107°22′至108°32′和北纬31°06′～31°49′之间。东北与城口接壤，东与开县相邻，南连开江，西接达川、通川和平昌，北与万源交界，是北通陕西、东达湖北的要口。境内地形地貌复杂、山势逶迤，由东北向西南倾斜绵延，呈“七山一水两分田”总体地貌。县境东西最长110.6km，南北最78.8km，边界线总长590.6km。</w:t>
      </w:r>
    </w:p>
    <w:p>
      <w:pPr>
        <w:pStyle w:val="114"/>
        <w:ind w:firstLine="480"/>
        <w:rPr>
          <w:szCs w:val="24"/>
        </w:rPr>
      </w:pPr>
      <w:r>
        <w:t>本项目站场位于四川省达州市宣汉县普光镇</w:t>
      </w:r>
      <w:r>
        <w:rPr>
          <w:rFonts w:hint="eastAsia"/>
        </w:rPr>
        <w:t>塔娅村</w:t>
      </w:r>
      <w:r>
        <w:t>，项目地理位置见附图1。</w:t>
      </w:r>
    </w:p>
    <w:p>
      <w:pPr>
        <w:pStyle w:val="4"/>
        <w:rPr>
          <w:rFonts w:eastAsia="宋体"/>
        </w:rPr>
      </w:pPr>
      <w:bookmarkStart w:id="394" w:name="_Toc19816006"/>
      <w:bookmarkStart w:id="395" w:name="_Toc12288541"/>
      <w:r>
        <w:rPr>
          <w:rFonts w:eastAsia="宋体"/>
        </w:rPr>
        <w:t>5.1.2 地貌类型</w:t>
      </w:r>
    </w:p>
    <w:p>
      <w:pPr>
        <w:pStyle w:val="114"/>
        <w:ind w:firstLine="480"/>
      </w:pPr>
      <w:r>
        <w:t>宣汉县按地形、地貌形态可分为3区：一、丘陵河谷区，约占县境内四川地貌区划中属米仓山大巴山中山区和盆北低山区、盆东平行岭谷区的一部分，以低山和低中山为主。低山、中山面积占全县总幅员的90.2%；二、低山区，约占25%；三、低中山区，约占65.2%，可分为平坝、台地或高阶台地、浅丘陵、深丘陵、低山。</w:t>
      </w:r>
    </w:p>
    <w:p>
      <w:pPr>
        <w:pStyle w:val="4"/>
        <w:rPr>
          <w:rFonts w:eastAsia="宋体"/>
        </w:rPr>
      </w:pPr>
      <w:r>
        <w:rPr>
          <w:rFonts w:eastAsia="宋体"/>
        </w:rPr>
        <w:t>5.1.3 气候</w:t>
      </w:r>
      <w:bookmarkEnd w:id="394"/>
      <w:r>
        <w:rPr>
          <w:rFonts w:eastAsia="宋体"/>
        </w:rPr>
        <w:t>气象</w:t>
      </w:r>
    </w:p>
    <w:p>
      <w:pPr>
        <w:ind w:firstLine="480"/>
        <w:rPr>
          <w:rFonts w:ascii="Times New Roman" w:cs="Times New Roman"/>
        </w:rPr>
      </w:pPr>
      <w:r>
        <w:rPr>
          <w:rFonts w:ascii="Times New Roman" w:cs="Times New Roman"/>
        </w:rPr>
        <w:t>境内气象属中亚热带湿润季风气候区，由于地处四川盆地东北缘，北有秦岭、大巴山的天然屏障，因此气候温和，热量丰富，四季分明，雨量充沛，季风气候明显，立体气候突出。冬季属大陆性气候，常受西北冷空气影响，气候干冷；夏季属海洋性季风气候，常受东南及西南暖湿空气影响，湿热多雷雨。受海拔高度影响区内立体气候明显，海拔500m以下地区春早夏热，雨水集中，旱涝交错，多风雹，秋雨，冬暖霜雪少，属四川盆地亚热带气候；海拔800m以上地区春迟秋早，夏短冬长，具有盆缘同地温带气候特征。低山、高丘云雾较多，日照较浅丘平坝少。</w:t>
      </w:r>
    </w:p>
    <w:p>
      <w:pPr>
        <w:ind w:firstLine="480"/>
        <w:rPr>
          <w:rFonts w:ascii="Times New Roman" w:cs="Times New Roman"/>
        </w:rPr>
      </w:pPr>
      <w:r>
        <w:rPr>
          <w:rFonts w:ascii="Times New Roman" w:cs="Times New Roman"/>
        </w:rPr>
        <w:t>灾害性天气主要有干旱，暴雨山洪，雷电，低温冷害，冰雹及大风等，其中暴雨山洪、大风等对管道及集气站建设构成一定危害。</w:t>
      </w:r>
    </w:p>
    <w:p>
      <w:pPr>
        <w:ind w:firstLine="480"/>
        <w:rPr>
          <w:rFonts w:ascii="Times New Roman" w:cs="Times New Roman"/>
        </w:rPr>
      </w:pPr>
      <w:r>
        <w:rPr>
          <w:rFonts w:ascii="Times New Roman" w:cs="Times New Roman"/>
        </w:rPr>
        <w:t>宣汉县多年平均降水量1132.69mm，多年平均气温16.8℃，相对湿度75%，每年5~10月份为多雨季，降水量占全年总降水量约80%，3月份为旱季，降水量约占全年降水量8~12%，无霜期长达10个月，冬季多雾，雨季多暴雨，雨后往往形成洪流。</w:t>
      </w:r>
    </w:p>
    <w:p>
      <w:pPr>
        <w:ind w:firstLine="480"/>
        <w:rPr>
          <w:rFonts w:ascii="Times New Roman" w:cs="Times New Roman"/>
        </w:rPr>
      </w:pPr>
      <w:r>
        <w:rPr>
          <w:rFonts w:ascii="Times New Roman" w:cs="Times New Roman"/>
        </w:rPr>
        <w:t>宣汉县主要气象要素见下表：</w:t>
      </w:r>
    </w:p>
    <w:p>
      <w:pPr>
        <w:pStyle w:val="39"/>
        <w:rPr>
          <w:rFonts w:cs="Times New Roman"/>
        </w:rPr>
      </w:pPr>
      <w:r>
        <w:rPr>
          <w:rFonts w:cs="Times New Roman"/>
        </w:rPr>
        <w:t>表5.1-1  宣汉县主要气象资料一览表</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2"/>
        <w:gridCol w:w="1889"/>
        <w:gridCol w:w="2652"/>
        <w:gridCol w:w="29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1809" w:type="pct"/>
            <w:gridSpan w:val="2"/>
            <w:tcBorders>
              <w:top w:val="single" w:color="auto" w:sz="12" w:space="0"/>
              <w:left w:val="nil"/>
              <w:bottom w:val="single" w:color="auto" w:sz="4" w:space="0"/>
              <w:right w:val="single" w:color="auto" w:sz="4" w:space="0"/>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b/>
                <w:kern w:val="2"/>
                <w:sz w:val="21"/>
                <w:szCs w:val="21"/>
              </w:rPr>
            </w:pPr>
            <w:r>
              <w:rPr>
                <w:rFonts w:ascii="Times New Roman" w:cs="Times New Roman"/>
                <w:b/>
                <w:kern w:val="2"/>
                <w:sz w:val="21"/>
                <w:szCs w:val="21"/>
              </w:rPr>
              <w:t>气象要素</w:t>
            </w:r>
          </w:p>
        </w:tc>
        <w:tc>
          <w:tcPr>
            <w:tcW w:w="1518" w:type="pct"/>
            <w:tcBorders>
              <w:top w:val="single" w:color="auto" w:sz="12" w:space="0"/>
              <w:left w:val="single" w:color="auto" w:sz="4" w:space="0"/>
              <w:bottom w:val="single" w:color="auto" w:sz="4" w:space="0"/>
              <w:right w:val="single" w:color="auto" w:sz="4" w:space="0"/>
            </w:tcBorders>
          </w:tcPr>
          <w:p>
            <w:pPr>
              <w:topLinePunct w:val="0"/>
              <w:autoSpaceDE w:val="0"/>
              <w:autoSpaceDN w:val="0"/>
              <w:snapToGrid w:val="0"/>
              <w:spacing w:before="62" w:beforeLines="20"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单位</w:t>
            </w:r>
          </w:p>
        </w:tc>
        <w:tc>
          <w:tcPr>
            <w:tcW w:w="1672" w:type="pct"/>
            <w:tcBorders>
              <w:top w:val="single" w:color="auto" w:sz="12" w:space="0"/>
              <w:left w:val="single" w:color="auto" w:sz="4" w:space="0"/>
              <w:bottom w:val="single" w:color="auto" w:sz="4" w:space="0"/>
              <w:right w:val="nil"/>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b/>
                <w:kern w:val="2"/>
                <w:sz w:val="21"/>
                <w:szCs w:val="21"/>
              </w:rPr>
            </w:pPr>
            <w:r>
              <w:rPr>
                <w:rFonts w:ascii="Times New Roman" w:cs="Times New Roman"/>
                <w:b/>
                <w:kern w:val="2"/>
                <w:sz w:val="21"/>
                <w:szCs w:val="21"/>
              </w:rPr>
              <w:t>数值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728" w:type="pct"/>
            <w:vMerge w:val="restart"/>
            <w:tcBorders>
              <w:top w:val="single" w:color="auto" w:sz="4" w:space="0"/>
              <w:left w:val="nil"/>
              <w:bottom w:val="single" w:color="auto" w:sz="4" w:space="0"/>
              <w:right w:val="single" w:color="auto" w:sz="4" w:space="0"/>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气温</w:t>
            </w:r>
          </w:p>
        </w:tc>
        <w:tc>
          <w:tcPr>
            <w:tcW w:w="1081" w:type="pct"/>
            <w:tcBorders>
              <w:top w:val="single" w:color="auto" w:sz="4" w:space="0"/>
              <w:left w:val="single" w:color="auto" w:sz="4" w:space="0"/>
              <w:bottom w:val="single" w:color="auto" w:sz="4" w:space="0"/>
              <w:right w:val="single" w:color="auto" w:sz="4" w:space="0"/>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年平均气温</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16.8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0" w:type="auto"/>
            <w:vMerge w:val="continue"/>
            <w:tcBorders>
              <w:top w:val="single" w:color="auto" w:sz="4" w:space="0"/>
              <w:left w:val="nil"/>
              <w:bottom w:val="single" w:color="auto" w:sz="4" w:space="0"/>
              <w:right w:val="single" w:color="auto" w:sz="4" w:space="0"/>
            </w:tcBorders>
            <w:vAlign w:val="center"/>
          </w:tcPr>
          <w:p>
            <w:pPr>
              <w:widowControl/>
              <w:topLinePunct w:val="0"/>
              <w:adjustRightInd/>
              <w:spacing w:afterAutospacing="1" w:line="240" w:lineRule="auto"/>
              <w:ind w:firstLine="0" w:firstLineChars="0"/>
              <w:jc w:val="left"/>
              <w:rPr>
                <w:rFonts w:ascii="Times New Roman" w:cs="Times New Roman"/>
                <w:kern w:val="2"/>
                <w:sz w:val="21"/>
                <w:szCs w:val="21"/>
              </w:rPr>
            </w:pPr>
          </w:p>
        </w:tc>
        <w:tc>
          <w:tcPr>
            <w:tcW w:w="1081" w:type="pct"/>
            <w:tcBorders>
              <w:top w:val="single" w:color="auto" w:sz="4" w:space="0"/>
              <w:left w:val="single" w:color="auto" w:sz="4" w:space="0"/>
              <w:bottom w:val="single" w:color="auto" w:sz="4" w:space="0"/>
              <w:right w:val="single" w:color="auto" w:sz="4" w:space="0"/>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极端最高气温</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41.3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0" w:type="auto"/>
            <w:vMerge w:val="continue"/>
            <w:tcBorders>
              <w:top w:val="single" w:color="auto" w:sz="4" w:space="0"/>
              <w:left w:val="nil"/>
              <w:bottom w:val="single" w:color="auto" w:sz="4" w:space="0"/>
              <w:right w:val="single" w:color="auto" w:sz="4" w:space="0"/>
            </w:tcBorders>
            <w:vAlign w:val="center"/>
          </w:tcPr>
          <w:p>
            <w:pPr>
              <w:widowControl/>
              <w:topLinePunct w:val="0"/>
              <w:adjustRightInd/>
              <w:spacing w:afterAutospacing="1" w:line="240" w:lineRule="auto"/>
              <w:ind w:firstLine="0" w:firstLineChars="0"/>
              <w:jc w:val="left"/>
              <w:rPr>
                <w:rFonts w:ascii="Times New Roman" w:cs="Times New Roman"/>
                <w:kern w:val="2"/>
                <w:sz w:val="21"/>
                <w:szCs w:val="21"/>
              </w:rPr>
            </w:pPr>
          </w:p>
        </w:tc>
        <w:tc>
          <w:tcPr>
            <w:tcW w:w="1081" w:type="pct"/>
            <w:tcBorders>
              <w:top w:val="single" w:color="auto" w:sz="4" w:space="0"/>
              <w:left w:val="single" w:color="auto" w:sz="4" w:space="0"/>
              <w:bottom w:val="single" w:color="auto" w:sz="4" w:space="0"/>
              <w:right w:val="single" w:color="auto" w:sz="4" w:space="0"/>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极端最低气温</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728" w:type="pct"/>
            <w:vMerge w:val="restart"/>
            <w:tcBorders>
              <w:top w:val="single" w:color="auto" w:sz="4" w:space="0"/>
              <w:left w:val="nil"/>
              <w:bottom w:val="single" w:color="auto" w:sz="4" w:space="0"/>
              <w:right w:val="single" w:color="auto" w:sz="4" w:space="0"/>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年降水量</w:t>
            </w:r>
          </w:p>
        </w:tc>
        <w:tc>
          <w:tcPr>
            <w:tcW w:w="1081" w:type="pct"/>
            <w:tcBorders>
              <w:top w:val="single" w:color="auto" w:sz="4" w:space="0"/>
              <w:left w:val="single" w:color="auto" w:sz="4" w:space="0"/>
              <w:bottom w:val="single" w:color="auto" w:sz="4" w:space="0"/>
              <w:right w:val="single" w:color="auto" w:sz="4" w:space="0"/>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平均</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mm</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1132.69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0" w:type="auto"/>
            <w:vMerge w:val="continue"/>
            <w:tcBorders>
              <w:top w:val="single" w:color="auto" w:sz="4" w:space="0"/>
              <w:left w:val="nil"/>
              <w:bottom w:val="single" w:color="auto" w:sz="4" w:space="0"/>
              <w:right w:val="single" w:color="auto" w:sz="4" w:space="0"/>
            </w:tcBorders>
            <w:vAlign w:val="center"/>
          </w:tcPr>
          <w:p>
            <w:pPr>
              <w:widowControl/>
              <w:topLinePunct w:val="0"/>
              <w:adjustRightInd/>
              <w:spacing w:afterAutospacing="1" w:line="240" w:lineRule="auto"/>
              <w:ind w:firstLine="0" w:firstLineChars="0"/>
              <w:jc w:val="left"/>
              <w:rPr>
                <w:rFonts w:ascii="Times New Roman" w:cs="Times New Roman"/>
                <w:kern w:val="2"/>
                <w:sz w:val="21"/>
                <w:szCs w:val="21"/>
              </w:rPr>
            </w:pPr>
          </w:p>
        </w:tc>
        <w:tc>
          <w:tcPr>
            <w:tcW w:w="1081" w:type="pct"/>
            <w:tcBorders>
              <w:top w:val="single" w:color="auto" w:sz="4" w:space="0"/>
              <w:left w:val="single" w:color="auto" w:sz="4" w:space="0"/>
              <w:bottom w:val="single" w:color="auto" w:sz="4" w:space="0"/>
              <w:right w:val="single" w:color="auto" w:sz="4" w:space="0"/>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最大</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mm</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1698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0" w:type="auto"/>
            <w:vMerge w:val="continue"/>
            <w:tcBorders>
              <w:top w:val="single" w:color="auto" w:sz="4" w:space="0"/>
              <w:left w:val="nil"/>
              <w:bottom w:val="single" w:color="auto" w:sz="4" w:space="0"/>
              <w:right w:val="single" w:color="auto" w:sz="4" w:space="0"/>
            </w:tcBorders>
            <w:vAlign w:val="center"/>
          </w:tcPr>
          <w:p>
            <w:pPr>
              <w:widowControl/>
              <w:topLinePunct w:val="0"/>
              <w:adjustRightInd/>
              <w:spacing w:afterAutospacing="1" w:line="240" w:lineRule="auto"/>
              <w:ind w:firstLine="0" w:firstLineChars="0"/>
              <w:jc w:val="left"/>
              <w:rPr>
                <w:rFonts w:ascii="Times New Roman" w:cs="Times New Roman"/>
                <w:kern w:val="2"/>
                <w:sz w:val="21"/>
                <w:szCs w:val="21"/>
              </w:rPr>
            </w:pPr>
          </w:p>
        </w:tc>
        <w:tc>
          <w:tcPr>
            <w:tcW w:w="1081" w:type="pct"/>
            <w:tcBorders>
              <w:top w:val="single" w:color="auto" w:sz="4" w:space="0"/>
              <w:left w:val="single" w:color="auto" w:sz="4" w:space="0"/>
              <w:bottom w:val="single" w:color="auto" w:sz="4" w:space="0"/>
              <w:right w:val="single" w:color="auto" w:sz="4" w:space="0"/>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最小</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mm</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865.9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728" w:type="pct"/>
            <w:vMerge w:val="restart"/>
            <w:tcBorders>
              <w:top w:val="single" w:color="auto" w:sz="4" w:space="0"/>
              <w:left w:val="nil"/>
              <w:bottom w:val="single" w:color="auto" w:sz="4" w:space="0"/>
              <w:right w:val="single" w:color="auto" w:sz="4" w:space="0"/>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风速</w:t>
            </w:r>
          </w:p>
        </w:tc>
        <w:tc>
          <w:tcPr>
            <w:tcW w:w="1081" w:type="pct"/>
            <w:tcBorders>
              <w:top w:val="single" w:color="auto" w:sz="4" w:space="0"/>
              <w:left w:val="single" w:color="auto" w:sz="4" w:space="0"/>
              <w:bottom w:val="single" w:color="auto" w:sz="4" w:space="0"/>
              <w:right w:val="single" w:color="auto" w:sz="4" w:space="0"/>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平均</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m/s</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0" w:type="auto"/>
            <w:vMerge w:val="continue"/>
            <w:tcBorders>
              <w:top w:val="single" w:color="auto" w:sz="4" w:space="0"/>
              <w:left w:val="nil"/>
              <w:bottom w:val="single" w:color="auto" w:sz="4" w:space="0"/>
              <w:right w:val="single" w:color="auto" w:sz="4" w:space="0"/>
            </w:tcBorders>
            <w:vAlign w:val="center"/>
          </w:tcPr>
          <w:p>
            <w:pPr>
              <w:widowControl/>
              <w:topLinePunct w:val="0"/>
              <w:adjustRightInd/>
              <w:spacing w:afterAutospacing="1" w:line="240" w:lineRule="auto"/>
              <w:ind w:firstLine="0" w:firstLineChars="0"/>
              <w:jc w:val="left"/>
              <w:rPr>
                <w:rFonts w:ascii="Times New Roman" w:cs="Times New Roman"/>
                <w:kern w:val="2"/>
                <w:sz w:val="21"/>
                <w:szCs w:val="21"/>
              </w:rPr>
            </w:pPr>
          </w:p>
        </w:tc>
        <w:tc>
          <w:tcPr>
            <w:tcW w:w="1081" w:type="pct"/>
            <w:tcBorders>
              <w:top w:val="single" w:color="auto" w:sz="4" w:space="0"/>
              <w:left w:val="single" w:color="auto" w:sz="4" w:space="0"/>
              <w:bottom w:val="single" w:color="auto" w:sz="4" w:space="0"/>
              <w:right w:val="single" w:color="auto" w:sz="4" w:space="0"/>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最大</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m/s</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0" w:type="auto"/>
            <w:vMerge w:val="continue"/>
            <w:tcBorders>
              <w:top w:val="single" w:color="auto" w:sz="4" w:space="0"/>
              <w:left w:val="nil"/>
              <w:bottom w:val="single" w:color="auto" w:sz="4" w:space="0"/>
              <w:right w:val="single" w:color="auto" w:sz="4" w:space="0"/>
            </w:tcBorders>
            <w:vAlign w:val="center"/>
          </w:tcPr>
          <w:p>
            <w:pPr>
              <w:widowControl/>
              <w:topLinePunct w:val="0"/>
              <w:adjustRightInd/>
              <w:spacing w:afterAutospacing="1" w:line="240" w:lineRule="auto"/>
              <w:ind w:firstLine="0" w:firstLineChars="0"/>
              <w:jc w:val="left"/>
              <w:rPr>
                <w:rFonts w:ascii="Times New Roman" w:cs="Times New Roman"/>
                <w:kern w:val="2"/>
                <w:sz w:val="21"/>
                <w:szCs w:val="21"/>
              </w:rPr>
            </w:pPr>
          </w:p>
        </w:tc>
        <w:tc>
          <w:tcPr>
            <w:tcW w:w="1081" w:type="pct"/>
            <w:tcBorders>
              <w:top w:val="single" w:color="auto" w:sz="4" w:space="0"/>
              <w:left w:val="single" w:color="auto" w:sz="4" w:space="0"/>
              <w:bottom w:val="single" w:color="auto" w:sz="4" w:space="0"/>
              <w:right w:val="single" w:color="auto" w:sz="4" w:space="0"/>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主导风向</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m/s</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NE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728" w:type="pct"/>
            <w:vMerge w:val="restart"/>
            <w:tcBorders>
              <w:top w:val="single" w:color="auto" w:sz="4" w:space="0"/>
              <w:left w:val="nil"/>
              <w:bottom w:val="single" w:color="auto" w:sz="4" w:space="0"/>
              <w:right w:val="single" w:color="auto" w:sz="4" w:space="0"/>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多年平均地温</w:t>
            </w:r>
          </w:p>
        </w:tc>
        <w:tc>
          <w:tcPr>
            <w:tcW w:w="1081" w:type="pct"/>
            <w:tcBorders>
              <w:top w:val="single" w:color="auto" w:sz="4" w:space="0"/>
              <w:left w:val="single" w:color="auto" w:sz="4" w:space="0"/>
              <w:bottom w:val="single" w:color="auto" w:sz="4" w:space="0"/>
              <w:right w:val="single" w:color="auto" w:sz="4" w:space="0"/>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地面</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18.1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0" w:type="auto"/>
            <w:vMerge w:val="continue"/>
            <w:tcBorders>
              <w:top w:val="single" w:color="auto" w:sz="4" w:space="0"/>
              <w:left w:val="nil"/>
              <w:bottom w:val="single" w:color="auto" w:sz="4" w:space="0"/>
              <w:right w:val="single" w:color="auto" w:sz="4" w:space="0"/>
            </w:tcBorders>
            <w:vAlign w:val="center"/>
          </w:tcPr>
          <w:p>
            <w:pPr>
              <w:widowControl/>
              <w:topLinePunct w:val="0"/>
              <w:adjustRightInd/>
              <w:spacing w:afterAutospacing="1" w:line="240" w:lineRule="auto"/>
              <w:ind w:firstLine="0" w:firstLineChars="0"/>
              <w:jc w:val="left"/>
              <w:rPr>
                <w:rFonts w:ascii="Times New Roman" w:cs="Times New Roman"/>
                <w:kern w:val="2"/>
                <w:sz w:val="21"/>
                <w:szCs w:val="21"/>
              </w:rPr>
            </w:pPr>
          </w:p>
        </w:tc>
        <w:tc>
          <w:tcPr>
            <w:tcW w:w="1081" w:type="pct"/>
            <w:tcBorders>
              <w:top w:val="single" w:color="auto" w:sz="4" w:space="0"/>
              <w:left w:val="single" w:color="auto" w:sz="4" w:space="0"/>
              <w:bottom w:val="single" w:color="auto" w:sz="4" w:space="0"/>
              <w:right w:val="single" w:color="auto" w:sz="4" w:space="0"/>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-0.2m</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20.2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1809" w:type="pct"/>
            <w:gridSpan w:val="2"/>
            <w:tcBorders>
              <w:top w:val="single" w:color="auto" w:sz="4" w:space="0"/>
              <w:left w:val="nil"/>
              <w:bottom w:val="single" w:color="auto" w:sz="4" w:space="0"/>
              <w:right w:val="single" w:color="auto" w:sz="4" w:space="0"/>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年平均日照时数</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h</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1596.3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1809" w:type="pct"/>
            <w:gridSpan w:val="2"/>
            <w:tcBorders>
              <w:top w:val="single" w:color="auto" w:sz="4" w:space="0"/>
              <w:left w:val="nil"/>
              <w:bottom w:val="single" w:color="auto" w:sz="4" w:space="0"/>
              <w:right w:val="single" w:color="auto" w:sz="4" w:space="0"/>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年平均蒸发量</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mm</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1215.9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1809" w:type="pct"/>
            <w:gridSpan w:val="2"/>
            <w:tcBorders>
              <w:top w:val="single" w:color="auto" w:sz="4" w:space="0"/>
              <w:left w:val="nil"/>
              <w:bottom w:val="single" w:color="auto" w:sz="4" w:space="0"/>
              <w:right w:val="single" w:color="auto" w:sz="4" w:space="0"/>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年均无霜期</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d</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296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1809" w:type="pct"/>
            <w:gridSpan w:val="2"/>
            <w:tcBorders>
              <w:top w:val="single" w:color="auto" w:sz="4" w:space="0"/>
              <w:left w:val="nil"/>
              <w:bottom w:val="single" w:color="auto" w:sz="12" w:space="0"/>
              <w:right w:val="single" w:color="auto" w:sz="4" w:space="0"/>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相对湿度</w:t>
            </w:r>
          </w:p>
        </w:tc>
        <w:tc>
          <w:tcPr>
            <w:tcW w:w="1518" w:type="pct"/>
            <w:tcBorders>
              <w:top w:val="single" w:color="auto" w:sz="4" w:space="0"/>
              <w:left w:val="single" w:color="auto" w:sz="4" w:space="0"/>
              <w:bottom w:val="single" w:color="auto" w:sz="12" w:space="0"/>
              <w:right w:val="single" w:color="auto" w:sz="4" w:space="0"/>
            </w:tcBorders>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1672" w:type="pct"/>
            <w:tcBorders>
              <w:top w:val="single" w:color="auto" w:sz="4" w:space="0"/>
              <w:left w:val="single" w:color="auto" w:sz="4" w:space="0"/>
              <w:bottom w:val="single" w:color="auto" w:sz="12" w:space="0"/>
              <w:right w:val="nil"/>
            </w:tcBorders>
            <w:vAlign w:val="center"/>
          </w:tcPr>
          <w:p>
            <w:pPr>
              <w:topLinePunct w:val="0"/>
              <w:autoSpaceDE w:val="0"/>
              <w:autoSpaceDN w:val="0"/>
              <w:snapToGrid w:val="0"/>
              <w:spacing w:before="62"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77</w:t>
            </w:r>
          </w:p>
        </w:tc>
      </w:tr>
    </w:tbl>
    <w:p>
      <w:pPr>
        <w:pStyle w:val="4"/>
        <w:rPr>
          <w:rFonts w:eastAsia="宋体"/>
        </w:rPr>
      </w:pPr>
      <w:bookmarkStart w:id="396" w:name="_Toc19816009"/>
      <w:bookmarkStart w:id="397" w:name="_Toc19816007"/>
      <w:r>
        <w:rPr>
          <w:rFonts w:eastAsia="宋体"/>
        </w:rPr>
        <w:t>5.1.4 水文</w:t>
      </w:r>
      <w:bookmarkEnd w:id="396"/>
      <w:r>
        <w:rPr>
          <w:rFonts w:eastAsia="宋体"/>
        </w:rPr>
        <w:t>与地质</w:t>
      </w:r>
    </w:p>
    <w:p>
      <w:pPr>
        <w:pStyle w:val="114"/>
        <w:ind w:firstLine="482"/>
        <w:rPr>
          <w:rStyle w:val="63"/>
          <w:spacing w:val="0"/>
          <w:position w:val="0"/>
          <w:sz w:val="24"/>
        </w:rPr>
      </w:pPr>
      <w:r>
        <w:rPr>
          <w:rStyle w:val="63"/>
          <w:spacing w:val="0"/>
          <w:position w:val="0"/>
          <w:sz w:val="24"/>
        </w:rPr>
        <w:t>1、地表水</w:t>
      </w:r>
    </w:p>
    <w:p>
      <w:pPr>
        <w:pStyle w:val="114"/>
        <w:ind w:firstLine="480"/>
      </w:pPr>
      <w:r>
        <w:t>达州市河流主要属长江支流的嘉陵江水系，发源于大巴山，由北而南呈树枝状分布。前河、中河、后河汇成州河后与巴河在渠县三汇镇汇合成渠江，南流300km入长江。境内流域面积在100km</w:t>
      </w:r>
      <w:r>
        <w:rPr>
          <w:vertAlign w:val="superscript"/>
        </w:rPr>
        <w:t>2</w:t>
      </w:r>
      <w:r>
        <w:t>以上的河流有53条，1000km</w:t>
      </w:r>
      <w:r>
        <w:rPr>
          <w:vertAlign w:val="superscript"/>
        </w:rPr>
        <w:t>2</w:t>
      </w:r>
      <w:r>
        <w:t>以上的干流有15条。共有通航河流9条，分别是渠江、州河、巴河、前河、后河、中河、铁溪河、清溪河、林岗溪，基本形成以渠江、州河、巴河这主干流的水路运输网络，流域覆盖达州市四个县（市）。各河流可通航里程不等，运载量在100t以下。本项目所在区域水系的后河、中河、白沙河均属渠江水系。</w:t>
      </w:r>
    </w:p>
    <w:p>
      <w:pPr>
        <w:pStyle w:val="114"/>
        <w:ind w:firstLine="480"/>
      </w:pPr>
      <w:r>
        <w:t>后河：后河在达州市境内，流程约25公里，流域面积263平方公里。河床平均宽约250米。平均枯水位270米，最低水位269.56米，平均含沙量1277.67克/立方米。最大洪水位为1902年，水位达286.71米，流量为13700立方米/秒。其次为1982年7月16日，水位达285.99米（实测），流量为13000立方米/秒。其中，东林站（14点）水位为313.2.米，流量为11800立方米/秒。东林站洪水一般约3小时到达城区，最快约2.5小时。市境多年平均流量火石岭入口处为165.7立方米/秒。达城锅厂梁断面年均流量201.4立方米/秒。阁溪桥出口处为211立方米/秒。天然落差8米，从北外乡起至大中坝止，有滩21处，河心有坝4处。水温，上游东林站多年的平均水温为15.7℃，最高水温为26.2℃，最低水温为5℃。</w:t>
      </w:r>
    </w:p>
    <w:p>
      <w:pPr>
        <w:pStyle w:val="6"/>
        <w:ind w:firstLine="482"/>
        <w:rPr>
          <w:rStyle w:val="66"/>
          <w:rFonts w:cs="Times New Roman"/>
        </w:rPr>
      </w:pPr>
      <w:bookmarkStart w:id="398" w:name="_Toc19816012"/>
      <w:r>
        <w:rPr>
          <w:rStyle w:val="66"/>
          <w:rFonts w:cs="Times New Roman"/>
        </w:rPr>
        <w:t>2、</w:t>
      </w:r>
      <w:bookmarkEnd w:id="398"/>
      <w:r>
        <w:rPr>
          <w:rStyle w:val="66"/>
          <w:rFonts w:cs="Times New Roman"/>
        </w:rPr>
        <w:t>地下水</w:t>
      </w:r>
    </w:p>
    <w:p>
      <w:pPr>
        <w:pStyle w:val="114"/>
        <w:ind w:firstLine="480"/>
      </w:pPr>
      <w:r>
        <w:t>本项目建设区域内地下水类型可划分为两类：第四系松散堆积层孔隙水和基岩裂隙水。主要分布于剥蚀平台和沟谷-斜坡地带，含水层为侏罗系中统上沙溪庙组（J2s）风化泥质粉砂岩、细砂岩，水文地质条件较简单，地下水以风化带网状裂隙赋存、运移，地层富水性差、水量较小，水位埋深一般大于10m。</w:t>
      </w:r>
    </w:p>
    <w:p>
      <w:pPr>
        <w:pStyle w:val="4"/>
        <w:rPr>
          <w:rFonts w:eastAsia="宋体"/>
        </w:rPr>
      </w:pPr>
      <w:bookmarkStart w:id="399" w:name="_Toc19816008"/>
      <w:r>
        <w:rPr>
          <w:rFonts w:eastAsia="宋体"/>
        </w:rPr>
        <w:t xml:space="preserve">5.1.5 </w:t>
      </w:r>
      <w:bookmarkEnd w:id="399"/>
      <w:r>
        <w:rPr>
          <w:rFonts w:eastAsia="宋体"/>
        </w:rPr>
        <w:t>地质构造与地震</w:t>
      </w:r>
    </w:p>
    <w:p>
      <w:pPr>
        <w:pStyle w:val="6"/>
        <w:ind w:firstLine="482"/>
        <w:rPr>
          <w:rFonts w:ascii="Times New Roman" w:cs="Times New Roman"/>
          <w:b/>
          <w:bCs/>
        </w:rPr>
      </w:pPr>
      <w:r>
        <w:rPr>
          <w:rFonts w:ascii="Times New Roman" w:cs="Times New Roman"/>
          <w:b/>
          <w:bCs/>
        </w:rPr>
        <w:t>1、地质构造</w:t>
      </w:r>
    </w:p>
    <w:p>
      <w:pPr>
        <w:snapToGrid w:val="0"/>
        <w:spacing w:line="500" w:lineRule="exact"/>
        <w:ind w:firstLine="480"/>
        <w:rPr>
          <w:rFonts w:ascii="Times New Roman" w:cs="Times New Roman"/>
        </w:rPr>
      </w:pPr>
      <w:r>
        <w:rPr>
          <w:rFonts w:ascii="Times New Roman" w:cs="Times New Roman"/>
        </w:rPr>
        <w:t>宣汉县内地质构造的展布</w:t>
      </w:r>
      <w:r>
        <w:rPr>
          <w:rFonts w:hint="eastAsia" w:ascii="Times New Roman" w:cs="Times New Roman"/>
          <w:lang w:eastAsia="zh-CN"/>
        </w:rPr>
        <w:t>轮廓</w:t>
      </w:r>
      <w:r>
        <w:rPr>
          <w:rFonts w:ascii="Times New Roman" w:cs="Times New Roman"/>
        </w:rPr>
        <w:t>清楚，具有一定的方向和方位。断层走向和褶皱轴呈弧形展布，从西南向东北岩层倾角渐增，褶皱渐趋紧密，卷入地层渐老，褶皱的规模也由小到大，一般轴向长几公里至几十公里，并且多以复背斜形式出现。宣汉县境东北部的北西向构造有八台山-大宁厂向斜，渔沙-建楼冲断复背斜，满月冲断向斜，石塘坝-添子城复背斜，斜水园背斜等，这些构造的规模都较大，县境内只是其局部地段。其复背斜轴部最老地层为志留系徐家坪组砂岩、砂质页岩，两翼为二迭系和三迭系灰岩、白云质灰岩；向斜核部最新地层为三迭系嘉陵江组灰岩，褶皱紧闭，并伴随逆冲断层产生。县境西部的北西向构造规模最小，一般都在10公里以内。</w:t>
      </w:r>
    </w:p>
    <w:p>
      <w:pPr>
        <w:snapToGrid w:val="0"/>
        <w:spacing w:line="500" w:lineRule="exact"/>
        <w:ind w:firstLine="480"/>
        <w:rPr>
          <w:rFonts w:ascii="Times New Roman" w:cs="Times New Roman"/>
        </w:rPr>
      </w:pPr>
      <w:r>
        <w:rPr>
          <w:rFonts w:ascii="Times New Roman" w:cs="Times New Roman"/>
        </w:rPr>
        <w:t>根据钻井揭示及地表露头，普光地区下古生界地层较完整，仅缺失志留系上统。上古生界缺失了泥盆系全部和石炭系大部，仅残留中石炭统黄龙组，二叠系保留较全。中生界三叠系、侏罗系保留较全，白垩系仅局部有少量残留，新生界基本缺失。</w:t>
      </w:r>
    </w:p>
    <w:p>
      <w:pPr>
        <w:snapToGrid w:val="0"/>
        <w:spacing w:line="500" w:lineRule="exact"/>
        <w:ind w:firstLine="482"/>
        <w:rPr>
          <w:rFonts w:ascii="Times New Roman" w:cs="Times New Roman"/>
          <w:b/>
          <w:bCs/>
        </w:rPr>
      </w:pPr>
      <w:r>
        <w:rPr>
          <w:rFonts w:ascii="Times New Roman" w:cs="Times New Roman"/>
          <w:b/>
          <w:bCs/>
        </w:rPr>
        <w:t>2、地震</w:t>
      </w:r>
    </w:p>
    <w:p>
      <w:pPr>
        <w:pStyle w:val="114"/>
        <w:ind w:firstLine="480"/>
      </w:pPr>
      <w:r>
        <w:rPr>
          <w:rStyle w:val="63"/>
          <w:b w:val="0"/>
          <w:bCs w:val="0"/>
          <w:spacing w:val="0"/>
          <w:position w:val="0"/>
          <w:sz w:val="24"/>
        </w:rPr>
        <w:t>根据《建筑抗震设计规范》（GB50011-2010），宣汉抗震设防烈度为6度，设计基本地震加速度值为0.05g，属第一组，可不考虑地震液化问题。另查阅县志，整个宣汉县境尚无地震活动的记载。因此总体上区域稳定性良好，适宜工程修建。</w:t>
      </w:r>
    </w:p>
    <w:bookmarkEnd w:id="395"/>
    <w:bookmarkEnd w:id="397"/>
    <w:p>
      <w:pPr>
        <w:pStyle w:val="4"/>
        <w:rPr>
          <w:rFonts w:eastAsia="宋体"/>
        </w:rPr>
      </w:pPr>
      <w:bookmarkStart w:id="400" w:name="_Toc19816010"/>
      <w:bookmarkStart w:id="401" w:name="_Toc12288548"/>
      <w:r>
        <w:rPr>
          <w:rFonts w:eastAsia="宋体"/>
        </w:rPr>
        <w:t>5.1.6 土壤</w:t>
      </w:r>
    </w:p>
    <w:p>
      <w:pPr>
        <w:pStyle w:val="114"/>
        <w:ind w:firstLine="480"/>
      </w:pPr>
      <w:r>
        <w:t>线路所经地面以冲洪积砂质粘土夹砾岩为主，次为残坡积和崩坡积之砂质粘土夹碎块石，局部有小卵石混杂其中。区内土壤多由灰岩和砂页岩发育而成的砾石土、砾质土为主。土壤质地与母岩和地形关系密切，一般由砂岩发育的多为沙质土；由砂页岩互层发育的多为壤质土；泥岩和灰岩发育的多为粘质土，陡坡地和二迭系以前母岩发育的多为砾石土和砾质土。土壤剖面各发生层的质地上下变化较小，仅少数土壤剖面物粘含量有随深度增加而增加的趋势。</w:t>
      </w:r>
    </w:p>
    <w:p>
      <w:pPr>
        <w:pStyle w:val="114"/>
        <w:ind w:firstLine="480"/>
      </w:pPr>
      <w:r>
        <w:t>土壤以中性和微酸性为主，其次是微碱性，少数酸性。pH值在4.5～5.4之间的占6.4%；5.5～6.4之间的占34%；6.5～7.5之间的占34.2%；7.6～8.5之间的占25.3%。</w:t>
      </w:r>
    </w:p>
    <w:p>
      <w:pPr>
        <w:pStyle w:val="114"/>
        <w:ind w:firstLine="480"/>
      </w:pPr>
      <w:r>
        <w:t>工程区域地层岩性较为单一，上部主要为第四系松散覆盖层，包括残坡积层、崩坡积层，下伏基岩为侏罗系中统沙溪庙组（J</w:t>
      </w:r>
      <w:r>
        <w:rPr>
          <w:vertAlign w:val="subscript"/>
        </w:rPr>
        <w:t>2</w:t>
      </w:r>
      <w:r>
        <w:t>S）。出露地层由上至下分别为：</w:t>
      </w:r>
    </w:p>
    <w:p>
      <w:pPr>
        <w:pStyle w:val="114"/>
        <w:ind w:firstLine="480"/>
      </w:pPr>
      <w:r>
        <w:t>1）第四系残坡积层：</w:t>
      </w:r>
    </w:p>
    <w:p>
      <w:pPr>
        <w:pStyle w:val="114"/>
        <w:ind w:firstLine="480"/>
      </w:pPr>
      <w:r>
        <w:t>主要为砂土、砂质粘土、粘土，干燥，松散，分布很广。坡体及坡体上覆盖层厚度很薄，一般0.2～0.5m。沟谷中为砂质粘土、粘土。厚度较大，一般为1.0～2.5m左右，为可塑状。</w:t>
      </w:r>
    </w:p>
    <w:p>
      <w:pPr>
        <w:pStyle w:val="114"/>
        <w:ind w:firstLine="480"/>
      </w:pPr>
      <w:r>
        <w:t>2）第四系崩坡积层：</w:t>
      </w:r>
    </w:p>
    <w:p>
      <w:pPr>
        <w:pStyle w:val="114"/>
        <w:ind w:firstLine="480"/>
      </w:pPr>
      <w:r>
        <w:t>主要分布于陡坡下部，为含碎块石土，厚度一般为1.0～3.0m。碎块石</w:t>
      </w:r>
      <w:r>
        <w:rPr>
          <w:rFonts w:hint="eastAsia"/>
          <w:lang w:eastAsia="zh-CN"/>
        </w:rPr>
        <w:t>成分</w:t>
      </w:r>
      <w:r>
        <w:t>主要为砂岩碎块石，另外可见巨大孤石。</w:t>
      </w:r>
    </w:p>
    <w:p>
      <w:pPr>
        <w:pStyle w:val="114"/>
        <w:ind w:firstLine="480"/>
      </w:pPr>
      <w:r>
        <w:t>3）基岩</w:t>
      </w:r>
    </w:p>
    <w:p>
      <w:pPr>
        <w:pStyle w:val="114"/>
        <w:ind w:firstLine="480"/>
      </w:pPr>
      <w:r>
        <w:t>侏罗系中统沙溪庙组为含钙质结核的紫红色砂质泥岩、粉砂岩、泥质粉砂岩与黄灰色块状长石岩屑石英砂岩不等厚互层。砂岩坚硬性脆，常形成陡坎陡崖，泥岩易风化剥落，多形成缓坡。</w:t>
      </w:r>
    </w:p>
    <w:p>
      <w:pPr>
        <w:pStyle w:val="4"/>
        <w:rPr>
          <w:rFonts w:eastAsia="宋体"/>
        </w:rPr>
      </w:pPr>
      <w:r>
        <w:rPr>
          <w:rFonts w:eastAsia="宋体"/>
        </w:rPr>
        <w:t>5.1.7 自然资源</w:t>
      </w:r>
    </w:p>
    <w:p>
      <w:pPr>
        <w:ind w:firstLine="482"/>
        <w:rPr>
          <w:rFonts w:ascii="Times New Roman" w:cs="Times New Roman"/>
          <w:b/>
          <w:bCs/>
        </w:rPr>
      </w:pPr>
      <w:r>
        <w:rPr>
          <w:rFonts w:ascii="Times New Roman" w:cs="Times New Roman"/>
          <w:b/>
          <w:bCs/>
        </w:rPr>
        <w:t>1、植物资源</w:t>
      </w:r>
    </w:p>
    <w:p>
      <w:pPr>
        <w:pStyle w:val="114"/>
        <w:ind w:firstLine="480"/>
      </w:pPr>
      <w:r>
        <w:t>宣汉县自然地带性植物为亚热带常绿阔叶林，自然植被分布较为广泛，其群落结构和优势树种依山形地和土地利用现状而有所不同。境内有乔木、灌木、藤木、草木等各种植物700多种，乔木以马尾松为主，分布在县境内三低山区，杉木、柏木、栎类等马尾松林类散生分布，浅丘、平坝多为桉树、千丈、桤木、泡桐等，初步查清乔木树种有38个科、63个属、223个种；灌木主要有马桑、黄刺、杜鹊、水红子等14个种；竹类主要有慈竹、白夹竹、水竹、楠竹、斑竹等50多个竹种；草本有艾蒿、茅草、芭茅、苔藓、蕨类等；还有菌类低等植物。稀有植物有银杏、红豆、香樟、楠木、水杉等。</w:t>
      </w:r>
    </w:p>
    <w:p>
      <w:pPr>
        <w:pStyle w:val="114"/>
        <w:ind w:firstLine="480"/>
      </w:pPr>
      <w:r>
        <w:t>宣汉县截至2019年末，现有林业用地面积380万亩，森林面积350万亩，活立木储蓄量1267万立方米；宣汉县境内植被多样，野生植物3000余种，桫椤、崖柏、银杏、黄连、天麻、杜仲等国家重点保护植物达10余种。2016年完成造林面积800公顷，年末森林面积256797公顷，森林覆盖率达60.1%。</w:t>
      </w:r>
    </w:p>
    <w:p>
      <w:pPr>
        <w:pStyle w:val="114"/>
        <w:ind w:firstLine="482"/>
        <w:rPr>
          <w:b/>
          <w:bCs/>
        </w:rPr>
      </w:pPr>
      <w:r>
        <w:rPr>
          <w:b/>
          <w:bCs/>
        </w:rPr>
        <w:t>据调查，评价区域内无需特殊保护的珍稀濒危野生动植物及名木古树。</w:t>
      </w:r>
    </w:p>
    <w:p>
      <w:pPr>
        <w:ind w:firstLine="482"/>
        <w:rPr>
          <w:rFonts w:ascii="Times New Roman" w:cs="Times New Roman"/>
          <w:b/>
          <w:bCs/>
        </w:rPr>
      </w:pPr>
      <w:r>
        <w:rPr>
          <w:rFonts w:ascii="Times New Roman" w:cs="Times New Roman"/>
          <w:b/>
          <w:bCs/>
        </w:rPr>
        <w:t>2、动物资源</w:t>
      </w:r>
    </w:p>
    <w:p>
      <w:pPr>
        <w:ind w:firstLine="480"/>
        <w:rPr>
          <w:rFonts w:ascii="Times New Roman" w:cs="Times New Roman"/>
        </w:rPr>
      </w:pPr>
      <w:r>
        <w:rPr>
          <w:rFonts w:ascii="Times New Roman" w:cs="Times New Roman"/>
        </w:rPr>
        <w:t>宣汉县野生动物较多，兽类有麂、刺猬、果子狸、狐狸、水獭、黄鼠狼、野兔、松鼠等；鸟类有鹭鸶、鹰、鹧鸪、燕子、野鸡、斑鸠、猫头鹰、喜鹊等；蛇虫类有乌梢蛇、螳螂、蜻蜓、蜜蜂、蝴蝶、蜘蛛、蚂蚁等；水生动物有鱼、虾、蚌、蟹、蛙等。</w:t>
      </w:r>
    </w:p>
    <w:p>
      <w:pPr>
        <w:ind w:firstLine="480"/>
        <w:rPr>
          <w:rFonts w:ascii="Times New Roman" w:cs="Times New Roman"/>
          <w:b/>
          <w:bCs/>
        </w:rPr>
      </w:pPr>
      <w:r>
        <w:rPr>
          <w:rFonts w:ascii="Times New Roman" w:cs="Times New Roman"/>
        </w:rPr>
        <w:t>经现场踏勘，本项目评价范围内未发现国家保护的珍稀植物分布。本项目附近的野生动物主要是适合栖息于农田、居民点周边的种类，如农田常见的啮齿类、两栖类、爬行类和画眉、麻雀等常见鸟类，无大型陆生野生动物，也无国家保护的陆生珍稀野生动物。经调查访问和沿途观察，本项目所在区域的自然植被受人为活动影响不复存在，区域内无需保护的珍稀动、植物及古树名木。</w:t>
      </w:r>
    </w:p>
    <w:p>
      <w:pPr>
        <w:pStyle w:val="4"/>
        <w:rPr>
          <w:rFonts w:eastAsia="宋体"/>
        </w:rPr>
      </w:pPr>
      <w:r>
        <w:rPr>
          <w:rFonts w:eastAsia="宋体"/>
        </w:rPr>
        <w:t>5.1.8 矿产资源</w:t>
      </w:r>
      <w:bookmarkEnd w:id="400"/>
    </w:p>
    <w:p>
      <w:pPr>
        <w:pStyle w:val="114"/>
        <w:ind w:firstLine="480"/>
      </w:pPr>
      <w:r>
        <w:t>截至2018年，宣汉县共探测到的资源达28种，主要矿产资源概括为：一煤（煤炭），二气（石油、天然气），三土（粘土、高岭土、膨润土），五石（滑石、长石、大理石、石英石、石灰石），八矿（铁、砷、硅、硫磺、石膏、铝、卤钾、岩盐）。天然气预测储量高达1.5万亿立方米，居中国第2位，已探明开发储量达3000-6000亿立方米，系西南地区天然气气田中心、国家“西气东输工程”重要基地。原煤储量达1.6亿吨，发热量6000大卡以上。富钾卤水储量达1.3亿立方米，是国家盐化工业基地自贡黑卤的10倍。此外，还有大理石30亿立方米，石灰石30亿立方米，石英石3000万立方米，硫磺矿867万吨，铁矿1800万吨等。</w:t>
      </w:r>
    </w:p>
    <w:bookmarkEnd w:id="401"/>
    <w:p>
      <w:pPr>
        <w:pStyle w:val="3"/>
        <w:spacing w:before="120"/>
        <w:rPr>
          <w:rFonts w:cs="Times New Roman"/>
        </w:rPr>
      </w:pPr>
      <w:bookmarkStart w:id="402" w:name="bookmark28"/>
      <w:bookmarkEnd w:id="402"/>
      <w:bookmarkStart w:id="403" w:name="_Toc17304"/>
      <w:bookmarkStart w:id="404" w:name="_Toc12288559"/>
      <w:bookmarkStart w:id="405" w:name="_Toc19816013"/>
      <w:r>
        <w:rPr>
          <w:rFonts w:cs="Times New Roman"/>
        </w:rPr>
        <w:t>5.2 生态环境调查与评价</w:t>
      </w:r>
      <w:bookmarkEnd w:id="403"/>
    </w:p>
    <w:p>
      <w:pPr>
        <w:pStyle w:val="114"/>
        <w:ind w:firstLine="480"/>
      </w:pPr>
      <w:r>
        <w:t>生态现状调查是生态现状评价、影响预测的基础和依据，本次工程生态现状调查的主要内容包括：生态功能区划、主要生态问题、土地利用现状、基本农田现状、植被分布现状、土壤侵蚀现状、评价区野生动植物和所在地生态敏感区分布等生态背景和生态问题。区域的主要生态问题为水土流失问题。调查查明了水土流失的成因、空间分布和发生特点。</w:t>
      </w:r>
    </w:p>
    <w:p>
      <w:pPr>
        <w:tabs>
          <w:tab w:val="left" w:pos="0"/>
        </w:tabs>
        <w:ind w:firstLine="480"/>
        <w:rPr>
          <w:rFonts w:ascii="Times New Roman" w:cs="Times New Roman"/>
        </w:rPr>
      </w:pPr>
      <w:r>
        <w:rPr>
          <w:rFonts w:ascii="Times New Roman" w:cs="Times New Roman"/>
        </w:rPr>
        <w:t>本项目生态影响评价等级为二级，根据《环境影响评价技术导则 生态影响》（HJ19-2022）、《环境影响评价技术导则 陆地石油天然气开发建设项目》（HJ/T349-20</w:t>
      </w:r>
      <w:r>
        <w:rPr>
          <w:rFonts w:hint="eastAsia" w:ascii="Times New Roman" w:cs="Times New Roman"/>
        </w:rPr>
        <w:t>23</w:t>
      </w:r>
      <w:r>
        <w:rPr>
          <w:rFonts w:ascii="Times New Roman" w:cs="Times New Roman"/>
        </w:rPr>
        <w:t>）中关于评价范围的划分原则和本项目现场踏勘调查实际情况，确定本评价范围如下：</w:t>
      </w:r>
    </w:p>
    <w:p>
      <w:pPr>
        <w:pStyle w:val="114"/>
        <w:ind w:firstLine="480"/>
        <w:rPr>
          <w:szCs w:val="24"/>
        </w:rPr>
      </w:pPr>
      <w:r>
        <w:rPr>
          <w:szCs w:val="24"/>
        </w:rPr>
        <w:t>站场周边200m，面积</w:t>
      </w:r>
      <w:r>
        <w:rPr>
          <w:rFonts w:hint="eastAsia"/>
          <w:szCs w:val="24"/>
        </w:rPr>
        <w:t>35.8</w:t>
      </w:r>
      <w:r>
        <w:rPr>
          <w:szCs w:val="24"/>
        </w:rPr>
        <w:t>hm</w:t>
      </w:r>
      <w:r>
        <w:rPr>
          <w:szCs w:val="24"/>
          <w:vertAlign w:val="superscript"/>
        </w:rPr>
        <w:t>2</w:t>
      </w:r>
      <w:r>
        <w:rPr>
          <w:szCs w:val="24"/>
        </w:rPr>
        <w:t>。</w:t>
      </w:r>
    </w:p>
    <w:p>
      <w:pPr>
        <w:pStyle w:val="4"/>
        <w:rPr>
          <w:rFonts w:eastAsia="宋体"/>
        </w:rPr>
      </w:pPr>
      <w:bookmarkStart w:id="406" w:name="_Toc12288582"/>
      <w:r>
        <w:rPr>
          <w:rFonts w:eastAsia="宋体"/>
        </w:rPr>
        <w:t>5.2.1 生态系统类型及主要生态环境问题</w:t>
      </w:r>
    </w:p>
    <w:p>
      <w:pPr>
        <w:pStyle w:val="114"/>
        <w:ind w:firstLine="480"/>
      </w:pPr>
      <w:r>
        <w:t>本项目位于宣汉县，根据《四川省生态功能区划》（2010版），</w:t>
      </w:r>
      <w:r>
        <w:rPr>
          <w:rFonts w:hint="eastAsia"/>
        </w:rPr>
        <w:t>项目所在</w:t>
      </w:r>
      <w:r>
        <w:t>地区的生态功能区划见下表。</w:t>
      </w:r>
    </w:p>
    <w:p>
      <w:pPr>
        <w:pStyle w:val="39"/>
        <w:rPr>
          <w:rFonts w:cs="Times New Roman"/>
        </w:rPr>
      </w:pPr>
      <w:r>
        <w:rPr>
          <w:rFonts w:cs="Times New Roman"/>
        </w:rPr>
        <w:t xml:space="preserve">表5.2-1  </w:t>
      </w:r>
      <w:r>
        <w:rPr>
          <w:rFonts w:hint="eastAsia" w:cs="Times New Roman"/>
        </w:rPr>
        <w:t>项目所在地区</w:t>
      </w:r>
      <w:r>
        <w:rPr>
          <w:rFonts w:cs="Times New Roman"/>
        </w:rPr>
        <w:t>的生态功能区</w:t>
      </w:r>
    </w:p>
    <w:tbl>
      <w:tblPr>
        <w:tblStyle w:val="59"/>
        <w:tblW w:w="485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28"/>
        <w:gridCol w:w="1052"/>
        <w:gridCol w:w="1113"/>
        <w:gridCol w:w="1287"/>
        <w:gridCol w:w="1105"/>
        <w:gridCol w:w="313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1" w:hRule="atLeast"/>
          <w:jc w:val="center"/>
        </w:trPr>
        <w:tc>
          <w:tcPr>
            <w:tcW w:w="486" w:type="pct"/>
            <w:vAlign w:val="center"/>
          </w:tcPr>
          <w:p>
            <w:pPr>
              <w:pStyle w:val="121"/>
              <w:jc w:val="center"/>
              <w:rPr>
                <w:rFonts w:ascii="Times New Roman" w:hAnsi="Times New Roman" w:cs="Times New Roman"/>
                <w:b/>
                <w:bCs/>
                <w:color w:val="auto"/>
                <w:kern w:val="2"/>
                <w:sz w:val="21"/>
                <w:szCs w:val="21"/>
              </w:rPr>
            </w:pPr>
            <w:r>
              <w:rPr>
                <w:rFonts w:ascii="Times New Roman" w:hAnsi="Times New Roman" w:cs="Times New Roman"/>
                <w:b/>
                <w:bCs/>
                <w:color w:val="auto"/>
                <w:kern w:val="2"/>
                <w:sz w:val="21"/>
                <w:szCs w:val="21"/>
              </w:rPr>
              <w:t>生态区</w:t>
            </w:r>
          </w:p>
        </w:tc>
        <w:tc>
          <w:tcPr>
            <w:tcW w:w="617" w:type="pct"/>
            <w:vAlign w:val="center"/>
          </w:tcPr>
          <w:p>
            <w:pPr>
              <w:pStyle w:val="121"/>
              <w:jc w:val="center"/>
              <w:rPr>
                <w:rFonts w:ascii="Times New Roman" w:hAnsi="Times New Roman" w:cs="Times New Roman"/>
                <w:b/>
                <w:bCs/>
                <w:color w:val="auto"/>
                <w:kern w:val="2"/>
                <w:sz w:val="21"/>
                <w:szCs w:val="21"/>
              </w:rPr>
            </w:pPr>
            <w:r>
              <w:rPr>
                <w:rFonts w:ascii="Times New Roman" w:hAnsi="Times New Roman" w:cs="Times New Roman"/>
                <w:b/>
                <w:bCs/>
                <w:color w:val="auto"/>
                <w:kern w:val="2"/>
                <w:sz w:val="21"/>
                <w:szCs w:val="21"/>
              </w:rPr>
              <w:t>生态亚区</w:t>
            </w:r>
          </w:p>
        </w:tc>
        <w:tc>
          <w:tcPr>
            <w:tcW w:w="653" w:type="pct"/>
            <w:vAlign w:val="center"/>
          </w:tcPr>
          <w:p>
            <w:pPr>
              <w:pStyle w:val="121"/>
              <w:jc w:val="center"/>
              <w:rPr>
                <w:rFonts w:ascii="Times New Roman" w:hAnsi="Times New Roman" w:cs="Times New Roman"/>
                <w:b/>
                <w:bCs/>
                <w:color w:val="auto"/>
                <w:kern w:val="2"/>
                <w:sz w:val="21"/>
                <w:szCs w:val="21"/>
              </w:rPr>
            </w:pPr>
            <w:r>
              <w:rPr>
                <w:rFonts w:ascii="Times New Roman" w:hAnsi="Times New Roman" w:cs="Times New Roman"/>
                <w:b/>
                <w:bCs/>
                <w:color w:val="auto"/>
                <w:kern w:val="2"/>
                <w:sz w:val="21"/>
                <w:szCs w:val="21"/>
              </w:rPr>
              <w:t>生态功能区</w:t>
            </w:r>
          </w:p>
        </w:tc>
        <w:tc>
          <w:tcPr>
            <w:tcW w:w="755" w:type="pct"/>
            <w:vAlign w:val="center"/>
          </w:tcPr>
          <w:p>
            <w:pPr>
              <w:pStyle w:val="121"/>
              <w:jc w:val="center"/>
              <w:rPr>
                <w:rFonts w:ascii="Times New Roman" w:hAnsi="Times New Roman" w:cs="Times New Roman"/>
                <w:b/>
                <w:bCs/>
                <w:color w:val="auto"/>
                <w:kern w:val="2"/>
                <w:sz w:val="21"/>
                <w:szCs w:val="21"/>
              </w:rPr>
            </w:pPr>
            <w:r>
              <w:rPr>
                <w:rFonts w:ascii="Times New Roman" w:hAnsi="Times New Roman" w:cs="Times New Roman"/>
                <w:b/>
                <w:bCs/>
                <w:color w:val="auto"/>
                <w:kern w:val="2"/>
                <w:sz w:val="21"/>
                <w:szCs w:val="21"/>
              </w:rPr>
              <w:t>主要环境问题</w:t>
            </w:r>
          </w:p>
        </w:tc>
        <w:tc>
          <w:tcPr>
            <w:tcW w:w="648" w:type="pct"/>
            <w:vAlign w:val="center"/>
          </w:tcPr>
          <w:p>
            <w:pPr>
              <w:pStyle w:val="121"/>
              <w:jc w:val="center"/>
              <w:rPr>
                <w:rFonts w:ascii="Times New Roman" w:hAnsi="Times New Roman" w:cs="Times New Roman"/>
                <w:b/>
                <w:bCs/>
                <w:color w:val="auto"/>
                <w:kern w:val="2"/>
                <w:sz w:val="21"/>
                <w:szCs w:val="21"/>
              </w:rPr>
            </w:pPr>
            <w:r>
              <w:rPr>
                <w:rFonts w:ascii="Times New Roman" w:hAnsi="Times New Roman" w:cs="Times New Roman"/>
                <w:b/>
                <w:bCs/>
                <w:color w:val="auto"/>
                <w:kern w:val="2"/>
                <w:sz w:val="21"/>
                <w:szCs w:val="21"/>
              </w:rPr>
              <w:t>服务功能</w:t>
            </w:r>
          </w:p>
        </w:tc>
        <w:tc>
          <w:tcPr>
            <w:tcW w:w="1841" w:type="pct"/>
            <w:vAlign w:val="center"/>
          </w:tcPr>
          <w:p>
            <w:pPr>
              <w:pStyle w:val="121"/>
              <w:jc w:val="center"/>
              <w:rPr>
                <w:rFonts w:ascii="Times New Roman" w:hAnsi="Times New Roman" w:cs="Times New Roman"/>
                <w:b/>
                <w:bCs/>
                <w:color w:val="auto"/>
                <w:kern w:val="2"/>
                <w:sz w:val="21"/>
                <w:szCs w:val="21"/>
              </w:rPr>
            </w:pPr>
            <w:r>
              <w:rPr>
                <w:rFonts w:ascii="Times New Roman" w:hAnsi="Times New Roman" w:cs="Times New Roman"/>
                <w:b/>
                <w:bCs/>
                <w:color w:val="auto"/>
                <w:kern w:val="2"/>
                <w:sz w:val="21"/>
                <w:szCs w:val="21"/>
              </w:rPr>
              <w:t>保护与发展</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1" w:hRule="atLeast"/>
          <w:jc w:val="center"/>
        </w:trPr>
        <w:tc>
          <w:tcPr>
            <w:tcW w:w="486" w:type="pct"/>
            <w:vAlign w:val="center"/>
          </w:tcPr>
          <w:p>
            <w:pPr>
              <w:pStyle w:val="121"/>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I四川盆地亚热带湿润气候生态区</w:t>
            </w:r>
          </w:p>
        </w:tc>
        <w:tc>
          <w:tcPr>
            <w:tcW w:w="617" w:type="pct"/>
            <w:vAlign w:val="center"/>
          </w:tcPr>
          <w:p>
            <w:pPr>
              <w:pStyle w:val="121"/>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I-3盆北秦巴山地常绿阔叶林-针阔混交林生态亚区</w:t>
            </w:r>
          </w:p>
        </w:tc>
        <w:tc>
          <w:tcPr>
            <w:tcW w:w="653" w:type="pct"/>
            <w:vAlign w:val="center"/>
          </w:tcPr>
          <w:p>
            <w:pPr>
              <w:pStyle w:val="121"/>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I-3-2大巴山水源涵养与土壤保持生态功能区</w:t>
            </w:r>
          </w:p>
        </w:tc>
        <w:tc>
          <w:tcPr>
            <w:tcW w:w="755" w:type="pct"/>
            <w:vAlign w:val="center"/>
          </w:tcPr>
          <w:p>
            <w:pPr>
              <w:pStyle w:val="121"/>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多洪灾，滑坡崩塌强烈发育，水土流失严重</w:t>
            </w:r>
          </w:p>
        </w:tc>
        <w:tc>
          <w:tcPr>
            <w:tcW w:w="648" w:type="pct"/>
            <w:vAlign w:val="center"/>
          </w:tcPr>
          <w:p>
            <w:pPr>
              <w:pStyle w:val="121"/>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水源涵养功能，土壤保持功能</w:t>
            </w:r>
          </w:p>
        </w:tc>
        <w:tc>
          <w:tcPr>
            <w:tcW w:w="1841" w:type="pct"/>
            <w:vAlign w:val="center"/>
          </w:tcPr>
          <w:p>
            <w:pPr>
              <w:pStyle w:val="121"/>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保护森林植被和生物多样性，巩固长江上游防护林建设、天然林保护和退耕还林成果。合理开发和利用自然资源，发展特色农业，绿色和有机农产品。拓展生态农业产业链，培育新的经济增长点。规范和严格管理矿产、水电、生物资源的开发，防止对生态环境和生态系统的不利影响</w:t>
            </w:r>
          </w:p>
        </w:tc>
      </w:tr>
    </w:tbl>
    <w:p>
      <w:pPr>
        <w:pStyle w:val="114"/>
        <w:ind w:firstLine="480"/>
      </w:pPr>
      <w:r>
        <w:t>本项目位于四川盆地亚热带湿润气候生态区，属于大巴山水源涵养与土壤保持生态功能区（I-3-2），该生态功能区的主导功能是水源涵养功能，土壤保持功能。面临的主要环境问题是多洪灾，滑坡崩塌强烈发育，水土流失严重。</w:t>
      </w:r>
    </w:p>
    <w:p>
      <w:pPr>
        <w:pStyle w:val="4"/>
        <w:rPr>
          <w:rFonts w:eastAsia="宋体"/>
        </w:rPr>
      </w:pPr>
      <w:r>
        <w:rPr>
          <w:rFonts w:eastAsia="宋体"/>
        </w:rPr>
        <w:t>5.2.2生态环境现状调查方法</w:t>
      </w:r>
    </w:p>
    <w:p>
      <w:pPr>
        <w:spacing w:line="480" w:lineRule="exact"/>
        <w:ind w:firstLine="472" w:firstLineChars="196"/>
        <w:rPr>
          <w:rFonts w:ascii="Times New Roman" w:cs="Times New Roman"/>
          <w:b/>
          <w:bCs/>
        </w:rPr>
      </w:pPr>
      <w:r>
        <w:rPr>
          <w:rFonts w:ascii="Times New Roman" w:cs="Times New Roman"/>
          <w:b/>
          <w:bCs/>
        </w:rPr>
        <w:t>1、基础资料收集</w:t>
      </w:r>
    </w:p>
    <w:p>
      <w:pPr>
        <w:pStyle w:val="471"/>
        <w:spacing w:line="480" w:lineRule="exact"/>
        <w:ind w:left="0" w:firstLine="480" w:firstLineChars="200"/>
        <w:rPr>
          <w:rFonts w:ascii="Times New Roman" w:hAnsi="Times New Roman" w:eastAsia="宋体"/>
          <w:sz w:val="24"/>
          <w:szCs w:val="24"/>
        </w:rPr>
      </w:pPr>
      <w:r>
        <w:rPr>
          <w:rFonts w:ascii="Times New Roman" w:hAnsi="Times New Roman" w:eastAsia="宋体"/>
          <w:sz w:val="24"/>
          <w:szCs w:val="24"/>
        </w:rPr>
        <w:t>收集整理项目涉及区域现有生物资料，包括市志、统计年鉴以及林业、环保、水利、农业、国土资源等部门提供的相关资料，并且参考《中国植物志</w:t>
      </w:r>
      <w:r>
        <w:rPr>
          <w:rFonts w:hint="eastAsia" w:ascii="Times New Roman" w:hAnsi="Times New Roman" w:eastAsia="宋体"/>
          <w:sz w:val="24"/>
          <w:szCs w:val="24"/>
          <w:lang w:eastAsia="zh-CN"/>
        </w:rPr>
        <w:t>》《</w:t>
      </w:r>
      <w:r>
        <w:rPr>
          <w:rFonts w:ascii="Times New Roman" w:hAnsi="Times New Roman" w:eastAsia="宋体"/>
          <w:sz w:val="24"/>
          <w:szCs w:val="24"/>
        </w:rPr>
        <w:t>中国高等植物图鉴</w:t>
      </w:r>
      <w:r>
        <w:rPr>
          <w:rFonts w:hint="eastAsia" w:ascii="Times New Roman" w:hAnsi="Times New Roman" w:eastAsia="宋体"/>
          <w:sz w:val="24"/>
          <w:szCs w:val="24"/>
          <w:lang w:eastAsia="zh-CN"/>
        </w:rPr>
        <w:t>》《</w:t>
      </w:r>
      <w:r>
        <w:rPr>
          <w:rFonts w:ascii="Times New Roman" w:hAnsi="Times New Roman" w:eastAsia="宋体"/>
          <w:sz w:val="24"/>
          <w:szCs w:val="24"/>
        </w:rPr>
        <w:t>四川植物志》和《四川资源动物志》系列等专著。</w:t>
      </w:r>
    </w:p>
    <w:p>
      <w:pPr>
        <w:spacing w:line="480" w:lineRule="exact"/>
        <w:ind w:firstLine="472" w:firstLineChars="196"/>
        <w:rPr>
          <w:rFonts w:ascii="Times New Roman" w:cs="Times New Roman"/>
          <w:b/>
          <w:bCs/>
        </w:rPr>
      </w:pPr>
      <w:r>
        <w:rPr>
          <w:rFonts w:ascii="Times New Roman" w:cs="Times New Roman"/>
          <w:b/>
          <w:bCs/>
        </w:rPr>
        <w:t>2、生物资源调查方法</w:t>
      </w:r>
    </w:p>
    <w:p>
      <w:pPr>
        <w:spacing w:line="480" w:lineRule="exact"/>
        <w:ind w:firstLine="472" w:firstLineChars="196"/>
        <w:rPr>
          <w:rFonts w:ascii="Times New Roman" w:cs="Times New Roman"/>
          <w:b/>
          <w:bCs/>
        </w:rPr>
      </w:pPr>
      <w:r>
        <w:rPr>
          <w:rFonts w:ascii="Times New Roman" w:cs="Times New Roman"/>
          <w:b/>
          <w:bCs/>
        </w:rPr>
        <w:t>（1）野外生态信息数据的采集与处理</w:t>
      </w:r>
    </w:p>
    <w:p>
      <w:pPr>
        <w:pStyle w:val="471"/>
        <w:spacing w:line="480" w:lineRule="exact"/>
        <w:ind w:left="0" w:firstLine="480" w:firstLineChars="200"/>
        <w:rPr>
          <w:rFonts w:ascii="Times New Roman" w:hAnsi="Times New Roman" w:eastAsia="宋体"/>
          <w:sz w:val="24"/>
          <w:szCs w:val="24"/>
        </w:rPr>
      </w:pPr>
      <w:r>
        <w:rPr>
          <w:rFonts w:ascii="Times New Roman" w:hAnsi="Times New Roman" w:eastAsia="宋体"/>
          <w:sz w:val="24"/>
        </w:rPr>
        <w:t>野外生态信息数据的采集主要借助HOLUX M-241蓝牙GPS记录器获取及尼康单反数码相机。HOLUX M-241蓝牙GPS纪录器可以记录高达13万个位置，每个位置都含有经度、纬度、时间和高度资料；野外生态考察中开机让记</w:t>
      </w:r>
      <w:r>
        <w:rPr>
          <w:rFonts w:ascii="Times New Roman" w:hAnsi="Times New Roman" w:eastAsia="宋体"/>
          <w:sz w:val="24"/>
          <w:szCs w:val="24"/>
        </w:rPr>
        <w:t>录器始终处于运行状态，每5秒自动存储一个GPS点位，以保证野外考察中生态信息采集的完整性，同时于不同生态系统及重要生态考察点上采集照片。</w:t>
      </w:r>
    </w:p>
    <w:p>
      <w:pPr>
        <w:pStyle w:val="471"/>
        <w:spacing w:line="480" w:lineRule="exact"/>
        <w:ind w:left="0" w:firstLine="480" w:firstLineChars="200"/>
        <w:rPr>
          <w:rFonts w:ascii="Times New Roman" w:hAnsi="Times New Roman" w:eastAsia="宋体"/>
          <w:sz w:val="24"/>
          <w:szCs w:val="24"/>
        </w:rPr>
      </w:pPr>
      <w:r>
        <w:rPr>
          <w:rFonts w:ascii="Times New Roman" w:hAnsi="Times New Roman" w:eastAsia="宋体"/>
          <w:sz w:val="24"/>
          <w:szCs w:val="24"/>
        </w:rPr>
        <w:t>将野外采集的GPS轨迹及照片导入电脑，运用GPicSync软件将航迹文件中各个记录点的时间信息与照片中exif信息中的时间信息进行匹配，当某个记录点的时间与某张照片中的时间匹配时（匹配的精度可以任意设置，软件默认300秒），即认为航迹文件中这个点的坐标即为照片拍摄地点的坐标，并将这个坐标写入照片的exif信息中并形成kml格式文件。最后可在ArcGIS及Google earth中调取相应生态考察点照片并结合卫片判读考察点生态现状，同时也为土地利用、水土流失、植被类型等生态图件的编绘提供依据并校正相应图件。</w:t>
      </w:r>
    </w:p>
    <w:p>
      <w:pPr>
        <w:pStyle w:val="471"/>
        <w:spacing w:line="480" w:lineRule="exact"/>
        <w:ind w:left="0" w:firstLine="472" w:firstLineChars="196"/>
        <w:rPr>
          <w:rFonts w:ascii="Times New Roman" w:hAnsi="Times New Roman" w:eastAsia="宋体"/>
          <w:b/>
          <w:bCs/>
          <w:sz w:val="24"/>
          <w:szCs w:val="24"/>
        </w:rPr>
      </w:pPr>
      <w:r>
        <w:rPr>
          <w:rFonts w:ascii="Times New Roman" w:hAnsi="Times New Roman" w:eastAsia="宋体"/>
          <w:b/>
          <w:bCs/>
          <w:sz w:val="24"/>
          <w:szCs w:val="24"/>
        </w:rPr>
        <w:t>（2）GPS地面类型及植被调查取样</w:t>
      </w:r>
    </w:p>
    <w:p>
      <w:pPr>
        <w:pStyle w:val="471"/>
        <w:spacing w:line="480" w:lineRule="exact"/>
        <w:ind w:left="0" w:firstLine="480" w:firstLineChars="200"/>
        <w:rPr>
          <w:rFonts w:ascii="Times New Roman" w:hAnsi="Times New Roman" w:eastAsia="宋体"/>
          <w:sz w:val="24"/>
          <w:szCs w:val="24"/>
        </w:rPr>
      </w:pPr>
      <w:r>
        <w:rPr>
          <w:rFonts w:ascii="Times New Roman" w:hAnsi="Times New Roman" w:eastAsia="宋体"/>
          <w:sz w:val="24"/>
          <w:szCs w:val="24"/>
        </w:rPr>
        <w:t>GPS样点是卫星遥感影像判读各种景观类型的基础，根据室内判读的植被与土地利用类型图，现场核实判读的正误率，并对每个GPS取样点作如下记录：</w:t>
      </w:r>
    </w:p>
    <w:p>
      <w:pPr>
        <w:pStyle w:val="471"/>
        <w:spacing w:line="480" w:lineRule="exact"/>
        <w:ind w:left="0" w:firstLine="480" w:firstLineChars="200"/>
        <w:rPr>
          <w:rFonts w:ascii="Times New Roman" w:hAnsi="Times New Roman" w:eastAsia="宋体"/>
          <w:sz w:val="24"/>
          <w:szCs w:val="24"/>
        </w:rPr>
      </w:pPr>
      <w:r>
        <w:rPr>
          <w:rFonts w:ascii="Times New Roman" w:hAnsi="Times New Roman" w:eastAsia="宋体"/>
          <w:sz w:val="24"/>
          <w:szCs w:val="24"/>
        </w:rPr>
        <w:t>1）GPS读出测点的海拔值和经纬度；</w:t>
      </w:r>
    </w:p>
    <w:p>
      <w:pPr>
        <w:pStyle w:val="471"/>
        <w:spacing w:line="480" w:lineRule="exact"/>
        <w:ind w:left="0" w:firstLine="480" w:firstLineChars="200"/>
        <w:rPr>
          <w:rFonts w:ascii="Times New Roman" w:hAnsi="Times New Roman" w:eastAsia="宋体"/>
          <w:sz w:val="24"/>
          <w:szCs w:val="24"/>
        </w:rPr>
      </w:pPr>
      <w:r>
        <w:rPr>
          <w:rFonts w:ascii="Times New Roman" w:hAnsi="Times New Roman" w:eastAsia="宋体"/>
          <w:sz w:val="24"/>
          <w:szCs w:val="24"/>
        </w:rPr>
        <w:t>2）记录样点植被类型，以群系或群丛为单位，同时记录样点坡向、坡度；</w:t>
      </w:r>
    </w:p>
    <w:p>
      <w:pPr>
        <w:pStyle w:val="471"/>
        <w:spacing w:line="480" w:lineRule="exact"/>
        <w:ind w:left="0" w:firstLine="480" w:firstLineChars="200"/>
        <w:rPr>
          <w:rFonts w:ascii="Times New Roman" w:hAnsi="Times New Roman" w:eastAsia="宋体"/>
          <w:sz w:val="24"/>
          <w:szCs w:val="24"/>
        </w:rPr>
      </w:pPr>
      <w:r>
        <w:rPr>
          <w:rFonts w:ascii="Times New Roman" w:hAnsi="Times New Roman" w:eastAsia="宋体"/>
          <w:sz w:val="24"/>
          <w:szCs w:val="24"/>
        </w:rPr>
        <w:t>3）记录样点优势植物以及观察动物活动的情况；</w:t>
      </w:r>
    </w:p>
    <w:p>
      <w:pPr>
        <w:pStyle w:val="471"/>
        <w:spacing w:line="480" w:lineRule="exact"/>
        <w:ind w:left="0" w:firstLine="480" w:firstLineChars="200"/>
        <w:rPr>
          <w:rFonts w:ascii="Times New Roman" w:hAnsi="Times New Roman" w:eastAsia="宋体"/>
          <w:sz w:val="24"/>
          <w:szCs w:val="24"/>
        </w:rPr>
      </w:pPr>
      <w:r>
        <w:rPr>
          <w:rFonts w:ascii="Times New Roman" w:hAnsi="Times New Roman" w:eastAsia="宋体"/>
          <w:sz w:val="24"/>
          <w:szCs w:val="24"/>
        </w:rPr>
        <w:t>4）拍摄典型植被外貌与结构特征。</w:t>
      </w:r>
    </w:p>
    <w:p>
      <w:pPr>
        <w:pStyle w:val="471"/>
        <w:spacing w:line="480" w:lineRule="exact"/>
        <w:ind w:left="0" w:firstLine="472" w:firstLineChars="196"/>
        <w:rPr>
          <w:rFonts w:ascii="Times New Roman" w:hAnsi="Times New Roman" w:eastAsia="宋体"/>
          <w:b/>
          <w:bCs/>
          <w:sz w:val="24"/>
          <w:szCs w:val="24"/>
        </w:rPr>
      </w:pPr>
      <w:r>
        <w:rPr>
          <w:rFonts w:ascii="Times New Roman" w:hAnsi="Times New Roman" w:eastAsia="宋体"/>
          <w:b/>
          <w:bCs/>
          <w:sz w:val="24"/>
          <w:szCs w:val="24"/>
        </w:rPr>
        <w:t>（3）陆生植被调查</w:t>
      </w:r>
    </w:p>
    <w:p>
      <w:pPr>
        <w:pStyle w:val="471"/>
        <w:spacing w:line="480" w:lineRule="exact"/>
        <w:ind w:left="0" w:firstLine="480" w:firstLineChars="200"/>
        <w:rPr>
          <w:rFonts w:ascii="Times New Roman" w:hAnsi="Times New Roman" w:eastAsia="宋体"/>
          <w:sz w:val="24"/>
          <w:szCs w:val="24"/>
        </w:rPr>
      </w:pPr>
      <w:r>
        <w:rPr>
          <w:rFonts w:ascii="Times New Roman" w:hAnsi="Times New Roman" w:eastAsia="宋体"/>
          <w:sz w:val="24"/>
          <w:szCs w:val="24"/>
        </w:rPr>
        <w:t>在调查过程中，确定评价范围内的植物种类及资源状况、经济植物种类及资源状况、珍稀濒危植物的种类及生存状况等。实地调查采取路线调查与重点调查相结合的方法，对于没有原生植被的区域采取路线调查，在项目占地范围以及植被状况良好的区域实行重点调查；重点调查采取样方调查方法，记录评价范围内的常见植物种类，同时记录坡向、坡度、土壤、岩石类型等环境特征，拍摄典型植被外貌与结构特征；对保护植物、古树名木调查采取现场调查和民间查访相结合的方法进行；对有疑问的植物和珍稀濒危植物采集凭证标本并拍摄照片。</w:t>
      </w:r>
    </w:p>
    <w:p>
      <w:pPr>
        <w:pStyle w:val="471"/>
        <w:spacing w:line="480" w:lineRule="exact"/>
        <w:ind w:left="0" w:firstLine="480" w:firstLineChars="200"/>
        <w:rPr>
          <w:rFonts w:ascii="Times New Roman" w:hAnsi="Times New Roman" w:eastAsia="宋体"/>
          <w:sz w:val="24"/>
          <w:szCs w:val="24"/>
        </w:rPr>
      </w:pPr>
      <w:r>
        <w:rPr>
          <w:rFonts w:ascii="Times New Roman" w:hAnsi="Times New Roman" w:eastAsia="宋体"/>
          <w:sz w:val="24"/>
          <w:szCs w:val="24"/>
        </w:rPr>
        <w:t>样方布点原则：</w:t>
      </w:r>
    </w:p>
    <w:p>
      <w:pPr>
        <w:pStyle w:val="471"/>
        <w:spacing w:line="480" w:lineRule="exact"/>
        <w:ind w:left="0" w:firstLine="480" w:firstLineChars="200"/>
        <w:rPr>
          <w:rFonts w:ascii="Times New Roman" w:hAnsi="Times New Roman" w:eastAsia="宋体"/>
          <w:sz w:val="24"/>
          <w:szCs w:val="24"/>
        </w:rPr>
      </w:pPr>
      <w:r>
        <w:rPr>
          <w:rFonts w:ascii="Times New Roman" w:hAnsi="Times New Roman" w:eastAsia="宋体"/>
          <w:sz w:val="24"/>
          <w:szCs w:val="24"/>
        </w:rPr>
        <w:t>植被调查取样的目的是要通过样地的研究准确地推测评价范围植被的总体情况，所选取的样地要具有代表性，能通过尽可能少的抽样获得较为准确的评价范围内植被总体的特征。按照如下原则：</w:t>
      </w:r>
      <w:r>
        <w:rPr>
          <w:rFonts w:ascii="Times New Roman" w:hAnsi="Times New Roman" w:eastAsia="宋体"/>
          <w:sz w:val="24"/>
          <w:szCs w:val="24"/>
        </w:rPr>
        <w:fldChar w:fldCharType="begin"/>
      </w:r>
      <w:r>
        <w:rPr>
          <w:rFonts w:ascii="Times New Roman" w:hAnsi="Times New Roman" w:eastAsia="宋体"/>
          <w:sz w:val="24"/>
          <w:szCs w:val="24"/>
        </w:rPr>
        <w:instrText xml:space="preserve"> = 1 \* GB3 </w:instrText>
      </w:r>
      <w:r>
        <w:rPr>
          <w:rFonts w:ascii="Times New Roman" w:hAnsi="Times New Roman" w:eastAsia="宋体"/>
          <w:sz w:val="24"/>
          <w:szCs w:val="24"/>
        </w:rPr>
        <w:fldChar w:fldCharType="separate"/>
      </w:r>
      <w:r>
        <w:rPr>
          <w:rFonts w:ascii="Times New Roman" w:hAnsi="Times New Roman" w:eastAsia="宋体"/>
          <w:sz w:val="24"/>
          <w:szCs w:val="24"/>
          <w:lang w:val="zh-CN"/>
        </w:rPr>
        <w:t>①</w:t>
      </w:r>
      <w:r>
        <w:rPr>
          <w:rFonts w:ascii="Times New Roman" w:hAnsi="Times New Roman" w:eastAsia="宋体"/>
          <w:sz w:val="24"/>
          <w:szCs w:val="24"/>
        </w:rPr>
        <w:fldChar w:fldCharType="end"/>
      </w:r>
      <w:r>
        <w:rPr>
          <w:rFonts w:ascii="Times New Roman" w:hAnsi="Times New Roman" w:eastAsia="宋体"/>
          <w:sz w:val="24"/>
          <w:szCs w:val="24"/>
        </w:rPr>
        <w:t>尽量在对生态影响较大区域内设置样地，并考虑评价范围内布点的均匀性、不同植被类型的全面性等特点；②样方设置避免对同一种植被类型进行重复设点，特别是对植物变化较大的地段进行增加设点。</w:t>
      </w:r>
    </w:p>
    <w:p>
      <w:pPr>
        <w:pStyle w:val="471"/>
        <w:spacing w:line="480" w:lineRule="exact"/>
        <w:ind w:left="0" w:firstLine="480" w:firstLineChars="200"/>
        <w:rPr>
          <w:rFonts w:ascii="Times New Roman" w:hAnsi="Times New Roman" w:eastAsia="宋体"/>
          <w:sz w:val="24"/>
          <w:szCs w:val="24"/>
        </w:rPr>
      </w:pPr>
      <w:r>
        <w:rPr>
          <w:rFonts w:ascii="Times New Roman" w:hAnsi="Times New Roman" w:eastAsia="宋体"/>
          <w:sz w:val="24"/>
          <w:szCs w:val="24"/>
        </w:rPr>
        <w:t>样方调查方法：</w:t>
      </w:r>
    </w:p>
    <w:p>
      <w:pPr>
        <w:pStyle w:val="471"/>
        <w:spacing w:line="480" w:lineRule="exact"/>
        <w:ind w:left="0" w:firstLine="480" w:firstLineChars="200"/>
        <w:rPr>
          <w:rFonts w:ascii="Times New Roman" w:hAnsi="Times New Roman" w:eastAsia="宋体"/>
          <w:sz w:val="24"/>
          <w:szCs w:val="24"/>
        </w:rPr>
      </w:pPr>
      <w:r>
        <w:rPr>
          <w:rFonts w:ascii="Times New Roman" w:hAnsi="Times New Roman" w:eastAsia="宋体"/>
          <w:sz w:val="24"/>
          <w:szCs w:val="24"/>
        </w:rPr>
        <w:t>根据</w:t>
      </w:r>
      <w:r>
        <w:rPr>
          <w:rFonts w:hint="eastAsia" w:ascii="Times New Roman" w:hAnsi="Times New Roman" w:eastAsia="宋体"/>
          <w:sz w:val="24"/>
          <w:szCs w:val="24"/>
        </w:rPr>
        <w:t>项目周边区域</w:t>
      </w:r>
      <w:r>
        <w:rPr>
          <w:rFonts w:ascii="Times New Roman" w:hAnsi="Times New Roman" w:eastAsia="宋体"/>
          <w:sz w:val="24"/>
          <w:szCs w:val="24"/>
        </w:rPr>
        <w:t>内不同植被类型设置调查样地，并对典型样地进行拍照，对评价范围植被类型、农业生态环境、野生动植物资源进行较为详细的勘察。</w:t>
      </w:r>
    </w:p>
    <w:p>
      <w:pPr>
        <w:pStyle w:val="114"/>
        <w:ind w:firstLine="480"/>
      </w:pPr>
      <w:r>
        <w:rPr>
          <w:szCs w:val="24"/>
          <w:lang w:val="zh-CN"/>
        </w:rPr>
        <w:t>乔木林样地面积为</w:t>
      </w:r>
      <w:r>
        <w:rPr>
          <w:szCs w:val="24"/>
        </w:rPr>
        <w:t>20</w:t>
      </w:r>
      <w:r>
        <w:rPr>
          <w:szCs w:val="24"/>
          <w:lang w:val="zh-CN"/>
        </w:rPr>
        <w:t>×</w:t>
      </w:r>
      <w:r>
        <w:rPr>
          <w:szCs w:val="24"/>
        </w:rPr>
        <w:t>20</w:t>
      </w:r>
      <w:r>
        <w:rPr>
          <w:szCs w:val="24"/>
          <w:lang w:val="zh-CN"/>
        </w:rPr>
        <w:t>m，灌</w:t>
      </w:r>
      <w:r>
        <w:rPr>
          <w:szCs w:val="24"/>
        </w:rPr>
        <w:t>草</w:t>
      </w:r>
      <w:r>
        <w:rPr>
          <w:szCs w:val="24"/>
          <w:lang w:val="zh-CN"/>
        </w:rPr>
        <w:t>丛样地为</w:t>
      </w:r>
      <w:r>
        <w:rPr>
          <w:szCs w:val="24"/>
        </w:rPr>
        <w:t>5</w:t>
      </w:r>
      <w:r>
        <w:rPr>
          <w:szCs w:val="24"/>
          <w:lang w:val="zh-CN"/>
        </w:rPr>
        <w:t>×</w:t>
      </w:r>
      <w:r>
        <w:rPr>
          <w:szCs w:val="24"/>
        </w:rPr>
        <w:t>5</w:t>
      </w:r>
      <w:r>
        <w:rPr>
          <w:szCs w:val="24"/>
          <w:lang w:val="zh-CN"/>
        </w:rPr>
        <w:t>m，</w:t>
      </w:r>
      <w:r>
        <w:rPr>
          <w:spacing w:val="-4"/>
          <w:szCs w:val="24"/>
        </w:rPr>
        <w:t>草丛样方设置为1×1m，</w:t>
      </w:r>
      <w:r>
        <w:rPr>
          <w:szCs w:val="24"/>
          <w:lang w:val="zh-CN"/>
        </w:rPr>
        <w:t>根据实际情况可以略有改变。乔木林</w:t>
      </w:r>
      <w:r>
        <w:rPr>
          <w:szCs w:val="24"/>
        </w:rPr>
        <w:t>对乔木层进行全面调查，再设置小样方调查灌木层和草本层；灌草丛和草丛对样地内植物进行全面调查。本次调查共设置样地9个，涵盖乔灌草多种地类，布点情况</w:t>
      </w:r>
      <w:r>
        <w:rPr>
          <w:szCs w:val="24"/>
          <w:lang w:val="zh-CN"/>
        </w:rPr>
        <w:t>详见表</w:t>
      </w:r>
      <w:r>
        <w:rPr>
          <w:szCs w:val="24"/>
        </w:rPr>
        <w:t>5.2-2</w:t>
      </w:r>
      <w:r>
        <w:rPr>
          <w:szCs w:val="24"/>
          <w:lang w:val="zh-CN"/>
        </w:rPr>
        <w:t>。</w:t>
      </w:r>
    </w:p>
    <w:p>
      <w:pPr>
        <w:topLinePunct w:val="0"/>
        <w:autoSpaceDE w:val="0"/>
        <w:autoSpaceDN w:val="0"/>
        <w:spacing w:before="156" w:beforeLines="50" w:line="240" w:lineRule="auto"/>
        <w:ind w:firstLine="0" w:firstLineChars="0"/>
        <w:jc w:val="center"/>
        <w:rPr>
          <w:rFonts w:ascii="Times New Roman" w:cs="Times New Roman"/>
          <w:b/>
          <w:sz w:val="21"/>
        </w:rPr>
      </w:pPr>
      <w:r>
        <w:rPr>
          <w:rFonts w:ascii="Times New Roman" w:cs="Times New Roman"/>
          <w:b/>
          <w:sz w:val="21"/>
        </w:rPr>
        <w:t>表5.2-2 项目评价范围内植被群系样方调查点分布情况</w:t>
      </w:r>
    </w:p>
    <w:tbl>
      <w:tblPr>
        <w:tblStyle w:val="579"/>
        <w:tblW w:w="4849"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816"/>
        <w:gridCol w:w="1118"/>
        <w:gridCol w:w="2173"/>
        <w:gridCol w:w="1481"/>
        <w:gridCol w:w="959"/>
        <w:gridCol w:w="1976"/>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81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序号</w:t>
            </w:r>
          </w:p>
        </w:tc>
        <w:tc>
          <w:tcPr>
            <w:tcW w:w="111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样方面积</w:t>
            </w:r>
          </w:p>
        </w:tc>
        <w:tc>
          <w:tcPr>
            <w:tcW w:w="2173"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经纬度</w:t>
            </w:r>
          </w:p>
        </w:tc>
        <w:tc>
          <w:tcPr>
            <w:tcW w:w="148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群落名称</w:t>
            </w:r>
          </w:p>
        </w:tc>
        <w:tc>
          <w:tcPr>
            <w:tcW w:w="959"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关键种、建群种</w:t>
            </w:r>
          </w:p>
        </w:tc>
        <w:tc>
          <w:tcPr>
            <w:tcW w:w="1976"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优势种</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81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样地1</w:t>
            </w:r>
          </w:p>
        </w:tc>
        <w:tc>
          <w:tcPr>
            <w:tcW w:w="111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20m×20m</w:t>
            </w:r>
          </w:p>
        </w:tc>
        <w:tc>
          <w:tcPr>
            <w:tcW w:w="2173"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148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马尾松</w:t>
            </w:r>
            <w:r>
              <w:rPr>
                <w:rFonts w:hint="eastAsia" w:ascii="Times New Roman" w:cs="Times New Roman"/>
                <w:kern w:val="2"/>
                <w:sz w:val="21"/>
                <w:szCs w:val="21"/>
              </w:rPr>
              <w:t>、柏木混交</w:t>
            </w:r>
            <w:r>
              <w:rPr>
                <w:rFonts w:ascii="Times New Roman" w:cs="Times New Roman"/>
                <w:kern w:val="2"/>
                <w:sz w:val="21"/>
                <w:szCs w:val="21"/>
              </w:rPr>
              <w:t>群落</w:t>
            </w:r>
          </w:p>
        </w:tc>
        <w:tc>
          <w:tcPr>
            <w:tcW w:w="959"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马尾松</w:t>
            </w:r>
          </w:p>
        </w:tc>
        <w:tc>
          <w:tcPr>
            <w:tcW w:w="1976"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马尾松</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81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样地2</w:t>
            </w:r>
          </w:p>
        </w:tc>
        <w:tc>
          <w:tcPr>
            <w:tcW w:w="111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20m×20m</w:t>
            </w:r>
          </w:p>
        </w:tc>
        <w:tc>
          <w:tcPr>
            <w:tcW w:w="2173"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148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柏木</w:t>
            </w:r>
            <w:r>
              <w:rPr>
                <w:rFonts w:hint="eastAsia" w:ascii="Times New Roman" w:cs="Times New Roman"/>
                <w:kern w:val="2"/>
                <w:sz w:val="21"/>
                <w:szCs w:val="21"/>
              </w:rPr>
              <w:t>、青冈混交林</w:t>
            </w:r>
            <w:r>
              <w:rPr>
                <w:rFonts w:ascii="Times New Roman" w:cs="Times New Roman"/>
                <w:kern w:val="2"/>
                <w:sz w:val="21"/>
                <w:szCs w:val="21"/>
              </w:rPr>
              <w:t>群落</w:t>
            </w:r>
          </w:p>
        </w:tc>
        <w:tc>
          <w:tcPr>
            <w:tcW w:w="959"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柏木</w:t>
            </w:r>
          </w:p>
        </w:tc>
        <w:tc>
          <w:tcPr>
            <w:tcW w:w="1976"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柏木</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81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样地3</w:t>
            </w:r>
          </w:p>
        </w:tc>
        <w:tc>
          <w:tcPr>
            <w:tcW w:w="111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20m×20m</w:t>
            </w:r>
          </w:p>
        </w:tc>
        <w:tc>
          <w:tcPr>
            <w:tcW w:w="2173"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148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麻栎、青冈</w:t>
            </w:r>
            <w:r>
              <w:rPr>
                <w:rFonts w:hint="eastAsia" w:ascii="Times New Roman" w:cs="Times New Roman"/>
                <w:kern w:val="2"/>
                <w:sz w:val="21"/>
                <w:szCs w:val="21"/>
              </w:rPr>
              <w:t>混交林</w:t>
            </w:r>
            <w:r>
              <w:rPr>
                <w:rFonts w:ascii="Times New Roman" w:cs="Times New Roman"/>
                <w:kern w:val="2"/>
                <w:sz w:val="21"/>
                <w:szCs w:val="21"/>
              </w:rPr>
              <w:t>群落</w:t>
            </w:r>
          </w:p>
        </w:tc>
        <w:tc>
          <w:tcPr>
            <w:tcW w:w="959"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麻栎</w:t>
            </w:r>
          </w:p>
        </w:tc>
        <w:tc>
          <w:tcPr>
            <w:tcW w:w="1976"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麻栎、青冈、青冈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81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样地4</w:t>
            </w:r>
          </w:p>
        </w:tc>
        <w:tc>
          <w:tcPr>
            <w:tcW w:w="111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20m×20m</w:t>
            </w:r>
          </w:p>
        </w:tc>
        <w:tc>
          <w:tcPr>
            <w:tcW w:w="2173"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148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麻栎、柏木混交林群落</w:t>
            </w:r>
          </w:p>
        </w:tc>
        <w:tc>
          <w:tcPr>
            <w:tcW w:w="959"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麻栎</w:t>
            </w:r>
          </w:p>
        </w:tc>
        <w:tc>
          <w:tcPr>
            <w:tcW w:w="1976"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麻栎、柏木、杉木</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81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样地5</w:t>
            </w:r>
          </w:p>
        </w:tc>
        <w:tc>
          <w:tcPr>
            <w:tcW w:w="111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w:t>
            </w:r>
            <w:r>
              <w:rPr>
                <w:rFonts w:ascii="Times New Roman" w:cs="Times New Roman"/>
                <w:kern w:val="2"/>
                <w:sz w:val="21"/>
                <w:szCs w:val="21"/>
                <w:lang w:val="zh-CN"/>
              </w:rPr>
              <w:t>×</w:t>
            </w:r>
            <w:r>
              <w:rPr>
                <w:rFonts w:ascii="Times New Roman" w:cs="Times New Roman"/>
                <w:kern w:val="2"/>
                <w:sz w:val="21"/>
                <w:szCs w:val="21"/>
              </w:rPr>
              <w:t>5</w:t>
            </w:r>
            <w:r>
              <w:rPr>
                <w:rFonts w:ascii="Times New Roman" w:cs="Times New Roman"/>
                <w:kern w:val="2"/>
                <w:sz w:val="21"/>
                <w:szCs w:val="21"/>
                <w:lang w:val="zh-CN"/>
              </w:rPr>
              <w:t>m</w:t>
            </w:r>
          </w:p>
        </w:tc>
        <w:tc>
          <w:tcPr>
            <w:tcW w:w="2173"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148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槲栎灌丛群落</w:t>
            </w:r>
          </w:p>
        </w:tc>
        <w:tc>
          <w:tcPr>
            <w:tcW w:w="959"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槲栎</w:t>
            </w:r>
          </w:p>
        </w:tc>
        <w:tc>
          <w:tcPr>
            <w:tcW w:w="1976"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槲栎、毛黄栌</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81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样地6</w:t>
            </w:r>
          </w:p>
        </w:tc>
        <w:tc>
          <w:tcPr>
            <w:tcW w:w="111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w:t>
            </w:r>
            <w:r>
              <w:rPr>
                <w:rFonts w:ascii="Times New Roman" w:cs="Times New Roman"/>
                <w:kern w:val="2"/>
                <w:sz w:val="21"/>
                <w:szCs w:val="21"/>
                <w:lang w:val="zh-CN"/>
              </w:rPr>
              <w:t>×</w:t>
            </w:r>
            <w:r>
              <w:rPr>
                <w:rFonts w:ascii="Times New Roman" w:cs="Times New Roman"/>
                <w:kern w:val="2"/>
                <w:sz w:val="21"/>
                <w:szCs w:val="21"/>
              </w:rPr>
              <w:t>5</w:t>
            </w:r>
            <w:r>
              <w:rPr>
                <w:rFonts w:ascii="Times New Roman" w:cs="Times New Roman"/>
                <w:kern w:val="2"/>
                <w:sz w:val="21"/>
                <w:szCs w:val="21"/>
                <w:lang w:val="zh-CN"/>
              </w:rPr>
              <w:t>m</w:t>
            </w:r>
          </w:p>
        </w:tc>
        <w:tc>
          <w:tcPr>
            <w:tcW w:w="2173"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148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火棘灌丛群落</w:t>
            </w:r>
          </w:p>
        </w:tc>
        <w:tc>
          <w:tcPr>
            <w:tcW w:w="959"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火棘</w:t>
            </w:r>
          </w:p>
        </w:tc>
        <w:tc>
          <w:tcPr>
            <w:tcW w:w="1976"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火棘、小果蔷薇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81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样地7</w:t>
            </w:r>
          </w:p>
        </w:tc>
        <w:tc>
          <w:tcPr>
            <w:tcW w:w="111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w:t>
            </w:r>
            <w:r>
              <w:rPr>
                <w:rFonts w:ascii="Times New Roman" w:cs="Times New Roman"/>
                <w:kern w:val="2"/>
                <w:sz w:val="21"/>
                <w:szCs w:val="21"/>
                <w:lang w:val="zh-CN"/>
              </w:rPr>
              <w:t>×</w:t>
            </w:r>
            <w:r>
              <w:rPr>
                <w:rFonts w:ascii="Times New Roman" w:cs="Times New Roman"/>
                <w:kern w:val="2"/>
                <w:sz w:val="21"/>
                <w:szCs w:val="21"/>
              </w:rPr>
              <w:t>5</w:t>
            </w:r>
            <w:r>
              <w:rPr>
                <w:rFonts w:ascii="Times New Roman" w:cs="Times New Roman"/>
                <w:kern w:val="2"/>
                <w:sz w:val="21"/>
                <w:szCs w:val="21"/>
                <w:lang w:val="zh-CN"/>
              </w:rPr>
              <w:t>m</w:t>
            </w:r>
          </w:p>
        </w:tc>
        <w:tc>
          <w:tcPr>
            <w:tcW w:w="2173"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148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马桑、黄荆、火棘群落</w:t>
            </w:r>
          </w:p>
        </w:tc>
        <w:tc>
          <w:tcPr>
            <w:tcW w:w="959"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马桑</w:t>
            </w:r>
          </w:p>
        </w:tc>
        <w:tc>
          <w:tcPr>
            <w:tcW w:w="1976"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马桑、黄荆、火棘</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81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样地8</w:t>
            </w:r>
          </w:p>
        </w:tc>
        <w:tc>
          <w:tcPr>
            <w:tcW w:w="111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1×1m</w:t>
            </w:r>
          </w:p>
        </w:tc>
        <w:tc>
          <w:tcPr>
            <w:tcW w:w="2173"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148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白茅、五节芒、野古草群落</w:t>
            </w:r>
          </w:p>
        </w:tc>
        <w:tc>
          <w:tcPr>
            <w:tcW w:w="959"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白茅</w:t>
            </w:r>
          </w:p>
        </w:tc>
        <w:tc>
          <w:tcPr>
            <w:tcW w:w="1976"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白茅、五节芒、野古草</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81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样地9</w:t>
            </w:r>
          </w:p>
        </w:tc>
        <w:tc>
          <w:tcPr>
            <w:tcW w:w="111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1×1m</w:t>
            </w:r>
          </w:p>
        </w:tc>
        <w:tc>
          <w:tcPr>
            <w:tcW w:w="2173"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148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芒、蕨、芒萁群落</w:t>
            </w:r>
          </w:p>
        </w:tc>
        <w:tc>
          <w:tcPr>
            <w:tcW w:w="959"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芒</w:t>
            </w:r>
          </w:p>
        </w:tc>
        <w:tc>
          <w:tcPr>
            <w:tcW w:w="1976"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芒、蕨、芒萁</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81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样地10</w:t>
            </w:r>
          </w:p>
        </w:tc>
        <w:tc>
          <w:tcPr>
            <w:tcW w:w="111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1×1m</w:t>
            </w:r>
          </w:p>
        </w:tc>
        <w:tc>
          <w:tcPr>
            <w:tcW w:w="2173"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1481" w:type="dxa"/>
            <w:vAlign w:val="center"/>
          </w:tcPr>
          <w:p>
            <w:pPr>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芒、白茅</w:t>
            </w:r>
          </w:p>
        </w:tc>
        <w:tc>
          <w:tcPr>
            <w:tcW w:w="959" w:type="dxa"/>
            <w:vAlign w:val="center"/>
          </w:tcPr>
          <w:p>
            <w:pPr>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白茅</w:t>
            </w:r>
          </w:p>
        </w:tc>
        <w:tc>
          <w:tcPr>
            <w:tcW w:w="1976" w:type="dxa"/>
            <w:vAlign w:val="center"/>
          </w:tcPr>
          <w:p>
            <w:pPr>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白茅</w:t>
            </w:r>
          </w:p>
        </w:tc>
      </w:tr>
    </w:tbl>
    <w:p>
      <w:pPr>
        <w:topLinePunct w:val="0"/>
        <w:adjustRightInd/>
        <w:spacing w:line="480" w:lineRule="exact"/>
        <w:ind w:firstLine="482"/>
        <w:rPr>
          <w:rFonts w:ascii="Times New Roman" w:cs="Times New Roman"/>
          <w:b/>
          <w:bCs/>
          <w:kern w:val="2"/>
        </w:rPr>
      </w:pPr>
      <w:r>
        <w:rPr>
          <w:rFonts w:ascii="Times New Roman" w:cs="Times New Roman"/>
          <w:b/>
          <w:bCs/>
          <w:kern w:val="2"/>
        </w:rPr>
        <w:t>（4）景观生态和生态系统类型调查</w:t>
      </w:r>
    </w:p>
    <w:p>
      <w:pPr>
        <w:topLinePunct w:val="0"/>
        <w:adjustRightInd/>
        <w:spacing w:line="480" w:lineRule="exact"/>
        <w:ind w:firstLine="480"/>
        <w:rPr>
          <w:rFonts w:ascii="Times New Roman" w:cs="Times New Roman"/>
          <w:kern w:val="2"/>
        </w:rPr>
      </w:pPr>
      <w:r>
        <w:rPr>
          <w:rFonts w:ascii="Times New Roman" w:cs="Times New Roman"/>
          <w:kern w:val="2"/>
        </w:rPr>
        <w:t>以能够获得的近期卫星影像图为工作用图，采用路线调查法和主要景观地段重点观测相结合，区划记录评价范围不同自然景观类型、范围、特征及生态系统类型，以此分析生态系统服务功能。</w:t>
      </w:r>
    </w:p>
    <w:p>
      <w:pPr>
        <w:topLinePunct w:val="0"/>
        <w:adjustRightInd/>
        <w:spacing w:line="480" w:lineRule="exact"/>
        <w:ind w:firstLine="482"/>
        <w:rPr>
          <w:rFonts w:ascii="Times New Roman" w:cs="Times New Roman"/>
          <w:b/>
          <w:bCs/>
          <w:kern w:val="2"/>
        </w:rPr>
      </w:pPr>
      <w:r>
        <w:rPr>
          <w:rFonts w:ascii="Times New Roman" w:cs="Times New Roman"/>
          <w:b/>
          <w:bCs/>
          <w:kern w:val="2"/>
        </w:rPr>
        <w:t>（5）陆生野生动物调查</w:t>
      </w:r>
    </w:p>
    <w:p>
      <w:pPr>
        <w:topLinePunct w:val="0"/>
        <w:adjustRightInd/>
        <w:spacing w:line="480" w:lineRule="exact"/>
        <w:ind w:firstLine="480"/>
        <w:rPr>
          <w:rFonts w:ascii="Times New Roman" w:cs="Times New Roman"/>
          <w:kern w:val="2"/>
        </w:rPr>
      </w:pPr>
      <w:r>
        <w:rPr>
          <w:rFonts w:ascii="Times New Roman" w:cs="Times New Roman"/>
          <w:kern w:val="2"/>
        </w:rPr>
        <w:t>野生动物调查采用野外实地调查、访问、查阅相关文献资料等</w:t>
      </w:r>
      <w:r>
        <w:rPr>
          <w:rFonts w:ascii="Times New Roman" w:cs="Times New Roman"/>
          <w:spacing w:val="-2"/>
          <w:kern w:val="2"/>
        </w:rPr>
        <w:t>三种方式</w:t>
      </w:r>
      <w:r>
        <w:rPr>
          <w:rFonts w:ascii="Times New Roman" w:cs="Times New Roman"/>
          <w:kern w:val="2"/>
        </w:rPr>
        <w:t>进行，记录到种。</w:t>
      </w:r>
    </w:p>
    <w:p>
      <w:pPr>
        <w:topLinePunct w:val="0"/>
        <w:adjustRightInd/>
        <w:spacing w:line="480" w:lineRule="exact"/>
        <w:ind w:firstLine="480"/>
        <w:rPr>
          <w:rFonts w:ascii="Times New Roman" w:cs="Times New Roman"/>
          <w:kern w:val="2"/>
        </w:rPr>
      </w:pPr>
      <w:r>
        <w:rPr>
          <w:rFonts w:ascii="Times New Roman" w:cs="Times New Roman"/>
          <w:kern w:val="2"/>
        </w:rPr>
        <w:t>资料检索法：主要收集、查阅项目区域相关</w:t>
      </w:r>
      <w:r>
        <w:rPr>
          <w:rFonts w:ascii="Times New Roman" w:cs="Times New Roman"/>
          <w:spacing w:val="-2"/>
          <w:kern w:val="2"/>
        </w:rPr>
        <w:t>科学研究和野外调查资料</w:t>
      </w:r>
      <w:r>
        <w:rPr>
          <w:rFonts w:ascii="Times New Roman" w:cs="Times New Roman"/>
          <w:kern w:val="2"/>
        </w:rPr>
        <w:t>以及其它专家、学者发表的涉及项目区域的学术论文。应用这些文献资料时，尤其是在动物物种多样性方面，属当时调查获得的资料，直接引用或应用；属查阅资料获得的信息</w:t>
      </w:r>
      <w:r>
        <w:rPr>
          <w:rFonts w:ascii="Times New Roman" w:cs="Times New Roman"/>
          <w:spacing w:val="-2"/>
          <w:kern w:val="2"/>
        </w:rPr>
        <w:t>，</w:t>
      </w:r>
      <w:r>
        <w:rPr>
          <w:rFonts w:ascii="Times New Roman" w:cs="Times New Roman"/>
          <w:kern w:val="2"/>
        </w:rPr>
        <w:t>如</w:t>
      </w:r>
      <w:r>
        <w:rPr>
          <w:rFonts w:hint="eastAsia" w:ascii="Times New Roman" w:cs="Times New Roman"/>
          <w:kern w:val="2"/>
          <w:lang w:val="en-US" w:eastAsia="zh-CN"/>
        </w:rPr>
        <w:t>存在</w:t>
      </w:r>
      <w:r>
        <w:rPr>
          <w:rFonts w:ascii="Times New Roman" w:cs="Times New Roman"/>
          <w:kern w:val="2"/>
        </w:rPr>
        <w:t>其它文献资料佐证的也应用，否则，不应用。</w:t>
      </w:r>
    </w:p>
    <w:p>
      <w:pPr>
        <w:topLinePunct w:val="0"/>
        <w:adjustRightInd/>
        <w:spacing w:line="480" w:lineRule="exact"/>
        <w:ind w:firstLine="480"/>
        <w:rPr>
          <w:rFonts w:ascii="Times New Roman" w:cs="Times New Roman"/>
          <w:kern w:val="2"/>
        </w:rPr>
      </w:pPr>
      <w:r>
        <w:rPr>
          <w:rFonts w:ascii="Times New Roman" w:cs="Times New Roman"/>
          <w:kern w:val="2"/>
        </w:rPr>
        <w:t>访谈法：通过对当地林业及野生动物保护工作者、有野外经验的农民等进行访问和调查，与当地林业部门和林场的管理人员的有关同志进行交谈，了解当地动物的种类分布、数量情况。访谈时，先让访谈对象列举在当地见过哪些动物，再请其初步描述动物的形态特征和生活习性，最后提供动物图片供其辨认以确定具体种类。访谈时，调查人员避免诱导性提问，尽可能获得客观信息。调查人员对访谈对象提供的信息进行综合分析，确定物种的有无情况。访谈法可以快速了解野生动物在调查范围内的种类、分布情况及大致数量等信息，是对野外调查的重要补充，有利于了解整个评价区</w:t>
      </w:r>
      <w:r>
        <w:rPr>
          <w:rFonts w:hint="eastAsia" w:ascii="Times New Roman" w:cs="Times New Roman"/>
          <w:kern w:val="2"/>
        </w:rPr>
        <w:t>及项目周边</w:t>
      </w:r>
      <w:r>
        <w:rPr>
          <w:rFonts w:ascii="Times New Roman" w:cs="Times New Roman"/>
          <w:kern w:val="2"/>
        </w:rPr>
        <w:t>的动物资源状况。</w:t>
      </w:r>
    </w:p>
    <w:p>
      <w:pPr>
        <w:topLinePunct w:val="0"/>
        <w:adjustRightInd/>
        <w:spacing w:line="480" w:lineRule="exact"/>
        <w:ind w:firstLine="480"/>
        <w:rPr>
          <w:rFonts w:ascii="Times New Roman" w:cs="Times New Roman"/>
          <w:kern w:val="2"/>
        </w:rPr>
      </w:pPr>
      <w:r>
        <w:rPr>
          <w:rFonts w:ascii="Times New Roman" w:cs="Times New Roman"/>
          <w:kern w:val="2"/>
        </w:rPr>
        <w:t>野外实地调查方法：主要为样线法，辅以样方法进行，具体如下：</w:t>
      </w:r>
    </w:p>
    <w:p>
      <w:pPr>
        <w:topLinePunct w:val="0"/>
        <w:adjustRightInd/>
        <w:spacing w:line="480" w:lineRule="exact"/>
        <w:ind w:firstLine="480"/>
        <w:rPr>
          <w:rFonts w:ascii="Times New Roman" w:cs="Times New Roman"/>
          <w:kern w:val="2"/>
        </w:rPr>
      </w:pPr>
      <w:r>
        <w:rPr>
          <w:rFonts w:ascii="Times New Roman" w:cs="Times New Roman"/>
          <w:kern w:val="2"/>
        </w:rPr>
        <w:t>1）兽类</w:t>
      </w:r>
    </w:p>
    <w:p>
      <w:pPr>
        <w:topLinePunct w:val="0"/>
        <w:adjustRightInd/>
        <w:spacing w:line="480" w:lineRule="exact"/>
        <w:ind w:firstLine="480"/>
        <w:rPr>
          <w:rFonts w:ascii="Times New Roman" w:cs="Times New Roman"/>
          <w:kern w:val="2"/>
        </w:rPr>
      </w:pPr>
      <w:r>
        <w:rPr>
          <w:rFonts w:ascii="Times New Roman" w:cs="Times New Roman"/>
          <w:kern w:val="2"/>
        </w:rPr>
        <w:t>在评价区及项目周边内采用样线法进行调查，现场记录遇见的动物，并对粪便、毛发、脚印和其它痕迹进行采样及识别。小型兽类调查采用设置样方法，并在样方内用铗日法进行调查；调查主要哺乳动物的种类时，则以现地调查结合座谈访问为主，并参考《四川兽类原色图鉴》进行确认，同时结合文献资料进行整理和分析。</w:t>
      </w:r>
    </w:p>
    <w:p>
      <w:pPr>
        <w:topLinePunct w:val="0"/>
        <w:adjustRightInd/>
        <w:spacing w:line="480" w:lineRule="exact"/>
        <w:ind w:firstLine="480"/>
        <w:rPr>
          <w:rFonts w:ascii="Times New Roman" w:cs="Times New Roman"/>
          <w:kern w:val="2"/>
        </w:rPr>
      </w:pPr>
      <w:r>
        <w:rPr>
          <w:rFonts w:ascii="Times New Roman" w:cs="Times New Roman"/>
          <w:kern w:val="2"/>
        </w:rPr>
        <w:t>2）鸟类</w:t>
      </w:r>
    </w:p>
    <w:p>
      <w:pPr>
        <w:topLinePunct w:val="0"/>
        <w:adjustRightInd/>
        <w:spacing w:line="480" w:lineRule="exact"/>
        <w:ind w:firstLine="480"/>
        <w:rPr>
          <w:rFonts w:ascii="Times New Roman" w:cs="Times New Roman"/>
          <w:kern w:val="2"/>
        </w:rPr>
      </w:pPr>
      <w:r>
        <w:rPr>
          <w:rFonts w:ascii="Times New Roman" w:cs="Times New Roman"/>
          <w:kern w:val="2"/>
        </w:rPr>
        <w:t>在评价区及项目周边内用样线法统计调查鸟类鸣声、羽毛和个体等行经，同时结合文献资料确定其种类组成及其种群数量。此外对珍稀鸟类或大型鸟类则进行访问调查，并参考《四川鸟类原色图鉴》进行确认，同时结合文献资料进行整理和分析。</w:t>
      </w:r>
    </w:p>
    <w:p>
      <w:pPr>
        <w:topLinePunct w:val="0"/>
        <w:adjustRightInd/>
        <w:spacing w:line="480" w:lineRule="exact"/>
        <w:ind w:firstLine="480"/>
        <w:rPr>
          <w:rFonts w:ascii="Times New Roman" w:cs="Times New Roman"/>
          <w:kern w:val="2"/>
        </w:rPr>
      </w:pPr>
      <w:r>
        <w:rPr>
          <w:rFonts w:ascii="Times New Roman" w:cs="Times New Roman"/>
          <w:kern w:val="2"/>
        </w:rPr>
        <w:t>3）两栖、爬行类</w:t>
      </w:r>
    </w:p>
    <w:p>
      <w:pPr>
        <w:topLinePunct w:val="0"/>
        <w:adjustRightInd/>
        <w:spacing w:line="480" w:lineRule="exact"/>
        <w:ind w:firstLine="480"/>
        <w:rPr>
          <w:rFonts w:ascii="Times New Roman" w:cs="Times New Roman"/>
          <w:kern w:val="2"/>
        </w:rPr>
      </w:pPr>
      <w:r>
        <w:rPr>
          <w:rFonts w:ascii="Times New Roman" w:cs="Times New Roman"/>
          <w:kern w:val="2"/>
        </w:rPr>
        <w:t>两栖、爬行动物行动慢，活动范围小，对水环境的依赖性强，采用沿评价区及项目周边附近溪河布设样线，辅以足够数量的样方于傍晚进行调查，依据看到的动物实体或痕迹并结合访问、文献资料进行分析整理，并参考《四川两栖类原色图鉴</w:t>
      </w:r>
      <w:r>
        <w:rPr>
          <w:rFonts w:hint="eastAsia" w:ascii="Times New Roman" w:cs="Times New Roman"/>
          <w:kern w:val="2"/>
          <w:lang w:eastAsia="zh-CN"/>
        </w:rPr>
        <w:t>》《</w:t>
      </w:r>
      <w:r>
        <w:rPr>
          <w:rFonts w:ascii="Times New Roman" w:cs="Times New Roman"/>
          <w:kern w:val="2"/>
        </w:rPr>
        <w:t>四川爬行类动物原色图鉴》确定其种类。</w:t>
      </w:r>
    </w:p>
    <w:p>
      <w:pPr>
        <w:topLinePunct w:val="0"/>
        <w:adjustRightInd/>
        <w:spacing w:line="480" w:lineRule="exact"/>
        <w:ind w:firstLine="480"/>
        <w:rPr>
          <w:rFonts w:ascii="Times New Roman" w:cs="Times New Roman"/>
          <w:kern w:val="2"/>
        </w:rPr>
      </w:pPr>
      <w:r>
        <w:rPr>
          <w:rFonts w:hint="eastAsia" w:ascii="Times New Roman" w:cs="Times New Roman"/>
          <w:kern w:val="2"/>
        </w:rPr>
        <w:t>本项目陆生野生动物调查主要采用资料检索法，</w:t>
      </w:r>
      <w:r>
        <w:rPr>
          <w:rFonts w:ascii="Times New Roman" w:cs="Times New Roman"/>
          <w:kern w:val="2"/>
        </w:rPr>
        <w:t>综合实地调查、访问调查和资料查阅，通过分析归纳和总结，得出项目区及其周边地区动物物种、种群数量和分布资料，为评价和保护提供科学依据。</w:t>
      </w:r>
    </w:p>
    <w:p>
      <w:pPr>
        <w:topLinePunct w:val="0"/>
        <w:adjustRightInd/>
        <w:spacing w:line="480" w:lineRule="exact"/>
        <w:ind w:firstLine="482"/>
        <w:rPr>
          <w:rFonts w:ascii="Times New Roman" w:cs="Times New Roman"/>
          <w:b/>
          <w:bCs/>
          <w:kern w:val="2"/>
        </w:rPr>
      </w:pPr>
      <w:r>
        <w:rPr>
          <w:rFonts w:ascii="Times New Roman" w:cs="Times New Roman"/>
          <w:b/>
          <w:bCs/>
          <w:kern w:val="2"/>
        </w:rPr>
        <w:t>3、生态制图</w:t>
      </w:r>
    </w:p>
    <w:p>
      <w:pPr>
        <w:topLinePunct w:val="0"/>
        <w:adjustRightInd/>
        <w:spacing w:line="480" w:lineRule="exact"/>
        <w:ind w:firstLine="480"/>
        <w:rPr>
          <w:rFonts w:ascii="Times New Roman" w:cs="Times New Roman"/>
          <w:kern w:val="2"/>
        </w:rPr>
      </w:pPr>
      <w:r>
        <w:rPr>
          <w:rFonts w:ascii="Times New Roman" w:cs="Times New Roman"/>
          <w:kern w:val="2"/>
        </w:rPr>
        <w:t>在现场调查和群系样地调查的基础上，采用GPS、RS和GIS相结合的空间信息技术，进行地面类型的数字化判读，统计评价范围内各植被类型、面积、土地利用现状类型及数量。完成数字化的植被类型图和土地利用现状图及土壤侵蚀图，进行景观质量和生态环境质量的定性和定量评价。</w:t>
      </w:r>
    </w:p>
    <w:p>
      <w:pPr>
        <w:pStyle w:val="114"/>
        <w:ind w:firstLine="480"/>
      </w:pPr>
      <w:r>
        <w:rPr>
          <w:kern w:val="2"/>
          <w:szCs w:val="24"/>
        </w:rPr>
        <w:t>本次研究选用国产资源卫星zy-3卫片，融合后地面精度为2.1m，采用地表植被特征的“近红外、红外、绿”三个波段，其中植被影响主要反映为红色。植被类型不同，色彩和色调都发生相应变化，因此可区分出植被亚型以上的植被类型以及农田、居民用地等地面类型。同时也参考了美国wordview卫片作为参考，分辨率1.24米能较好地满足调查需求，但是，植被类型的确定需结合不同植被类型分布的生态学特征，不能单纯依靠色彩进行划分，对监督分类产生的植被初图，结合路线调查记录和等高线、坡度、坡向等信息，对植被图进行目视解译校正，得到符合精度的植被图。在植被图的基础上，进一步合并有关地面类型，得到土地利用类型图。</w:t>
      </w:r>
    </w:p>
    <w:p>
      <w:pPr>
        <w:pStyle w:val="114"/>
        <w:ind w:firstLine="480"/>
      </w:pPr>
      <w:r>
        <w:rPr>
          <w:szCs w:val="24"/>
        </w:rPr>
        <w:t>评价范围内植被概况见表5.2-3及《附图 评价区植被类型图》。</w:t>
      </w:r>
    </w:p>
    <w:p>
      <w:pPr>
        <w:topLinePunct w:val="0"/>
        <w:adjustRightInd/>
        <w:spacing w:line="500" w:lineRule="exact"/>
        <w:ind w:left="60" w:right="100" w:firstLine="482" w:firstLineChars="0"/>
        <w:jc w:val="center"/>
        <w:rPr>
          <w:rFonts w:ascii="Times New Roman" w:cs="Times New Roman"/>
          <w:b/>
          <w:kern w:val="2"/>
          <w:sz w:val="21"/>
          <w:szCs w:val="20"/>
        </w:rPr>
      </w:pPr>
      <w:r>
        <w:rPr>
          <w:rFonts w:ascii="Times New Roman" w:cs="Times New Roman"/>
          <w:b/>
          <w:kern w:val="2"/>
          <w:sz w:val="21"/>
          <w:szCs w:val="20"/>
        </w:rPr>
        <w:t>表4.3-3 评价范围内主要植被类型面积统计表</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05"/>
        <w:gridCol w:w="1678"/>
        <w:gridCol w:w="13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exact"/>
          <w:jc w:val="center"/>
        </w:trPr>
        <w:tc>
          <w:tcPr>
            <w:tcW w:w="5031" w:type="dxa"/>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植被类型</w:t>
            </w:r>
          </w:p>
        </w:tc>
        <w:tc>
          <w:tcPr>
            <w:tcW w:w="1480" w:type="dxa"/>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（面积hm</w:t>
            </w:r>
            <w:r>
              <w:rPr>
                <w:rFonts w:ascii="Times New Roman" w:cs="Times New Roman"/>
                <w:kern w:val="2"/>
                <w:sz w:val="21"/>
                <w:szCs w:val="21"/>
                <w:vertAlign w:val="superscript"/>
              </w:rPr>
              <w:t>2</w:t>
            </w:r>
            <w:r>
              <w:rPr>
                <w:rFonts w:ascii="Times New Roman" w:cs="Times New Roman"/>
                <w:kern w:val="2"/>
                <w:sz w:val="21"/>
                <w:szCs w:val="21"/>
              </w:rPr>
              <w:t>）</w:t>
            </w:r>
          </w:p>
        </w:tc>
        <w:tc>
          <w:tcPr>
            <w:tcW w:w="1191" w:type="dxa"/>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百分比（%）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0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以马尾松、柏木为主的针叶林植被</w:t>
            </w:r>
          </w:p>
        </w:tc>
        <w:tc>
          <w:tcPr>
            <w:tcW w:w="1480"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1191" w:type="dxa"/>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50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以麻栎、青冈、栓皮栎、枫香、响叶杨等为主的阔叶林植被</w:t>
            </w:r>
          </w:p>
        </w:tc>
        <w:tc>
          <w:tcPr>
            <w:tcW w:w="1480"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1191" w:type="dxa"/>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50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以槲栎、马桑、黄荆、火棘、荚蒾、盐肤木为主的灌丛植被</w:t>
            </w:r>
          </w:p>
        </w:tc>
        <w:tc>
          <w:tcPr>
            <w:tcW w:w="1480"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1191" w:type="dxa"/>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5" w:hRule="exact"/>
          <w:jc w:val="center"/>
        </w:trPr>
        <w:tc>
          <w:tcPr>
            <w:tcW w:w="50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以白茅、五节芒、芒、芒萁、野古草、斑茅、蕨等为主的草丛植被</w:t>
            </w:r>
          </w:p>
        </w:tc>
        <w:tc>
          <w:tcPr>
            <w:tcW w:w="1480"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1191" w:type="dxa"/>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0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水稻为主的水田作物植被</w:t>
            </w:r>
          </w:p>
        </w:tc>
        <w:tc>
          <w:tcPr>
            <w:tcW w:w="1480"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1191" w:type="dxa"/>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30" w:hRule="exact"/>
          <w:jc w:val="center"/>
        </w:trPr>
        <w:tc>
          <w:tcPr>
            <w:tcW w:w="50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玉米、红苕、棉花、花生、小麦、马铃薯、豌豆为主的旱地作物植被</w:t>
            </w:r>
          </w:p>
        </w:tc>
        <w:tc>
          <w:tcPr>
            <w:tcW w:w="1480"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1191" w:type="dxa"/>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0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无植被</w:t>
            </w:r>
          </w:p>
        </w:tc>
        <w:tc>
          <w:tcPr>
            <w:tcW w:w="1480"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1191" w:type="dxa"/>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031"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合计</w:t>
            </w:r>
          </w:p>
        </w:tc>
        <w:tc>
          <w:tcPr>
            <w:tcW w:w="1480" w:type="dxa"/>
            <w:vAlign w:val="center"/>
          </w:tcPr>
          <w:p>
            <w:pPr>
              <w:topLinePunct w:val="0"/>
              <w:adjustRightInd/>
              <w:spacing w:line="240" w:lineRule="auto"/>
              <w:ind w:firstLine="0" w:firstLineChars="0"/>
              <w:jc w:val="center"/>
              <w:rPr>
                <w:rFonts w:ascii="Times New Roman" w:cs="Times New Roman"/>
                <w:kern w:val="2"/>
                <w:sz w:val="21"/>
                <w:szCs w:val="21"/>
              </w:rPr>
            </w:pPr>
          </w:p>
        </w:tc>
        <w:tc>
          <w:tcPr>
            <w:tcW w:w="1191" w:type="dxa"/>
            <w:vAlign w:val="center"/>
          </w:tcPr>
          <w:p>
            <w:pPr>
              <w:topLinePunct w:val="0"/>
              <w:adjustRightInd/>
              <w:spacing w:line="240" w:lineRule="auto"/>
              <w:ind w:firstLine="0" w:firstLineChars="0"/>
              <w:jc w:val="center"/>
              <w:rPr>
                <w:rFonts w:ascii="Times New Roman" w:cs="Times New Roman"/>
                <w:kern w:val="2"/>
                <w:sz w:val="21"/>
                <w:szCs w:val="21"/>
              </w:rPr>
            </w:pPr>
          </w:p>
        </w:tc>
      </w:tr>
    </w:tbl>
    <w:p>
      <w:pPr>
        <w:pStyle w:val="114"/>
        <w:ind w:firstLine="480"/>
      </w:pPr>
      <w:r>
        <w:t>由表5.2-3可看出，本次评价范围内以麻栎、青冈、栓皮栎、枫香、响叶杨等为主的阔叶林植被占比最大，占评价面积的33.5%，其次为玉米、红苕、棉花、花生、小麦、马铃薯、豌豆为主的旱地作物植被，占评价面积的21.4%，以马尾松、杉木、柏木为主的针叶林植被，占评价面积的20.96%，</w:t>
      </w:r>
      <w:r>
        <w:rPr>
          <w:szCs w:val="24"/>
        </w:rPr>
        <w:t>其余类均低于10%，</w:t>
      </w:r>
      <w:r>
        <w:t>综上，本项目评价范围植被类型主要以阔叶林植被、旱地植被占优。</w:t>
      </w:r>
    </w:p>
    <w:p>
      <w:pPr>
        <w:pStyle w:val="114"/>
        <w:ind w:firstLine="472" w:firstLineChars="196"/>
        <w:rPr>
          <w:b/>
          <w:bCs/>
        </w:rPr>
      </w:pPr>
      <w:r>
        <w:rPr>
          <w:b/>
          <w:bCs/>
        </w:rPr>
        <w:t>（2）评价范围土地利用现状</w:t>
      </w:r>
    </w:p>
    <w:p>
      <w:pPr>
        <w:pStyle w:val="114"/>
        <w:ind w:firstLine="480"/>
      </w:pPr>
      <w:r>
        <w:t>评价范围内土地利用概况见表5.2-4及《附图 评价区土地利用现状图》。</w:t>
      </w:r>
    </w:p>
    <w:p>
      <w:pPr>
        <w:topLinePunct w:val="0"/>
        <w:adjustRightInd/>
        <w:spacing w:line="500" w:lineRule="exact"/>
        <w:ind w:left="60" w:right="100" w:firstLine="482" w:firstLineChars="0"/>
        <w:jc w:val="center"/>
        <w:rPr>
          <w:rFonts w:ascii="Times New Roman" w:cs="Times New Roman"/>
          <w:b/>
          <w:kern w:val="2"/>
          <w:sz w:val="21"/>
          <w:szCs w:val="20"/>
        </w:rPr>
      </w:pPr>
      <w:r>
        <w:rPr>
          <w:rFonts w:ascii="Times New Roman" w:cs="Times New Roman"/>
          <w:b/>
          <w:kern w:val="2"/>
          <w:sz w:val="21"/>
          <w:szCs w:val="20"/>
        </w:rPr>
        <w:t>表5.2-4 本次评价范围内土地利用现状情况</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87"/>
        <w:gridCol w:w="3052"/>
        <w:gridCol w:w="29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blHeader/>
          <w:jc w:val="center"/>
        </w:trPr>
        <w:tc>
          <w:tcPr>
            <w:tcW w:w="2827" w:type="dxa"/>
            <w:vAlign w:val="center"/>
          </w:tcPr>
          <w:p>
            <w:pPr>
              <w:widowControl/>
              <w:topLinePunct w:val="0"/>
              <w:adjustRightInd/>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土地利用类型</w:t>
            </w:r>
          </w:p>
        </w:tc>
        <w:tc>
          <w:tcPr>
            <w:tcW w:w="2889" w:type="dxa"/>
            <w:vAlign w:val="center"/>
          </w:tcPr>
          <w:p>
            <w:pPr>
              <w:widowControl/>
              <w:topLinePunct w:val="0"/>
              <w:adjustRightInd/>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（面积hm</w:t>
            </w:r>
            <w:r>
              <w:rPr>
                <w:rFonts w:ascii="Times New Roman" w:cs="Times New Roman"/>
                <w:b/>
                <w:bCs/>
                <w:kern w:val="2"/>
                <w:sz w:val="21"/>
                <w:szCs w:val="21"/>
                <w:vertAlign w:val="superscript"/>
              </w:rPr>
              <w:t>2</w:t>
            </w:r>
            <w:r>
              <w:rPr>
                <w:rFonts w:ascii="Times New Roman" w:cs="Times New Roman"/>
                <w:b/>
                <w:bCs/>
                <w:kern w:val="2"/>
                <w:sz w:val="21"/>
                <w:szCs w:val="21"/>
              </w:rPr>
              <w:t>）</w:t>
            </w:r>
          </w:p>
        </w:tc>
        <w:tc>
          <w:tcPr>
            <w:tcW w:w="2806" w:type="dxa"/>
            <w:vAlign w:val="center"/>
          </w:tcPr>
          <w:p>
            <w:pPr>
              <w:widowControl/>
              <w:topLinePunct w:val="0"/>
              <w:adjustRightInd/>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百分比（%）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827" w:type="dxa"/>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水田</w:t>
            </w:r>
          </w:p>
        </w:tc>
        <w:tc>
          <w:tcPr>
            <w:tcW w:w="2889" w:type="dxa"/>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2806" w:type="dxa"/>
            <w:vAlign w:val="center"/>
          </w:tcPr>
          <w:p>
            <w:pPr>
              <w:widowControl/>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827" w:type="dxa"/>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旱地</w:t>
            </w:r>
          </w:p>
        </w:tc>
        <w:tc>
          <w:tcPr>
            <w:tcW w:w="2889" w:type="dxa"/>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2806" w:type="dxa"/>
            <w:vAlign w:val="center"/>
          </w:tcPr>
          <w:p>
            <w:pPr>
              <w:widowControl/>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827" w:type="dxa"/>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乔木林地</w:t>
            </w:r>
          </w:p>
        </w:tc>
        <w:tc>
          <w:tcPr>
            <w:tcW w:w="2889" w:type="dxa"/>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2806" w:type="dxa"/>
            <w:vAlign w:val="center"/>
          </w:tcPr>
          <w:p>
            <w:pPr>
              <w:widowControl/>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827" w:type="dxa"/>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灌木林地</w:t>
            </w:r>
          </w:p>
        </w:tc>
        <w:tc>
          <w:tcPr>
            <w:tcW w:w="2889" w:type="dxa"/>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2806" w:type="dxa"/>
            <w:vAlign w:val="center"/>
          </w:tcPr>
          <w:p>
            <w:pPr>
              <w:widowControl/>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827" w:type="dxa"/>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其他草地</w:t>
            </w:r>
          </w:p>
        </w:tc>
        <w:tc>
          <w:tcPr>
            <w:tcW w:w="2889" w:type="dxa"/>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2806" w:type="dxa"/>
            <w:vAlign w:val="center"/>
          </w:tcPr>
          <w:p>
            <w:pPr>
              <w:widowControl/>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827" w:type="dxa"/>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坑塘水面</w:t>
            </w:r>
          </w:p>
        </w:tc>
        <w:tc>
          <w:tcPr>
            <w:tcW w:w="2889" w:type="dxa"/>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2806" w:type="dxa"/>
            <w:vAlign w:val="center"/>
          </w:tcPr>
          <w:p>
            <w:pPr>
              <w:widowControl/>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827" w:type="dxa"/>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住宅用地</w:t>
            </w:r>
          </w:p>
        </w:tc>
        <w:tc>
          <w:tcPr>
            <w:tcW w:w="2889" w:type="dxa"/>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2806" w:type="dxa"/>
            <w:vAlign w:val="center"/>
          </w:tcPr>
          <w:p>
            <w:pPr>
              <w:widowControl/>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827" w:type="dxa"/>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公路用地</w:t>
            </w:r>
          </w:p>
        </w:tc>
        <w:tc>
          <w:tcPr>
            <w:tcW w:w="2889" w:type="dxa"/>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2806" w:type="dxa"/>
            <w:vAlign w:val="center"/>
          </w:tcPr>
          <w:p>
            <w:pPr>
              <w:widowControl/>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827" w:type="dxa"/>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工业用地</w:t>
            </w:r>
          </w:p>
        </w:tc>
        <w:tc>
          <w:tcPr>
            <w:tcW w:w="2889" w:type="dxa"/>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2806" w:type="dxa"/>
            <w:vAlign w:val="center"/>
          </w:tcPr>
          <w:p>
            <w:pPr>
              <w:widowControl/>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827" w:type="dxa"/>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合计</w:t>
            </w:r>
          </w:p>
        </w:tc>
        <w:tc>
          <w:tcPr>
            <w:tcW w:w="2889" w:type="dxa"/>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2806" w:type="dxa"/>
            <w:vAlign w:val="center"/>
          </w:tcPr>
          <w:p>
            <w:pPr>
              <w:widowControl/>
              <w:topLinePunct w:val="0"/>
              <w:adjustRightInd/>
              <w:spacing w:line="240" w:lineRule="auto"/>
              <w:ind w:firstLine="0" w:firstLineChars="0"/>
              <w:jc w:val="center"/>
              <w:rPr>
                <w:rFonts w:ascii="Times New Roman" w:cs="Times New Roman"/>
                <w:kern w:val="2"/>
                <w:sz w:val="21"/>
                <w:szCs w:val="21"/>
              </w:rPr>
            </w:pPr>
          </w:p>
        </w:tc>
      </w:tr>
    </w:tbl>
    <w:p>
      <w:pPr>
        <w:pStyle w:val="114"/>
        <w:ind w:firstLine="480"/>
        <w:rPr>
          <w:szCs w:val="24"/>
        </w:rPr>
      </w:pPr>
      <w:r>
        <w:rPr>
          <w:szCs w:val="24"/>
        </w:rPr>
        <w:t>由表2.2-4看出，本次评价范围内乔木林地</w:t>
      </w:r>
      <w:r>
        <w:rPr>
          <w:rFonts w:hint="eastAsia"/>
          <w:szCs w:val="24"/>
        </w:rPr>
        <w:t>22.5</w:t>
      </w:r>
      <w:r>
        <w:rPr>
          <w:szCs w:val="24"/>
        </w:rPr>
        <w:t>hm</w:t>
      </w:r>
      <w:r>
        <w:rPr>
          <w:szCs w:val="24"/>
          <w:vertAlign w:val="superscript"/>
        </w:rPr>
        <w:t>2</w:t>
      </w:r>
      <w:r>
        <w:rPr>
          <w:szCs w:val="24"/>
        </w:rPr>
        <w:t>，占评价范围的62.96%，旱地</w:t>
      </w:r>
      <w:r>
        <w:rPr>
          <w:rFonts w:hint="eastAsia"/>
          <w:szCs w:val="24"/>
        </w:rPr>
        <w:t>7.9</w:t>
      </w:r>
      <w:r>
        <w:rPr>
          <w:szCs w:val="24"/>
        </w:rPr>
        <w:t>hm</w:t>
      </w:r>
      <w:r>
        <w:rPr>
          <w:szCs w:val="24"/>
          <w:vertAlign w:val="superscript"/>
        </w:rPr>
        <w:t>2</w:t>
      </w:r>
      <w:r>
        <w:rPr>
          <w:szCs w:val="24"/>
        </w:rPr>
        <w:t>，占评价范围的22.17%，其余地类均低于5%。综上，本次评价范围内土地类型以乔木林地和旱地为主。</w:t>
      </w:r>
    </w:p>
    <w:p>
      <w:pPr>
        <w:topLinePunct w:val="0"/>
        <w:snapToGrid w:val="0"/>
        <w:ind w:firstLine="482"/>
        <w:rPr>
          <w:rFonts w:ascii="Times New Roman" w:cs="Times New Roman"/>
          <w:b/>
          <w:bCs/>
          <w:kern w:val="2"/>
        </w:rPr>
      </w:pPr>
      <w:r>
        <w:rPr>
          <w:rFonts w:ascii="Times New Roman" w:cs="Times New Roman"/>
          <w:b/>
          <w:bCs/>
          <w:kern w:val="2"/>
        </w:rPr>
        <w:t>（3）</w:t>
      </w:r>
      <w:bookmarkStart w:id="407" w:name="_Toc296319726"/>
      <w:r>
        <w:rPr>
          <w:rFonts w:ascii="Times New Roman" w:cs="Times New Roman"/>
          <w:b/>
          <w:bCs/>
          <w:kern w:val="2"/>
        </w:rPr>
        <w:t>评价范围土壤侵蚀特点</w:t>
      </w:r>
      <w:bookmarkEnd w:id="407"/>
    </w:p>
    <w:p>
      <w:pPr>
        <w:topLinePunct w:val="0"/>
        <w:snapToGrid w:val="0"/>
        <w:ind w:firstLine="480"/>
        <w:rPr>
          <w:rFonts w:ascii="Times New Roman" w:cs="Times New Roman"/>
          <w:kern w:val="2"/>
        </w:rPr>
      </w:pPr>
      <w:r>
        <w:rPr>
          <w:rFonts w:ascii="Times New Roman" w:cs="Times New Roman"/>
          <w:kern w:val="2"/>
        </w:rPr>
        <w:t>1）土壤侵蚀强度分类与遥感影像特征</w:t>
      </w:r>
    </w:p>
    <w:p>
      <w:pPr>
        <w:pStyle w:val="114"/>
        <w:ind w:firstLine="480"/>
      </w:pPr>
      <w:r>
        <w:rPr>
          <w:kern w:val="2"/>
          <w:szCs w:val="24"/>
        </w:rPr>
        <w:t>参照《生态环境状况评价技术规范》（HJ192-2015，2015-03-13）、《土壤侵蚀分类分级标准》（SL190-2007，2008-01-04）中侵蚀强度分级参考指标（表5.2-5），以气候、地表物质组成、植被覆盖度、土地利用现状、水土保持措施及地形因素中的沟谷密度、坡度等因素为划分依据，将评价范围内土壤侵蚀划分为4个等级。评价范围土壤侵蚀现状见表5.2-6及《附图 评价区土壤侵蚀图》。</w:t>
      </w:r>
    </w:p>
    <w:p>
      <w:pPr>
        <w:spacing w:line="500" w:lineRule="exact"/>
        <w:ind w:left="60" w:right="100" w:firstLine="482"/>
        <w:jc w:val="center"/>
        <w:rPr>
          <w:rFonts w:ascii="Times New Roman" w:cs="Times New Roman"/>
          <w:b/>
          <w:szCs w:val="20"/>
        </w:rPr>
      </w:pPr>
      <w:r>
        <w:rPr>
          <w:rFonts w:ascii="Times New Roman" w:cs="Times New Roman"/>
          <w:b/>
          <w:szCs w:val="20"/>
        </w:rPr>
        <w:t>表5.2-5 土壤侵蚀强度分级指标</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60"/>
        <w:gridCol w:w="45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177" w:type="dxa"/>
            <w:vAlign w:val="center"/>
          </w:tcPr>
          <w:p>
            <w:pPr>
              <w:pStyle w:val="21"/>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侵蚀等级</w:t>
            </w:r>
          </w:p>
        </w:tc>
        <w:tc>
          <w:tcPr>
            <w:tcW w:w="3237" w:type="dxa"/>
            <w:vAlign w:val="center"/>
          </w:tcPr>
          <w:p>
            <w:pPr>
              <w:pStyle w:val="21"/>
              <w:spacing w:line="240" w:lineRule="auto"/>
              <w:ind w:firstLine="422"/>
              <w:jc w:val="center"/>
              <w:rPr>
                <w:rFonts w:ascii="Times New Roman" w:cs="Times New Roman"/>
                <w:b/>
                <w:kern w:val="2"/>
                <w:sz w:val="21"/>
                <w:szCs w:val="21"/>
              </w:rPr>
            </w:pPr>
            <w:r>
              <w:rPr>
                <w:rFonts w:ascii="Times New Roman" w:cs="Times New Roman"/>
                <w:b/>
                <w:kern w:val="2"/>
                <w:sz w:val="21"/>
                <w:szCs w:val="21"/>
              </w:rPr>
              <w:t>侵蚀模数（t/km</w:t>
            </w:r>
            <w:r>
              <w:rPr>
                <w:rFonts w:ascii="Times New Roman" w:cs="Times New Roman"/>
                <w:b/>
                <w:kern w:val="2"/>
                <w:sz w:val="21"/>
                <w:szCs w:val="21"/>
                <w:vertAlign w:val="superscript"/>
              </w:rPr>
              <w:t>2</w:t>
            </w:r>
            <w:r>
              <w:rPr>
                <w:rFonts w:ascii="Times New Roman" w:cs="Times New Roman"/>
                <w:b/>
                <w:kern w:val="2"/>
                <w:sz w:val="21"/>
                <w:szCs w:val="21"/>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177" w:type="dxa"/>
            <w:vAlign w:val="center"/>
          </w:tcPr>
          <w:p>
            <w:pPr>
              <w:pStyle w:val="31"/>
              <w:jc w:val="center"/>
              <w:rPr>
                <w:rFonts w:ascii="Times New Roman" w:hAnsi="Times New Roman"/>
                <w:kern w:val="2"/>
                <w:sz w:val="21"/>
              </w:rPr>
            </w:pPr>
            <w:r>
              <w:rPr>
                <w:rFonts w:ascii="Times New Roman" w:hAnsi="Times New Roman"/>
                <w:kern w:val="2"/>
                <w:sz w:val="21"/>
              </w:rPr>
              <w:t>微度侵蚀</w:t>
            </w:r>
          </w:p>
        </w:tc>
        <w:tc>
          <w:tcPr>
            <w:tcW w:w="3237" w:type="dxa"/>
            <w:vAlign w:val="center"/>
          </w:tcPr>
          <w:p>
            <w:pPr>
              <w:spacing w:line="240" w:lineRule="auto"/>
              <w:ind w:firstLine="420"/>
              <w:jc w:val="center"/>
              <w:rPr>
                <w:rFonts w:ascii="Times New Roman" w:cs="Times New Roman"/>
                <w:kern w:val="2"/>
                <w:sz w:val="21"/>
                <w:szCs w:val="21"/>
              </w:rPr>
            </w:pPr>
            <w:r>
              <w:rPr>
                <w:rFonts w:ascii="Times New Roman" w:cs="Times New Roman"/>
                <w:kern w:val="2"/>
                <w:sz w:val="21"/>
                <w:szCs w:val="21"/>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177" w:type="dxa"/>
            <w:vAlign w:val="center"/>
          </w:tcPr>
          <w:p>
            <w:pPr>
              <w:pStyle w:val="31"/>
              <w:jc w:val="center"/>
              <w:rPr>
                <w:rFonts w:ascii="Times New Roman" w:hAnsi="Times New Roman"/>
                <w:kern w:val="2"/>
                <w:sz w:val="21"/>
              </w:rPr>
            </w:pPr>
            <w:r>
              <w:rPr>
                <w:rFonts w:ascii="Times New Roman" w:hAnsi="Times New Roman"/>
                <w:kern w:val="2"/>
                <w:sz w:val="21"/>
              </w:rPr>
              <w:t>轻度侵蚀</w:t>
            </w:r>
          </w:p>
        </w:tc>
        <w:tc>
          <w:tcPr>
            <w:tcW w:w="3237" w:type="dxa"/>
            <w:vAlign w:val="center"/>
          </w:tcPr>
          <w:p>
            <w:pPr>
              <w:spacing w:line="240" w:lineRule="auto"/>
              <w:ind w:firstLine="420"/>
              <w:jc w:val="center"/>
              <w:rPr>
                <w:rFonts w:ascii="Times New Roman" w:cs="Times New Roman"/>
                <w:kern w:val="2"/>
                <w:sz w:val="21"/>
                <w:szCs w:val="21"/>
              </w:rPr>
            </w:pPr>
            <w:r>
              <w:rPr>
                <w:rFonts w:ascii="Times New Roman" w:cs="Times New Roman"/>
                <w:kern w:val="2"/>
                <w:sz w:val="21"/>
                <w:szCs w:val="21"/>
              </w:rPr>
              <w:t>500～2500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177" w:type="dxa"/>
            <w:vAlign w:val="center"/>
          </w:tcPr>
          <w:p>
            <w:pPr>
              <w:pStyle w:val="31"/>
              <w:jc w:val="center"/>
              <w:rPr>
                <w:rFonts w:ascii="Times New Roman" w:hAnsi="Times New Roman"/>
                <w:kern w:val="2"/>
                <w:sz w:val="21"/>
              </w:rPr>
            </w:pPr>
            <w:r>
              <w:rPr>
                <w:rFonts w:ascii="Times New Roman" w:hAnsi="Times New Roman"/>
                <w:kern w:val="2"/>
                <w:sz w:val="21"/>
              </w:rPr>
              <w:t>中度侵蚀</w:t>
            </w:r>
          </w:p>
        </w:tc>
        <w:tc>
          <w:tcPr>
            <w:tcW w:w="3237" w:type="dxa"/>
            <w:vAlign w:val="center"/>
          </w:tcPr>
          <w:p>
            <w:pPr>
              <w:spacing w:line="240" w:lineRule="auto"/>
              <w:ind w:firstLine="420"/>
              <w:jc w:val="center"/>
              <w:rPr>
                <w:rFonts w:ascii="Times New Roman" w:cs="Times New Roman"/>
                <w:kern w:val="2"/>
                <w:sz w:val="21"/>
                <w:szCs w:val="21"/>
              </w:rPr>
            </w:pPr>
            <w:r>
              <w:rPr>
                <w:rFonts w:ascii="Times New Roman" w:cs="Times New Roman"/>
                <w:kern w:val="2"/>
                <w:sz w:val="21"/>
                <w:szCs w:val="21"/>
              </w:rPr>
              <w:t>2500～5000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177" w:type="dxa"/>
            <w:vAlign w:val="center"/>
          </w:tcPr>
          <w:p>
            <w:pPr>
              <w:pStyle w:val="31"/>
              <w:jc w:val="center"/>
              <w:rPr>
                <w:rFonts w:ascii="Times New Roman" w:hAnsi="Times New Roman"/>
                <w:kern w:val="2"/>
                <w:sz w:val="21"/>
              </w:rPr>
            </w:pPr>
            <w:r>
              <w:rPr>
                <w:rFonts w:ascii="Times New Roman" w:hAnsi="Times New Roman"/>
                <w:kern w:val="2"/>
                <w:sz w:val="21"/>
              </w:rPr>
              <w:t>强度侵蚀</w:t>
            </w:r>
          </w:p>
        </w:tc>
        <w:tc>
          <w:tcPr>
            <w:tcW w:w="3237" w:type="dxa"/>
            <w:vAlign w:val="center"/>
          </w:tcPr>
          <w:p>
            <w:pPr>
              <w:spacing w:line="240" w:lineRule="auto"/>
              <w:ind w:firstLine="420"/>
              <w:jc w:val="center"/>
              <w:rPr>
                <w:rFonts w:ascii="Times New Roman" w:cs="Times New Roman"/>
                <w:kern w:val="2"/>
                <w:sz w:val="21"/>
                <w:szCs w:val="21"/>
              </w:rPr>
            </w:pPr>
            <w:r>
              <w:rPr>
                <w:rFonts w:ascii="Times New Roman" w:cs="Times New Roman"/>
                <w:kern w:val="2"/>
                <w:sz w:val="21"/>
                <w:szCs w:val="21"/>
              </w:rPr>
              <w:t>5000～8000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177" w:type="dxa"/>
            <w:vAlign w:val="center"/>
          </w:tcPr>
          <w:p>
            <w:pPr>
              <w:pStyle w:val="31"/>
              <w:jc w:val="center"/>
              <w:rPr>
                <w:rFonts w:ascii="Times New Roman" w:hAnsi="Times New Roman"/>
                <w:kern w:val="2"/>
                <w:sz w:val="21"/>
              </w:rPr>
            </w:pPr>
            <w:r>
              <w:rPr>
                <w:rFonts w:ascii="Times New Roman" w:hAnsi="Times New Roman"/>
                <w:kern w:val="2"/>
                <w:sz w:val="21"/>
              </w:rPr>
              <w:t>极强度侵蚀</w:t>
            </w:r>
          </w:p>
        </w:tc>
        <w:tc>
          <w:tcPr>
            <w:tcW w:w="3237" w:type="dxa"/>
            <w:vAlign w:val="center"/>
          </w:tcPr>
          <w:p>
            <w:pPr>
              <w:spacing w:line="240" w:lineRule="auto"/>
              <w:ind w:firstLine="420"/>
              <w:jc w:val="center"/>
              <w:rPr>
                <w:rFonts w:ascii="Times New Roman" w:cs="Times New Roman"/>
                <w:kern w:val="2"/>
                <w:sz w:val="21"/>
                <w:szCs w:val="21"/>
              </w:rPr>
            </w:pPr>
            <w:r>
              <w:rPr>
                <w:rFonts w:ascii="Times New Roman" w:cs="Times New Roman"/>
                <w:kern w:val="2"/>
                <w:sz w:val="21"/>
                <w:szCs w:val="21"/>
              </w:rPr>
              <w:t>8000～15000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177" w:type="dxa"/>
            <w:vAlign w:val="center"/>
          </w:tcPr>
          <w:p>
            <w:pPr>
              <w:pStyle w:val="31"/>
              <w:jc w:val="center"/>
              <w:rPr>
                <w:rFonts w:ascii="Times New Roman" w:hAnsi="Times New Roman"/>
                <w:kern w:val="2"/>
                <w:sz w:val="21"/>
              </w:rPr>
            </w:pPr>
            <w:r>
              <w:rPr>
                <w:rFonts w:ascii="Times New Roman" w:hAnsi="Times New Roman"/>
                <w:kern w:val="2"/>
                <w:sz w:val="21"/>
              </w:rPr>
              <w:t>剧烈侵蚀</w:t>
            </w:r>
          </w:p>
        </w:tc>
        <w:tc>
          <w:tcPr>
            <w:tcW w:w="3237" w:type="dxa"/>
            <w:vAlign w:val="center"/>
          </w:tcPr>
          <w:p>
            <w:pPr>
              <w:spacing w:line="240" w:lineRule="auto"/>
              <w:ind w:firstLine="420"/>
              <w:jc w:val="center"/>
              <w:rPr>
                <w:rFonts w:ascii="Times New Roman" w:cs="Times New Roman"/>
                <w:kern w:val="2"/>
                <w:sz w:val="21"/>
                <w:szCs w:val="21"/>
              </w:rPr>
            </w:pPr>
            <w:r>
              <w:rPr>
                <w:rFonts w:ascii="Times New Roman" w:cs="Times New Roman"/>
                <w:kern w:val="2"/>
                <w:sz w:val="21"/>
                <w:szCs w:val="21"/>
              </w:rPr>
              <w:t>＞15000</w:t>
            </w:r>
          </w:p>
        </w:tc>
      </w:tr>
    </w:tbl>
    <w:p>
      <w:pPr>
        <w:spacing w:line="500" w:lineRule="exact"/>
        <w:ind w:left="60" w:right="100" w:firstLine="482"/>
        <w:jc w:val="center"/>
        <w:rPr>
          <w:rFonts w:ascii="Times New Roman" w:cs="Times New Roman"/>
          <w:b/>
          <w:szCs w:val="20"/>
        </w:rPr>
      </w:pPr>
      <w:r>
        <w:rPr>
          <w:rFonts w:ascii="Times New Roman" w:cs="Times New Roman"/>
          <w:b/>
          <w:szCs w:val="20"/>
        </w:rPr>
        <w:t>表5.2-6 评价范围内土壤侵蚀状况表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61"/>
        <w:gridCol w:w="2984"/>
        <w:gridCol w:w="29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blHeader/>
          <w:jc w:val="center"/>
        </w:trPr>
        <w:tc>
          <w:tcPr>
            <w:tcW w:w="2897" w:type="dxa"/>
            <w:vAlign w:val="center"/>
          </w:tcPr>
          <w:p>
            <w:pPr>
              <w:widowControl/>
              <w:ind w:firstLine="422"/>
              <w:jc w:val="center"/>
              <w:rPr>
                <w:rFonts w:ascii="Times New Roman" w:cs="Times New Roman"/>
                <w:b/>
                <w:kern w:val="2"/>
                <w:sz w:val="21"/>
                <w:szCs w:val="21"/>
              </w:rPr>
            </w:pPr>
            <w:r>
              <w:rPr>
                <w:rFonts w:ascii="Times New Roman" w:cs="Times New Roman"/>
                <w:b/>
                <w:kern w:val="2"/>
                <w:sz w:val="21"/>
                <w:szCs w:val="21"/>
              </w:rPr>
              <w:t>土壤侵蚀强度</w:t>
            </w:r>
          </w:p>
        </w:tc>
        <w:tc>
          <w:tcPr>
            <w:tcW w:w="2824" w:type="dxa"/>
            <w:vAlign w:val="center"/>
          </w:tcPr>
          <w:p>
            <w:pPr>
              <w:widowControl/>
              <w:ind w:firstLine="422"/>
              <w:jc w:val="center"/>
              <w:rPr>
                <w:rFonts w:ascii="Times New Roman" w:cs="Times New Roman"/>
                <w:b/>
                <w:kern w:val="2"/>
                <w:sz w:val="21"/>
                <w:szCs w:val="21"/>
              </w:rPr>
            </w:pPr>
            <w:r>
              <w:rPr>
                <w:rFonts w:ascii="Times New Roman" w:cs="Times New Roman"/>
                <w:b/>
                <w:kern w:val="2"/>
                <w:sz w:val="21"/>
                <w:szCs w:val="21"/>
              </w:rPr>
              <w:t>面积（hm</w:t>
            </w:r>
            <w:r>
              <w:rPr>
                <w:rFonts w:ascii="Times New Roman" w:cs="Times New Roman"/>
                <w:b/>
                <w:kern w:val="2"/>
                <w:sz w:val="21"/>
                <w:szCs w:val="21"/>
                <w:vertAlign w:val="superscript"/>
              </w:rPr>
              <w:t>2</w:t>
            </w:r>
            <w:r>
              <w:rPr>
                <w:rFonts w:ascii="Times New Roman" w:cs="Times New Roman"/>
                <w:b/>
                <w:kern w:val="2"/>
                <w:sz w:val="21"/>
                <w:szCs w:val="21"/>
              </w:rPr>
              <w:t>）</w:t>
            </w:r>
          </w:p>
        </w:tc>
        <w:tc>
          <w:tcPr>
            <w:tcW w:w="2801" w:type="dxa"/>
            <w:vAlign w:val="center"/>
          </w:tcPr>
          <w:p>
            <w:pPr>
              <w:widowControl/>
              <w:ind w:firstLine="422"/>
              <w:jc w:val="center"/>
              <w:rPr>
                <w:rFonts w:ascii="Times New Roman" w:cs="Times New Roman"/>
                <w:b/>
                <w:kern w:val="2"/>
                <w:sz w:val="21"/>
                <w:szCs w:val="21"/>
              </w:rPr>
            </w:pPr>
            <w:r>
              <w:rPr>
                <w:rFonts w:ascii="Times New Roman" w:cs="Times New Roman"/>
                <w:b/>
                <w:kern w:val="2"/>
                <w:sz w:val="21"/>
                <w:szCs w:val="21"/>
              </w:rPr>
              <w:t>百分比（%）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897" w:type="dxa"/>
            <w:vAlign w:val="center"/>
          </w:tcPr>
          <w:p>
            <w:pPr>
              <w:widowControl/>
              <w:ind w:firstLine="420"/>
              <w:jc w:val="center"/>
              <w:textAlignment w:val="center"/>
              <w:rPr>
                <w:rFonts w:ascii="Times New Roman" w:cs="Times New Roman"/>
                <w:kern w:val="2"/>
                <w:sz w:val="21"/>
                <w:szCs w:val="21"/>
              </w:rPr>
            </w:pPr>
            <w:r>
              <w:rPr>
                <w:rFonts w:ascii="Times New Roman" w:cs="Times New Roman"/>
                <w:kern w:val="2"/>
                <w:sz w:val="21"/>
                <w:szCs w:val="21"/>
              </w:rPr>
              <w:t>微度侵蚀</w:t>
            </w:r>
          </w:p>
        </w:tc>
        <w:tc>
          <w:tcPr>
            <w:tcW w:w="2824" w:type="dxa"/>
            <w:vAlign w:val="center"/>
          </w:tcPr>
          <w:p>
            <w:pPr>
              <w:widowControl/>
              <w:ind w:firstLine="420"/>
              <w:jc w:val="center"/>
              <w:textAlignment w:val="center"/>
              <w:rPr>
                <w:rFonts w:ascii="Times New Roman" w:cs="Times New Roman"/>
                <w:kern w:val="2"/>
                <w:sz w:val="21"/>
                <w:szCs w:val="21"/>
              </w:rPr>
            </w:pPr>
            <w:r>
              <w:rPr>
                <w:rFonts w:ascii="Times New Roman" w:cs="Times New Roman"/>
                <w:kern w:val="2"/>
                <w:sz w:val="21"/>
                <w:szCs w:val="21"/>
              </w:rPr>
              <w:t xml:space="preserve">26.1 </w:t>
            </w:r>
          </w:p>
        </w:tc>
        <w:tc>
          <w:tcPr>
            <w:tcW w:w="2801" w:type="dxa"/>
            <w:vAlign w:val="center"/>
          </w:tcPr>
          <w:p>
            <w:pPr>
              <w:widowControl/>
              <w:ind w:firstLine="420"/>
              <w:jc w:val="center"/>
              <w:textAlignment w:val="center"/>
              <w:rPr>
                <w:rFonts w:ascii="Times New Roman" w:cs="Times New Roman"/>
                <w:kern w:val="2"/>
                <w:sz w:val="21"/>
                <w:szCs w:val="21"/>
              </w:rPr>
            </w:pPr>
            <w:r>
              <w:rPr>
                <w:rFonts w:ascii="Times New Roman" w:cs="Times New Roman"/>
                <w:kern w:val="2"/>
                <w:sz w:val="21"/>
                <w:szCs w:val="21"/>
              </w:rPr>
              <w:t>72.83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897" w:type="dxa"/>
            <w:vAlign w:val="center"/>
          </w:tcPr>
          <w:p>
            <w:pPr>
              <w:widowControl/>
              <w:ind w:firstLine="420"/>
              <w:jc w:val="center"/>
              <w:textAlignment w:val="center"/>
              <w:rPr>
                <w:rFonts w:ascii="Times New Roman" w:cs="Times New Roman"/>
                <w:kern w:val="2"/>
                <w:sz w:val="21"/>
                <w:szCs w:val="21"/>
              </w:rPr>
            </w:pPr>
            <w:r>
              <w:rPr>
                <w:rFonts w:ascii="Times New Roman" w:cs="Times New Roman"/>
                <w:kern w:val="2"/>
                <w:sz w:val="21"/>
                <w:szCs w:val="21"/>
              </w:rPr>
              <w:t>轻度侵蚀</w:t>
            </w:r>
          </w:p>
        </w:tc>
        <w:tc>
          <w:tcPr>
            <w:tcW w:w="2824" w:type="dxa"/>
            <w:vAlign w:val="center"/>
          </w:tcPr>
          <w:p>
            <w:pPr>
              <w:widowControl/>
              <w:ind w:firstLine="420"/>
              <w:jc w:val="center"/>
              <w:textAlignment w:val="center"/>
              <w:rPr>
                <w:rFonts w:ascii="Times New Roman" w:cs="Times New Roman"/>
                <w:kern w:val="2"/>
                <w:sz w:val="21"/>
                <w:szCs w:val="21"/>
              </w:rPr>
            </w:pPr>
            <w:r>
              <w:rPr>
                <w:rFonts w:ascii="Times New Roman" w:cs="Times New Roman"/>
                <w:kern w:val="2"/>
                <w:sz w:val="21"/>
                <w:szCs w:val="21"/>
              </w:rPr>
              <w:t xml:space="preserve">7.6 </w:t>
            </w:r>
          </w:p>
        </w:tc>
        <w:tc>
          <w:tcPr>
            <w:tcW w:w="2801" w:type="dxa"/>
            <w:vAlign w:val="center"/>
          </w:tcPr>
          <w:p>
            <w:pPr>
              <w:widowControl/>
              <w:ind w:firstLine="420"/>
              <w:jc w:val="center"/>
              <w:textAlignment w:val="center"/>
              <w:rPr>
                <w:rFonts w:ascii="Times New Roman" w:cs="Times New Roman"/>
                <w:kern w:val="2"/>
                <w:sz w:val="21"/>
                <w:szCs w:val="21"/>
              </w:rPr>
            </w:pPr>
            <w:r>
              <w:rPr>
                <w:rFonts w:ascii="Times New Roman" w:cs="Times New Roman"/>
                <w:kern w:val="2"/>
                <w:sz w:val="21"/>
                <w:szCs w:val="21"/>
              </w:rPr>
              <w:t>21.24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897" w:type="dxa"/>
            <w:vAlign w:val="center"/>
          </w:tcPr>
          <w:p>
            <w:pPr>
              <w:widowControl/>
              <w:ind w:firstLine="420"/>
              <w:jc w:val="center"/>
              <w:textAlignment w:val="center"/>
              <w:rPr>
                <w:rFonts w:ascii="Times New Roman" w:cs="Times New Roman"/>
                <w:kern w:val="2"/>
                <w:sz w:val="21"/>
                <w:szCs w:val="21"/>
              </w:rPr>
            </w:pPr>
            <w:r>
              <w:rPr>
                <w:rFonts w:ascii="Times New Roman" w:cs="Times New Roman"/>
                <w:kern w:val="2"/>
                <w:sz w:val="21"/>
                <w:szCs w:val="21"/>
              </w:rPr>
              <w:t>中度侵蚀</w:t>
            </w:r>
          </w:p>
        </w:tc>
        <w:tc>
          <w:tcPr>
            <w:tcW w:w="2824" w:type="dxa"/>
            <w:vAlign w:val="center"/>
          </w:tcPr>
          <w:p>
            <w:pPr>
              <w:widowControl/>
              <w:ind w:firstLine="420"/>
              <w:jc w:val="center"/>
              <w:textAlignment w:val="center"/>
              <w:rPr>
                <w:rFonts w:ascii="Times New Roman" w:cs="Times New Roman"/>
                <w:kern w:val="2"/>
                <w:sz w:val="21"/>
                <w:szCs w:val="21"/>
              </w:rPr>
            </w:pPr>
            <w:r>
              <w:rPr>
                <w:rFonts w:ascii="Times New Roman" w:cs="Times New Roman"/>
                <w:kern w:val="2"/>
                <w:sz w:val="21"/>
                <w:szCs w:val="21"/>
              </w:rPr>
              <w:t xml:space="preserve">0.8 </w:t>
            </w:r>
          </w:p>
        </w:tc>
        <w:tc>
          <w:tcPr>
            <w:tcW w:w="2801" w:type="dxa"/>
            <w:vAlign w:val="center"/>
          </w:tcPr>
          <w:p>
            <w:pPr>
              <w:widowControl/>
              <w:ind w:firstLine="420"/>
              <w:jc w:val="center"/>
              <w:textAlignment w:val="center"/>
              <w:rPr>
                <w:rFonts w:ascii="Times New Roman" w:cs="Times New Roman"/>
                <w:kern w:val="2"/>
                <w:sz w:val="21"/>
                <w:szCs w:val="21"/>
              </w:rPr>
            </w:pPr>
            <w:r>
              <w:rPr>
                <w:rFonts w:ascii="Times New Roman" w:cs="Times New Roman"/>
                <w:kern w:val="2"/>
                <w:sz w:val="21"/>
                <w:szCs w:val="21"/>
              </w:rPr>
              <w:t>2.29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897" w:type="dxa"/>
            <w:vAlign w:val="bottom"/>
          </w:tcPr>
          <w:p>
            <w:pPr>
              <w:widowControl/>
              <w:ind w:firstLine="420"/>
              <w:jc w:val="center"/>
              <w:textAlignment w:val="bottom"/>
              <w:rPr>
                <w:rFonts w:ascii="Times New Roman" w:cs="Times New Roman"/>
                <w:kern w:val="2"/>
                <w:sz w:val="21"/>
                <w:szCs w:val="21"/>
              </w:rPr>
            </w:pPr>
            <w:r>
              <w:rPr>
                <w:rFonts w:ascii="Times New Roman" w:cs="Times New Roman"/>
                <w:kern w:val="2"/>
                <w:sz w:val="21"/>
                <w:szCs w:val="21"/>
              </w:rPr>
              <w:t>强烈侵蚀</w:t>
            </w:r>
          </w:p>
        </w:tc>
        <w:tc>
          <w:tcPr>
            <w:tcW w:w="2824" w:type="dxa"/>
            <w:vAlign w:val="center"/>
          </w:tcPr>
          <w:p>
            <w:pPr>
              <w:widowControl/>
              <w:ind w:firstLine="420"/>
              <w:jc w:val="center"/>
              <w:textAlignment w:val="center"/>
              <w:rPr>
                <w:rFonts w:ascii="Times New Roman" w:cs="Times New Roman"/>
                <w:kern w:val="2"/>
                <w:sz w:val="21"/>
                <w:szCs w:val="21"/>
              </w:rPr>
            </w:pPr>
            <w:r>
              <w:rPr>
                <w:rFonts w:ascii="Times New Roman" w:cs="Times New Roman"/>
                <w:kern w:val="2"/>
                <w:sz w:val="21"/>
                <w:szCs w:val="21"/>
              </w:rPr>
              <w:t xml:space="preserve">0.2 </w:t>
            </w:r>
          </w:p>
        </w:tc>
        <w:tc>
          <w:tcPr>
            <w:tcW w:w="2801" w:type="dxa"/>
            <w:vAlign w:val="center"/>
          </w:tcPr>
          <w:p>
            <w:pPr>
              <w:widowControl/>
              <w:ind w:firstLine="420"/>
              <w:jc w:val="center"/>
              <w:textAlignment w:val="center"/>
              <w:rPr>
                <w:rFonts w:ascii="Times New Roman" w:cs="Times New Roman"/>
                <w:kern w:val="2"/>
                <w:sz w:val="21"/>
                <w:szCs w:val="21"/>
              </w:rPr>
            </w:pPr>
            <w:r>
              <w:rPr>
                <w:rFonts w:ascii="Times New Roman" w:cs="Times New Roman"/>
                <w:kern w:val="2"/>
                <w:sz w:val="21"/>
                <w:szCs w:val="21"/>
              </w:rPr>
              <w:t>0.44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897" w:type="dxa"/>
            <w:vAlign w:val="bottom"/>
          </w:tcPr>
          <w:p>
            <w:pPr>
              <w:widowControl/>
              <w:ind w:firstLine="420"/>
              <w:jc w:val="center"/>
              <w:textAlignment w:val="bottom"/>
              <w:rPr>
                <w:rFonts w:ascii="Times New Roman" w:cs="Times New Roman"/>
                <w:kern w:val="2"/>
                <w:sz w:val="21"/>
                <w:szCs w:val="21"/>
              </w:rPr>
            </w:pPr>
            <w:r>
              <w:rPr>
                <w:rFonts w:ascii="Times New Roman" w:cs="Times New Roman"/>
                <w:kern w:val="2"/>
                <w:sz w:val="21"/>
                <w:szCs w:val="21"/>
              </w:rPr>
              <w:t>合计</w:t>
            </w:r>
          </w:p>
        </w:tc>
        <w:tc>
          <w:tcPr>
            <w:tcW w:w="2824" w:type="dxa"/>
            <w:vAlign w:val="center"/>
          </w:tcPr>
          <w:p>
            <w:pPr>
              <w:widowControl/>
              <w:ind w:firstLine="420"/>
              <w:jc w:val="center"/>
              <w:textAlignment w:val="center"/>
              <w:rPr>
                <w:rFonts w:ascii="Times New Roman" w:cs="Times New Roman"/>
                <w:kern w:val="2"/>
                <w:sz w:val="21"/>
                <w:szCs w:val="21"/>
              </w:rPr>
            </w:pPr>
            <w:r>
              <w:rPr>
                <w:rFonts w:ascii="Times New Roman" w:cs="Times New Roman"/>
                <w:kern w:val="2"/>
                <w:sz w:val="21"/>
                <w:szCs w:val="21"/>
              </w:rPr>
              <w:t>35.8</w:t>
            </w:r>
          </w:p>
        </w:tc>
        <w:tc>
          <w:tcPr>
            <w:tcW w:w="2801" w:type="dxa"/>
            <w:vAlign w:val="center"/>
          </w:tcPr>
          <w:p>
            <w:pPr>
              <w:widowControl/>
              <w:ind w:firstLine="420"/>
              <w:jc w:val="center"/>
              <w:textAlignment w:val="center"/>
              <w:rPr>
                <w:rFonts w:ascii="Times New Roman" w:cs="Times New Roman"/>
                <w:kern w:val="2"/>
                <w:sz w:val="21"/>
                <w:szCs w:val="21"/>
              </w:rPr>
            </w:pPr>
            <w:r>
              <w:rPr>
                <w:rFonts w:ascii="Times New Roman" w:cs="Times New Roman"/>
                <w:kern w:val="2"/>
                <w:sz w:val="21"/>
                <w:szCs w:val="21"/>
              </w:rPr>
              <w:t>100</w:t>
            </w:r>
          </w:p>
        </w:tc>
      </w:tr>
    </w:tbl>
    <w:p>
      <w:pPr>
        <w:snapToGrid w:val="0"/>
        <w:ind w:firstLine="480"/>
        <w:rPr>
          <w:rFonts w:ascii="Times New Roman" w:cs="Times New Roman"/>
        </w:rPr>
      </w:pPr>
      <w:r>
        <w:rPr>
          <w:rFonts w:ascii="Times New Roman" w:cs="Times New Roman"/>
        </w:rPr>
        <w:t>从表5.2-6可看出，本次评价范围内以微度侵蚀为主，其次为轻度侵蚀及中度侵蚀。</w:t>
      </w:r>
    </w:p>
    <w:p>
      <w:pPr>
        <w:snapToGrid w:val="0"/>
        <w:ind w:firstLine="480"/>
        <w:rPr>
          <w:rFonts w:ascii="Times New Roman" w:cs="Times New Roman"/>
        </w:rPr>
      </w:pPr>
      <w:r>
        <w:rPr>
          <w:rFonts w:ascii="Times New Roman" w:cs="Times New Roman"/>
        </w:rPr>
        <w:t>评价范围内土壤侵蚀主要原因包含自然因素和人为因素，其中：</w:t>
      </w:r>
    </w:p>
    <w:p>
      <w:pPr>
        <w:snapToGrid w:val="0"/>
        <w:ind w:firstLine="480"/>
        <w:rPr>
          <w:rFonts w:ascii="Times New Roman" w:cs="Times New Roman"/>
        </w:rPr>
      </w:pPr>
      <w:r>
        <w:rPr>
          <w:rFonts w:ascii="Times New Roman" w:cs="Times New Roman"/>
        </w:rPr>
        <w:t>1）自然因素</w:t>
      </w:r>
    </w:p>
    <w:p>
      <w:pPr>
        <w:snapToGrid w:val="0"/>
        <w:ind w:firstLine="480"/>
        <w:rPr>
          <w:rFonts w:ascii="Times New Roman" w:cs="Times New Roman"/>
        </w:rPr>
      </w:pPr>
      <w:r>
        <w:rPr>
          <w:rFonts w:ascii="Times New Roman" w:cs="Times New Roman"/>
        </w:rPr>
        <w:t>造成水土流失的自然因素主要有降雨、地形地貌、植被、地质、土壤等因素。</w:t>
      </w:r>
    </w:p>
    <w:p>
      <w:pPr>
        <w:snapToGrid w:val="0"/>
        <w:ind w:firstLine="480"/>
        <w:rPr>
          <w:rFonts w:ascii="Times New Roman" w:cs="Times New Roman"/>
        </w:rPr>
      </w:pPr>
      <w:r>
        <w:rPr>
          <w:rFonts w:ascii="Times New Roman" w:cs="Times New Roman"/>
        </w:rPr>
        <w:t>降雨：降雨历时短，强度大，年平均降水量1132.69mm。</w:t>
      </w:r>
    </w:p>
    <w:p>
      <w:pPr>
        <w:snapToGrid w:val="0"/>
        <w:ind w:firstLine="480"/>
        <w:rPr>
          <w:rFonts w:ascii="Times New Roman" w:cs="Times New Roman"/>
        </w:rPr>
      </w:pPr>
      <w:r>
        <w:rPr>
          <w:rFonts w:ascii="Times New Roman" w:cs="Times New Roman"/>
        </w:rPr>
        <w:t>地形地貌：评价范围周围以中低山为主，坡面长，地面径流汇集速度快，冲刷力强，加剧水土流失。</w:t>
      </w:r>
    </w:p>
    <w:p>
      <w:pPr>
        <w:snapToGrid w:val="0"/>
        <w:ind w:firstLine="480"/>
        <w:rPr>
          <w:rFonts w:ascii="Times New Roman" w:cs="Times New Roman"/>
        </w:rPr>
      </w:pPr>
      <w:r>
        <w:rPr>
          <w:rFonts w:ascii="Times New Roman" w:cs="Times New Roman"/>
        </w:rPr>
        <w:t>2）人为因素</w:t>
      </w:r>
    </w:p>
    <w:p>
      <w:pPr>
        <w:snapToGrid w:val="0"/>
        <w:ind w:firstLine="480"/>
        <w:rPr>
          <w:rFonts w:ascii="Times New Roman" w:cs="Times New Roman"/>
        </w:rPr>
      </w:pPr>
      <w:r>
        <w:rPr>
          <w:rFonts w:ascii="Times New Roman" w:cs="Times New Roman"/>
        </w:rPr>
        <w:t>由于种种历史原因，一些群众对水土保持工作认识不足，只顾眼前经济利益，不顾长远生态效益，毁林开荒、乱砍滥伐等现象依然存在，重开发、轻治理，在开发建设和生产活动中无论是单位或个人都忽视水土保持措施，造成新的水土流失和破坏。</w:t>
      </w:r>
    </w:p>
    <w:p>
      <w:pPr>
        <w:numPr>
          <w:ilvl w:val="0"/>
          <w:numId w:val="3"/>
        </w:numPr>
        <w:topLinePunct w:val="0"/>
        <w:snapToGrid w:val="0"/>
        <w:spacing w:before="156" w:beforeLines="50"/>
        <w:ind w:firstLine="482"/>
        <w:rPr>
          <w:rFonts w:ascii="Times New Roman" w:cs="Times New Roman"/>
          <w:b/>
          <w:bCs/>
        </w:rPr>
      </w:pPr>
      <w:r>
        <w:rPr>
          <w:rFonts w:ascii="Times New Roman" w:cs="Times New Roman"/>
          <w:b/>
          <w:bCs/>
        </w:rPr>
        <w:t>植被覆盖度分布特征</w:t>
      </w:r>
    </w:p>
    <w:p>
      <w:pPr>
        <w:pStyle w:val="114"/>
        <w:ind w:firstLine="480"/>
      </w:pPr>
      <w:r>
        <w:t>根据遥感解译结果，参照《生态环境状况评价技术规范》（HJ192-2015，2015-03-13）、《土壤侵蚀分类分级标准》（SL190-2007，2008-01-04），评价区植被覆盖度划分为高覆盖度（&gt;70%）、中高覆盖度（50%～70%）、中覆盖度（30%～50%）三个级别，栽培植被不分等级</w:t>
      </w:r>
      <w:bookmarkStart w:id="408" w:name="_Toc25682918"/>
      <w:r>
        <w:t>，植被覆盖度分布特征及解译结果</w:t>
      </w:r>
      <w:bookmarkEnd w:id="408"/>
      <w:r>
        <w:t>见下表。</w:t>
      </w:r>
    </w:p>
    <w:p>
      <w:pPr>
        <w:topLinePunct w:val="0"/>
        <w:autoSpaceDE w:val="0"/>
        <w:autoSpaceDN w:val="0"/>
        <w:spacing w:before="156" w:beforeLines="50" w:line="240" w:lineRule="auto"/>
        <w:ind w:firstLine="0" w:firstLineChars="0"/>
        <w:jc w:val="center"/>
        <w:rPr>
          <w:rFonts w:ascii="Times New Roman" w:cs="Times New Roman"/>
          <w:b/>
          <w:sz w:val="21"/>
        </w:rPr>
      </w:pPr>
      <w:r>
        <w:rPr>
          <w:rFonts w:ascii="Times New Roman" w:cs="Times New Roman"/>
          <w:b/>
          <w:sz w:val="21"/>
        </w:rPr>
        <w:t>表5.2-7 植被覆盖度分布面积统计表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39"/>
        <w:gridCol w:w="3100"/>
        <w:gridCol w:w="16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012" w:type="dxa"/>
            <w:vMerge w:val="restart"/>
            <w:shd w:val="clear" w:color="auto" w:fill="auto"/>
            <w:noWrap/>
            <w:vAlign w:val="center"/>
          </w:tcPr>
          <w:p>
            <w:pPr>
              <w:topLinePunct w:val="0"/>
              <w:snapToGrid w:val="0"/>
              <w:spacing w:line="260" w:lineRule="exact"/>
              <w:ind w:firstLine="0" w:firstLineChars="0"/>
              <w:jc w:val="center"/>
              <w:rPr>
                <w:rFonts w:ascii="Times New Roman" w:cs="Times New Roman"/>
                <w:b/>
                <w:bCs/>
                <w:kern w:val="2"/>
                <w:sz w:val="21"/>
                <w:szCs w:val="21"/>
              </w:rPr>
            </w:pPr>
            <w:r>
              <w:rPr>
                <w:rFonts w:ascii="Times New Roman" w:cs="Times New Roman"/>
                <w:b/>
                <w:bCs/>
                <w:kern w:val="2"/>
                <w:sz w:val="21"/>
                <w:szCs w:val="21"/>
              </w:rPr>
              <w:t>植被覆盖度类型</w:t>
            </w:r>
          </w:p>
        </w:tc>
        <w:tc>
          <w:tcPr>
            <w:tcW w:w="4510" w:type="dxa"/>
            <w:gridSpan w:val="2"/>
            <w:shd w:val="clear" w:color="000000" w:fill="FFFFFF"/>
            <w:noWrap/>
            <w:vAlign w:val="center"/>
          </w:tcPr>
          <w:p>
            <w:pPr>
              <w:topLinePunct w:val="0"/>
              <w:snapToGrid w:val="0"/>
              <w:spacing w:line="260" w:lineRule="exact"/>
              <w:ind w:firstLine="0" w:firstLineChars="0"/>
              <w:jc w:val="center"/>
              <w:rPr>
                <w:rFonts w:ascii="Times New Roman" w:cs="Times New Roman"/>
                <w:b/>
                <w:bCs/>
                <w:kern w:val="2"/>
                <w:sz w:val="21"/>
                <w:szCs w:val="21"/>
              </w:rPr>
            </w:pPr>
            <w:r>
              <w:rPr>
                <w:rFonts w:ascii="Times New Roman" w:cs="Times New Roman"/>
                <w:b/>
                <w:bCs/>
                <w:kern w:val="2"/>
                <w:sz w:val="21"/>
                <w:szCs w:val="21"/>
              </w:rPr>
              <w:t>评价区范围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012" w:type="dxa"/>
            <w:vMerge w:val="continue"/>
            <w:shd w:val="clear" w:color="auto" w:fill="auto"/>
            <w:vAlign w:val="center"/>
          </w:tcPr>
          <w:p>
            <w:pPr>
              <w:topLinePunct w:val="0"/>
              <w:snapToGrid w:val="0"/>
              <w:spacing w:line="260" w:lineRule="exact"/>
              <w:ind w:firstLine="0" w:firstLineChars="0"/>
              <w:jc w:val="center"/>
              <w:rPr>
                <w:rFonts w:ascii="Times New Roman" w:cs="Times New Roman"/>
                <w:b/>
                <w:bCs/>
                <w:kern w:val="2"/>
                <w:sz w:val="21"/>
                <w:szCs w:val="21"/>
              </w:rPr>
            </w:pPr>
          </w:p>
        </w:tc>
        <w:tc>
          <w:tcPr>
            <w:tcW w:w="2934" w:type="dxa"/>
            <w:shd w:val="clear" w:color="000000" w:fill="FFFFFF"/>
            <w:noWrap/>
            <w:vAlign w:val="center"/>
          </w:tcPr>
          <w:p>
            <w:pPr>
              <w:topLinePunct w:val="0"/>
              <w:snapToGrid w:val="0"/>
              <w:spacing w:line="260" w:lineRule="exact"/>
              <w:ind w:firstLine="0" w:firstLineChars="0"/>
              <w:jc w:val="center"/>
              <w:rPr>
                <w:rFonts w:ascii="Times New Roman" w:cs="Times New Roman"/>
                <w:b/>
                <w:bCs/>
                <w:kern w:val="2"/>
                <w:sz w:val="21"/>
                <w:szCs w:val="21"/>
              </w:rPr>
            </w:pPr>
            <w:r>
              <w:rPr>
                <w:rFonts w:ascii="Times New Roman" w:cs="Times New Roman"/>
                <w:b/>
                <w:bCs/>
                <w:kern w:val="2"/>
                <w:sz w:val="21"/>
                <w:szCs w:val="21"/>
              </w:rPr>
              <w:t>面积（hm</w:t>
            </w:r>
            <w:r>
              <w:rPr>
                <w:rFonts w:ascii="Times New Roman" w:cs="Times New Roman"/>
                <w:b/>
                <w:bCs/>
                <w:kern w:val="2"/>
                <w:sz w:val="21"/>
                <w:szCs w:val="21"/>
                <w:vertAlign w:val="superscript"/>
              </w:rPr>
              <w:t>2</w:t>
            </w:r>
            <w:r>
              <w:rPr>
                <w:rFonts w:ascii="Times New Roman" w:cs="Times New Roman"/>
                <w:b/>
                <w:bCs/>
                <w:kern w:val="2"/>
                <w:sz w:val="21"/>
                <w:szCs w:val="21"/>
              </w:rPr>
              <w:t>）</w:t>
            </w:r>
          </w:p>
        </w:tc>
        <w:tc>
          <w:tcPr>
            <w:tcW w:w="1576" w:type="dxa"/>
            <w:shd w:val="clear" w:color="000000" w:fill="FFFFFF"/>
            <w:noWrap/>
            <w:vAlign w:val="center"/>
          </w:tcPr>
          <w:p>
            <w:pPr>
              <w:topLinePunct w:val="0"/>
              <w:snapToGrid w:val="0"/>
              <w:spacing w:line="260" w:lineRule="exact"/>
              <w:ind w:firstLine="0" w:firstLineChars="0"/>
              <w:jc w:val="center"/>
              <w:rPr>
                <w:rFonts w:ascii="Times New Roman" w:cs="Times New Roman"/>
                <w:b/>
                <w:bCs/>
                <w:kern w:val="2"/>
                <w:sz w:val="21"/>
                <w:szCs w:val="21"/>
              </w:rPr>
            </w:pPr>
            <w:r>
              <w:rPr>
                <w:rFonts w:ascii="Times New Roman" w:cs="Times New Roman"/>
                <w:b/>
                <w:bCs/>
                <w:kern w:val="2"/>
                <w:sz w:val="21"/>
                <w:szCs w:val="21"/>
              </w:rPr>
              <w:t>占比（%）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012" w:type="dxa"/>
            <w:shd w:val="clear" w:color="auto" w:fill="FFFFFF"/>
            <w:noWrap/>
            <w:vAlign w:val="center"/>
          </w:tcPr>
          <w:p>
            <w:pPr>
              <w:topLinePunct w:val="0"/>
              <w:snapToGrid w:val="0"/>
              <w:spacing w:line="260" w:lineRule="exact"/>
              <w:ind w:firstLine="0" w:firstLineChars="0"/>
              <w:jc w:val="center"/>
              <w:rPr>
                <w:rFonts w:ascii="Times New Roman" w:cs="Times New Roman"/>
                <w:kern w:val="2"/>
                <w:sz w:val="21"/>
                <w:szCs w:val="21"/>
              </w:rPr>
            </w:pPr>
            <w:r>
              <w:rPr>
                <w:rFonts w:ascii="Times New Roman" w:cs="Times New Roman"/>
                <w:kern w:val="2"/>
                <w:sz w:val="21"/>
                <w:szCs w:val="21"/>
              </w:rPr>
              <w:t>高覆盖度植被</w:t>
            </w:r>
          </w:p>
        </w:tc>
        <w:tc>
          <w:tcPr>
            <w:tcW w:w="2934" w:type="dxa"/>
            <w:shd w:val="clear" w:color="auto" w:fill="FFFFFF"/>
            <w:noWrap/>
            <w:vAlign w:val="center"/>
          </w:tcPr>
          <w:p>
            <w:pPr>
              <w:topLinePunct w:val="0"/>
              <w:snapToGrid w:val="0"/>
              <w:spacing w:line="260" w:lineRule="exact"/>
              <w:ind w:firstLine="0" w:firstLineChars="0"/>
              <w:jc w:val="center"/>
              <w:rPr>
                <w:rFonts w:ascii="Times New Roman" w:cs="Times New Roman"/>
                <w:kern w:val="2"/>
                <w:sz w:val="21"/>
                <w:szCs w:val="21"/>
              </w:rPr>
            </w:pPr>
            <w:r>
              <w:rPr>
                <w:rFonts w:ascii="Times New Roman" w:cs="Times New Roman"/>
                <w:kern w:val="2"/>
                <w:sz w:val="21"/>
                <w:szCs w:val="21"/>
              </w:rPr>
              <w:t xml:space="preserve">19.5 </w:t>
            </w:r>
          </w:p>
        </w:tc>
        <w:tc>
          <w:tcPr>
            <w:tcW w:w="1576" w:type="dxa"/>
            <w:shd w:val="clear" w:color="auto" w:fill="FFFFFF"/>
            <w:noWrap/>
            <w:vAlign w:val="center"/>
          </w:tcPr>
          <w:p>
            <w:pPr>
              <w:topLinePunct w:val="0"/>
              <w:snapToGrid w:val="0"/>
              <w:spacing w:line="260" w:lineRule="exact"/>
              <w:ind w:firstLine="0" w:firstLineChars="0"/>
              <w:jc w:val="center"/>
              <w:rPr>
                <w:rFonts w:ascii="Times New Roman" w:cs="Times New Roman"/>
                <w:kern w:val="2"/>
                <w:sz w:val="21"/>
                <w:szCs w:val="21"/>
              </w:rPr>
            </w:pPr>
            <w:r>
              <w:rPr>
                <w:rFonts w:ascii="Times New Roman" w:cs="Times New Roman"/>
                <w:kern w:val="2"/>
                <w:sz w:val="21"/>
                <w:szCs w:val="21"/>
              </w:rPr>
              <w:t>54.46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012" w:type="dxa"/>
            <w:shd w:val="clear" w:color="auto" w:fill="FFFFFF"/>
            <w:noWrap/>
            <w:vAlign w:val="center"/>
          </w:tcPr>
          <w:p>
            <w:pPr>
              <w:topLinePunct w:val="0"/>
              <w:snapToGrid w:val="0"/>
              <w:spacing w:line="260" w:lineRule="exact"/>
              <w:ind w:firstLine="0" w:firstLineChars="0"/>
              <w:jc w:val="center"/>
              <w:rPr>
                <w:rFonts w:ascii="Times New Roman" w:cs="Times New Roman"/>
                <w:kern w:val="2"/>
                <w:sz w:val="21"/>
                <w:szCs w:val="21"/>
              </w:rPr>
            </w:pPr>
            <w:r>
              <w:rPr>
                <w:rFonts w:ascii="Times New Roman" w:cs="Times New Roman"/>
                <w:kern w:val="2"/>
                <w:sz w:val="21"/>
                <w:szCs w:val="21"/>
              </w:rPr>
              <w:t>中高覆盖度植被</w:t>
            </w:r>
          </w:p>
        </w:tc>
        <w:tc>
          <w:tcPr>
            <w:tcW w:w="2934" w:type="dxa"/>
            <w:shd w:val="clear" w:color="auto" w:fill="FFFFFF"/>
            <w:noWrap/>
            <w:vAlign w:val="center"/>
          </w:tcPr>
          <w:p>
            <w:pPr>
              <w:topLinePunct w:val="0"/>
              <w:snapToGrid w:val="0"/>
              <w:spacing w:line="260" w:lineRule="exact"/>
              <w:ind w:firstLine="0" w:firstLineChars="0"/>
              <w:jc w:val="center"/>
              <w:rPr>
                <w:rFonts w:ascii="Times New Roman" w:cs="Times New Roman"/>
                <w:kern w:val="2"/>
                <w:sz w:val="21"/>
                <w:szCs w:val="21"/>
              </w:rPr>
            </w:pPr>
            <w:r>
              <w:rPr>
                <w:rFonts w:ascii="Times New Roman" w:cs="Times New Roman"/>
                <w:kern w:val="2"/>
                <w:sz w:val="21"/>
                <w:szCs w:val="21"/>
              </w:rPr>
              <w:t xml:space="preserve">1.7 </w:t>
            </w:r>
          </w:p>
        </w:tc>
        <w:tc>
          <w:tcPr>
            <w:tcW w:w="1576" w:type="dxa"/>
            <w:shd w:val="clear" w:color="auto" w:fill="FFFFFF"/>
            <w:noWrap/>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012" w:type="dxa"/>
            <w:shd w:val="clear" w:color="auto" w:fill="FFFFFF"/>
            <w:noWrap/>
            <w:vAlign w:val="center"/>
          </w:tcPr>
          <w:p>
            <w:pPr>
              <w:topLinePunct w:val="0"/>
              <w:snapToGrid w:val="0"/>
              <w:spacing w:line="260" w:lineRule="exact"/>
              <w:ind w:firstLine="0" w:firstLineChars="0"/>
              <w:jc w:val="center"/>
              <w:rPr>
                <w:rFonts w:ascii="Times New Roman" w:cs="Times New Roman"/>
                <w:kern w:val="2"/>
                <w:sz w:val="21"/>
                <w:szCs w:val="21"/>
              </w:rPr>
            </w:pPr>
            <w:r>
              <w:rPr>
                <w:rFonts w:ascii="Times New Roman" w:cs="Times New Roman"/>
                <w:kern w:val="2"/>
                <w:sz w:val="21"/>
                <w:szCs w:val="21"/>
              </w:rPr>
              <w:t>中覆盖度植被</w:t>
            </w:r>
          </w:p>
        </w:tc>
        <w:tc>
          <w:tcPr>
            <w:tcW w:w="2934" w:type="dxa"/>
            <w:shd w:val="clear" w:color="auto" w:fill="FFFFFF"/>
            <w:noWrap/>
            <w:vAlign w:val="center"/>
          </w:tcPr>
          <w:p>
            <w:pPr>
              <w:topLinePunct w:val="0"/>
              <w:snapToGrid w:val="0"/>
              <w:spacing w:line="260" w:lineRule="exact"/>
              <w:ind w:firstLine="0" w:firstLineChars="0"/>
              <w:jc w:val="center"/>
              <w:rPr>
                <w:rFonts w:ascii="Times New Roman" w:cs="Times New Roman"/>
                <w:kern w:val="2"/>
                <w:sz w:val="21"/>
                <w:szCs w:val="21"/>
              </w:rPr>
            </w:pPr>
            <w:r>
              <w:rPr>
                <w:rFonts w:ascii="Times New Roman" w:cs="Times New Roman"/>
                <w:kern w:val="2"/>
                <w:sz w:val="21"/>
                <w:szCs w:val="21"/>
              </w:rPr>
              <w:t xml:space="preserve">2.1 </w:t>
            </w:r>
          </w:p>
        </w:tc>
        <w:tc>
          <w:tcPr>
            <w:tcW w:w="1576" w:type="dxa"/>
            <w:shd w:val="clear" w:color="auto" w:fill="FFFFFF"/>
            <w:noWrap/>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012" w:type="dxa"/>
            <w:shd w:val="clear" w:color="auto" w:fill="FFFFFF"/>
            <w:noWrap/>
            <w:vAlign w:val="center"/>
          </w:tcPr>
          <w:p>
            <w:pPr>
              <w:topLinePunct w:val="0"/>
              <w:snapToGrid w:val="0"/>
              <w:spacing w:line="260" w:lineRule="exact"/>
              <w:ind w:firstLine="0" w:firstLineChars="0"/>
              <w:jc w:val="center"/>
              <w:rPr>
                <w:rFonts w:ascii="Times New Roman" w:cs="Times New Roman"/>
                <w:kern w:val="2"/>
                <w:sz w:val="21"/>
                <w:szCs w:val="21"/>
              </w:rPr>
            </w:pPr>
            <w:r>
              <w:rPr>
                <w:rFonts w:ascii="Times New Roman" w:cs="Times New Roman"/>
                <w:kern w:val="2"/>
                <w:sz w:val="21"/>
                <w:szCs w:val="21"/>
              </w:rPr>
              <w:t>栽培植被</w:t>
            </w:r>
          </w:p>
        </w:tc>
        <w:tc>
          <w:tcPr>
            <w:tcW w:w="2934" w:type="dxa"/>
            <w:shd w:val="clear" w:color="auto" w:fill="FFFFFF"/>
            <w:noWrap/>
            <w:vAlign w:val="center"/>
          </w:tcPr>
          <w:p>
            <w:pPr>
              <w:topLinePunct w:val="0"/>
              <w:snapToGrid w:val="0"/>
              <w:spacing w:line="260" w:lineRule="exact"/>
              <w:ind w:firstLine="0" w:firstLineChars="0"/>
              <w:jc w:val="center"/>
              <w:rPr>
                <w:rFonts w:ascii="Times New Roman" w:cs="Times New Roman"/>
                <w:kern w:val="2"/>
                <w:sz w:val="21"/>
                <w:szCs w:val="21"/>
              </w:rPr>
            </w:pPr>
            <w:r>
              <w:rPr>
                <w:rFonts w:ascii="Times New Roman" w:cs="Times New Roman"/>
                <w:kern w:val="2"/>
                <w:sz w:val="21"/>
                <w:szCs w:val="21"/>
              </w:rPr>
              <w:t xml:space="preserve">9.1 </w:t>
            </w:r>
          </w:p>
        </w:tc>
        <w:tc>
          <w:tcPr>
            <w:tcW w:w="1576" w:type="dxa"/>
            <w:shd w:val="clear" w:color="auto" w:fill="FFFFFF"/>
            <w:noWrap/>
            <w:vAlign w:val="center"/>
          </w:tcPr>
          <w:p>
            <w:pPr>
              <w:topLinePunct w:val="0"/>
              <w:snapToGrid w:val="0"/>
              <w:spacing w:line="260" w:lineRule="exact"/>
              <w:ind w:firstLine="0" w:firstLineChars="0"/>
              <w:jc w:val="center"/>
              <w:rPr>
                <w:rFonts w:ascii="Times New Roman" w:cs="Times New Roman"/>
                <w:kern w:val="2"/>
                <w:sz w:val="21"/>
                <w:szCs w:val="21"/>
              </w:rPr>
            </w:pPr>
            <w:r>
              <w:rPr>
                <w:rFonts w:ascii="Times New Roman" w:cs="Times New Roman"/>
                <w:kern w:val="2"/>
                <w:sz w:val="21"/>
                <w:szCs w:val="21"/>
              </w:rPr>
              <w:t>25.35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012" w:type="dxa"/>
            <w:shd w:val="clear" w:color="auto" w:fill="FFFFFF"/>
            <w:noWrap/>
            <w:vAlign w:val="center"/>
          </w:tcPr>
          <w:p>
            <w:pPr>
              <w:topLinePunct w:val="0"/>
              <w:snapToGrid w:val="0"/>
              <w:spacing w:line="260" w:lineRule="exact"/>
              <w:ind w:firstLine="0" w:firstLineChars="0"/>
              <w:jc w:val="center"/>
              <w:rPr>
                <w:rFonts w:ascii="Times New Roman" w:cs="Times New Roman"/>
                <w:kern w:val="2"/>
                <w:sz w:val="21"/>
                <w:szCs w:val="21"/>
              </w:rPr>
            </w:pPr>
            <w:r>
              <w:rPr>
                <w:rFonts w:ascii="Times New Roman" w:cs="Times New Roman"/>
                <w:kern w:val="2"/>
                <w:sz w:val="21"/>
                <w:szCs w:val="21"/>
              </w:rPr>
              <w:t>无植被</w:t>
            </w:r>
          </w:p>
        </w:tc>
        <w:tc>
          <w:tcPr>
            <w:tcW w:w="2934" w:type="dxa"/>
            <w:shd w:val="clear" w:color="auto" w:fill="FFFFFF"/>
            <w:noWrap/>
            <w:vAlign w:val="center"/>
          </w:tcPr>
          <w:p>
            <w:pPr>
              <w:topLinePunct w:val="0"/>
              <w:snapToGrid w:val="0"/>
              <w:spacing w:line="260" w:lineRule="exact"/>
              <w:ind w:firstLine="0" w:firstLineChars="0"/>
              <w:jc w:val="center"/>
              <w:rPr>
                <w:rFonts w:ascii="Times New Roman" w:cs="Times New Roman"/>
                <w:kern w:val="2"/>
                <w:sz w:val="21"/>
                <w:szCs w:val="21"/>
              </w:rPr>
            </w:pPr>
            <w:r>
              <w:rPr>
                <w:rFonts w:ascii="Times New Roman" w:cs="Times New Roman"/>
                <w:kern w:val="2"/>
                <w:sz w:val="21"/>
                <w:szCs w:val="21"/>
              </w:rPr>
              <w:t xml:space="preserve">3.4 </w:t>
            </w:r>
          </w:p>
        </w:tc>
        <w:tc>
          <w:tcPr>
            <w:tcW w:w="1576" w:type="dxa"/>
            <w:shd w:val="clear" w:color="auto" w:fill="FFFFFF"/>
            <w:noWrap/>
            <w:vAlign w:val="center"/>
          </w:tcPr>
          <w:p>
            <w:pPr>
              <w:topLinePunct w:val="0"/>
              <w:snapToGrid w:val="0"/>
              <w:spacing w:line="260" w:lineRule="exact"/>
              <w:ind w:firstLine="0" w:firstLineChars="0"/>
              <w:jc w:val="center"/>
              <w:rPr>
                <w:rFonts w:ascii="Times New Roman" w:cs="Times New Roman"/>
                <w:kern w:val="2"/>
                <w:sz w:val="21"/>
                <w:szCs w:val="21"/>
              </w:rPr>
            </w:pPr>
            <w:r>
              <w:rPr>
                <w:rFonts w:ascii="Times New Roman" w:cs="Times New Roman"/>
                <w:kern w:val="2"/>
                <w:sz w:val="21"/>
                <w:szCs w:val="21"/>
              </w:rPr>
              <w:t>9.46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012" w:type="dxa"/>
            <w:shd w:val="clear" w:color="auto" w:fill="FFFFFF"/>
            <w:noWrap/>
            <w:vAlign w:val="center"/>
          </w:tcPr>
          <w:p>
            <w:pPr>
              <w:topLinePunct w:val="0"/>
              <w:snapToGrid w:val="0"/>
              <w:spacing w:line="260" w:lineRule="exact"/>
              <w:ind w:firstLine="0" w:firstLineChars="0"/>
              <w:jc w:val="center"/>
              <w:rPr>
                <w:rFonts w:ascii="Times New Roman" w:cs="Times New Roman"/>
                <w:kern w:val="2"/>
                <w:sz w:val="21"/>
                <w:szCs w:val="21"/>
              </w:rPr>
            </w:pPr>
            <w:r>
              <w:rPr>
                <w:rFonts w:ascii="Times New Roman" w:cs="Times New Roman"/>
                <w:kern w:val="2"/>
                <w:sz w:val="21"/>
                <w:szCs w:val="21"/>
              </w:rPr>
              <w:t>总计</w:t>
            </w:r>
          </w:p>
        </w:tc>
        <w:tc>
          <w:tcPr>
            <w:tcW w:w="2934" w:type="dxa"/>
            <w:shd w:val="clear" w:color="auto" w:fill="FFFFFF"/>
            <w:noWrap/>
            <w:vAlign w:val="center"/>
          </w:tcPr>
          <w:p>
            <w:pPr>
              <w:topLinePunct w:val="0"/>
              <w:snapToGrid w:val="0"/>
              <w:spacing w:line="260" w:lineRule="exact"/>
              <w:ind w:firstLine="0" w:firstLineChars="0"/>
              <w:jc w:val="center"/>
              <w:rPr>
                <w:rFonts w:ascii="Times New Roman" w:cs="Times New Roman"/>
                <w:kern w:val="2"/>
                <w:sz w:val="21"/>
                <w:szCs w:val="21"/>
              </w:rPr>
            </w:pPr>
            <w:r>
              <w:rPr>
                <w:rFonts w:ascii="Times New Roman" w:cs="Times New Roman"/>
                <w:kern w:val="2"/>
                <w:sz w:val="21"/>
                <w:szCs w:val="21"/>
              </w:rPr>
              <w:t>35.8</w:t>
            </w:r>
          </w:p>
        </w:tc>
        <w:tc>
          <w:tcPr>
            <w:tcW w:w="1576" w:type="dxa"/>
            <w:shd w:val="clear" w:color="auto" w:fill="FFFFFF"/>
            <w:noWrap/>
            <w:vAlign w:val="center"/>
          </w:tcPr>
          <w:p>
            <w:pPr>
              <w:topLinePunct w:val="0"/>
              <w:snapToGrid w:val="0"/>
              <w:spacing w:line="260" w:lineRule="exact"/>
              <w:ind w:firstLine="0" w:firstLineChars="0"/>
              <w:jc w:val="center"/>
              <w:rPr>
                <w:rFonts w:ascii="Times New Roman" w:cs="Times New Roman"/>
                <w:kern w:val="2"/>
                <w:sz w:val="21"/>
                <w:szCs w:val="21"/>
              </w:rPr>
            </w:pPr>
            <w:r>
              <w:rPr>
                <w:rFonts w:ascii="Times New Roman" w:cs="Times New Roman"/>
                <w:kern w:val="2"/>
                <w:sz w:val="21"/>
                <w:szCs w:val="21"/>
              </w:rPr>
              <w:t xml:space="preserve">100.00 </w:t>
            </w:r>
          </w:p>
        </w:tc>
      </w:tr>
    </w:tbl>
    <w:p>
      <w:pPr>
        <w:pStyle w:val="114"/>
        <w:ind w:firstLine="480"/>
      </w:pPr>
      <w:r>
        <w:t>项目区属中亚热带湿润季风气候区，植被区划处于亚热带常绿阔叶林区域，水热条件较好，植被总体覆盖度较高。从解译结果看，评价区及项目周边范围内，高覆盖度植被主要分布在针叶林及阔叶林区，群落多为乔灌草三层，综合覆盖度较高；中高覆盖度植被主要为稀疏乔木林及灌丛植被分布区，群落结构多为灌草两层；中覆盖度多为草丛植被分布区。</w:t>
      </w:r>
    </w:p>
    <w:p>
      <w:pPr>
        <w:pStyle w:val="4"/>
        <w:rPr>
          <w:rFonts w:eastAsia="宋体"/>
        </w:rPr>
      </w:pPr>
      <w:r>
        <w:rPr>
          <w:rFonts w:eastAsia="宋体"/>
        </w:rPr>
        <w:t>5.2.3</w:t>
      </w:r>
      <w:r>
        <w:rPr>
          <w:rFonts w:eastAsia="宋体"/>
          <w:bCs/>
        </w:rPr>
        <w:t>项目区域</w:t>
      </w:r>
      <w:r>
        <w:rPr>
          <w:rFonts w:eastAsia="宋体"/>
        </w:rPr>
        <w:t>植被概况</w:t>
      </w:r>
      <w:bookmarkEnd w:id="406"/>
    </w:p>
    <w:p>
      <w:pPr>
        <w:topLinePunct w:val="0"/>
        <w:snapToGrid w:val="0"/>
        <w:ind w:firstLine="480"/>
        <w:rPr>
          <w:rFonts w:ascii="Times New Roman" w:cs="Times New Roman"/>
          <w:kern w:val="2"/>
        </w:rPr>
      </w:pPr>
      <w:r>
        <w:rPr>
          <w:rFonts w:ascii="Times New Roman" w:cs="Times New Roman"/>
          <w:kern w:val="2"/>
        </w:rPr>
        <w:t>项目区域位于四川省达州市宣汉县。根据《四川植被》中关于四川省内植被区划的描述，项目所在区域属IA3(6)川北深丘植被小区。</w:t>
      </w:r>
    </w:p>
    <w:p>
      <w:pPr>
        <w:topLinePunct w:val="0"/>
        <w:snapToGrid w:val="0"/>
        <w:ind w:firstLine="480"/>
        <w:rPr>
          <w:rFonts w:ascii="Times New Roman" w:cs="Times New Roman"/>
          <w:kern w:val="2"/>
        </w:rPr>
      </w:pPr>
      <w:r>
        <w:rPr>
          <w:rFonts w:ascii="Times New Roman" w:cs="Times New Roman"/>
          <w:kern w:val="2"/>
        </w:rPr>
        <w:t>该小区位于盆地中部北侧，是大巴山地区向盆地内部方山丘陵过渡的地带，境内主要属单斜丘陵，海拔高度一般为800m，相对高度100~200m，地层多属白垩纪紫色砂岩与页岩互层，在此母质上发育的为紫色土，海拔1000m以上地区以黄壤为主。年平均温16~17℃，1月平均温5~6℃，比川中方山丘陵区气温低，而年温差较大。年降水量在1000毫米以上，比川中方山丘陵区多，但季节分配不均匀，雾日较少，无霜期约为290天，有春早秋千、日照时数较多的特点。</w:t>
      </w:r>
    </w:p>
    <w:p>
      <w:pPr>
        <w:topLinePunct w:val="0"/>
        <w:snapToGrid w:val="0"/>
        <w:ind w:firstLine="480"/>
        <w:rPr>
          <w:rFonts w:ascii="Times New Roman" w:cs="Times New Roman"/>
          <w:kern w:val="2"/>
        </w:rPr>
      </w:pPr>
      <w:r>
        <w:rPr>
          <w:rFonts w:ascii="Times New Roman" w:cs="Times New Roman"/>
          <w:kern w:val="2"/>
        </w:rPr>
        <w:t>自然植被主要为马尾松林、柏木林、栎类灌丛、亚热带草丛及其各种过渡类型。在个别海拔1200m左右的地方有石栎林、刺叶栎林、青㭎林。马尾松林多分布在深丘顶部砂页岩发育的黄壤地段上，灌木有米饭花、映山红、米碎花、铁仔，而在干燥生境下，则以映山红、火棘、栎类为主。柏木林多分布在深丘下部的紫色页岩地段上，形成疏林，混有化香、黄连木、油桐。栎类灌丛多分布在山项，由麻栎、栓皮栎、烟管荚蓬、火棘、蔷薇、盐肤木、映山红、铁仔、毛黄栌组成，为马尾松林和落叶栎林砍伐后形成的灌丛类型。柏木林再度砍伐后形成以黄茅、白茅、香茅为主的亚热带草丛，并散生着黄荆、牡荆、马桑、铁仔、短柄枹栎等植物。另外，本小区各地还有黑壳楠、红果钓樟、云南樟、宜昌润楠、山合欢、灯台树等植物。</w:t>
      </w:r>
    </w:p>
    <w:p>
      <w:pPr>
        <w:topLinePunct w:val="0"/>
        <w:snapToGrid w:val="0"/>
        <w:ind w:firstLine="480"/>
        <w:rPr>
          <w:rFonts w:ascii="Times New Roman" w:cs="Times New Roman"/>
          <w:kern w:val="2"/>
        </w:rPr>
      </w:pPr>
      <w:r>
        <w:rPr>
          <w:rFonts w:ascii="Times New Roman" w:cs="Times New Roman"/>
          <w:kern w:val="2"/>
        </w:rPr>
        <w:t>栽培植被中大春作物本田以中稻为主，早地以玉米、红苕、棉花、花生、小麦、马铃薯、豌豆为主，小春作物以小麦、豌豆为主，深丘上部种有马铃薯，多为一年二熟类型。由于地势较高，雨量分配不均匀，伏旱严重，农业布局必须因地制宜。有水利保证的田应栽水稻，主攻中稻，没有水利保证的田，种植旱粮，实行小麦、玉米、红苕连续套种。这样可以提高复种指数，做到高产稳产。在“以粮为纲，全面发展”方针指导下，要因地制宜地发展棉花、花生等经济作物。经济林水中梨、核桃产量大、质量好、栽培历史长，如苍溪雪梨和薄壳核桃都很著名，宜于大量发展。另外桑、油桐也是本小区重要经济林木，发展潜力很大。丘陵荒山要开展植树造林，种植黄荆、马桑、紫穗槐、马尾松、柏木等，增加植被覆盖率。</w:t>
      </w:r>
    </w:p>
    <w:p>
      <w:pPr>
        <w:topLinePunct w:val="0"/>
        <w:snapToGrid w:val="0"/>
        <w:ind w:firstLine="482"/>
        <w:rPr>
          <w:rFonts w:ascii="Times New Roman" w:cs="Times New Roman"/>
          <w:b/>
          <w:bCs/>
          <w:kern w:val="2"/>
        </w:rPr>
      </w:pPr>
      <w:r>
        <w:rPr>
          <w:rFonts w:ascii="Times New Roman" w:cs="Times New Roman"/>
          <w:b/>
          <w:bCs/>
          <w:kern w:val="2"/>
        </w:rPr>
        <w:t>（2）维管束植物组成情况</w:t>
      </w:r>
    </w:p>
    <w:p>
      <w:pPr>
        <w:pStyle w:val="114"/>
        <w:ind w:firstLine="480"/>
      </w:pPr>
      <w:r>
        <w:rPr>
          <w:kern w:val="2"/>
          <w:szCs w:val="24"/>
        </w:rPr>
        <w:t>经过</w:t>
      </w:r>
      <w:r>
        <w:rPr>
          <w:rFonts w:hint="eastAsia"/>
          <w:kern w:val="2"/>
          <w:szCs w:val="24"/>
        </w:rPr>
        <w:t>查阅相关资料及</w:t>
      </w:r>
      <w:r>
        <w:rPr>
          <w:kern w:val="2"/>
          <w:szCs w:val="24"/>
        </w:rPr>
        <w:t>野外调查，结合标本鉴定和历史资料的查阅，项目区域内维管植物有139科524属925种：其中蕨类植物9科18属31种，裸子植物5科7属9种，被子植物125科499属885种（蕨类植物采用秦仁昌1978系统，裸子植物采用郑万均1961系统，被子植物采用克朗奎斯特1981系统）。</w:t>
      </w:r>
    </w:p>
    <w:p>
      <w:pPr>
        <w:topLinePunct w:val="0"/>
        <w:autoSpaceDE w:val="0"/>
        <w:autoSpaceDN w:val="0"/>
        <w:spacing w:line="240" w:lineRule="auto"/>
        <w:ind w:firstLine="0" w:firstLineChars="0"/>
        <w:jc w:val="center"/>
        <w:rPr>
          <w:rFonts w:ascii="Times New Roman" w:cs="Times New Roman"/>
          <w:b/>
          <w:sz w:val="21"/>
        </w:rPr>
      </w:pPr>
      <w:r>
        <w:rPr>
          <w:rFonts w:ascii="Times New Roman" w:cs="Times New Roman"/>
          <w:b/>
          <w:sz w:val="21"/>
        </w:rPr>
        <w:t>表5.2-8 评价区维管植物科属种统计表</w:t>
      </w:r>
    </w:p>
    <w:p>
      <w:pPr>
        <w:topLinePunct w:val="0"/>
        <w:adjustRightInd/>
        <w:spacing w:line="129" w:lineRule="exact"/>
        <w:ind w:firstLine="0" w:firstLineChars="0"/>
        <w:rPr>
          <w:rFonts w:ascii="Times New Roman" w:cs="Times New Roman"/>
          <w:kern w:val="2"/>
          <w:sz w:val="21"/>
        </w:rPr>
      </w:pPr>
    </w:p>
    <w:tbl>
      <w:tblPr>
        <w:tblStyle w:val="59"/>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768"/>
        <w:gridCol w:w="1191"/>
        <w:gridCol w:w="950"/>
        <w:gridCol w:w="1328"/>
        <w:gridCol w:w="940"/>
        <w:gridCol w:w="1363"/>
        <w:gridCol w:w="940"/>
        <w:gridCol w:w="1308"/>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0" w:hRule="atLeast"/>
          <w:jc w:val="center"/>
        </w:trPr>
        <w:tc>
          <w:tcPr>
            <w:tcW w:w="1808" w:type="dxa"/>
            <w:gridSpan w:val="2"/>
          </w:tcPr>
          <w:p>
            <w:pPr>
              <w:topLinePunct w:val="0"/>
              <w:adjustRightInd/>
              <w:spacing w:before="34" w:line="216" w:lineRule="auto"/>
              <w:ind w:left="870" w:firstLine="0" w:firstLineChars="0"/>
              <w:rPr>
                <w:rFonts w:ascii="Times New Roman" w:cs="Times New Roman"/>
                <w:kern w:val="2"/>
                <w:sz w:val="21"/>
                <w:szCs w:val="21"/>
              </w:rPr>
            </w:pPr>
            <w:r>
              <w:rPr>
                <w:rFonts w:ascii="Times New Roman" w:cs="Times New Roman"/>
                <w:spacing w:val="-8"/>
                <w:kern w:val="2"/>
                <w:sz w:val="21"/>
                <w:szCs w:val="21"/>
              </w:rPr>
              <w:t>门类</w:t>
            </w:r>
          </w:p>
        </w:tc>
        <w:tc>
          <w:tcPr>
            <w:tcW w:w="877" w:type="dxa"/>
          </w:tcPr>
          <w:p>
            <w:pPr>
              <w:topLinePunct w:val="0"/>
              <w:adjustRightInd/>
              <w:spacing w:before="34" w:line="216" w:lineRule="auto"/>
              <w:ind w:left="202" w:firstLine="0" w:firstLineChars="0"/>
              <w:rPr>
                <w:rFonts w:ascii="Times New Roman" w:cs="Times New Roman"/>
                <w:kern w:val="2"/>
                <w:sz w:val="21"/>
                <w:szCs w:val="21"/>
              </w:rPr>
            </w:pPr>
            <w:r>
              <w:rPr>
                <w:rFonts w:ascii="Times New Roman" w:cs="Times New Roman"/>
                <w:spacing w:val="-3"/>
                <w:kern w:val="2"/>
                <w:sz w:val="21"/>
                <w:szCs w:val="21"/>
              </w:rPr>
              <w:t>科</w:t>
            </w:r>
            <w:r>
              <w:rPr>
                <w:rFonts w:ascii="Times New Roman" w:cs="Times New Roman"/>
                <w:spacing w:val="-2"/>
                <w:kern w:val="2"/>
                <w:sz w:val="21"/>
                <w:szCs w:val="21"/>
              </w:rPr>
              <w:t>数</w:t>
            </w:r>
          </w:p>
        </w:tc>
        <w:tc>
          <w:tcPr>
            <w:tcW w:w="1226" w:type="dxa"/>
          </w:tcPr>
          <w:p>
            <w:pPr>
              <w:topLinePunct w:val="0"/>
              <w:adjustRightInd/>
              <w:spacing w:before="34" w:line="216" w:lineRule="auto"/>
              <w:ind w:left="146" w:firstLine="0" w:firstLineChars="0"/>
              <w:rPr>
                <w:rFonts w:ascii="Times New Roman" w:cs="Times New Roman"/>
                <w:kern w:val="2"/>
                <w:sz w:val="21"/>
                <w:szCs w:val="21"/>
              </w:rPr>
            </w:pPr>
            <w:r>
              <w:rPr>
                <w:rFonts w:ascii="Times New Roman" w:cs="Times New Roman"/>
                <w:spacing w:val="14"/>
                <w:kern w:val="2"/>
                <w:sz w:val="21"/>
                <w:szCs w:val="21"/>
              </w:rPr>
              <w:t>占</w:t>
            </w:r>
            <w:r>
              <w:rPr>
                <w:rFonts w:ascii="Times New Roman" w:cs="Times New Roman"/>
                <w:spacing w:val="12"/>
                <w:kern w:val="2"/>
                <w:sz w:val="21"/>
                <w:szCs w:val="21"/>
              </w:rPr>
              <w:t>比(</w:t>
            </w:r>
            <w:r>
              <w:rPr>
                <w:rFonts w:ascii="Times New Roman" w:eastAsia="Times New Roman" w:cs="Times New Roman"/>
                <w:spacing w:val="12"/>
                <w:kern w:val="2"/>
                <w:sz w:val="21"/>
                <w:szCs w:val="21"/>
              </w:rPr>
              <w:t>%</w:t>
            </w:r>
            <w:r>
              <w:rPr>
                <w:rFonts w:ascii="Times New Roman" w:cs="Times New Roman"/>
                <w:spacing w:val="12"/>
                <w:kern w:val="2"/>
                <w:sz w:val="21"/>
                <w:szCs w:val="21"/>
              </w:rPr>
              <w:t>)</w:t>
            </w:r>
          </w:p>
        </w:tc>
        <w:tc>
          <w:tcPr>
            <w:tcW w:w="868" w:type="dxa"/>
          </w:tcPr>
          <w:p>
            <w:pPr>
              <w:topLinePunct w:val="0"/>
              <w:adjustRightInd/>
              <w:spacing w:before="34" w:line="216" w:lineRule="auto"/>
              <w:ind w:left="202" w:firstLine="0" w:firstLineChars="0"/>
              <w:rPr>
                <w:rFonts w:ascii="Times New Roman" w:cs="Times New Roman"/>
                <w:kern w:val="2"/>
                <w:sz w:val="21"/>
                <w:szCs w:val="21"/>
              </w:rPr>
            </w:pPr>
            <w:r>
              <w:rPr>
                <w:rFonts w:ascii="Times New Roman" w:cs="Times New Roman"/>
                <w:spacing w:val="-3"/>
                <w:kern w:val="2"/>
                <w:sz w:val="21"/>
                <w:szCs w:val="21"/>
              </w:rPr>
              <w:t>属</w:t>
            </w:r>
            <w:r>
              <w:rPr>
                <w:rFonts w:ascii="Times New Roman" w:cs="Times New Roman"/>
                <w:spacing w:val="-2"/>
                <w:kern w:val="2"/>
                <w:sz w:val="21"/>
                <w:szCs w:val="21"/>
              </w:rPr>
              <w:t>数</w:t>
            </w:r>
          </w:p>
        </w:tc>
        <w:tc>
          <w:tcPr>
            <w:tcW w:w="1258" w:type="dxa"/>
          </w:tcPr>
          <w:p>
            <w:pPr>
              <w:topLinePunct w:val="0"/>
              <w:adjustRightInd/>
              <w:spacing w:before="34" w:line="216" w:lineRule="auto"/>
              <w:ind w:left="148" w:firstLine="0" w:firstLineChars="0"/>
              <w:rPr>
                <w:rFonts w:ascii="Times New Roman" w:cs="Times New Roman"/>
                <w:kern w:val="2"/>
                <w:sz w:val="21"/>
                <w:szCs w:val="21"/>
              </w:rPr>
            </w:pPr>
            <w:r>
              <w:rPr>
                <w:rFonts w:ascii="Times New Roman" w:cs="Times New Roman"/>
                <w:spacing w:val="14"/>
                <w:kern w:val="2"/>
                <w:sz w:val="21"/>
                <w:szCs w:val="21"/>
              </w:rPr>
              <w:t>占</w:t>
            </w:r>
            <w:r>
              <w:rPr>
                <w:rFonts w:ascii="Times New Roman" w:cs="Times New Roman"/>
                <w:spacing w:val="12"/>
                <w:kern w:val="2"/>
                <w:sz w:val="21"/>
                <w:szCs w:val="21"/>
              </w:rPr>
              <w:t>比(</w:t>
            </w:r>
            <w:r>
              <w:rPr>
                <w:rFonts w:ascii="Times New Roman" w:eastAsia="Times New Roman" w:cs="Times New Roman"/>
                <w:spacing w:val="12"/>
                <w:kern w:val="2"/>
                <w:sz w:val="21"/>
                <w:szCs w:val="21"/>
              </w:rPr>
              <w:t>%</w:t>
            </w:r>
            <w:r>
              <w:rPr>
                <w:rFonts w:ascii="Times New Roman" w:cs="Times New Roman"/>
                <w:spacing w:val="12"/>
                <w:kern w:val="2"/>
                <w:sz w:val="21"/>
                <w:szCs w:val="21"/>
              </w:rPr>
              <w:t>)</w:t>
            </w:r>
          </w:p>
        </w:tc>
        <w:tc>
          <w:tcPr>
            <w:tcW w:w="868" w:type="dxa"/>
          </w:tcPr>
          <w:p>
            <w:pPr>
              <w:topLinePunct w:val="0"/>
              <w:adjustRightInd/>
              <w:spacing w:before="34" w:line="216" w:lineRule="auto"/>
              <w:ind w:left="201" w:firstLine="0" w:firstLineChars="0"/>
              <w:rPr>
                <w:rFonts w:ascii="Times New Roman" w:cs="Times New Roman"/>
                <w:kern w:val="2"/>
                <w:sz w:val="21"/>
                <w:szCs w:val="21"/>
              </w:rPr>
            </w:pPr>
            <w:r>
              <w:rPr>
                <w:rFonts w:ascii="Times New Roman" w:cs="Times New Roman"/>
                <w:spacing w:val="-3"/>
                <w:kern w:val="2"/>
                <w:sz w:val="21"/>
                <w:szCs w:val="21"/>
              </w:rPr>
              <w:t>种</w:t>
            </w:r>
            <w:r>
              <w:rPr>
                <w:rFonts w:ascii="Times New Roman" w:cs="Times New Roman"/>
                <w:spacing w:val="-2"/>
                <w:kern w:val="2"/>
                <w:sz w:val="21"/>
                <w:szCs w:val="21"/>
              </w:rPr>
              <w:t>数</w:t>
            </w:r>
          </w:p>
        </w:tc>
        <w:tc>
          <w:tcPr>
            <w:tcW w:w="1207" w:type="dxa"/>
          </w:tcPr>
          <w:p>
            <w:pPr>
              <w:topLinePunct w:val="0"/>
              <w:adjustRightInd/>
              <w:spacing w:before="34" w:line="216" w:lineRule="auto"/>
              <w:ind w:left="149" w:firstLine="0" w:firstLineChars="0"/>
              <w:rPr>
                <w:rFonts w:ascii="Times New Roman" w:cs="Times New Roman"/>
                <w:kern w:val="2"/>
                <w:sz w:val="21"/>
                <w:szCs w:val="21"/>
              </w:rPr>
            </w:pPr>
            <w:r>
              <w:rPr>
                <w:rFonts w:ascii="Times New Roman" w:cs="Times New Roman"/>
                <w:spacing w:val="14"/>
                <w:kern w:val="2"/>
                <w:sz w:val="21"/>
                <w:szCs w:val="21"/>
              </w:rPr>
              <w:t>占</w:t>
            </w:r>
            <w:r>
              <w:rPr>
                <w:rFonts w:ascii="Times New Roman" w:cs="Times New Roman"/>
                <w:spacing w:val="12"/>
                <w:kern w:val="2"/>
                <w:sz w:val="21"/>
                <w:szCs w:val="21"/>
              </w:rPr>
              <w:t>比(</w:t>
            </w:r>
            <w:r>
              <w:rPr>
                <w:rFonts w:ascii="Times New Roman" w:eastAsia="Times New Roman" w:cs="Times New Roman"/>
                <w:spacing w:val="12"/>
                <w:kern w:val="2"/>
                <w:sz w:val="21"/>
                <w:szCs w:val="21"/>
              </w:rPr>
              <w:t>%</w:t>
            </w:r>
            <w:r>
              <w:rPr>
                <w:rFonts w:ascii="Times New Roman" w:cs="Times New Roman"/>
                <w:spacing w:val="12"/>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1808" w:type="dxa"/>
            <w:gridSpan w:val="2"/>
          </w:tcPr>
          <w:p>
            <w:pPr>
              <w:topLinePunct w:val="0"/>
              <w:adjustRightInd/>
              <w:spacing w:before="32" w:line="215" w:lineRule="auto"/>
              <w:ind w:left="637" w:firstLine="0" w:firstLineChars="0"/>
              <w:rPr>
                <w:rFonts w:ascii="Times New Roman" w:cs="Times New Roman"/>
                <w:kern w:val="2"/>
                <w:sz w:val="21"/>
                <w:szCs w:val="21"/>
              </w:rPr>
            </w:pPr>
            <w:r>
              <w:rPr>
                <w:rFonts w:ascii="Times New Roman" w:cs="Times New Roman"/>
                <w:spacing w:val="-2"/>
                <w:kern w:val="2"/>
                <w:sz w:val="21"/>
                <w:szCs w:val="21"/>
              </w:rPr>
              <w:t>蕨类植</w:t>
            </w:r>
            <w:r>
              <w:rPr>
                <w:rFonts w:ascii="Times New Roman" w:cs="Times New Roman"/>
                <w:spacing w:val="-1"/>
                <w:kern w:val="2"/>
                <w:sz w:val="21"/>
                <w:szCs w:val="21"/>
              </w:rPr>
              <w:t>物</w:t>
            </w:r>
          </w:p>
        </w:tc>
        <w:tc>
          <w:tcPr>
            <w:tcW w:w="877" w:type="dxa"/>
          </w:tcPr>
          <w:p>
            <w:pPr>
              <w:topLinePunct w:val="0"/>
              <w:adjustRightInd/>
              <w:spacing w:before="69" w:line="186" w:lineRule="auto"/>
              <w:ind w:left="361" w:firstLine="0" w:firstLineChars="0"/>
              <w:rPr>
                <w:rFonts w:ascii="Times New Roman" w:eastAsia="Times New Roman" w:cs="Times New Roman"/>
                <w:kern w:val="2"/>
                <w:sz w:val="21"/>
                <w:szCs w:val="21"/>
              </w:rPr>
            </w:pPr>
            <w:r>
              <w:rPr>
                <w:rFonts w:ascii="Times New Roman" w:eastAsia="Times New Roman" w:cs="Times New Roman"/>
                <w:kern w:val="2"/>
                <w:sz w:val="21"/>
                <w:szCs w:val="21"/>
              </w:rPr>
              <w:t>9</w:t>
            </w:r>
          </w:p>
        </w:tc>
        <w:tc>
          <w:tcPr>
            <w:tcW w:w="1226" w:type="dxa"/>
          </w:tcPr>
          <w:p>
            <w:pPr>
              <w:topLinePunct w:val="0"/>
              <w:adjustRightInd/>
              <w:spacing w:before="69" w:line="186" w:lineRule="auto"/>
              <w:ind w:left="405" w:firstLine="0" w:firstLineChars="0"/>
              <w:rPr>
                <w:rFonts w:ascii="Times New Roman" w:eastAsia="Times New Roman" w:cs="Times New Roman"/>
                <w:kern w:val="2"/>
                <w:sz w:val="21"/>
                <w:szCs w:val="21"/>
              </w:rPr>
            </w:pPr>
            <w:r>
              <w:rPr>
                <w:rFonts w:ascii="Times New Roman" w:eastAsia="Times New Roman" w:cs="Times New Roman"/>
                <w:spacing w:val="-3"/>
                <w:kern w:val="2"/>
                <w:sz w:val="21"/>
                <w:szCs w:val="21"/>
              </w:rPr>
              <w:t>6</w:t>
            </w:r>
            <w:r>
              <w:rPr>
                <w:rFonts w:ascii="Times New Roman" w:eastAsia="Times New Roman" w:cs="Times New Roman"/>
                <w:spacing w:val="-2"/>
                <w:kern w:val="2"/>
                <w:sz w:val="21"/>
                <w:szCs w:val="21"/>
              </w:rPr>
              <w:t>.47</w:t>
            </w:r>
          </w:p>
        </w:tc>
        <w:tc>
          <w:tcPr>
            <w:tcW w:w="868" w:type="dxa"/>
          </w:tcPr>
          <w:p>
            <w:pPr>
              <w:topLinePunct w:val="0"/>
              <w:adjustRightInd/>
              <w:spacing w:before="69" w:line="186" w:lineRule="auto"/>
              <w:ind w:left="321" w:firstLine="0" w:firstLineChars="0"/>
              <w:rPr>
                <w:rFonts w:ascii="Times New Roman" w:eastAsia="Times New Roman" w:cs="Times New Roman"/>
                <w:kern w:val="2"/>
                <w:sz w:val="21"/>
                <w:szCs w:val="21"/>
              </w:rPr>
            </w:pPr>
            <w:r>
              <w:rPr>
                <w:rFonts w:ascii="Times New Roman" w:eastAsia="Times New Roman" w:cs="Times New Roman"/>
                <w:spacing w:val="-6"/>
                <w:kern w:val="2"/>
                <w:sz w:val="21"/>
                <w:szCs w:val="21"/>
              </w:rPr>
              <w:t>18</w:t>
            </w:r>
          </w:p>
        </w:tc>
        <w:tc>
          <w:tcPr>
            <w:tcW w:w="1258" w:type="dxa"/>
          </w:tcPr>
          <w:p>
            <w:pPr>
              <w:topLinePunct w:val="0"/>
              <w:adjustRightInd/>
              <w:spacing w:before="69" w:line="186" w:lineRule="auto"/>
              <w:ind w:left="423" w:firstLine="0" w:firstLineChars="0"/>
              <w:rPr>
                <w:rFonts w:ascii="Times New Roman" w:eastAsia="Times New Roman" w:cs="Times New Roman"/>
                <w:kern w:val="2"/>
                <w:sz w:val="21"/>
                <w:szCs w:val="21"/>
              </w:rPr>
            </w:pPr>
            <w:r>
              <w:rPr>
                <w:rFonts w:ascii="Times New Roman" w:eastAsia="Times New Roman" w:cs="Times New Roman"/>
                <w:spacing w:val="-2"/>
                <w:kern w:val="2"/>
                <w:sz w:val="21"/>
                <w:szCs w:val="21"/>
              </w:rPr>
              <w:t>3.44</w:t>
            </w:r>
          </w:p>
        </w:tc>
        <w:tc>
          <w:tcPr>
            <w:tcW w:w="868" w:type="dxa"/>
          </w:tcPr>
          <w:p>
            <w:pPr>
              <w:topLinePunct w:val="0"/>
              <w:adjustRightInd/>
              <w:spacing w:before="69" w:line="186" w:lineRule="auto"/>
              <w:ind w:left="306" w:firstLine="0" w:firstLineChars="0"/>
              <w:rPr>
                <w:rFonts w:ascii="Times New Roman" w:eastAsia="Times New Roman" w:cs="Times New Roman"/>
                <w:kern w:val="2"/>
                <w:sz w:val="21"/>
                <w:szCs w:val="21"/>
              </w:rPr>
            </w:pPr>
            <w:r>
              <w:rPr>
                <w:rFonts w:ascii="Times New Roman" w:eastAsia="Times New Roman" w:cs="Times New Roman"/>
                <w:spacing w:val="-3"/>
                <w:kern w:val="2"/>
                <w:sz w:val="21"/>
                <w:szCs w:val="21"/>
              </w:rPr>
              <w:t>3</w:t>
            </w:r>
            <w:r>
              <w:rPr>
                <w:rFonts w:ascii="Times New Roman" w:eastAsia="Times New Roman" w:cs="Times New Roman"/>
                <w:spacing w:val="-2"/>
                <w:kern w:val="2"/>
                <w:sz w:val="21"/>
                <w:szCs w:val="21"/>
              </w:rPr>
              <w:t>1</w:t>
            </w:r>
          </w:p>
        </w:tc>
        <w:tc>
          <w:tcPr>
            <w:tcW w:w="1207" w:type="dxa"/>
          </w:tcPr>
          <w:p>
            <w:pPr>
              <w:topLinePunct w:val="0"/>
              <w:adjustRightInd/>
              <w:spacing w:before="69" w:line="186" w:lineRule="auto"/>
              <w:ind w:left="396" w:firstLine="0" w:firstLineChars="0"/>
              <w:rPr>
                <w:rFonts w:ascii="Times New Roman" w:eastAsia="Times New Roman" w:cs="Times New Roman"/>
                <w:kern w:val="2"/>
                <w:sz w:val="21"/>
                <w:szCs w:val="21"/>
              </w:rPr>
            </w:pPr>
            <w:r>
              <w:rPr>
                <w:rFonts w:ascii="Times New Roman" w:eastAsia="Times New Roman" w:cs="Times New Roman"/>
                <w:spacing w:val="-2"/>
                <w:kern w:val="2"/>
                <w:sz w:val="21"/>
                <w:szCs w:val="21"/>
              </w:rPr>
              <w:t>3.35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6" w:hRule="atLeast"/>
          <w:jc w:val="center"/>
        </w:trPr>
        <w:tc>
          <w:tcPr>
            <w:tcW w:w="709" w:type="dxa"/>
            <w:vMerge w:val="restart"/>
          </w:tcPr>
          <w:p>
            <w:pPr>
              <w:topLinePunct w:val="0"/>
              <w:adjustRightInd/>
              <w:spacing w:before="37" w:line="239" w:lineRule="auto"/>
              <w:ind w:left="216" w:firstLine="0" w:firstLineChars="0"/>
              <w:rPr>
                <w:rFonts w:ascii="Times New Roman" w:cs="Times New Roman"/>
                <w:kern w:val="2"/>
                <w:sz w:val="21"/>
                <w:szCs w:val="21"/>
              </w:rPr>
            </w:pPr>
            <w:r>
              <w:rPr>
                <w:rFonts w:ascii="Times New Roman" w:cs="Times New Roman"/>
                <w:spacing w:val="-3"/>
                <w:kern w:val="2"/>
                <w:sz w:val="21"/>
                <w:szCs w:val="21"/>
              </w:rPr>
              <w:t>种</w:t>
            </w:r>
            <w:r>
              <w:rPr>
                <w:rFonts w:ascii="Times New Roman" w:cs="Times New Roman"/>
                <w:spacing w:val="-2"/>
                <w:kern w:val="2"/>
                <w:sz w:val="21"/>
                <w:szCs w:val="21"/>
              </w:rPr>
              <w:t>子</w:t>
            </w:r>
          </w:p>
          <w:p>
            <w:pPr>
              <w:topLinePunct w:val="0"/>
              <w:adjustRightInd/>
              <w:spacing w:line="217" w:lineRule="auto"/>
              <w:ind w:left="217" w:firstLine="0" w:firstLineChars="0"/>
              <w:rPr>
                <w:rFonts w:ascii="Times New Roman" w:cs="Times New Roman"/>
                <w:kern w:val="2"/>
                <w:sz w:val="21"/>
                <w:szCs w:val="21"/>
              </w:rPr>
            </w:pPr>
            <w:r>
              <w:rPr>
                <w:rFonts w:ascii="Times New Roman" w:cs="Times New Roman"/>
                <w:spacing w:val="-3"/>
                <w:kern w:val="2"/>
                <w:sz w:val="21"/>
                <w:szCs w:val="21"/>
              </w:rPr>
              <w:t>植</w:t>
            </w:r>
            <w:r>
              <w:rPr>
                <w:rFonts w:ascii="Times New Roman" w:cs="Times New Roman"/>
                <w:spacing w:val="-2"/>
                <w:kern w:val="2"/>
                <w:sz w:val="21"/>
                <w:szCs w:val="21"/>
              </w:rPr>
              <w:t>物</w:t>
            </w:r>
          </w:p>
        </w:tc>
        <w:tc>
          <w:tcPr>
            <w:tcW w:w="1099" w:type="dxa"/>
          </w:tcPr>
          <w:p>
            <w:pPr>
              <w:topLinePunct w:val="0"/>
              <w:adjustRightInd/>
              <w:spacing w:before="32" w:line="214" w:lineRule="auto"/>
              <w:ind w:left="183" w:firstLine="0" w:firstLineChars="0"/>
              <w:rPr>
                <w:rFonts w:ascii="Times New Roman" w:cs="Times New Roman"/>
                <w:kern w:val="2"/>
                <w:sz w:val="21"/>
                <w:szCs w:val="21"/>
              </w:rPr>
            </w:pPr>
            <w:r>
              <w:rPr>
                <w:rFonts w:ascii="Times New Roman" w:cs="Times New Roman"/>
                <w:spacing w:val="-2"/>
                <w:kern w:val="2"/>
                <w:sz w:val="21"/>
                <w:szCs w:val="21"/>
              </w:rPr>
              <w:t>裸子植</w:t>
            </w:r>
            <w:r>
              <w:rPr>
                <w:rFonts w:ascii="Times New Roman" w:cs="Times New Roman"/>
                <w:spacing w:val="-1"/>
                <w:kern w:val="2"/>
                <w:sz w:val="21"/>
                <w:szCs w:val="21"/>
              </w:rPr>
              <w:t>物</w:t>
            </w:r>
          </w:p>
        </w:tc>
        <w:tc>
          <w:tcPr>
            <w:tcW w:w="877" w:type="dxa"/>
          </w:tcPr>
          <w:p>
            <w:pPr>
              <w:topLinePunct w:val="0"/>
              <w:adjustRightInd/>
              <w:spacing w:before="73" w:line="183" w:lineRule="auto"/>
              <w:ind w:left="363" w:firstLine="0" w:firstLineChars="0"/>
              <w:rPr>
                <w:rFonts w:ascii="Times New Roman" w:eastAsia="Times New Roman" w:cs="Times New Roman"/>
                <w:kern w:val="2"/>
                <w:sz w:val="21"/>
                <w:szCs w:val="21"/>
              </w:rPr>
            </w:pPr>
            <w:r>
              <w:rPr>
                <w:rFonts w:ascii="Times New Roman" w:eastAsia="Times New Roman" w:cs="Times New Roman"/>
                <w:kern w:val="2"/>
                <w:sz w:val="21"/>
                <w:szCs w:val="21"/>
              </w:rPr>
              <w:t>5</w:t>
            </w:r>
          </w:p>
        </w:tc>
        <w:tc>
          <w:tcPr>
            <w:tcW w:w="1226" w:type="dxa"/>
          </w:tcPr>
          <w:p>
            <w:pPr>
              <w:topLinePunct w:val="0"/>
              <w:adjustRightInd/>
              <w:spacing w:before="70" w:line="186" w:lineRule="auto"/>
              <w:ind w:left="405" w:firstLine="0" w:firstLineChars="0"/>
              <w:rPr>
                <w:rFonts w:ascii="Times New Roman" w:eastAsia="Times New Roman" w:cs="Times New Roman"/>
                <w:kern w:val="2"/>
                <w:sz w:val="21"/>
                <w:szCs w:val="21"/>
              </w:rPr>
            </w:pPr>
            <w:r>
              <w:rPr>
                <w:rFonts w:ascii="Times New Roman" w:eastAsia="Times New Roman" w:cs="Times New Roman"/>
                <w:spacing w:val="-2"/>
                <w:kern w:val="2"/>
                <w:sz w:val="21"/>
                <w:szCs w:val="21"/>
              </w:rPr>
              <w:t>3.60</w:t>
            </w:r>
          </w:p>
        </w:tc>
        <w:tc>
          <w:tcPr>
            <w:tcW w:w="868" w:type="dxa"/>
          </w:tcPr>
          <w:p>
            <w:pPr>
              <w:topLinePunct w:val="0"/>
              <w:adjustRightInd/>
              <w:spacing w:before="73" w:line="183" w:lineRule="auto"/>
              <w:ind w:left="357" w:firstLine="0" w:firstLineChars="0"/>
              <w:rPr>
                <w:rFonts w:ascii="Times New Roman" w:eastAsia="Times New Roman" w:cs="Times New Roman"/>
                <w:kern w:val="2"/>
                <w:sz w:val="21"/>
                <w:szCs w:val="21"/>
              </w:rPr>
            </w:pPr>
            <w:r>
              <w:rPr>
                <w:rFonts w:ascii="Times New Roman" w:eastAsia="Times New Roman" w:cs="Times New Roman"/>
                <w:kern w:val="2"/>
                <w:sz w:val="21"/>
                <w:szCs w:val="21"/>
              </w:rPr>
              <w:t>7</w:t>
            </w:r>
          </w:p>
        </w:tc>
        <w:tc>
          <w:tcPr>
            <w:tcW w:w="1258" w:type="dxa"/>
          </w:tcPr>
          <w:p>
            <w:pPr>
              <w:topLinePunct w:val="0"/>
              <w:adjustRightInd/>
              <w:spacing w:before="70" w:line="186" w:lineRule="auto"/>
              <w:ind w:left="439" w:firstLine="0" w:firstLineChars="0"/>
              <w:rPr>
                <w:rFonts w:ascii="Times New Roman" w:eastAsia="Times New Roman" w:cs="Times New Roman"/>
                <w:kern w:val="2"/>
                <w:sz w:val="21"/>
                <w:szCs w:val="21"/>
              </w:rPr>
            </w:pPr>
            <w:r>
              <w:rPr>
                <w:rFonts w:ascii="Times New Roman" w:eastAsia="Times New Roman" w:cs="Times New Roman"/>
                <w:spacing w:val="-6"/>
                <w:kern w:val="2"/>
                <w:sz w:val="21"/>
                <w:szCs w:val="21"/>
              </w:rPr>
              <w:t>1.34</w:t>
            </w:r>
          </w:p>
        </w:tc>
        <w:tc>
          <w:tcPr>
            <w:tcW w:w="868" w:type="dxa"/>
          </w:tcPr>
          <w:p>
            <w:pPr>
              <w:topLinePunct w:val="0"/>
              <w:adjustRightInd/>
              <w:spacing w:before="70" w:line="186" w:lineRule="auto"/>
              <w:ind w:left="359" w:firstLine="0" w:firstLineChars="0"/>
              <w:rPr>
                <w:rFonts w:ascii="Times New Roman" w:eastAsia="Times New Roman" w:cs="Times New Roman"/>
                <w:kern w:val="2"/>
                <w:sz w:val="21"/>
                <w:szCs w:val="21"/>
              </w:rPr>
            </w:pPr>
            <w:r>
              <w:rPr>
                <w:rFonts w:ascii="Times New Roman" w:eastAsia="Times New Roman" w:cs="Times New Roman"/>
                <w:kern w:val="2"/>
                <w:sz w:val="21"/>
                <w:szCs w:val="21"/>
              </w:rPr>
              <w:t>9</w:t>
            </w:r>
          </w:p>
        </w:tc>
        <w:tc>
          <w:tcPr>
            <w:tcW w:w="1207" w:type="dxa"/>
          </w:tcPr>
          <w:p>
            <w:pPr>
              <w:topLinePunct w:val="0"/>
              <w:adjustRightInd/>
              <w:spacing w:before="70" w:line="186" w:lineRule="auto"/>
              <w:ind w:left="395" w:firstLine="0" w:firstLineChars="0"/>
              <w:rPr>
                <w:rFonts w:ascii="Times New Roman" w:eastAsia="Times New Roman" w:cs="Times New Roman"/>
                <w:kern w:val="2"/>
                <w:sz w:val="21"/>
                <w:szCs w:val="21"/>
              </w:rPr>
            </w:pPr>
            <w:r>
              <w:rPr>
                <w:rFonts w:ascii="Times New Roman" w:eastAsia="Times New Roman" w:cs="Times New Roman"/>
                <w:spacing w:val="-2"/>
                <w:kern w:val="2"/>
                <w:sz w:val="21"/>
                <w:szCs w:val="21"/>
              </w:rPr>
              <w:t>0.9</w:t>
            </w:r>
            <w:r>
              <w:rPr>
                <w:rFonts w:ascii="Times New Roman" w:eastAsia="Times New Roman" w:cs="Times New Roman"/>
                <w:spacing w:val="-1"/>
                <w:kern w:val="2"/>
                <w:sz w:val="21"/>
                <w:szCs w:val="21"/>
              </w:rPr>
              <w:t>7</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6" w:hRule="atLeast"/>
          <w:jc w:val="center"/>
        </w:trPr>
        <w:tc>
          <w:tcPr>
            <w:tcW w:w="709" w:type="dxa"/>
            <w:vMerge w:val="continue"/>
          </w:tcPr>
          <w:p>
            <w:pPr>
              <w:topLinePunct w:val="0"/>
              <w:adjustRightInd/>
              <w:spacing w:line="240" w:lineRule="auto"/>
              <w:ind w:firstLine="0" w:firstLineChars="0"/>
              <w:rPr>
                <w:rFonts w:ascii="Times New Roman" w:cs="Times New Roman"/>
                <w:kern w:val="2"/>
                <w:sz w:val="21"/>
              </w:rPr>
            </w:pPr>
          </w:p>
        </w:tc>
        <w:tc>
          <w:tcPr>
            <w:tcW w:w="1099" w:type="dxa"/>
          </w:tcPr>
          <w:p>
            <w:pPr>
              <w:topLinePunct w:val="0"/>
              <w:adjustRightInd/>
              <w:spacing w:before="33" w:line="213" w:lineRule="auto"/>
              <w:ind w:left="183" w:firstLine="0" w:firstLineChars="0"/>
              <w:rPr>
                <w:rFonts w:ascii="Times New Roman" w:cs="Times New Roman"/>
                <w:kern w:val="2"/>
                <w:sz w:val="21"/>
                <w:szCs w:val="21"/>
              </w:rPr>
            </w:pPr>
            <w:r>
              <w:rPr>
                <w:rFonts w:ascii="Times New Roman" w:cs="Times New Roman"/>
                <w:spacing w:val="-2"/>
                <w:kern w:val="2"/>
                <w:sz w:val="21"/>
                <w:szCs w:val="21"/>
              </w:rPr>
              <w:t>被子植</w:t>
            </w:r>
            <w:r>
              <w:rPr>
                <w:rFonts w:ascii="Times New Roman" w:cs="Times New Roman"/>
                <w:spacing w:val="-1"/>
                <w:kern w:val="2"/>
                <w:sz w:val="21"/>
                <w:szCs w:val="21"/>
              </w:rPr>
              <w:t>物</w:t>
            </w:r>
          </w:p>
        </w:tc>
        <w:tc>
          <w:tcPr>
            <w:tcW w:w="877" w:type="dxa"/>
          </w:tcPr>
          <w:p>
            <w:pPr>
              <w:topLinePunct w:val="0"/>
              <w:adjustRightInd/>
              <w:spacing w:before="71" w:line="186" w:lineRule="auto"/>
              <w:ind w:left="271" w:firstLine="0" w:firstLineChars="0"/>
              <w:rPr>
                <w:rFonts w:ascii="Times New Roman" w:eastAsia="Times New Roman" w:cs="Times New Roman"/>
                <w:kern w:val="2"/>
                <w:sz w:val="21"/>
                <w:szCs w:val="21"/>
              </w:rPr>
            </w:pPr>
            <w:r>
              <w:rPr>
                <w:rFonts w:ascii="Times New Roman" w:eastAsia="Times New Roman" w:cs="Times New Roman"/>
                <w:spacing w:val="-7"/>
                <w:kern w:val="2"/>
                <w:sz w:val="21"/>
                <w:szCs w:val="21"/>
              </w:rPr>
              <w:t>1</w:t>
            </w:r>
            <w:r>
              <w:rPr>
                <w:rFonts w:ascii="Times New Roman" w:eastAsia="Times New Roman" w:cs="Times New Roman"/>
                <w:spacing w:val="-5"/>
                <w:kern w:val="2"/>
                <w:sz w:val="21"/>
                <w:szCs w:val="21"/>
              </w:rPr>
              <w:t>25</w:t>
            </w:r>
          </w:p>
        </w:tc>
        <w:tc>
          <w:tcPr>
            <w:tcW w:w="1226" w:type="dxa"/>
          </w:tcPr>
          <w:p>
            <w:pPr>
              <w:topLinePunct w:val="0"/>
              <w:adjustRightInd/>
              <w:spacing w:before="71" w:line="186" w:lineRule="auto"/>
              <w:ind w:left="356" w:firstLine="0" w:firstLineChars="0"/>
              <w:rPr>
                <w:rFonts w:ascii="Times New Roman" w:eastAsia="Times New Roman" w:cs="Times New Roman"/>
                <w:kern w:val="2"/>
                <w:sz w:val="21"/>
                <w:szCs w:val="21"/>
              </w:rPr>
            </w:pPr>
            <w:r>
              <w:rPr>
                <w:rFonts w:ascii="Times New Roman" w:eastAsia="Times New Roman" w:cs="Times New Roman"/>
                <w:spacing w:val="-4"/>
                <w:kern w:val="2"/>
                <w:sz w:val="21"/>
                <w:szCs w:val="21"/>
              </w:rPr>
              <w:t>8</w:t>
            </w:r>
            <w:r>
              <w:rPr>
                <w:rFonts w:ascii="Times New Roman" w:eastAsia="Times New Roman" w:cs="Times New Roman"/>
                <w:spacing w:val="-3"/>
                <w:kern w:val="2"/>
                <w:sz w:val="21"/>
                <w:szCs w:val="21"/>
              </w:rPr>
              <w:t>9</w:t>
            </w:r>
            <w:r>
              <w:rPr>
                <w:rFonts w:ascii="Times New Roman" w:eastAsia="Times New Roman" w:cs="Times New Roman"/>
                <w:spacing w:val="-2"/>
                <w:kern w:val="2"/>
                <w:sz w:val="21"/>
                <w:szCs w:val="21"/>
              </w:rPr>
              <w:t>.93</w:t>
            </w:r>
          </w:p>
        </w:tc>
        <w:tc>
          <w:tcPr>
            <w:tcW w:w="868" w:type="dxa"/>
          </w:tcPr>
          <w:p>
            <w:pPr>
              <w:topLinePunct w:val="0"/>
              <w:adjustRightInd/>
              <w:spacing w:before="71" w:line="186" w:lineRule="auto"/>
              <w:ind w:left="248" w:firstLine="0" w:firstLineChars="0"/>
              <w:rPr>
                <w:rFonts w:ascii="Times New Roman" w:eastAsia="Times New Roman" w:cs="Times New Roman"/>
                <w:kern w:val="2"/>
                <w:sz w:val="21"/>
                <w:szCs w:val="21"/>
              </w:rPr>
            </w:pPr>
            <w:r>
              <w:rPr>
                <w:rFonts w:ascii="Times New Roman" w:eastAsia="Times New Roman" w:cs="Times New Roman"/>
                <w:spacing w:val="-1"/>
                <w:kern w:val="2"/>
                <w:sz w:val="21"/>
                <w:szCs w:val="21"/>
              </w:rPr>
              <w:t>499</w:t>
            </w:r>
          </w:p>
        </w:tc>
        <w:tc>
          <w:tcPr>
            <w:tcW w:w="1258" w:type="dxa"/>
          </w:tcPr>
          <w:p>
            <w:pPr>
              <w:topLinePunct w:val="0"/>
              <w:adjustRightInd/>
              <w:spacing w:before="71" w:line="186" w:lineRule="auto"/>
              <w:ind w:left="370" w:firstLine="0" w:firstLineChars="0"/>
              <w:rPr>
                <w:rFonts w:ascii="Times New Roman" w:eastAsia="Times New Roman" w:cs="Times New Roman"/>
                <w:kern w:val="2"/>
                <w:sz w:val="21"/>
                <w:szCs w:val="21"/>
              </w:rPr>
            </w:pPr>
            <w:r>
              <w:rPr>
                <w:rFonts w:ascii="Times New Roman" w:eastAsia="Times New Roman" w:cs="Times New Roman"/>
                <w:spacing w:val="-2"/>
                <w:kern w:val="2"/>
                <w:sz w:val="21"/>
                <w:szCs w:val="21"/>
              </w:rPr>
              <w:t>95.</w:t>
            </w:r>
            <w:r>
              <w:rPr>
                <w:rFonts w:ascii="Times New Roman" w:eastAsia="Times New Roman" w:cs="Times New Roman"/>
                <w:spacing w:val="-1"/>
                <w:kern w:val="2"/>
                <w:sz w:val="21"/>
                <w:szCs w:val="21"/>
              </w:rPr>
              <w:t>22</w:t>
            </w:r>
          </w:p>
        </w:tc>
        <w:tc>
          <w:tcPr>
            <w:tcW w:w="868" w:type="dxa"/>
          </w:tcPr>
          <w:p>
            <w:pPr>
              <w:topLinePunct w:val="0"/>
              <w:adjustRightInd/>
              <w:spacing w:before="71" w:line="186" w:lineRule="auto"/>
              <w:ind w:left="259" w:firstLine="0" w:firstLineChars="0"/>
              <w:rPr>
                <w:rFonts w:ascii="Times New Roman" w:eastAsia="Times New Roman" w:cs="Times New Roman"/>
                <w:kern w:val="2"/>
                <w:sz w:val="21"/>
                <w:szCs w:val="21"/>
              </w:rPr>
            </w:pPr>
            <w:r>
              <w:rPr>
                <w:rFonts w:ascii="Times New Roman" w:eastAsia="Times New Roman" w:cs="Times New Roman"/>
                <w:spacing w:val="-3"/>
                <w:kern w:val="2"/>
                <w:sz w:val="21"/>
                <w:szCs w:val="21"/>
              </w:rPr>
              <w:t>885</w:t>
            </w:r>
          </w:p>
        </w:tc>
        <w:tc>
          <w:tcPr>
            <w:tcW w:w="1207" w:type="dxa"/>
          </w:tcPr>
          <w:p>
            <w:pPr>
              <w:topLinePunct w:val="0"/>
              <w:adjustRightInd/>
              <w:spacing w:before="71" w:line="186" w:lineRule="auto"/>
              <w:ind w:left="343" w:firstLine="0" w:firstLineChars="0"/>
              <w:rPr>
                <w:rFonts w:ascii="Times New Roman" w:eastAsia="Times New Roman" w:cs="Times New Roman"/>
                <w:kern w:val="2"/>
                <w:sz w:val="21"/>
                <w:szCs w:val="21"/>
              </w:rPr>
            </w:pPr>
            <w:r>
              <w:rPr>
                <w:rFonts w:ascii="Times New Roman" w:eastAsia="Times New Roman" w:cs="Times New Roman"/>
                <w:spacing w:val="-2"/>
                <w:kern w:val="2"/>
                <w:sz w:val="21"/>
                <w:szCs w:val="21"/>
              </w:rPr>
              <w:t>95.</w:t>
            </w:r>
            <w:r>
              <w:rPr>
                <w:rFonts w:ascii="Times New Roman" w:eastAsia="Times New Roman" w:cs="Times New Roman"/>
                <w:spacing w:val="-1"/>
                <w:kern w:val="2"/>
                <w:sz w:val="21"/>
                <w:szCs w:val="21"/>
              </w:rPr>
              <w:t>68</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2" w:hRule="atLeast"/>
          <w:jc w:val="center"/>
        </w:trPr>
        <w:tc>
          <w:tcPr>
            <w:tcW w:w="1808" w:type="dxa"/>
            <w:gridSpan w:val="2"/>
          </w:tcPr>
          <w:p>
            <w:pPr>
              <w:topLinePunct w:val="0"/>
              <w:adjustRightInd/>
              <w:spacing w:before="34" w:line="218" w:lineRule="auto"/>
              <w:ind w:left="848" w:firstLine="0" w:firstLineChars="0"/>
              <w:rPr>
                <w:rFonts w:ascii="Times New Roman" w:cs="Times New Roman"/>
                <w:kern w:val="2"/>
                <w:sz w:val="21"/>
                <w:szCs w:val="21"/>
              </w:rPr>
            </w:pPr>
            <w:r>
              <w:rPr>
                <w:rFonts w:ascii="Times New Roman" w:cs="Times New Roman"/>
                <w:spacing w:val="-3"/>
                <w:kern w:val="2"/>
                <w:sz w:val="21"/>
                <w:szCs w:val="21"/>
              </w:rPr>
              <w:t>合</w:t>
            </w:r>
            <w:r>
              <w:rPr>
                <w:rFonts w:ascii="Times New Roman" w:cs="Times New Roman"/>
                <w:spacing w:val="-2"/>
                <w:kern w:val="2"/>
                <w:sz w:val="21"/>
                <w:szCs w:val="21"/>
              </w:rPr>
              <w:t>计</w:t>
            </w:r>
          </w:p>
        </w:tc>
        <w:tc>
          <w:tcPr>
            <w:tcW w:w="877" w:type="dxa"/>
          </w:tcPr>
          <w:p>
            <w:pPr>
              <w:topLinePunct w:val="0"/>
              <w:adjustRightInd/>
              <w:spacing w:before="72" w:line="186" w:lineRule="auto"/>
              <w:ind w:left="271" w:firstLine="0" w:firstLineChars="0"/>
              <w:rPr>
                <w:rFonts w:ascii="Times New Roman" w:eastAsia="Times New Roman" w:cs="Times New Roman"/>
                <w:kern w:val="2"/>
                <w:sz w:val="21"/>
                <w:szCs w:val="21"/>
              </w:rPr>
            </w:pPr>
            <w:r>
              <w:rPr>
                <w:rFonts w:ascii="Times New Roman" w:eastAsia="Times New Roman" w:cs="Times New Roman"/>
                <w:spacing w:val="-7"/>
                <w:kern w:val="2"/>
                <w:sz w:val="21"/>
                <w:szCs w:val="21"/>
              </w:rPr>
              <w:t>1</w:t>
            </w:r>
            <w:r>
              <w:rPr>
                <w:rFonts w:ascii="Times New Roman" w:eastAsia="Times New Roman" w:cs="Times New Roman"/>
                <w:spacing w:val="-5"/>
                <w:kern w:val="2"/>
                <w:sz w:val="21"/>
                <w:szCs w:val="21"/>
              </w:rPr>
              <w:t>39</w:t>
            </w:r>
          </w:p>
        </w:tc>
        <w:tc>
          <w:tcPr>
            <w:tcW w:w="1226" w:type="dxa"/>
          </w:tcPr>
          <w:p>
            <w:pPr>
              <w:topLinePunct w:val="0"/>
              <w:adjustRightInd/>
              <w:spacing w:before="72" w:line="186" w:lineRule="auto"/>
              <w:ind w:left="368" w:firstLine="0" w:firstLineChars="0"/>
              <w:rPr>
                <w:rFonts w:ascii="Times New Roman" w:eastAsia="Times New Roman" w:cs="Times New Roman"/>
                <w:kern w:val="2"/>
                <w:sz w:val="21"/>
                <w:szCs w:val="21"/>
              </w:rPr>
            </w:pPr>
            <w:r>
              <w:rPr>
                <w:rFonts w:ascii="Times New Roman" w:eastAsia="Times New Roman" w:cs="Times New Roman"/>
                <w:spacing w:val="-8"/>
                <w:kern w:val="2"/>
                <w:sz w:val="21"/>
                <w:szCs w:val="21"/>
              </w:rPr>
              <w:t>1</w:t>
            </w:r>
            <w:r>
              <w:rPr>
                <w:rFonts w:ascii="Times New Roman" w:eastAsia="Times New Roman" w:cs="Times New Roman"/>
                <w:spacing w:val="-4"/>
                <w:kern w:val="2"/>
                <w:sz w:val="21"/>
                <w:szCs w:val="21"/>
              </w:rPr>
              <w:t>00.0</w:t>
            </w:r>
          </w:p>
        </w:tc>
        <w:tc>
          <w:tcPr>
            <w:tcW w:w="868" w:type="dxa"/>
          </w:tcPr>
          <w:p>
            <w:pPr>
              <w:topLinePunct w:val="0"/>
              <w:adjustRightInd/>
              <w:spacing w:before="72" w:line="186" w:lineRule="auto"/>
              <w:ind w:left="255" w:firstLine="0" w:firstLineChars="0"/>
              <w:rPr>
                <w:rFonts w:ascii="Times New Roman" w:eastAsia="Times New Roman" w:cs="Times New Roman"/>
                <w:kern w:val="2"/>
                <w:sz w:val="21"/>
                <w:szCs w:val="21"/>
              </w:rPr>
            </w:pPr>
            <w:r>
              <w:rPr>
                <w:rFonts w:ascii="Times New Roman" w:eastAsia="Times New Roman" w:cs="Times New Roman"/>
                <w:spacing w:val="-3"/>
                <w:kern w:val="2"/>
                <w:sz w:val="21"/>
                <w:szCs w:val="21"/>
              </w:rPr>
              <w:t>5</w:t>
            </w:r>
            <w:r>
              <w:rPr>
                <w:rFonts w:ascii="Times New Roman" w:eastAsia="Times New Roman" w:cs="Times New Roman"/>
                <w:spacing w:val="-2"/>
                <w:kern w:val="2"/>
                <w:sz w:val="21"/>
                <w:szCs w:val="21"/>
              </w:rPr>
              <w:t>24</w:t>
            </w:r>
          </w:p>
        </w:tc>
        <w:tc>
          <w:tcPr>
            <w:tcW w:w="1258" w:type="dxa"/>
          </w:tcPr>
          <w:p>
            <w:pPr>
              <w:topLinePunct w:val="0"/>
              <w:adjustRightInd/>
              <w:spacing w:before="72" w:line="186" w:lineRule="auto"/>
              <w:ind w:left="386" w:firstLine="0" w:firstLineChars="0"/>
              <w:rPr>
                <w:rFonts w:ascii="Times New Roman" w:eastAsia="Times New Roman" w:cs="Times New Roman"/>
                <w:kern w:val="2"/>
                <w:sz w:val="21"/>
                <w:szCs w:val="21"/>
              </w:rPr>
            </w:pPr>
            <w:r>
              <w:rPr>
                <w:rFonts w:ascii="Times New Roman" w:eastAsia="Times New Roman" w:cs="Times New Roman"/>
                <w:spacing w:val="-8"/>
                <w:kern w:val="2"/>
                <w:sz w:val="21"/>
                <w:szCs w:val="21"/>
              </w:rPr>
              <w:t>1</w:t>
            </w:r>
            <w:r>
              <w:rPr>
                <w:rFonts w:ascii="Times New Roman" w:eastAsia="Times New Roman" w:cs="Times New Roman"/>
                <w:spacing w:val="-4"/>
                <w:kern w:val="2"/>
                <w:sz w:val="21"/>
                <w:szCs w:val="21"/>
              </w:rPr>
              <w:t>00.0</w:t>
            </w:r>
          </w:p>
        </w:tc>
        <w:tc>
          <w:tcPr>
            <w:tcW w:w="868" w:type="dxa"/>
          </w:tcPr>
          <w:p>
            <w:pPr>
              <w:topLinePunct w:val="0"/>
              <w:adjustRightInd/>
              <w:spacing w:before="72" w:line="186" w:lineRule="auto"/>
              <w:ind w:left="254" w:firstLine="0" w:firstLineChars="0"/>
              <w:rPr>
                <w:rFonts w:ascii="Times New Roman" w:eastAsia="Times New Roman" w:cs="Times New Roman"/>
                <w:kern w:val="2"/>
                <w:sz w:val="21"/>
                <w:szCs w:val="21"/>
              </w:rPr>
            </w:pPr>
            <w:r>
              <w:rPr>
                <w:rFonts w:ascii="Times New Roman" w:eastAsia="Times New Roman" w:cs="Times New Roman"/>
                <w:spacing w:val="-2"/>
                <w:kern w:val="2"/>
                <w:sz w:val="21"/>
                <w:szCs w:val="21"/>
              </w:rPr>
              <w:t>925</w:t>
            </w:r>
          </w:p>
        </w:tc>
        <w:tc>
          <w:tcPr>
            <w:tcW w:w="1207" w:type="dxa"/>
          </w:tcPr>
          <w:p>
            <w:pPr>
              <w:topLinePunct w:val="0"/>
              <w:adjustRightInd/>
              <w:spacing w:before="72" w:line="186" w:lineRule="auto"/>
              <w:ind w:left="359" w:firstLine="0" w:firstLineChars="0"/>
              <w:rPr>
                <w:rFonts w:ascii="Times New Roman" w:eastAsia="Times New Roman" w:cs="Times New Roman"/>
                <w:kern w:val="2"/>
                <w:sz w:val="21"/>
                <w:szCs w:val="21"/>
              </w:rPr>
            </w:pPr>
            <w:r>
              <w:rPr>
                <w:rFonts w:ascii="Times New Roman" w:eastAsia="Times New Roman" w:cs="Times New Roman"/>
                <w:spacing w:val="-8"/>
                <w:kern w:val="2"/>
                <w:sz w:val="21"/>
                <w:szCs w:val="21"/>
              </w:rPr>
              <w:t>1</w:t>
            </w:r>
            <w:r>
              <w:rPr>
                <w:rFonts w:ascii="Times New Roman" w:eastAsia="Times New Roman" w:cs="Times New Roman"/>
                <w:spacing w:val="-4"/>
                <w:kern w:val="2"/>
                <w:sz w:val="21"/>
                <w:szCs w:val="21"/>
              </w:rPr>
              <w:t>00.0</w:t>
            </w:r>
          </w:p>
        </w:tc>
      </w:tr>
    </w:tbl>
    <w:p>
      <w:pPr>
        <w:pStyle w:val="114"/>
        <w:ind w:firstLine="0" w:firstLineChars="0"/>
      </w:pPr>
      <w:r>
        <w:t xml:space="preserve">    项目区域维管植物组成以被子植物为优势，分别占评价区维管植物科属种总数的89.93%、95.22%和95.68%。常见的优势物种有马尾松</w:t>
      </w:r>
      <w:r>
        <w:rPr>
          <w:i/>
          <w:iCs/>
        </w:rPr>
        <w:t>P.massoniana</w:t>
      </w:r>
      <w:r>
        <w:t xml:space="preserve">、杉木Cunninghamia </w:t>
      </w:r>
      <w:r>
        <w:rPr>
          <w:i/>
          <w:iCs/>
        </w:rPr>
        <w:t>lanceolata</w:t>
      </w:r>
      <w:r>
        <w:t xml:space="preserve"> </w:t>
      </w:r>
      <w:r>
        <w:rPr>
          <w:i/>
          <w:iCs/>
        </w:rPr>
        <w:t>(Lamb.)Hook.</w:t>
      </w:r>
      <w:r>
        <w:t>、柏木</w:t>
      </w:r>
      <w:r>
        <w:rPr>
          <w:i/>
          <w:iCs/>
        </w:rPr>
        <w:t>Cupressus</w:t>
      </w:r>
      <w:r>
        <w:t xml:space="preserve"> </w:t>
      </w:r>
      <w:r>
        <w:rPr>
          <w:i/>
          <w:iCs/>
        </w:rPr>
        <w:t>funebris</w:t>
      </w:r>
      <w:r>
        <w:t xml:space="preserve"> </w:t>
      </w:r>
      <w:r>
        <w:rPr>
          <w:i/>
          <w:iCs/>
        </w:rPr>
        <w:t>Endl.、</w:t>
      </w:r>
      <w:r>
        <w:t>蔷薇</w:t>
      </w:r>
      <w:r>
        <w:rPr>
          <w:i/>
          <w:iCs/>
        </w:rPr>
        <w:t>Rosa</w:t>
      </w:r>
      <w:r>
        <w:t xml:space="preserve"> </w:t>
      </w:r>
      <w:r>
        <w:rPr>
          <w:i/>
          <w:iCs/>
        </w:rPr>
        <w:t>sp.</w:t>
      </w:r>
      <w:r>
        <w:t>、白茅</w:t>
      </w:r>
      <w:r>
        <w:rPr>
          <w:i/>
          <w:iCs/>
        </w:rPr>
        <w:t>mperata</w:t>
      </w:r>
      <w:r>
        <w:t xml:space="preserve"> </w:t>
      </w:r>
      <w:r>
        <w:rPr>
          <w:i/>
          <w:iCs/>
        </w:rPr>
        <w:t>cylindric</w:t>
      </w:r>
      <w:r>
        <w:t>等。</w:t>
      </w:r>
    </w:p>
    <w:p>
      <w:pPr>
        <w:topLinePunct w:val="0"/>
        <w:snapToGrid w:val="0"/>
        <w:ind w:firstLine="0" w:firstLineChars="0"/>
        <w:rPr>
          <w:rFonts w:ascii="Times New Roman" w:cs="Times New Roman"/>
          <w:b/>
          <w:bCs/>
          <w:kern w:val="2"/>
        </w:rPr>
      </w:pPr>
      <w:r>
        <w:rPr>
          <w:rFonts w:ascii="Times New Roman" w:cs="Times New Roman"/>
          <w:b/>
          <w:bCs/>
          <w:kern w:val="2"/>
        </w:rPr>
        <w:t>（3）种子植物按属分类</w:t>
      </w:r>
    </w:p>
    <w:p>
      <w:pPr>
        <w:pStyle w:val="114"/>
        <w:ind w:firstLine="540"/>
        <w:rPr>
          <w:spacing w:val="15"/>
          <w:kern w:val="2"/>
          <w:szCs w:val="24"/>
        </w:rPr>
      </w:pPr>
      <w:r>
        <w:rPr>
          <w:spacing w:val="15"/>
          <w:kern w:val="2"/>
          <w:szCs w:val="24"/>
        </w:rPr>
        <w:t>根据吴征镒对中国种子植物属的分布区类型划分方案，对项目区域种子植物属进行归类统计，见表5.2-9。</w:t>
      </w:r>
    </w:p>
    <w:tbl>
      <w:tblPr>
        <w:tblStyle w:val="59"/>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4416"/>
        <w:gridCol w:w="1682"/>
        <w:gridCol w:w="2690"/>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4174" w:type="dxa"/>
          </w:tcPr>
          <w:p>
            <w:pPr>
              <w:topLinePunct w:val="0"/>
              <w:adjustRightInd/>
              <w:spacing w:before="56" w:line="217" w:lineRule="auto"/>
              <w:ind w:left="1116" w:firstLine="0" w:firstLineChars="0"/>
              <w:rPr>
                <w:rFonts w:ascii="Times New Roman" w:cs="Times New Roman"/>
                <w:kern w:val="2"/>
                <w:sz w:val="21"/>
                <w:szCs w:val="21"/>
              </w:rPr>
            </w:pPr>
            <w:r>
              <w:rPr>
                <w:rFonts w:ascii="Times New Roman" w:cs="Times New Roman"/>
                <w:spacing w:val="-2"/>
                <w:kern w:val="2"/>
                <w:sz w:val="21"/>
                <w:szCs w:val="21"/>
              </w:rPr>
              <w:t>分</w:t>
            </w:r>
            <w:r>
              <w:rPr>
                <w:rFonts w:ascii="Times New Roman" w:cs="Times New Roman"/>
                <w:spacing w:val="-1"/>
                <w:kern w:val="2"/>
                <w:sz w:val="21"/>
                <w:szCs w:val="21"/>
              </w:rPr>
              <w:t>布区类型及其变型</w:t>
            </w:r>
          </w:p>
        </w:tc>
        <w:tc>
          <w:tcPr>
            <w:tcW w:w="1590" w:type="dxa"/>
          </w:tcPr>
          <w:p>
            <w:pPr>
              <w:topLinePunct w:val="0"/>
              <w:adjustRightInd/>
              <w:spacing w:before="55" w:line="220" w:lineRule="auto"/>
              <w:ind w:left="559" w:firstLine="0" w:firstLineChars="0"/>
              <w:rPr>
                <w:rFonts w:ascii="Times New Roman" w:cs="Times New Roman"/>
                <w:kern w:val="2"/>
                <w:sz w:val="21"/>
                <w:szCs w:val="21"/>
              </w:rPr>
            </w:pPr>
            <w:r>
              <w:rPr>
                <w:rFonts w:ascii="Times New Roman" w:cs="Times New Roman"/>
                <w:spacing w:val="-3"/>
                <w:kern w:val="2"/>
                <w:sz w:val="21"/>
                <w:szCs w:val="21"/>
              </w:rPr>
              <w:t>属</w:t>
            </w:r>
            <w:r>
              <w:rPr>
                <w:rFonts w:ascii="Times New Roman" w:cs="Times New Roman"/>
                <w:spacing w:val="-2"/>
                <w:kern w:val="2"/>
                <w:sz w:val="21"/>
                <w:szCs w:val="21"/>
              </w:rPr>
              <w:t>数</w:t>
            </w:r>
          </w:p>
        </w:tc>
        <w:tc>
          <w:tcPr>
            <w:tcW w:w="2542" w:type="dxa"/>
          </w:tcPr>
          <w:p>
            <w:pPr>
              <w:topLinePunct w:val="0"/>
              <w:adjustRightInd/>
              <w:spacing w:before="55" w:line="223" w:lineRule="auto"/>
              <w:ind w:left="473" w:firstLine="0" w:firstLineChars="0"/>
              <w:rPr>
                <w:rFonts w:ascii="Times New Roman" w:cs="Times New Roman"/>
                <w:kern w:val="2"/>
                <w:sz w:val="21"/>
                <w:szCs w:val="21"/>
              </w:rPr>
            </w:pPr>
            <w:r>
              <w:rPr>
                <w:rFonts w:ascii="Times New Roman" w:cs="Times New Roman"/>
                <w:spacing w:val="-1"/>
                <w:kern w:val="2"/>
                <w:sz w:val="21"/>
                <w:szCs w:val="21"/>
              </w:rPr>
              <w:t>所占比例</w:t>
            </w:r>
            <w:r>
              <w:rPr>
                <w:rFonts w:ascii="Times New Roman" w:eastAsia="Times New Roman" w:cs="Times New Roman"/>
                <w:spacing w:val="-1"/>
                <w:kern w:val="2"/>
                <w:sz w:val="21"/>
                <w:szCs w:val="21"/>
              </w:rPr>
              <w:t>%</w:t>
            </w:r>
            <w:r>
              <w:rPr>
                <w:rFonts w:ascii="Times New Roman" w:cs="Times New Roman" w:eastAsiaTheme="minorEastAsia"/>
                <w:spacing w:val="-1"/>
                <w:kern w:val="2"/>
                <w:sz w:val="21"/>
                <w:szCs w:val="21"/>
              </w:rPr>
              <w:t>（</w:t>
            </w:r>
            <w:r>
              <w:rPr>
                <w:rFonts w:ascii="Times New Roman" w:eastAsia="Times New Roman" w:cs="Times New Roman"/>
                <w:kern w:val="2"/>
                <w:sz w:val="21"/>
                <w:szCs w:val="21"/>
              </w:rPr>
              <w:t>*</w:t>
            </w:r>
            <w:r>
              <w:rPr>
                <w:rFonts w:ascii="Times New Roman" w:cs="Times New Roman" w:eastAsiaTheme="minorEastAsia"/>
                <w:spacing w:val="-1"/>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92" w:hRule="atLeast"/>
          <w:jc w:val="center"/>
        </w:trPr>
        <w:tc>
          <w:tcPr>
            <w:tcW w:w="4174" w:type="dxa"/>
          </w:tcPr>
          <w:p>
            <w:pPr>
              <w:topLinePunct w:val="0"/>
              <w:adjustRightInd/>
              <w:spacing w:before="45" w:line="217" w:lineRule="auto"/>
              <w:ind w:left="1523" w:firstLine="0" w:firstLineChars="0"/>
              <w:rPr>
                <w:rFonts w:ascii="Times New Roman" w:cs="Times New Roman"/>
                <w:kern w:val="2"/>
                <w:sz w:val="21"/>
                <w:szCs w:val="21"/>
              </w:rPr>
            </w:pPr>
            <w:r>
              <w:rPr>
                <w:rFonts w:ascii="Times New Roman" w:eastAsia="Times New Roman" w:cs="Times New Roman"/>
                <w:spacing w:val="-4"/>
                <w:kern w:val="2"/>
                <w:sz w:val="21"/>
                <w:szCs w:val="21"/>
              </w:rPr>
              <w:t>1.</w:t>
            </w:r>
            <w:r>
              <w:rPr>
                <w:rFonts w:ascii="Times New Roman" w:cs="Times New Roman"/>
                <w:spacing w:val="-2"/>
                <w:kern w:val="2"/>
                <w:sz w:val="21"/>
                <w:szCs w:val="21"/>
              </w:rPr>
              <w:t>世界分布</w:t>
            </w:r>
          </w:p>
        </w:tc>
        <w:tc>
          <w:tcPr>
            <w:tcW w:w="1590" w:type="dxa"/>
          </w:tcPr>
          <w:p>
            <w:pPr>
              <w:topLinePunct w:val="0"/>
              <w:adjustRightInd/>
              <w:spacing w:before="68" w:line="186" w:lineRule="auto"/>
              <w:ind w:left="658" w:firstLine="0" w:firstLineChars="0"/>
              <w:rPr>
                <w:rFonts w:ascii="Times New Roman" w:eastAsia="Times New Roman" w:cs="Times New Roman"/>
                <w:kern w:val="2"/>
                <w:sz w:val="21"/>
                <w:szCs w:val="21"/>
              </w:rPr>
            </w:pPr>
            <w:r>
              <w:rPr>
                <w:rFonts w:ascii="Times New Roman" w:eastAsia="Times New Roman" w:cs="Times New Roman"/>
                <w:spacing w:val="-1"/>
                <w:kern w:val="2"/>
                <w:sz w:val="21"/>
                <w:szCs w:val="21"/>
              </w:rPr>
              <w:t>43</w:t>
            </w:r>
          </w:p>
        </w:tc>
        <w:tc>
          <w:tcPr>
            <w:tcW w:w="2542" w:type="dxa"/>
          </w:tcPr>
          <w:p>
            <w:pPr>
              <w:topLinePunct w:val="0"/>
              <w:adjustRightInd/>
              <w:spacing w:before="68" w:line="186" w:lineRule="auto"/>
              <w:ind w:left="1064" w:firstLine="0" w:firstLineChars="0"/>
              <w:rPr>
                <w:rFonts w:ascii="Times New Roman" w:eastAsia="Times New Roman" w:cs="Times New Roman"/>
                <w:kern w:val="2"/>
                <w:sz w:val="21"/>
                <w:szCs w:val="21"/>
              </w:rPr>
            </w:pPr>
            <w:r>
              <w:rPr>
                <w:rFonts w:ascii="Times New Roman" w:eastAsia="Times New Roman" w:cs="Times New Roman"/>
                <w:spacing w:val="-4"/>
                <w:kern w:val="2"/>
                <w:sz w:val="21"/>
                <w:szCs w:val="21"/>
              </w:rPr>
              <w:t>8</w:t>
            </w:r>
            <w:r>
              <w:rPr>
                <w:rFonts w:ascii="Times New Roman" w:eastAsia="Times New Roman" w:cs="Times New Roman"/>
                <w:spacing w:val="-3"/>
                <w:kern w:val="2"/>
                <w:sz w:val="21"/>
                <w:szCs w:val="21"/>
              </w:rPr>
              <w:t>.55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174" w:type="dxa"/>
          </w:tcPr>
          <w:p>
            <w:pPr>
              <w:topLinePunct w:val="0"/>
              <w:adjustRightInd/>
              <w:spacing w:before="51" w:line="220" w:lineRule="auto"/>
              <w:ind w:left="1607" w:firstLine="0" w:firstLineChars="0"/>
              <w:rPr>
                <w:rFonts w:ascii="Times New Roman" w:cs="Times New Roman"/>
                <w:kern w:val="2"/>
                <w:sz w:val="21"/>
                <w:szCs w:val="21"/>
              </w:rPr>
            </w:pPr>
            <w:r>
              <w:rPr>
                <w:rFonts w:ascii="Times New Roman" w:eastAsia="Times New Roman" w:cs="Times New Roman"/>
                <w:spacing w:val="-1"/>
                <w:kern w:val="2"/>
                <w:sz w:val="21"/>
                <w:szCs w:val="21"/>
              </w:rPr>
              <w:t>2</w:t>
            </w:r>
            <w:r>
              <w:rPr>
                <w:rFonts w:ascii="Times New Roman" w:eastAsia="Times New Roman" w:cs="Times New Roman"/>
                <w:kern w:val="2"/>
                <w:sz w:val="21"/>
                <w:szCs w:val="21"/>
              </w:rPr>
              <w:t>.</w:t>
            </w:r>
            <w:r>
              <w:rPr>
                <w:rFonts w:ascii="Times New Roman" w:cs="Times New Roman"/>
                <w:kern w:val="2"/>
                <w:sz w:val="21"/>
                <w:szCs w:val="21"/>
              </w:rPr>
              <w:t>泛热带</w:t>
            </w:r>
          </w:p>
        </w:tc>
        <w:tc>
          <w:tcPr>
            <w:tcW w:w="1590" w:type="dxa"/>
          </w:tcPr>
          <w:p>
            <w:pPr>
              <w:topLinePunct w:val="0"/>
              <w:adjustRightInd/>
              <w:spacing w:before="68" w:line="186" w:lineRule="auto"/>
              <w:ind w:left="668" w:firstLine="0" w:firstLineChars="0"/>
              <w:rPr>
                <w:rFonts w:ascii="Times New Roman" w:eastAsia="Times New Roman" w:cs="Times New Roman"/>
                <w:kern w:val="2"/>
                <w:sz w:val="21"/>
                <w:szCs w:val="21"/>
              </w:rPr>
            </w:pPr>
            <w:r>
              <w:rPr>
                <w:rFonts w:ascii="Times New Roman" w:eastAsia="Times New Roman" w:cs="Times New Roman"/>
                <w:spacing w:val="-4"/>
                <w:kern w:val="2"/>
                <w:sz w:val="21"/>
                <w:szCs w:val="21"/>
              </w:rPr>
              <w:t>8</w:t>
            </w:r>
            <w:r>
              <w:rPr>
                <w:rFonts w:ascii="Times New Roman" w:eastAsia="Times New Roman" w:cs="Times New Roman"/>
                <w:spacing w:val="-3"/>
                <w:kern w:val="2"/>
                <w:sz w:val="21"/>
                <w:szCs w:val="21"/>
              </w:rPr>
              <w:t>0</w:t>
            </w:r>
          </w:p>
        </w:tc>
        <w:tc>
          <w:tcPr>
            <w:tcW w:w="2542" w:type="dxa"/>
          </w:tcPr>
          <w:p>
            <w:pPr>
              <w:topLinePunct w:val="0"/>
              <w:adjustRightInd/>
              <w:spacing w:before="68" w:line="186" w:lineRule="auto"/>
              <w:ind w:left="1023" w:firstLine="0" w:firstLineChars="0"/>
              <w:rPr>
                <w:rFonts w:ascii="Times New Roman" w:eastAsia="Times New Roman" w:cs="Times New Roman"/>
                <w:kern w:val="2"/>
                <w:sz w:val="21"/>
                <w:szCs w:val="21"/>
              </w:rPr>
            </w:pPr>
            <w:r>
              <w:rPr>
                <w:rFonts w:ascii="Times New Roman" w:eastAsia="Times New Roman" w:cs="Times New Roman"/>
                <w:spacing w:val="-8"/>
                <w:kern w:val="2"/>
                <w:sz w:val="21"/>
                <w:szCs w:val="21"/>
              </w:rPr>
              <w:t>1</w:t>
            </w:r>
            <w:r>
              <w:rPr>
                <w:rFonts w:ascii="Times New Roman" w:eastAsia="Times New Roman" w:cs="Times New Roman"/>
                <w:spacing w:val="-4"/>
                <w:kern w:val="2"/>
                <w:sz w:val="21"/>
                <w:szCs w:val="21"/>
              </w:rPr>
              <w:t>5.81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174" w:type="dxa"/>
          </w:tcPr>
          <w:p>
            <w:pPr>
              <w:topLinePunct w:val="0"/>
              <w:adjustRightInd/>
              <w:spacing w:before="53" w:line="219" w:lineRule="auto"/>
              <w:ind w:left="614" w:firstLine="0" w:firstLineChars="0"/>
              <w:rPr>
                <w:rFonts w:ascii="Times New Roman" w:cs="Times New Roman"/>
                <w:kern w:val="2"/>
                <w:sz w:val="21"/>
                <w:szCs w:val="21"/>
              </w:rPr>
            </w:pPr>
            <w:r>
              <w:rPr>
                <w:rFonts w:ascii="Times New Roman" w:eastAsia="Times New Roman" w:cs="Times New Roman"/>
                <w:spacing w:val="-1"/>
                <w:kern w:val="2"/>
                <w:sz w:val="21"/>
                <w:szCs w:val="21"/>
              </w:rPr>
              <w:t>3.</w:t>
            </w:r>
            <w:r>
              <w:rPr>
                <w:rFonts w:ascii="Times New Roman" w:cs="Times New Roman"/>
                <w:spacing w:val="-1"/>
                <w:kern w:val="2"/>
                <w:sz w:val="21"/>
                <w:szCs w:val="21"/>
              </w:rPr>
              <w:t>热带亚洲和热带</w:t>
            </w:r>
            <w:r>
              <w:rPr>
                <w:rFonts w:ascii="Times New Roman" w:cs="Times New Roman"/>
                <w:kern w:val="2"/>
                <w:sz w:val="21"/>
                <w:szCs w:val="21"/>
              </w:rPr>
              <w:t>美洲间断分布</w:t>
            </w:r>
          </w:p>
        </w:tc>
        <w:tc>
          <w:tcPr>
            <w:tcW w:w="1590" w:type="dxa"/>
          </w:tcPr>
          <w:p>
            <w:pPr>
              <w:topLinePunct w:val="0"/>
              <w:adjustRightInd/>
              <w:spacing w:before="69" w:line="186" w:lineRule="auto"/>
              <w:ind w:left="679" w:firstLine="0" w:firstLineChars="0"/>
              <w:rPr>
                <w:rFonts w:ascii="Times New Roman" w:eastAsia="Times New Roman" w:cs="Times New Roman"/>
                <w:kern w:val="2"/>
                <w:sz w:val="21"/>
                <w:szCs w:val="21"/>
              </w:rPr>
            </w:pPr>
            <w:r>
              <w:rPr>
                <w:rFonts w:ascii="Times New Roman" w:eastAsia="Times New Roman" w:cs="Times New Roman"/>
                <w:spacing w:val="-6"/>
                <w:kern w:val="2"/>
                <w:sz w:val="21"/>
                <w:szCs w:val="21"/>
              </w:rPr>
              <w:t>18</w:t>
            </w:r>
          </w:p>
        </w:tc>
        <w:tc>
          <w:tcPr>
            <w:tcW w:w="2542" w:type="dxa"/>
          </w:tcPr>
          <w:p>
            <w:pPr>
              <w:topLinePunct w:val="0"/>
              <w:adjustRightInd/>
              <w:spacing w:before="69" w:line="186" w:lineRule="auto"/>
              <w:ind w:left="1060" w:firstLine="0" w:firstLineChars="0"/>
              <w:rPr>
                <w:rFonts w:ascii="Times New Roman" w:eastAsia="Times New Roman" w:cs="Times New Roman"/>
                <w:kern w:val="2"/>
                <w:sz w:val="21"/>
                <w:szCs w:val="21"/>
              </w:rPr>
            </w:pPr>
            <w:r>
              <w:rPr>
                <w:rFonts w:ascii="Times New Roman" w:eastAsia="Times New Roman" w:cs="Times New Roman"/>
                <w:spacing w:val="-2"/>
                <w:kern w:val="2"/>
                <w:sz w:val="21"/>
                <w:szCs w:val="21"/>
              </w:rPr>
              <w:t>3.58</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174" w:type="dxa"/>
          </w:tcPr>
          <w:p>
            <w:pPr>
              <w:topLinePunct w:val="0"/>
              <w:adjustRightInd/>
              <w:spacing w:before="52" w:line="219" w:lineRule="auto"/>
              <w:ind w:left="1239" w:firstLine="0" w:firstLineChars="0"/>
              <w:rPr>
                <w:rFonts w:ascii="Times New Roman" w:cs="Times New Roman"/>
                <w:kern w:val="2"/>
                <w:sz w:val="21"/>
                <w:szCs w:val="21"/>
              </w:rPr>
            </w:pPr>
            <w:r>
              <w:rPr>
                <w:rFonts w:ascii="Times New Roman" w:eastAsia="Times New Roman" w:cs="Times New Roman"/>
                <w:spacing w:val="-1"/>
                <w:kern w:val="2"/>
                <w:sz w:val="21"/>
                <w:szCs w:val="21"/>
              </w:rPr>
              <w:t>4.</w:t>
            </w:r>
            <w:r>
              <w:rPr>
                <w:rFonts w:ascii="Times New Roman" w:cs="Times New Roman"/>
                <w:spacing w:val="-1"/>
                <w:kern w:val="2"/>
                <w:sz w:val="21"/>
                <w:szCs w:val="21"/>
              </w:rPr>
              <w:t>旧世</w:t>
            </w:r>
            <w:r>
              <w:rPr>
                <w:rFonts w:ascii="Times New Roman" w:cs="Times New Roman"/>
                <w:kern w:val="2"/>
                <w:sz w:val="21"/>
                <w:szCs w:val="21"/>
              </w:rPr>
              <w:t>界热带分布</w:t>
            </w:r>
          </w:p>
        </w:tc>
        <w:tc>
          <w:tcPr>
            <w:tcW w:w="1590" w:type="dxa"/>
          </w:tcPr>
          <w:p>
            <w:pPr>
              <w:topLinePunct w:val="0"/>
              <w:adjustRightInd/>
              <w:spacing w:before="69" w:line="186" w:lineRule="auto"/>
              <w:ind w:left="679" w:firstLine="0" w:firstLineChars="0"/>
              <w:rPr>
                <w:rFonts w:ascii="Times New Roman" w:eastAsia="Times New Roman" w:cs="Times New Roman"/>
                <w:kern w:val="2"/>
                <w:sz w:val="21"/>
                <w:szCs w:val="21"/>
              </w:rPr>
            </w:pPr>
            <w:r>
              <w:rPr>
                <w:rFonts w:ascii="Times New Roman" w:eastAsia="Times New Roman" w:cs="Times New Roman"/>
                <w:spacing w:val="-6"/>
                <w:kern w:val="2"/>
                <w:sz w:val="21"/>
                <w:szCs w:val="21"/>
              </w:rPr>
              <w:t>18</w:t>
            </w:r>
          </w:p>
        </w:tc>
        <w:tc>
          <w:tcPr>
            <w:tcW w:w="2542" w:type="dxa"/>
          </w:tcPr>
          <w:p>
            <w:pPr>
              <w:topLinePunct w:val="0"/>
              <w:adjustRightInd/>
              <w:spacing w:before="69" w:line="186" w:lineRule="auto"/>
              <w:ind w:left="1060" w:firstLine="0" w:firstLineChars="0"/>
              <w:rPr>
                <w:rFonts w:ascii="Times New Roman" w:eastAsia="Times New Roman" w:cs="Times New Roman"/>
                <w:kern w:val="2"/>
                <w:sz w:val="21"/>
                <w:szCs w:val="21"/>
              </w:rPr>
            </w:pPr>
            <w:r>
              <w:rPr>
                <w:rFonts w:ascii="Times New Roman" w:eastAsia="Times New Roman" w:cs="Times New Roman"/>
                <w:spacing w:val="-2"/>
                <w:kern w:val="2"/>
                <w:sz w:val="21"/>
                <w:szCs w:val="21"/>
              </w:rPr>
              <w:t>3.56</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174" w:type="dxa"/>
          </w:tcPr>
          <w:p>
            <w:pPr>
              <w:topLinePunct w:val="0"/>
              <w:adjustRightInd/>
              <w:spacing w:before="52" w:line="219" w:lineRule="auto"/>
              <w:ind w:left="721" w:firstLine="0" w:firstLineChars="0"/>
              <w:rPr>
                <w:rFonts w:ascii="Times New Roman" w:cs="Times New Roman"/>
                <w:kern w:val="2"/>
                <w:sz w:val="21"/>
                <w:szCs w:val="21"/>
              </w:rPr>
            </w:pPr>
            <w:r>
              <w:rPr>
                <w:rFonts w:ascii="Times New Roman" w:eastAsia="Times New Roman" w:cs="Times New Roman"/>
                <w:spacing w:val="-1"/>
                <w:kern w:val="2"/>
                <w:sz w:val="21"/>
                <w:szCs w:val="21"/>
              </w:rPr>
              <w:t>5.</w:t>
            </w:r>
            <w:r>
              <w:rPr>
                <w:rFonts w:ascii="Times New Roman" w:cs="Times New Roman"/>
                <w:spacing w:val="-1"/>
                <w:kern w:val="2"/>
                <w:sz w:val="21"/>
                <w:szCs w:val="21"/>
              </w:rPr>
              <w:t>热带亚洲至热带大洋</w:t>
            </w:r>
            <w:r>
              <w:rPr>
                <w:rFonts w:ascii="Times New Roman" w:cs="Times New Roman"/>
                <w:kern w:val="2"/>
                <w:sz w:val="21"/>
                <w:szCs w:val="21"/>
              </w:rPr>
              <w:t>洲分布</w:t>
            </w:r>
          </w:p>
        </w:tc>
        <w:tc>
          <w:tcPr>
            <w:tcW w:w="1590" w:type="dxa"/>
          </w:tcPr>
          <w:p>
            <w:pPr>
              <w:topLinePunct w:val="0"/>
              <w:adjustRightInd/>
              <w:spacing w:before="70" w:line="186" w:lineRule="auto"/>
              <w:ind w:left="679" w:firstLine="0" w:firstLineChars="0"/>
              <w:rPr>
                <w:rFonts w:ascii="Times New Roman" w:eastAsia="Times New Roman" w:cs="Times New Roman"/>
                <w:kern w:val="2"/>
                <w:sz w:val="21"/>
                <w:szCs w:val="21"/>
              </w:rPr>
            </w:pPr>
            <w:r>
              <w:rPr>
                <w:rFonts w:ascii="Times New Roman" w:eastAsia="Times New Roman" w:cs="Times New Roman"/>
                <w:spacing w:val="-6"/>
                <w:kern w:val="2"/>
                <w:sz w:val="21"/>
                <w:szCs w:val="21"/>
              </w:rPr>
              <w:t>14</w:t>
            </w:r>
          </w:p>
        </w:tc>
        <w:tc>
          <w:tcPr>
            <w:tcW w:w="2542" w:type="dxa"/>
          </w:tcPr>
          <w:p>
            <w:pPr>
              <w:topLinePunct w:val="0"/>
              <w:adjustRightInd/>
              <w:spacing w:before="69" w:line="186" w:lineRule="auto"/>
              <w:ind w:left="1056" w:firstLine="0" w:firstLineChars="0"/>
              <w:rPr>
                <w:rFonts w:ascii="Times New Roman" w:eastAsia="Times New Roman" w:cs="Times New Roman"/>
                <w:kern w:val="2"/>
                <w:sz w:val="21"/>
                <w:szCs w:val="21"/>
              </w:rPr>
            </w:pPr>
            <w:r>
              <w:rPr>
                <w:rFonts w:ascii="Times New Roman" w:eastAsia="Times New Roman" w:cs="Times New Roman"/>
                <w:spacing w:val="-1"/>
                <w:kern w:val="2"/>
                <w:sz w:val="21"/>
                <w:szCs w:val="21"/>
              </w:rPr>
              <w:t>2.77</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174" w:type="dxa"/>
          </w:tcPr>
          <w:p>
            <w:pPr>
              <w:topLinePunct w:val="0"/>
              <w:adjustRightInd/>
              <w:spacing w:before="54" w:line="219" w:lineRule="auto"/>
              <w:ind w:left="825" w:firstLine="0" w:firstLineChars="0"/>
              <w:rPr>
                <w:rFonts w:ascii="Times New Roman" w:cs="Times New Roman"/>
                <w:kern w:val="2"/>
                <w:sz w:val="21"/>
                <w:szCs w:val="21"/>
              </w:rPr>
            </w:pPr>
            <w:r>
              <w:rPr>
                <w:rFonts w:ascii="Times New Roman" w:eastAsia="Times New Roman" w:cs="Times New Roman"/>
                <w:spacing w:val="-1"/>
                <w:kern w:val="2"/>
                <w:sz w:val="21"/>
                <w:szCs w:val="21"/>
              </w:rPr>
              <w:t>6.</w:t>
            </w:r>
            <w:r>
              <w:rPr>
                <w:rFonts w:ascii="Times New Roman" w:cs="Times New Roman"/>
                <w:spacing w:val="-1"/>
                <w:kern w:val="2"/>
                <w:sz w:val="21"/>
                <w:szCs w:val="21"/>
              </w:rPr>
              <w:t>热带亚洲至热带非</w:t>
            </w:r>
            <w:r>
              <w:rPr>
                <w:rFonts w:ascii="Times New Roman" w:cs="Times New Roman"/>
                <w:kern w:val="2"/>
                <w:sz w:val="21"/>
                <w:szCs w:val="21"/>
              </w:rPr>
              <w:t>洲分布</w:t>
            </w:r>
          </w:p>
        </w:tc>
        <w:tc>
          <w:tcPr>
            <w:tcW w:w="1590" w:type="dxa"/>
          </w:tcPr>
          <w:p>
            <w:pPr>
              <w:topLinePunct w:val="0"/>
              <w:adjustRightInd/>
              <w:spacing w:before="70" w:line="186" w:lineRule="auto"/>
              <w:ind w:left="659" w:firstLine="0" w:firstLineChars="0"/>
              <w:rPr>
                <w:rFonts w:ascii="Times New Roman" w:eastAsia="Times New Roman" w:cs="Times New Roman"/>
                <w:kern w:val="2"/>
                <w:sz w:val="21"/>
                <w:szCs w:val="21"/>
              </w:rPr>
            </w:pPr>
            <w:r>
              <w:rPr>
                <w:rFonts w:ascii="Times New Roman" w:eastAsia="Times New Roman" w:cs="Times New Roman"/>
                <w:spacing w:val="-1"/>
                <w:kern w:val="2"/>
                <w:sz w:val="21"/>
                <w:szCs w:val="21"/>
              </w:rPr>
              <w:t>25</w:t>
            </w:r>
          </w:p>
        </w:tc>
        <w:tc>
          <w:tcPr>
            <w:tcW w:w="2542" w:type="dxa"/>
          </w:tcPr>
          <w:p>
            <w:pPr>
              <w:topLinePunct w:val="0"/>
              <w:adjustRightInd/>
              <w:spacing w:before="70" w:line="186" w:lineRule="auto"/>
              <w:ind w:left="1060" w:firstLine="0" w:firstLineChars="0"/>
              <w:rPr>
                <w:rFonts w:ascii="Times New Roman" w:eastAsia="Times New Roman" w:cs="Times New Roman"/>
                <w:kern w:val="2"/>
                <w:sz w:val="21"/>
                <w:szCs w:val="21"/>
              </w:rPr>
            </w:pPr>
            <w:r>
              <w:rPr>
                <w:rFonts w:ascii="Times New Roman" w:eastAsia="Times New Roman" w:cs="Times New Roman"/>
                <w:spacing w:val="-2"/>
                <w:kern w:val="2"/>
                <w:sz w:val="21"/>
                <w:szCs w:val="21"/>
              </w:rPr>
              <w:t>3.89</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174" w:type="dxa"/>
          </w:tcPr>
          <w:p>
            <w:pPr>
              <w:topLinePunct w:val="0"/>
              <w:adjustRightInd/>
              <w:spacing w:before="52" w:line="220" w:lineRule="auto"/>
              <w:ind w:left="684" w:firstLine="0" w:firstLineChars="0"/>
              <w:rPr>
                <w:rFonts w:ascii="Times New Roman" w:cs="Times New Roman"/>
                <w:kern w:val="2"/>
                <w:sz w:val="21"/>
                <w:szCs w:val="21"/>
              </w:rPr>
            </w:pPr>
            <w:r>
              <w:rPr>
                <w:rFonts w:ascii="Times New Roman" w:eastAsia="Times New Roman" w:cs="Times New Roman"/>
                <w:spacing w:val="10"/>
                <w:kern w:val="2"/>
                <w:sz w:val="21"/>
                <w:szCs w:val="21"/>
              </w:rPr>
              <w:t>7.</w:t>
            </w:r>
            <w:r>
              <w:rPr>
                <w:rFonts w:ascii="Times New Roman" w:cs="Times New Roman"/>
                <w:spacing w:val="5"/>
                <w:kern w:val="2"/>
                <w:sz w:val="21"/>
                <w:szCs w:val="21"/>
              </w:rPr>
              <w:t>热带亚洲（印度</w:t>
            </w:r>
            <w:r>
              <w:rPr>
                <w:rFonts w:ascii="Times New Roman" w:eastAsia="Times New Roman" w:cs="Times New Roman"/>
                <w:spacing w:val="5"/>
                <w:kern w:val="2"/>
                <w:sz w:val="21"/>
                <w:szCs w:val="21"/>
              </w:rPr>
              <w:t>-</w:t>
            </w:r>
            <w:r>
              <w:rPr>
                <w:rFonts w:ascii="Times New Roman" w:cs="Times New Roman"/>
                <w:spacing w:val="5"/>
                <w:kern w:val="2"/>
                <w:sz w:val="21"/>
                <w:szCs w:val="21"/>
              </w:rPr>
              <w:t>马来西亚）</w:t>
            </w:r>
          </w:p>
        </w:tc>
        <w:tc>
          <w:tcPr>
            <w:tcW w:w="1590" w:type="dxa"/>
          </w:tcPr>
          <w:p>
            <w:pPr>
              <w:topLinePunct w:val="0"/>
              <w:adjustRightInd/>
              <w:spacing w:before="70" w:line="186" w:lineRule="auto"/>
              <w:ind w:left="658" w:firstLine="0" w:firstLineChars="0"/>
              <w:rPr>
                <w:rFonts w:ascii="Times New Roman" w:eastAsia="Times New Roman" w:cs="Times New Roman"/>
                <w:kern w:val="2"/>
                <w:sz w:val="21"/>
                <w:szCs w:val="21"/>
              </w:rPr>
            </w:pPr>
            <w:r>
              <w:rPr>
                <w:rFonts w:ascii="Times New Roman" w:eastAsia="Times New Roman" w:cs="Times New Roman"/>
                <w:spacing w:val="-1"/>
                <w:kern w:val="2"/>
                <w:sz w:val="21"/>
                <w:szCs w:val="21"/>
              </w:rPr>
              <w:t>44</w:t>
            </w:r>
          </w:p>
        </w:tc>
        <w:tc>
          <w:tcPr>
            <w:tcW w:w="2542" w:type="dxa"/>
          </w:tcPr>
          <w:p>
            <w:pPr>
              <w:topLinePunct w:val="0"/>
              <w:adjustRightInd/>
              <w:spacing w:before="70" w:line="186" w:lineRule="auto"/>
              <w:ind w:left="1059" w:firstLine="0" w:firstLineChars="0"/>
              <w:rPr>
                <w:rFonts w:ascii="Times New Roman" w:eastAsia="Times New Roman" w:cs="Times New Roman"/>
                <w:kern w:val="2"/>
                <w:sz w:val="21"/>
                <w:szCs w:val="21"/>
              </w:rPr>
            </w:pPr>
            <w:r>
              <w:rPr>
                <w:rFonts w:ascii="Times New Roman" w:eastAsia="Times New Roman" w:cs="Times New Roman"/>
                <w:spacing w:val="-2"/>
                <w:kern w:val="2"/>
                <w:sz w:val="21"/>
                <w:szCs w:val="21"/>
              </w:rPr>
              <w:t>7.51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174" w:type="dxa"/>
          </w:tcPr>
          <w:p>
            <w:pPr>
              <w:topLinePunct w:val="0"/>
              <w:adjustRightInd/>
              <w:spacing w:before="53" w:line="220" w:lineRule="auto"/>
              <w:ind w:left="1616" w:firstLine="0" w:firstLineChars="0"/>
              <w:rPr>
                <w:rFonts w:ascii="Times New Roman" w:cs="Times New Roman"/>
                <w:kern w:val="2"/>
                <w:sz w:val="21"/>
                <w:szCs w:val="21"/>
              </w:rPr>
            </w:pPr>
            <w:r>
              <w:rPr>
                <w:rFonts w:ascii="Times New Roman" w:eastAsia="Times New Roman" w:cs="Times New Roman"/>
                <w:spacing w:val="-2"/>
                <w:kern w:val="2"/>
                <w:sz w:val="21"/>
                <w:szCs w:val="21"/>
              </w:rPr>
              <w:t>8</w:t>
            </w:r>
            <w:r>
              <w:rPr>
                <w:rFonts w:ascii="Times New Roman" w:eastAsia="Times New Roman" w:cs="Times New Roman"/>
                <w:spacing w:val="-1"/>
                <w:kern w:val="2"/>
                <w:sz w:val="21"/>
                <w:szCs w:val="21"/>
              </w:rPr>
              <w:t>.</w:t>
            </w:r>
            <w:r>
              <w:rPr>
                <w:rFonts w:ascii="Times New Roman" w:cs="Times New Roman"/>
                <w:spacing w:val="-1"/>
                <w:kern w:val="2"/>
                <w:sz w:val="21"/>
                <w:szCs w:val="21"/>
              </w:rPr>
              <w:t>北温带</w:t>
            </w:r>
          </w:p>
        </w:tc>
        <w:tc>
          <w:tcPr>
            <w:tcW w:w="1590" w:type="dxa"/>
          </w:tcPr>
          <w:p>
            <w:pPr>
              <w:topLinePunct w:val="0"/>
              <w:adjustRightInd/>
              <w:spacing w:before="70" w:line="186" w:lineRule="auto"/>
              <w:ind w:left="663" w:firstLine="0" w:firstLineChars="0"/>
              <w:rPr>
                <w:rFonts w:ascii="Times New Roman" w:eastAsia="Times New Roman" w:cs="Times New Roman"/>
                <w:kern w:val="2"/>
                <w:sz w:val="21"/>
                <w:szCs w:val="21"/>
              </w:rPr>
            </w:pPr>
            <w:r>
              <w:rPr>
                <w:rFonts w:ascii="Times New Roman" w:eastAsia="Times New Roman" w:cs="Times New Roman"/>
                <w:spacing w:val="-2"/>
                <w:kern w:val="2"/>
                <w:sz w:val="21"/>
                <w:szCs w:val="21"/>
              </w:rPr>
              <w:t>98</w:t>
            </w:r>
          </w:p>
        </w:tc>
        <w:tc>
          <w:tcPr>
            <w:tcW w:w="2542" w:type="dxa"/>
          </w:tcPr>
          <w:p>
            <w:pPr>
              <w:topLinePunct w:val="0"/>
              <w:adjustRightInd/>
              <w:spacing w:before="70" w:line="186" w:lineRule="auto"/>
              <w:ind w:left="1023" w:firstLine="0" w:firstLineChars="0"/>
              <w:rPr>
                <w:rFonts w:ascii="Times New Roman" w:eastAsia="Times New Roman" w:cs="Times New Roman"/>
                <w:kern w:val="2"/>
                <w:sz w:val="21"/>
                <w:szCs w:val="21"/>
              </w:rPr>
            </w:pPr>
            <w:r>
              <w:rPr>
                <w:rFonts w:ascii="Times New Roman" w:eastAsia="Times New Roman" w:cs="Times New Roman"/>
                <w:spacing w:val="-8"/>
                <w:kern w:val="2"/>
                <w:sz w:val="21"/>
                <w:szCs w:val="21"/>
              </w:rPr>
              <w:t>1</w:t>
            </w:r>
            <w:r>
              <w:rPr>
                <w:rFonts w:ascii="Times New Roman" w:eastAsia="Times New Roman" w:cs="Times New Roman"/>
                <w:spacing w:val="-4"/>
                <w:kern w:val="2"/>
                <w:sz w:val="21"/>
                <w:szCs w:val="21"/>
              </w:rPr>
              <w:t>9.37</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174" w:type="dxa"/>
          </w:tcPr>
          <w:p>
            <w:pPr>
              <w:topLinePunct w:val="0"/>
              <w:adjustRightInd/>
              <w:spacing w:before="55" w:line="219" w:lineRule="auto"/>
              <w:ind w:left="930" w:firstLine="0" w:firstLineChars="0"/>
              <w:rPr>
                <w:rFonts w:ascii="Times New Roman" w:cs="Times New Roman"/>
                <w:kern w:val="2"/>
                <w:sz w:val="21"/>
                <w:szCs w:val="21"/>
              </w:rPr>
            </w:pPr>
            <w:r>
              <w:rPr>
                <w:rFonts w:ascii="Times New Roman" w:eastAsia="Times New Roman" w:cs="Times New Roman"/>
                <w:spacing w:val="-1"/>
                <w:kern w:val="2"/>
                <w:sz w:val="21"/>
                <w:szCs w:val="21"/>
              </w:rPr>
              <w:t>9.</w:t>
            </w:r>
            <w:r>
              <w:rPr>
                <w:rFonts w:ascii="Times New Roman" w:cs="Times New Roman"/>
                <w:spacing w:val="-1"/>
                <w:kern w:val="2"/>
                <w:sz w:val="21"/>
                <w:szCs w:val="21"/>
              </w:rPr>
              <w:t>东亚和北美洲间</w:t>
            </w:r>
            <w:r>
              <w:rPr>
                <w:rFonts w:ascii="Times New Roman" w:cs="Times New Roman"/>
                <w:kern w:val="2"/>
                <w:sz w:val="21"/>
                <w:szCs w:val="21"/>
              </w:rPr>
              <w:t>断分布</w:t>
            </w:r>
          </w:p>
        </w:tc>
        <w:tc>
          <w:tcPr>
            <w:tcW w:w="1590" w:type="dxa"/>
          </w:tcPr>
          <w:p>
            <w:pPr>
              <w:topLinePunct w:val="0"/>
              <w:adjustRightInd/>
              <w:spacing w:before="71" w:line="186" w:lineRule="auto"/>
              <w:ind w:left="663" w:firstLine="0" w:firstLineChars="0"/>
              <w:rPr>
                <w:rFonts w:ascii="Times New Roman" w:eastAsia="Times New Roman" w:cs="Times New Roman"/>
                <w:kern w:val="2"/>
                <w:sz w:val="21"/>
                <w:szCs w:val="21"/>
              </w:rPr>
            </w:pPr>
            <w:r>
              <w:rPr>
                <w:rFonts w:ascii="Times New Roman" w:eastAsia="Times New Roman" w:cs="Times New Roman"/>
                <w:spacing w:val="-3"/>
                <w:kern w:val="2"/>
                <w:sz w:val="21"/>
                <w:szCs w:val="21"/>
              </w:rPr>
              <w:t>3</w:t>
            </w:r>
            <w:r>
              <w:rPr>
                <w:rFonts w:ascii="Times New Roman" w:eastAsia="Times New Roman" w:cs="Times New Roman"/>
                <w:spacing w:val="-2"/>
                <w:kern w:val="2"/>
                <w:sz w:val="21"/>
                <w:szCs w:val="21"/>
              </w:rPr>
              <w:t>3</w:t>
            </w:r>
          </w:p>
        </w:tc>
        <w:tc>
          <w:tcPr>
            <w:tcW w:w="2542" w:type="dxa"/>
          </w:tcPr>
          <w:p>
            <w:pPr>
              <w:topLinePunct w:val="0"/>
              <w:adjustRightInd/>
              <w:spacing w:before="71" w:line="186" w:lineRule="auto"/>
              <w:ind w:left="1061" w:firstLine="0" w:firstLineChars="0"/>
              <w:rPr>
                <w:rFonts w:ascii="Times New Roman" w:eastAsia="Times New Roman" w:cs="Times New Roman"/>
                <w:kern w:val="2"/>
                <w:sz w:val="21"/>
                <w:szCs w:val="21"/>
              </w:rPr>
            </w:pPr>
            <w:r>
              <w:rPr>
                <w:rFonts w:ascii="Times New Roman" w:eastAsia="Times New Roman" w:cs="Times New Roman"/>
                <w:spacing w:val="-3"/>
                <w:kern w:val="2"/>
                <w:sz w:val="21"/>
                <w:szCs w:val="21"/>
              </w:rPr>
              <w:t>6</w:t>
            </w:r>
            <w:r>
              <w:rPr>
                <w:rFonts w:ascii="Times New Roman" w:eastAsia="Times New Roman" w:cs="Times New Roman"/>
                <w:spacing w:val="-2"/>
                <w:kern w:val="2"/>
                <w:sz w:val="21"/>
                <w:szCs w:val="21"/>
              </w:rPr>
              <w:t>.52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174" w:type="dxa"/>
          </w:tcPr>
          <w:p>
            <w:pPr>
              <w:topLinePunct w:val="0"/>
              <w:adjustRightInd/>
              <w:spacing w:before="54" w:line="219" w:lineRule="auto"/>
              <w:ind w:left="1366" w:firstLine="0" w:firstLineChars="0"/>
              <w:rPr>
                <w:rFonts w:ascii="Times New Roman" w:cs="Times New Roman"/>
                <w:kern w:val="2"/>
                <w:sz w:val="21"/>
                <w:szCs w:val="21"/>
              </w:rPr>
            </w:pPr>
            <w:r>
              <w:rPr>
                <w:rFonts w:ascii="Times New Roman" w:eastAsia="Times New Roman" w:cs="Times New Roman"/>
                <w:spacing w:val="-4"/>
                <w:kern w:val="2"/>
                <w:sz w:val="21"/>
                <w:szCs w:val="21"/>
              </w:rPr>
              <w:t>10</w:t>
            </w:r>
            <w:r>
              <w:rPr>
                <w:rFonts w:ascii="Times New Roman" w:eastAsia="Times New Roman" w:cs="Times New Roman"/>
                <w:spacing w:val="-2"/>
                <w:kern w:val="2"/>
                <w:sz w:val="21"/>
                <w:szCs w:val="21"/>
              </w:rPr>
              <w:t>.</w:t>
            </w:r>
            <w:r>
              <w:rPr>
                <w:rFonts w:ascii="Times New Roman" w:cs="Times New Roman"/>
                <w:spacing w:val="-2"/>
                <w:kern w:val="2"/>
                <w:sz w:val="21"/>
                <w:szCs w:val="21"/>
              </w:rPr>
              <w:t>旧世界温带</w:t>
            </w:r>
          </w:p>
        </w:tc>
        <w:tc>
          <w:tcPr>
            <w:tcW w:w="1590" w:type="dxa"/>
          </w:tcPr>
          <w:p>
            <w:pPr>
              <w:topLinePunct w:val="0"/>
              <w:adjustRightInd/>
              <w:spacing w:before="71" w:line="186" w:lineRule="auto"/>
              <w:ind w:left="663" w:firstLine="0" w:firstLineChars="0"/>
              <w:rPr>
                <w:rFonts w:ascii="Times New Roman" w:eastAsia="Times New Roman" w:cs="Times New Roman"/>
                <w:kern w:val="2"/>
                <w:sz w:val="21"/>
                <w:szCs w:val="21"/>
              </w:rPr>
            </w:pPr>
            <w:r>
              <w:rPr>
                <w:rFonts w:ascii="Times New Roman" w:eastAsia="Times New Roman" w:cs="Times New Roman"/>
                <w:spacing w:val="-3"/>
                <w:kern w:val="2"/>
                <w:sz w:val="21"/>
                <w:szCs w:val="21"/>
              </w:rPr>
              <w:t>3</w:t>
            </w:r>
            <w:r>
              <w:rPr>
                <w:rFonts w:ascii="Times New Roman" w:eastAsia="Times New Roman" w:cs="Times New Roman"/>
                <w:spacing w:val="-2"/>
                <w:kern w:val="2"/>
                <w:sz w:val="21"/>
                <w:szCs w:val="21"/>
              </w:rPr>
              <w:t>7</w:t>
            </w:r>
          </w:p>
        </w:tc>
        <w:tc>
          <w:tcPr>
            <w:tcW w:w="2542" w:type="dxa"/>
          </w:tcPr>
          <w:p>
            <w:pPr>
              <w:topLinePunct w:val="0"/>
              <w:adjustRightInd/>
              <w:spacing w:before="71" w:line="186" w:lineRule="auto"/>
              <w:ind w:left="1059" w:firstLine="0" w:firstLineChars="0"/>
              <w:rPr>
                <w:rFonts w:ascii="Times New Roman" w:eastAsia="Times New Roman" w:cs="Times New Roman"/>
                <w:kern w:val="2"/>
                <w:sz w:val="21"/>
                <w:szCs w:val="21"/>
              </w:rPr>
            </w:pPr>
            <w:r>
              <w:rPr>
                <w:rFonts w:ascii="Times New Roman" w:eastAsia="Times New Roman" w:cs="Times New Roman"/>
                <w:spacing w:val="-2"/>
                <w:kern w:val="2"/>
                <w:sz w:val="21"/>
                <w:szCs w:val="21"/>
              </w:rPr>
              <w:t>7.31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174" w:type="dxa"/>
          </w:tcPr>
          <w:p>
            <w:pPr>
              <w:topLinePunct w:val="0"/>
              <w:adjustRightInd/>
              <w:spacing w:before="54" w:line="219" w:lineRule="auto"/>
              <w:ind w:left="1264" w:firstLine="0" w:firstLineChars="0"/>
              <w:rPr>
                <w:rFonts w:ascii="Times New Roman" w:cs="Times New Roman"/>
                <w:kern w:val="2"/>
                <w:sz w:val="21"/>
                <w:szCs w:val="21"/>
              </w:rPr>
            </w:pPr>
            <w:r>
              <w:rPr>
                <w:rFonts w:ascii="Times New Roman" w:eastAsia="Times New Roman" w:cs="Times New Roman"/>
                <w:spacing w:val="-3"/>
                <w:kern w:val="2"/>
                <w:sz w:val="21"/>
                <w:szCs w:val="21"/>
              </w:rPr>
              <w:t>11.</w:t>
            </w:r>
            <w:r>
              <w:rPr>
                <w:rFonts w:ascii="Times New Roman" w:cs="Times New Roman"/>
                <w:spacing w:val="-3"/>
                <w:kern w:val="2"/>
                <w:sz w:val="21"/>
                <w:szCs w:val="21"/>
              </w:rPr>
              <w:t>温带亚洲分</w:t>
            </w:r>
            <w:r>
              <w:rPr>
                <w:rFonts w:ascii="Times New Roman" w:cs="Times New Roman"/>
                <w:spacing w:val="-2"/>
                <w:kern w:val="2"/>
                <w:sz w:val="21"/>
                <w:szCs w:val="21"/>
              </w:rPr>
              <w:t>布</w:t>
            </w:r>
          </w:p>
        </w:tc>
        <w:tc>
          <w:tcPr>
            <w:tcW w:w="1590" w:type="dxa"/>
          </w:tcPr>
          <w:p>
            <w:pPr>
              <w:topLinePunct w:val="0"/>
              <w:adjustRightInd/>
              <w:spacing w:before="71" w:line="186" w:lineRule="auto"/>
              <w:ind w:left="716" w:firstLine="0" w:firstLineChars="0"/>
              <w:rPr>
                <w:rFonts w:ascii="Times New Roman" w:eastAsia="Times New Roman" w:cs="Times New Roman"/>
                <w:kern w:val="2"/>
                <w:sz w:val="21"/>
                <w:szCs w:val="21"/>
              </w:rPr>
            </w:pPr>
            <w:r>
              <w:rPr>
                <w:rFonts w:ascii="Times New Roman" w:eastAsia="Times New Roman" w:cs="Times New Roman"/>
                <w:kern w:val="2"/>
                <w:sz w:val="21"/>
                <w:szCs w:val="21"/>
              </w:rPr>
              <w:t>9</w:t>
            </w:r>
          </w:p>
        </w:tc>
        <w:tc>
          <w:tcPr>
            <w:tcW w:w="2542" w:type="dxa"/>
          </w:tcPr>
          <w:p>
            <w:pPr>
              <w:topLinePunct w:val="0"/>
              <w:adjustRightInd/>
              <w:spacing w:before="71" w:line="186" w:lineRule="auto"/>
              <w:ind w:left="1076" w:firstLine="0" w:firstLineChars="0"/>
              <w:rPr>
                <w:rFonts w:ascii="Times New Roman" w:eastAsia="Times New Roman" w:cs="Times New Roman"/>
                <w:kern w:val="2"/>
                <w:sz w:val="21"/>
                <w:szCs w:val="21"/>
              </w:rPr>
            </w:pPr>
            <w:r>
              <w:rPr>
                <w:rFonts w:ascii="Times New Roman" w:eastAsia="Times New Roman" w:cs="Times New Roman"/>
                <w:spacing w:val="-6"/>
                <w:kern w:val="2"/>
                <w:sz w:val="21"/>
                <w:szCs w:val="21"/>
              </w:rPr>
              <w:t>1.87</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174" w:type="dxa"/>
          </w:tcPr>
          <w:p>
            <w:pPr>
              <w:topLinePunct w:val="0"/>
              <w:adjustRightInd/>
              <w:spacing w:before="56" w:line="219" w:lineRule="auto"/>
              <w:ind w:left="630" w:firstLine="0" w:firstLineChars="0"/>
              <w:rPr>
                <w:rFonts w:ascii="Times New Roman" w:cs="Times New Roman"/>
                <w:kern w:val="2"/>
                <w:sz w:val="21"/>
                <w:szCs w:val="21"/>
              </w:rPr>
            </w:pPr>
            <w:r>
              <w:rPr>
                <w:rFonts w:ascii="Times New Roman" w:eastAsia="Times New Roman" w:cs="Times New Roman"/>
                <w:spacing w:val="-3"/>
                <w:kern w:val="2"/>
                <w:sz w:val="21"/>
                <w:szCs w:val="21"/>
              </w:rPr>
              <w:t>1</w:t>
            </w:r>
            <w:r>
              <w:rPr>
                <w:rFonts w:ascii="Times New Roman" w:eastAsia="Times New Roman" w:cs="Times New Roman"/>
                <w:spacing w:val="-2"/>
                <w:kern w:val="2"/>
                <w:sz w:val="21"/>
                <w:szCs w:val="21"/>
              </w:rPr>
              <w:t>2.</w:t>
            </w:r>
            <w:r>
              <w:rPr>
                <w:rFonts w:ascii="Times New Roman" w:cs="Times New Roman"/>
                <w:spacing w:val="-2"/>
                <w:kern w:val="2"/>
                <w:sz w:val="21"/>
                <w:szCs w:val="21"/>
              </w:rPr>
              <w:t>地中海区、西亚至中亚分布</w:t>
            </w:r>
          </w:p>
        </w:tc>
        <w:tc>
          <w:tcPr>
            <w:tcW w:w="1590" w:type="dxa"/>
          </w:tcPr>
          <w:p>
            <w:pPr>
              <w:topLinePunct w:val="0"/>
              <w:adjustRightInd/>
              <w:spacing w:before="75" w:line="183" w:lineRule="auto"/>
              <w:ind w:left="715" w:firstLine="0" w:firstLineChars="0"/>
              <w:rPr>
                <w:rFonts w:ascii="Times New Roman" w:eastAsia="Times New Roman" w:cs="Times New Roman"/>
                <w:kern w:val="2"/>
                <w:sz w:val="21"/>
                <w:szCs w:val="21"/>
              </w:rPr>
            </w:pPr>
            <w:r>
              <w:rPr>
                <w:rFonts w:ascii="Times New Roman" w:eastAsia="Times New Roman" w:cs="Times New Roman"/>
                <w:kern w:val="2"/>
                <w:sz w:val="21"/>
                <w:szCs w:val="21"/>
              </w:rPr>
              <w:t>7</w:t>
            </w:r>
          </w:p>
        </w:tc>
        <w:tc>
          <w:tcPr>
            <w:tcW w:w="2542" w:type="dxa"/>
          </w:tcPr>
          <w:p>
            <w:pPr>
              <w:topLinePunct w:val="0"/>
              <w:adjustRightInd/>
              <w:spacing w:before="72" w:line="186" w:lineRule="auto"/>
              <w:ind w:left="1076" w:firstLine="0" w:firstLineChars="0"/>
              <w:rPr>
                <w:rFonts w:ascii="Times New Roman" w:eastAsia="Times New Roman" w:cs="Times New Roman"/>
                <w:kern w:val="2"/>
                <w:sz w:val="21"/>
                <w:szCs w:val="21"/>
              </w:rPr>
            </w:pPr>
            <w:r>
              <w:rPr>
                <w:rFonts w:ascii="Times New Roman" w:eastAsia="Times New Roman" w:cs="Times New Roman"/>
                <w:spacing w:val="-6"/>
                <w:kern w:val="2"/>
                <w:sz w:val="21"/>
                <w:szCs w:val="21"/>
              </w:rPr>
              <w:t>1.38</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174" w:type="dxa"/>
          </w:tcPr>
          <w:p>
            <w:pPr>
              <w:topLinePunct w:val="0"/>
              <w:adjustRightInd/>
              <w:spacing w:before="54" w:line="219" w:lineRule="auto"/>
              <w:ind w:left="1523" w:firstLine="0" w:firstLineChars="0"/>
              <w:rPr>
                <w:rFonts w:ascii="Times New Roman" w:cs="Times New Roman"/>
                <w:kern w:val="2"/>
                <w:sz w:val="21"/>
                <w:szCs w:val="21"/>
              </w:rPr>
            </w:pPr>
            <w:r>
              <w:rPr>
                <w:rFonts w:ascii="Times New Roman" w:eastAsia="Times New Roman" w:cs="Times New Roman"/>
                <w:spacing w:val="-6"/>
                <w:kern w:val="2"/>
                <w:sz w:val="21"/>
                <w:szCs w:val="21"/>
              </w:rPr>
              <w:t>1</w:t>
            </w:r>
            <w:r>
              <w:rPr>
                <w:rFonts w:ascii="Times New Roman" w:eastAsia="Times New Roman" w:cs="Times New Roman"/>
                <w:spacing w:val="-3"/>
                <w:kern w:val="2"/>
                <w:sz w:val="21"/>
                <w:szCs w:val="21"/>
              </w:rPr>
              <w:t>3.</w:t>
            </w:r>
            <w:r>
              <w:rPr>
                <w:rFonts w:ascii="Times New Roman" w:cs="Times New Roman"/>
                <w:spacing w:val="-3"/>
                <w:kern w:val="2"/>
                <w:sz w:val="21"/>
                <w:szCs w:val="21"/>
              </w:rPr>
              <w:t>中亚分布</w:t>
            </w:r>
          </w:p>
        </w:tc>
        <w:tc>
          <w:tcPr>
            <w:tcW w:w="1590" w:type="dxa"/>
          </w:tcPr>
          <w:p>
            <w:pPr>
              <w:topLinePunct w:val="0"/>
              <w:adjustRightInd/>
              <w:spacing w:before="72" w:line="186" w:lineRule="auto"/>
              <w:ind w:left="732" w:firstLine="0" w:firstLineChars="0"/>
              <w:rPr>
                <w:rFonts w:ascii="Times New Roman" w:eastAsia="Times New Roman" w:cs="Times New Roman"/>
                <w:kern w:val="2"/>
                <w:sz w:val="21"/>
                <w:szCs w:val="21"/>
              </w:rPr>
            </w:pPr>
            <w:r>
              <w:rPr>
                <w:rFonts w:ascii="Times New Roman" w:eastAsia="Times New Roman" w:cs="Times New Roman"/>
                <w:kern w:val="2"/>
                <w:sz w:val="21"/>
                <w:szCs w:val="21"/>
              </w:rPr>
              <w:t>1</w:t>
            </w:r>
          </w:p>
        </w:tc>
        <w:tc>
          <w:tcPr>
            <w:tcW w:w="2542" w:type="dxa"/>
          </w:tcPr>
          <w:p>
            <w:pPr>
              <w:topLinePunct w:val="0"/>
              <w:adjustRightInd/>
              <w:spacing w:before="72" w:line="186" w:lineRule="auto"/>
              <w:ind w:left="1059" w:firstLine="0" w:firstLineChars="0"/>
              <w:rPr>
                <w:rFonts w:ascii="Times New Roman" w:eastAsia="Times New Roman" w:cs="Times New Roman"/>
                <w:kern w:val="2"/>
                <w:sz w:val="21"/>
                <w:szCs w:val="21"/>
              </w:rPr>
            </w:pPr>
            <w:r>
              <w:rPr>
                <w:rFonts w:ascii="Times New Roman" w:eastAsia="Times New Roman" w:cs="Times New Roman"/>
                <w:spacing w:val="-2"/>
                <w:kern w:val="2"/>
                <w:sz w:val="21"/>
                <w:szCs w:val="21"/>
              </w:rPr>
              <w:t>0.1</w:t>
            </w:r>
            <w:r>
              <w:rPr>
                <w:rFonts w:ascii="Times New Roman" w:eastAsia="Times New Roman" w:cs="Times New Roman"/>
                <w:spacing w:val="-1"/>
                <w:kern w:val="2"/>
                <w:sz w:val="21"/>
                <w:szCs w:val="21"/>
              </w:rPr>
              <w:t>6</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4174" w:type="dxa"/>
          </w:tcPr>
          <w:p>
            <w:pPr>
              <w:topLinePunct w:val="0"/>
              <w:adjustRightInd/>
              <w:spacing w:before="55" w:line="219" w:lineRule="auto"/>
              <w:ind w:left="1523" w:firstLine="0" w:firstLineChars="0"/>
              <w:rPr>
                <w:rFonts w:ascii="Times New Roman" w:cs="Times New Roman"/>
                <w:kern w:val="2"/>
                <w:sz w:val="21"/>
                <w:szCs w:val="21"/>
              </w:rPr>
            </w:pPr>
            <w:r>
              <w:rPr>
                <w:rFonts w:ascii="Times New Roman" w:eastAsia="Times New Roman" w:cs="Times New Roman"/>
                <w:spacing w:val="-6"/>
                <w:kern w:val="2"/>
                <w:sz w:val="21"/>
                <w:szCs w:val="21"/>
              </w:rPr>
              <w:t>1</w:t>
            </w:r>
            <w:r>
              <w:rPr>
                <w:rFonts w:ascii="Times New Roman" w:eastAsia="Times New Roman" w:cs="Times New Roman"/>
                <w:spacing w:val="-3"/>
                <w:kern w:val="2"/>
                <w:sz w:val="21"/>
                <w:szCs w:val="21"/>
              </w:rPr>
              <w:t>4.</w:t>
            </w:r>
            <w:r>
              <w:rPr>
                <w:rFonts w:ascii="Times New Roman" w:cs="Times New Roman"/>
                <w:spacing w:val="-3"/>
                <w:kern w:val="2"/>
                <w:sz w:val="21"/>
                <w:szCs w:val="21"/>
              </w:rPr>
              <w:t>东亚分布</w:t>
            </w:r>
          </w:p>
        </w:tc>
        <w:tc>
          <w:tcPr>
            <w:tcW w:w="1590" w:type="dxa"/>
          </w:tcPr>
          <w:p>
            <w:pPr>
              <w:topLinePunct w:val="0"/>
              <w:adjustRightInd/>
              <w:spacing w:before="73" w:line="186" w:lineRule="auto"/>
              <w:ind w:left="662" w:firstLine="0" w:firstLineChars="0"/>
              <w:rPr>
                <w:rFonts w:ascii="Times New Roman" w:eastAsia="Times New Roman" w:cs="Times New Roman"/>
                <w:kern w:val="2"/>
                <w:sz w:val="21"/>
                <w:szCs w:val="21"/>
              </w:rPr>
            </w:pPr>
            <w:r>
              <w:rPr>
                <w:rFonts w:ascii="Times New Roman" w:eastAsia="Times New Roman" w:cs="Times New Roman"/>
                <w:spacing w:val="-2"/>
                <w:kern w:val="2"/>
                <w:sz w:val="21"/>
                <w:szCs w:val="21"/>
              </w:rPr>
              <w:t>72</w:t>
            </w:r>
          </w:p>
        </w:tc>
        <w:tc>
          <w:tcPr>
            <w:tcW w:w="2542" w:type="dxa"/>
          </w:tcPr>
          <w:p>
            <w:pPr>
              <w:topLinePunct w:val="0"/>
              <w:adjustRightInd/>
              <w:spacing w:before="73" w:line="186" w:lineRule="auto"/>
              <w:ind w:left="1023" w:firstLine="0" w:firstLineChars="0"/>
              <w:rPr>
                <w:rFonts w:ascii="Times New Roman" w:eastAsia="Times New Roman" w:cs="Times New Roman"/>
                <w:kern w:val="2"/>
                <w:sz w:val="21"/>
                <w:szCs w:val="21"/>
              </w:rPr>
            </w:pPr>
            <w:r>
              <w:rPr>
                <w:rFonts w:ascii="Times New Roman" w:eastAsia="Times New Roman" w:cs="Times New Roman"/>
                <w:spacing w:val="-8"/>
                <w:kern w:val="2"/>
                <w:sz w:val="21"/>
                <w:szCs w:val="21"/>
              </w:rPr>
              <w:t>1</w:t>
            </w:r>
            <w:r>
              <w:rPr>
                <w:rFonts w:ascii="Times New Roman" w:eastAsia="Times New Roman" w:cs="Times New Roman"/>
                <w:spacing w:val="-4"/>
                <w:kern w:val="2"/>
                <w:sz w:val="21"/>
                <w:szCs w:val="21"/>
              </w:rPr>
              <w:t>4.23</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174" w:type="dxa"/>
          </w:tcPr>
          <w:p>
            <w:pPr>
              <w:topLinePunct w:val="0"/>
              <w:adjustRightInd/>
              <w:spacing w:before="56" w:line="219" w:lineRule="auto"/>
              <w:ind w:left="1523" w:firstLine="0" w:firstLineChars="0"/>
              <w:rPr>
                <w:rFonts w:ascii="Times New Roman" w:cs="Times New Roman"/>
                <w:kern w:val="2"/>
                <w:sz w:val="21"/>
                <w:szCs w:val="21"/>
              </w:rPr>
            </w:pPr>
            <w:r>
              <w:rPr>
                <w:rFonts w:ascii="Times New Roman" w:eastAsia="Times New Roman" w:cs="Times New Roman"/>
                <w:spacing w:val="-6"/>
                <w:kern w:val="2"/>
                <w:sz w:val="21"/>
                <w:szCs w:val="21"/>
              </w:rPr>
              <w:t>1</w:t>
            </w:r>
            <w:r>
              <w:rPr>
                <w:rFonts w:ascii="Times New Roman" w:eastAsia="Times New Roman" w:cs="Times New Roman"/>
                <w:spacing w:val="-3"/>
                <w:kern w:val="2"/>
                <w:sz w:val="21"/>
                <w:szCs w:val="21"/>
              </w:rPr>
              <w:t>5.</w:t>
            </w:r>
            <w:r>
              <w:rPr>
                <w:rFonts w:ascii="Times New Roman" w:cs="Times New Roman"/>
                <w:spacing w:val="-3"/>
                <w:kern w:val="2"/>
                <w:sz w:val="21"/>
                <w:szCs w:val="21"/>
              </w:rPr>
              <w:t>中国特有</w:t>
            </w:r>
          </w:p>
        </w:tc>
        <w:tc>
          <w:tcPr>
            <w:tcW w:w="1590" w:type="dxa"/>
          </w:tcPr>
          <w:p>
            <w:pPr>
              <w:topLinePunct w:val="0"/>
              <w:adjustRightInd/>
              <w:spacing w:before="72" w:line="186" w:lineRule="auto"/>
              <w:ind w:left="717" w:firstLine="0" w:firstLineChars="0"/>
              <w:rPr>
                <w:rFonts w:ascii="Times New Roman" w:eastAsia="Times New Roman" w:cs="Times New Roman"/>
                <w:kern w:val="2"/>
                <w:sz w:val="21"/>
                <w:szCs w:val="21"/>
              </w:rPr>
            </w:pPr>
            <w:r>
              <w:rPr>
                <w:rFonts w:ascii="Times New Roman" w:eastAsia="Times New Roman" w:cs="Times New Roman"/>
                <w:kern w:val="2"/>
                <w:sz w:val="21"/>
                <w:szCs w:val="21"/>
              </w:rPr>
              <w:t>6</w:t>
            </w:r>
          </w:p>
        </w:tc>
        <w:tc>
          <w:tcPr>
            <w:tcW w:w="2542" w:type="dxa"/>
          </w:tcPr>
          <w:p>
            <w:pPr>
              <w:topLinePunct w:val="0"/>
              <w:adjustRightInd/>
              <w:spacing w:before="72" w:line="186" w:lineRule="auto"/>
              <w:ind w:left="1076" w:firstLine="0" w:firstLineChars="0"/>
              <w:rPr>
                <w:rFonts w:ascii="Times New Roman" w:eastAsia="Times New Roman" w:cs="Times New Roman"/>
                <w:kern w:val="2"/>
                <w:sz w:val="21"/>
                <w:szCs w:val="21"/>
              </w:rPr>
            </w:pPr>
            <w:r>
              <w:rPr>
                <w:rFonts w:ascii="Times New Roman" w:eastAsia="Times New Roman" w:cs="Times New Roman"/>
                <w:spacing w:val="-6"/>
                <w:kern w:val="2"/>
                <w:sz w:val="21"/>
                <w:szCs w:val="21"/>
              </w:rPr>
              <w:t>1.19</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4174" w:type="dxa"/>
          </w:tcPr>
          <w:p>
            <w:pPr>
              <w:topLinePunct w:val="0"/>
              <w:adjustRightInd/>
              <w:spacing w:before="55" w:line="221" w:lineRule="auto"/>
              <w:ind w:left="1691" w:firstLine="0" w:firstLineChars="0"/>
              <w:rPr>
                <w:rFonts w:ascii="Times New Roman" w:cs="Times New Roman"/>
                <w:kern w:val="2"/>
                <w:sz w:val="21"/>
                <w:szCs w:val="21"/>
              </w:rPr>
            </w:pPr>
            <w:r>
              <w:rPr>
                <w:rFonts w:ascii="Times New Roman" w:cs="Times New Roman"/>
                <w:spacing w:val="-1"/>
                <w:kern w:val="2"/>
                <w:sz w:val="21"/>
                <w:szCs w:val="21"/>
              </w:rPr>
              <w:t>合</w:t>
            </w:r>
            <w:r>
              <w:rPr>
                <w:rFonts w:ascii="Times New Roman" w:cs="Times New Roman"/>
                <w:kern w:val="2"/>
                <w:sz w:val="21"/>
                <w:szCs w:val="21"/>
              </w:rPr>
              <w:t>计</w:t>
            </w:r>
          </w:p>
        </w:tc>
        <w:tc>
          <w:tcPr>
            <w:tcW w:w="1590" w:type="dxa"/>
          </w:tcPr>
          <w:p>
            <w:pPr>
              <w:topLinePunct w:val="0"/>
              <w:adjustRightInd/>
              <w:spacing w:before="72" w:line="186" w:lineRule="auto"/>
              <w:ind w:left="612" w:firstLine="0" w:firstLineChars="0"/>
              <w:rPr>
                <w:rFonts w:ascii="Times New Roman" w:eastAsia="Times New Roman" w:cs="Times New Roman"/>
                <w:kern w:val="2"/>
                <w:sz w:val="21"/>
                <w:szCs w:val="21"/>
              </w:rPr>
            </w:pPr>
            <w:r>
              <w:rPr>
                <w:rFonts w:ascii="Times New Roman" w:eastAsia="Times New Roman" w:cs="Times New Roman"/>
                <w:spacing w:val="-3"/>
                <w:kern w:val="2"/>
                <w:sz w:val="21"/>
                <w:szCs w:val="21"/>
              </w:rPr>
              <w:t>5</w:t>
            </w:r>
            <w:r>
              <w:rPr>
                <w:rFonts w:ascii="Times New Roman" w:eastAsia="Times New Roman" w:cs="Times New Roman"/>
                <w:spacing w:val="-2"/>
                <w:kern w:val="2"/>
                <w:sz w:val="21"/>
                <w:szCs w:val="21"/>
              </w:rPr>
              <w:t>06</w:t>
            </w:r>
          </w:p>
        </w:tc>
        <w:tc>
          <w:tcPr>
            <w:tcW w:w="2542" w:type="dxa"/>
          </w:tcPr>
          <w:p>
            <w:pPr>
              <w:topLinePunct w:val="0"/>
              <w:adjustRightInd/>
              <w:spacing w:before="72" w:line="186" w:lineRule="auto"/>
              <w:ind w:firstLine="0" w:firstLineChars="0"/>
              <w:jc w:val="center"/>
              <w:rPr>
                <w:rFonts w:ascii="Times New Roman" w:cs="Times New Roman" w:eastAsiaTheme="minorEastAsia"/>
                <w:kern w:val="2"/>
                <w:sz w:val="21"/>
                <w:szCs w:val="21"/>
              </w:rPr>
            </w:pPr>
            <w:r>
              <w:rPr>
                <w:rFonts w:ascii="Times New Roman" w:eastAsia="Times New Roman" w:cs="Times New Roman"/>
                <w:spacing w:val="-4"/>
                <w:kern w:val="2"/>
                <w:sz w:val="21"/>
                <w:szCs w:val="21"/>
              </w:rPr>
              <w:t>100</w:t>
            </w:r>
          </w:p>
        </w:tc>
      </w:tr>
    </w:tbl>
    <w:p>
      <w:pPr>
        <w:topLinePunct w:val="0"/>
        <w:adjustRightInd/>
        <w:spacing w:before="29" w:line="233" w:lineRule="auto"/>
        <w:ind w:left="458" w:firstLine="0" w:firstLineChars="0"/>
        <w:rPr>
          <w:rFonts w:ascii="Times New Roman" w:cs="Times New Roman"/>
          <w:kern w:val="2"/>
          <w:sz w:val="21"/>
          <w:szCs w:val="21"/>
        </w:rPr>
      </w:pPr>
      <w:r>
        <w:rPr>
          <w:rFonts w:ascii="Times New Roman" w:cs="Times New Roman"/>
          <w:spacing w:val="-23"/>
          <w:kern w:val="2"/>
          <w:sz w:val="21"/>
          <w:szCs w:val="21"/>
        </w:rPr>
        <w:t>注：</w:t>
      </w:r>
      <w:r>
        <w:rPr>
          <w:rFonts w:ascii="Times New Roman" w:cs="Times New Roman"/>
          <w:spacing w:val="-14"/>
          <w:kern w:val="2"/>
          <w:sz w:val="21"/>
          <w:szCs w:val="21"/>
        </w:rPr>
        <w:t>“*”不含世界广布类型</w:t>
      </w:r>
    </w:p>
    <w:p>
      <w:pPr>
        <w:pStyle w:val="114"/>
        <w:ind w:firstLine="500"/>
        <w:rPr>
          <w:spacing w:val="15"/>
          <w:kern w:val="2"/>
          <w:szCs w:val="24"/>
        </w:rPr>
      </w:pPr>
      <w:r>
        <w:rPr>
          <w:spacing w:val="5"/>
          <w:kern w:val="2"/>
          <w:szCs w:val="24"/>
        </w:rPr>
        <w:t>上表的统计结果来看，项目区域热带分布区类型属（</w:t>
      </w:r>
      <w:r>
        <w:rPr>
          <w:rFonts w:eastAsia="Times New Roman"/>
          <w:spacing w:val="5"/>
          <w:kern w:val="2"/>
          <w:szCs w:val="24"/>
        </w:rPr>
        <w:t>2-7</w:t>
      </w:r>
      <w:r>
        <w:rPr>
          <w:spacing w:val="5"/>
          <w:kern w:val="2"/>
          <w:szCs w:val="24"/>
        </w:rPr>
        <w:t>）含有</w:t>
      </w:r>
      <w:r>
        <w:rPr>
          <w:rFonts w:eastAsia="Times New Roman"/>
          <w:spacing w:val="5"/>
          <w:kern w:val="2"/>
          <w:szCs w:val="24"/>
        </w:rPr>
        <w:t>199</w:t>
      </w:r>
      <w:r>
        <w:rPr>
          <w:spacing w:val="5"/>
          <w:kern w:val="2"/>
          <w:szCs w:val="24"/>
        </w:rPr>
        <w:t>属，占</w:t>
      </w:r>
      <w:r>
        <w:rPr>
          <w:spacing w:val="4"/>
          <w:kern w:val="2"/>
          <w:szCs w:val="24"/>
        </w:rPr>
        <w:t>项目区域</w:t>
      </w:r>
      <w:r>
        <w:rPr>
          <w:spacing w:val="-1"/>
          <w:kern w:val="2"/>
          <w:szCs w:val="24"/>
        </w:rPr>
        <w:t>非世界分布种子植物总属数的</w:t>
      </w:r>
      <w:r>
        <w:rPr>
          <w:rFonts w:eastAsia="Times New Roman"/>
          <w:spacing w:val="-1"/>
          <w:kern w:val="2"/>
          <w:szCs w:val="24"/>
        </w:rPr>
        <w:t>39.35%</w:t>
      </w:r>
      <w:r>
        <w:rPr>
          <w:spacing w:val="-1"/>
          <w:kern w:val="2"/>
          <w:szCs w:val="24"/>
        </w:rPr>
        <w:t>，具有代表性的属</w:t>
      </w:r>
      <w:r>
        <w:rPr>
          <w:kern w:val="2"/>
          <w:szCs w:val="24"/>
        </w:rPr>
        <w:t>有冬青属</w:t>
      </w:r>
      <w:r>
        <w:rPr>
          <w:rFonts w:eastAsia="Times New Roman"/>
          <w:i/>
          <w:iCs/>
          <w:kern w:val="2"/>
          <w:szCs w:val="24"/>
        </w:rPr>
        <w:t>Ilex</w:t>
      </w:r>
      <w:r>
        <w:rPr>
          <w:kern w:val="2"/>
          <w:szCs w:val="24"/>
        </w:rPr>
        <w:t>、柃木属</w:t>
      </w:r>
      <w:r>
        <w:rPr>
          <w:rFonts w:eastAsia="Times New Roman"/>
          <w:i/>
          <w:iCs/>
          <w:spacing w:val="-4"/>
          <w:kern w:val="2"/>
          <w:szCs w:val="24"/>
        </w:rPr>
        <w:t>Eurya</w:t>
      </w:r>
      <w:r>
        <w:rPr>
          <w:spacing w:val="-4"/>
          <w:kern w:val="2"/>
          <w:szCs w:val="24"/>
        </w:rPr>
        <w:t>、凤仙花属</w:t>
      </w:r>
      <w:r>
        <w:rPr>
          <w:rFonts w:eastAsia="Times New Roman"/>
          <w:i/>
          <w:iCs/>
          <w:spacing w:val="-4"/>
          <w:kern w:val="2"/>
          <w:szCs w:val="24"/>
        </w:rPr>
        <w:t>Impatiens</w:t>
      </w:r>
      <w:r>
        <w:rPr>
          <w:spacing w:val="-4"/>
          <w:kern w:val="2"/>
          <w:szCs w:val="24"/>
        </w:rPr>
        <w:t>、醉鱼草属</w:t>
      </w:r>
      <w:r>
        <w:rPr>
          <w:rFonts w:eastAsia="Times New Roman"/>
          <w:i/>
          <w:iCs/>
          <w:spacing w:val="-4"/>
          <w:kern w:val="2"/>
          <w:szCs w:val="24"/>
        </w:rPr>
        <w:t>Buddl</w:t>
      </w:r>
      <w:r>
        <w:rPr>
          <w:rFonts w:eastAsia="Times New Roman"/>
          <w:i/>
          <w:iCs/>
          <w:spacing w:val="-2"/>
          <w:kern w:val="2"/>
          <w:szCs w:val="24"/>
        </w:rPr>
        <w:t>e</w:t>
      </w:r>
      <w:r>
        <w:rPr>
          <w:rFonts w:eastAsia="Times New Roman"/>
          <w:i/>
          <w:iCs/>
          <w:kern w:val="2"/>
          <w:szCs w:val="24"/>
        </w:rPr>
        <w:t>ja</w:t>
      </w:r>
      <w:r>
        <w:rPr>
          <w:spacing w:val="-4"/>
          <w:kern w:val="2"/>
          <w:szCs w:val="24"/>
        </w:rPr>
        <w:t>等；温带分布区类型（</w:t>
      </w:r>
      <w:r>
        <w:rPr>
          <w:rFonts w:eastAsia="Times New Roman"/>
          <w:spacing w:val="-4"/>
          <w:kern w:val="2"/>
          <w:szCs w:val="24"/>
        </w:rPr>
        <w:t>8-14</w:t>
      </w:r>
      <w:r>
        <w:rPr>
          <w:spacing w:val="-4"/>
          <w:kern w:val="2"/>
          <w:szCs w:val="24"/>
        </w:rPr>
        <w:t>）含有</w:t>
      </w:r>
      <w:r>
        <w:rPr>
          <w:rFonts w:eastAsia="Times New Roman"/>
          <w:spacing w:val="1"/>
          <w:kern w:val="2"/>
          <w:szCs w:val="24"/>
        </w:rPr>
        <w:t>257</w:t>
      </w:r>
      <w:r>
        <w:rPr>
          <w:spacing w:val="1"/>
          <w:kern w:val="2"/>
          <w:szCs w:val="24"/>
        </w:rPr>
        <w:t>属，占评价区非世界分布种子植物</w:t>
      </w:r>
      <w:r>
        <w:rPr>
          <w:kern w:val="2"/>
          <w:szCs w:val="24"/>
        </w:rPr>
        <w:t>总属数的</w:t>
      </w:r>
      <w:r>
        <w:rPr>
          <w:rFonts w:eastAsia="Times New Roman"/>
          <w:kern w:val="2"/>
          <w:szCs w:val="24"/>
        </w:rPr>
        <w:t>50.84%</w:t>
      </w:r>
      <w:r>
        <w:rPr>
          <w:kern w:val="2"/>
          <w:szCs w:val="24"/>
        </w:rPr>
        <w:t>，具有代表性的有胡颓子</w:t>
      </w:r>
      <w:r>
        <w:rPr>
          <w:spacing w:val="-8"/>
          <w:kern w:val="2"/>
          <w:szCs w:val="24"/>
        </w:rPr>
        <w:t>属</w:t>
      </w:r>
      <w:r>
        <w:rPr>
          <w:rFonts w:eastAsia="Times New Roman"/>
          <w:i/>
          <w:iCs/>
          <w:spacing w:val="-4"/>
          <w:kern w:val="2"/>
          <w:szCs w:val="24"/>
        </w:rPr>
        <w:t>Elaeagnus</w:t>
      </w:r>
      <w:r>
        <w:rPr>
          <w:spacing w:val="-8"/>
          <w:kern w:val="2"/>
          <w:szCs w:val="24"/>
        </w:rPr>
        <w:t>、胡桃属</w:t>
      </w:r>
      <w:r>
        <w:rPr>
          <w:rFonts w:eastAsia="Times New Roman"/>
          <w:i/>
          <w:iCs/>
          <w:spacing w:val="-4"/>
          <w:kern w:val="2"/>
          <w:szCs w:val="24"/>
        </w:rPr>
        <w:t>Juglans</w:t>
      </w:r>
      <w:r>
        <w:rPr>
          <w:spacing w:val="-8"/>
          <w:kern w:val="2"/>
          <w:szCs w:val="24"/>
        </w:rPr>
        <w:t>、</w:t>
      </w:r>
      <w:r>
        <w:rPr>
          <w:spacing w:val="-7"/>
          <w:kern w:val="2"/>
          <w:szCs w:val="24"/>
        </w:rPr>
        <w:t>报</w:t>
      </w:r>
      <w:r>
        <w:rPr>
          <w:spacing w:val="-4"/>
          <w:kern w:val="2"/>
          <w:szCs w:val="24"/>
        </w:rPr>
        <w:t>春花属</w:t>
      </w:r>
      <w:r>
        <w:rPr>
          <w:rFonts w:eastAsia="Times New Roman"/>
          <w:i/>
          <w:iCs/>
          <w:spacing w:val="-4"/>
          <w:kern w:val="2"/>
          <w:szCs w:val="24"/>
        </w:rPr>
        <w:t>Primula</w:t>
      </w:r>
      <w:r>
        <w:rPr>
          <w:spacing w:val="-4"/>
          <w:kern w:val="2"/>
          <w:szCs w:val="24"/>
        </w:rPr>
        <w:t>、杜鹃属</w:t>
      </w:r>
      <w:r>
        <w:rPr>
          <w:rFonts w:eastAsia="Times New Roman"/>
          <w:i/>
          <w:iCs/>
          <w:spacing w:val="-4"/>
          <w:kern w:val="2"/>
          <w:szCs w:val="24"/>
        </w:rPr>
        <w:t>Rhododendron</w:t>
      </w:r>
      <w:r>
        <w:rPr>
          <w:spacing w:val="-4"/>
          <w:kern w:val="2"/>
          <w:szCs w:val="24"/>
        </w:rPr>
        <w:t>、胡枝子</w:t>
      </w:r>
      <w:r>
        <w:rPr>
          <w:spacing w:val="-10"/>
          <w:kern w:val="2"/>
          <w:szCs w:val="24"/>
        </w:rPr>
        <w:t>属</w:t>
      </w:r>
      <w:r>
        <w:rPr>
          <w:rFonts w:eastAsia="Times New Roman"/>
          <w:i/>
          <w:iCs/>
          <w:spacing w:val="-10"/>
          <w:kern w:val="2"/>
          <w:szCs w:val="24"/>
        </w:rPr>
        <w:t>Lespedeza</w:t>
      </w:r>
      <w:r>
        <w:rPr>
          <w:spacing w:val="-10"/>
          <w:kern w:val="2"/>
          <w:szCs w:val="24"/>
        </w:rPr>
        <w:t>、接骨木属</w:t>
      </w:r>
      <w:r>
        <w:rPr>
          <w:rFonts w:eastAsia="Times New Roman"/>
          <w:i/>
          <w:iCs/>
          <w:spacing w:val="-10"/>
          <w:kern w:val="2"/>
          <w:szCs w:val="24"/>
        </w:rPr>
        <w:t>Sambucus</w:t>
      </w:r>
      <w:r>
        <w:rPr>
          <w:spacing w:val="-10"/>
          <w:kern w:val="2"/>
          <w:szCs w:val="24"/>
        </w:rPr>
        <w:t>、楤木属</w:t>
      </w:r>
      <w:r>
        <w:rPr>
          <w:rFonts w:eastAsia="Times New Roman"/>
          <w:i/>
          <w:iCs/>
          <w:spacing w:val="-10"/>
          <w:kern w:val="2"/>
          <w:szCs w:val="24"/>
        </w:rPr>
        <w:t>Aralia</w:t>
      </w:r>
      <w:r>
        <w:rPr>
          <w:spacing w:val="-10"/>
          <w:kern w:val="2"/>
          <w:szCs w:val="24"/>
        </w:rPr>
        <w:t>、马桑属</w:t>
      </w:r>
      <w:r>
        <w:rPr>
          <w:rFonts w:eastAsia="Times New Roman"/>
          <w:i/>
          <w:iCs/>
          <w:spacing w:val="-10"/>
          <w:kern w:val="2"/>
          <w:szCs w:val="24"/>
        </w:rPr>
        <w:t>Coriaria</w:t>
      </w:r>
      <w:r>
        <w:rPr>
          <w:spacing w:val="-10"/>
          <w:kern w:val="2"/>
          <w:szCs w:val="24"/>
        </w:rPr>
        <w:t>、荚蒾属</w:t>
      </w:r>
      <w:r>
        <w:rPr>
          <w:rFonts w:eastAsia="Times New Roman"/>
          <w:i/>
          <w:iCs/>
          <w:spacing w:val="-10"/>
          <w:kern w:val="2"/>
          <w:szCs w:val="24"/>
        </w:rPr>
        <w:t>Viburnu</w:t>
      </w:r>
      <w:r>
        <w:rPr>
          <w:rFonts w:eastAsia="Times New Roman"/>
          <w:i/>
          <w:iCs/>
          <w:spacing w:val="-1"/>
          <w:kern w:val="2"/>
          <w:szCs w:val="24"/>
        </w:rPr>
        <w:t>m</w:t>
      </w:r>
      <w:r>
        <w:rPr>
          <w:spacing w:val="-10"/>
          <w:kern w:val="2"/>
          <w:szCs w:val="24"/>
        </w:rPr>
        <w:t>、</w:t>
      </w:r>
      <w:r>
        <w:rPr>
          <w:spacing w:val="-6"/>
          <w:kern w:val="2"/>
          <w:szCs w:val="24"/>
        </w:rPr>
        <w:t>栎属</w:t>
      </w:r>
      <w:r>
        <w:rPr>
          <w:rFonts w:eastAsia="Times New Roman"/>
          <w:i/>
          <w:iCs/>
          <w:spacing w:val="-3"/>
          <w:kern w:val="2"/>
          <w:szCs w:val="24"/>
        </w:rPr>
        <w:t>Quercus</w:t>
      </w:r>
      <w:r>
        <w:rPr>
          <w:spacing w:val="-6"/>
          <w:kern w:val="2"/>
          <w:szCs w:val="24"/>
        </w:rPr>
        <w:t>、蔷薇属</w:t>
      </w:r>
      <w:r>
        <w:rPr>
          <w:rFonts w:eastAsia="Times New Roman"/>
          <w:i/>
          <w:iCs/>
          <w:spacing w:val="-3"/>
          <w:kern w:val="2"/>
          <w:szCs w:val="24"/>
        </w:rPr>
        <w:t>Rosa</w:t>
      </w:r>
      <w:r>
        <w:rPr>
          <w:spacing w:val="-6"/>
          <w:kern w:val="2"/>
          <w:szCs w:val="24"/>
        </w:rPr>
        <w:t>、忍冬属</w:t>
      </w:r>
      <w:r>
        <w:rPr>
          <w:rFonts w:eastAsia="Times New Roman"/>
          <w:i/>
          <w:iCs/>
          <w:spacing w:val="-3"/>
          <w:kern w:val="2"/>
          <w:szCs w:val="24"/>
        </w:rPr>
        <w:t>Lonicera</w:t>
      </w:r>
      <w:r>
        <w:rPr>
          <w:spacing w:val="-4"/>
          <w:kern w:val="2"/>
          <w:szCs w:val="24"/>
        </w:rPr>
        <w:t>、</w:t>
      </w:r>
      <w:r>
        <w:rPr>
          <w:spacing w:val="-3"/>
          <w:kern w:val="2"/>
          <w:szCs w:val="24"/>
        </w:rPr>
        <w:t>香青属</w:t>
      </w:r>
      <w:r>
        <w:rPr>
          <w:rFonts w:eastAsia="Times New Roman"/>
          <w:i/>
          <w:iCs/>
          <w:spacing w:val="-3"/>
          <w:kern w:val="2"/>
          <w:szCs w:val="24"/>
        </w:rPr>
        <w:t>Anaphalis</w:t>
      </w:r>
      <w:r>
        <w:rPr>
          <w:spacing w:val="-3"/>
          <w:kern w:val="2"/>
          <w:szCs w:val="24"/>
        </w:rPr>
        <w:t>等；中国特有植</w:t>
      </w:r>
      <w:r>
        <w:rPr>
          <w:spacing w:val="-16"/>
          <w:kern w:val="2"/>
          <w:szCs w:val="24"/>
        </w:rPr>
        <w:t>物</w:t>
      </w:r>
      <w:r>
        <w:rPr>
          <w:spacing w:val="-9"/>
          <w:kern w:val="2"/>
          <w:szCs w:val="24"/>
        </w:rPr>
        <w:t>属</w:t>
      </w:r>
      <w:r>
        <w:rPr>
          <w:rFonts w:eastAsia="Times New Roman"/>
          <w:spacing w:val="-8"/>
          <w:kern w:val="2"/>
          <w:szCs w:val="24"/>
        </w:rPr>
        <w:t>6</w:t>
      </w:r>
      <w:r>
        <w:rPr>
          <w:spacing w:val="-8"/>
          <w:kern w:val="2"/>
          <w:szCs w:val="24"/>
        </w:rPr>
        <w:t>属，占</w:t>
      </w:r>
      <w:r>
        <w:rPr>
          <w:rFonts w:eastAsia="Times New Roman"/>
          <w:spacing w:val="-8"/>
          <w:kern w:val="2"/>
          <w:szCs w:val="24"/>
        </w:rPr>
        <w:t>1.19%</w:t>
      </w:r>
      <w:r>
        <w:rPr>
          <w:spacing w:val="-8"/>
          <w:kern w:val="2"/>
          <w:szCs w:val="24"/>
        </w:rPr>
        <w:t>，分别是喜树属</w:t>
      </w:r>
      <w:r>
        <w:rPr>
          <w:rFonts w:eastAsia="Times New Roman"/>
          <w:i/>
          <w:iCs/>
          <w:spacing w:val="-8"/>
          <w:kern w:val="2"/>
          <w:szCs w:val="24"/>
        </w:rPr>
        <w:t>Camptotheca</w:t>
      </w:r>
      <w:r>
        <w:rPr>
          <w:spacing w:val="-8"/>
          <w:kern w:val="2"/>
          <w:szCs w:val="24"/>
        </w:rPr>
        <w:t>、杉木属</w:t>
      </w:r>
      <w:r>
        <w:rPr>
          <w:rFonts w:eastAsia="Times New Roman"/>
          <w:i/>
          <w:iCs/>
          <w:spacing w:val="-8"/>
          <w:kern w:val="2"/>
          <w:szCs w:val="24"/>
        </w:rPr>
        <w:t>Cunninghamia</w:t>
      </w:r>
      <w:r>
        <w:rPr>
          <w:spacing w:val="-8"/>
          <w:kern w:val="2"/>
          <w:szCs w:val="24"/>
        </w:rPr>
        <w:t>、银杏属</w:t>
      </w:r>
      <w:r>
        <w:rPr>
          <w:rFonts w:eastAsia="Times New Roman"/>
          <w:i/>
          <w:iCs/>
          <w:spacing w:val="-2"/>
          <w:kern w:val="2"/>
          <w:szCs w:val="24"/>
        </w:rPr>
        <w:t>Ginkgo</w:t>
      </w:r>
      <w:r>
        <w:rPr>
          <w:spacing w:val="-2"/>
          <w:kern w:val="2"/>
          <w:szCs w:val="24"/>
        </w:rPr>
        <w:t>、水杉属</w:t>
      </w:r>
      <w:r>
        <w:rPr>
          <w:rFonts w:eastAsia="Times New Roman"/>
          <w:i/>
          <w:iCs/>
          <w:spacing w:val="-2"/>
          <w:kern w:val="2"/>
          <w:szCs w:val="24"/>
        </w:rPr>
        <w:t>Metasequoia</w:t>
      </w:r>
      <w:r>
        <w:rPr>
          <w:spacing w:val="-2"/>
          <w:kern w:val="2"/>
          <w:szCs w:val="24"/>
        </w:rPr>
        <w:t>、慈竹属</w:t>
      </w:r>
      <w:r>
        <w:rPr>
          <w:rFonts w:eastAsia="Times New Roman"/>
          <w:i/>
          <w:iCs/>
          <w:spacing w:val="-2"/>
          <w:kern w:val="2"/>
          <w:szCs w:val="24"/>
        </w:rPr>
        <w:t>Neos</w:t>
      </w:r>
      <w:r>
        <w:rPr>
          <w:rFonts w:eastAsia="Times New Roman"/>
          <w:i/>
          <w:iCs/>
          <w:spacing w:val="-1"/>
          <w:kern w:val="2"/>
          <w:szCs w:val="24"/>
        </w:rPr>
        <w:t>inocalamus</w:t>
      </w:r>
      <w:r>
        <w:rPr>
          <w:spacing w:val="-2"/>
          <w:kern w:val="2"/>
          <w:szCs w:val="24"/>
        </w:rPr>
        <w:t>、通脱木属</w:t>
      </w:r>
      <w:r>
        <w:rPr>
          <w:rFonts w:eastAsia="Times New Roman"/>
          <w:i/>
          <w:iCs/>
          <w:spacing w:val="-1"/>
          <w:kern w:val="2"/>
          <w:szCs w:val="24"/>
        </w:rPr>
        <w:t>Tetrapanax</w:t>
      </w:r>
      <w:r>
        <w:rPr>
          <w:spacing w:val="-2"/>
          <w:kern w:val="2"/>
          <w:szCs w:val="24"/>
        </w:rPr>
        <w:t>。从</w:t>
      </w:r>
      <w:r>
        <w:rPr>
          <w:spacing w:val="3"/>
          <w:kern w:val="2"/>
          <w:szCs w:val="24"/>
        </w:rPr>
        <w:t>属的分布区类型来看，区域内种子植物区系成分以北温带分布、东亚分布、</w:t>
      </w:r>
      <w:r>
        <w:rPr>
          <w:spacing w:val="1"/>
          <w:kern w:val="2"/>
          <w:szCs w:val="24"/>
        </w:rPr>
        <w:t>泛</w:t>
      </w:r>
      <w:r>
        <w:rPr>
          <w:spacing w:val="3"/>
          <w:kern w:val="2"/>
          <w:szCs w:val="24"/>
        </w:rPr>
        <w:t>热带分布、东亚和北美洲间断分布、旧世界温带所代表的温带成分为主，同时</w:t>
      </w:r>
      <w:r>
        <w:rPr>
          <w:spacing w:val="1"/>
          <w:kern w:val="2"/>
          <w:szCs w:val="24"/>
        </w:rPr>
        <w:t>热</w:t>
      </w:r>
      <w:r>
        <w:rPr>
          <w:spacing w:val="3"/>
          <w:kern w:val="2"/>
          <w:szCs w:val="24"/>
        </w:rPr>
        <w:t>带成分也有近四分之一的比例，反映出项目区域种子植物在属级水平上区系性质</w:t>
      </w:r>
      <w:r>
        <w:rPr>
          <w:spacing w:val="1"/>
          <w:kern w:val="2"/>
          <w:szCs w:val="24"/>
        </w:rPr>
        <w:t>的</w:t>
      </w:r>
      <w:r>
        <w:rPr>
          <w:spacing w:val="3"/>
          <w:kern w:val="2"/>
          <w:szCs w:val="24"/>
        </w:rPr>
        <w:t>复杂性，种子植物温带分布属显著多于其他区系成分，因此项目区域种子植物带</w:t>
      </w:r>
      <w:r>
        <w:rPr>
          <w:spacing w:val="1"/>
          <w:kern w:val="2"/>
          <w:szCs w:val="24"/>
        </w:rPr>
        <w:t>有</w:t>
      </w:r>
      <w:r>
        <w:rPr>
          <w:spacing w:val="-6"/>
          <w:kern w:val="2"/>
          <w:szCs w:val="24"/>
        </w:rPr>
        <w:t>极其明显的温带</w:t>
      </w:r>
      <w:r>
        <w:rPr>
          <w:spacing w:val="-4"/>
          <w:kern w:val="2"/>
          <w:szCs w:val="24"/>
        </w:rPr>
        <w:t>成</w:t>
      </w:r>
      <w:r>
        <w:rPr>
          <w:spacing w:val="-3"/>
          <w:kern w:val="2"/>
          <w:szCs w:val="24"/>
        </w:rPr>
        <w:t>分性质，这与项目区域所处的“亚热带常绿阔叶林区域</w:t>
      </w:r>
      <w:r>
        <w:rPr>
          <w:rFonts w:eastAsia="Times New Roman"/>
          <w:spacing w:val="-3"/>
          <w:kern w:val="2"/>
          <w:szCs w:val="24"/>
        </w:rPr>
        <w:t>—</w:t>
      </w:r>
      <w:r>
        <w:rPr>
          <w:spacing w:val="-3"/>
          <w:kern w:val="2"/>
          <w:szCs w:val="24"/>
        </w:rPr>
        <w:t>川东盆地</w:t>
      </w:r>
      <w:r>
        <w:rPr>
          <w:spacing w:val="8"/>
          <w:kern w:val="2"/>
          <w:szCs w:val="24"/>
        </w:rPr>
        <w:t>及川</w:t>
      </w:r>
      <w:r>
        <w:rPr>
          <w:spacing w:val="5"/>
          <w:kern w:val="2"/>
          <w:szCs w:val="24"/>
        </w:rPr>
        <w:t>西</w:t>
      </w:r>
      <w:r>
        <w:rPr>
          <w:spacing w:val="4"/>
          <w:kern w:val="2"/>
          <w:szCs w:val="24"/>
        </w:rPr>
        <w:t>南山地常绿阔叶林地带（东部常绿阔叶林亚区域）</w:t>
      </w:r>
      <w:r>
        <w:rPr>
          <w:rFonts w:eastAsia="Times New Roman"/>
          <w:spacing w:val="4"/>
          <w:kern w:val="2"/>
          <w:szCs w:val="24"/>
        </w:rPr>
        <w:t>—</w:t>
      </w:r>
      <w:r>
        <w:rPr>
          <w:spacing w:val="4"/>
          <w:kern w:val="2"/>
          <w:szCs w:val="24"/>
        </w:rPr>
        <w:t>川东盆地偏湿性常绿</w:t>
      </w:r>
      <w:r>
        <w:rPr>
          <w:spacing w:val="11"/>
          <w:kern w:val="2"/>
          <w:szCs w:val="24"/>
        </w:rPr>
        <w:t>阔</w:t>
      </w:r>
      <w:r>
        <w:rPr>
          <w:spacing w:val="6"/>
          <w:kern w:val="2"/>
          <w:szCs w:val="24"/>
        </w:rPr>
        <w:t>叶林亚带</w:t>
      </w:r>
      <w:r>
        <w:rPr>
          <w:rFonts w:eastAsia="Times New Roman"/>
          <w:spacing w:val="6"/>
          <w:kern w:val="2"/>
          <w:szCs w:val="24"/>
        </w:rPr>
        <w:t>—</w:t>
      </w:r>
      <w:r>
        <w:rPr>
          <w:spacing w:val="6"/>
          <w:kern w:val="2"/>
          <w:szCs w:val="24"/>
        </w:rPr>
        <w:t>盆边北部中山植被地区（北亚热带常绿、落叶阔叶混交林地带）</w:t>
      </w:r>
      <w:r>
        <w:rPr>
          <w:rFonts w:eastAsia="Times New Roman"/>
          <w:spacing w:val="6"/>
          <w:kern w:val="2"/>
          <w:szCs w:val="24"/>
        </w:rPr>
        <w:t>—</w:t>
      </w:r>
      <w:r>
        <w:rPr>
          <w:spacing w:val="4"/>
          <w:kern w:val="2"/>
          <w:szCs w:val="24"/>
        </w:rPr>
        <w:t>大</w:t>
      </w:r>
      <w:r>
        <w:rPr>
          <w:spacing w:val="3"/>
          <w:kern w:val="2"/>
          <w:szCs w:val="24"/>
        </w:rPr>
        <w:t>巴山植被小区（秦、巴山地丘陵，栎类林、巴山松、马尾松林区）</w:t>
      </w:r>
      <w:r>
        <w:rPr>
          <w:spacing w:val="-3"/>
          <w:kern w:val="2"/>
          <w:szCs w:val="24"/>
        </w:rPr>
        <w:t>”</w:t>
      </w:r>
      <w:r>
        <w:rPr>
          <w:spacing w:val="3"/>
          <w:kern w:val="2"/>
          <w:szCs w:val="24"/>
        </w:rPr>
        <w:t>气候条件相</w:t>
      </w:r>
      <w:r>
        <w:rPr>
          <w:spacing w:val="-12"/>
          <w:kern w:val="2"/>
          <w:szCs w:val="24"/>
        </w:rPr>
        <w:t>符</w:t>
      </w:r>
      <w:r>
        <w:rPr>
          <w:spacing w:val="-10"/>
          <w:kern w:val="2"/>
          <w:szCs w:val="24"/>
        </w:rPr>
        <w:t>。</w:t>
      </w:r>
    </w:p>
    <w:p>
      <w:pPr>
        <w:pStyle w:val="4"/>
        <w:rPr>
          <w:rFonts w:eastAsia="宋体"/>
        </w:rPr>
      </w:pPr>
      <w:bookmarkStart w:id="409" w:name="_Toc12288585"/>
      <w:r>
        <w:rPr>
          <w:rFonts w:eastAsia="宋体"/>
        </w:rPr>
        <w:t>5.2.4</w:t>
      </w:r>
      <w:r>
        <w:rPr>
          <w:rFonts w:eastAsia="宋体"/>
          <w:bCs/>
          <w:szCs w:val="24"/>
        </w:rPr>
        <w:t>评价范围陆生植被现状调查</w:t>
      </w:r>
      <w:bookmarkEnd w:id="409"/>
    </w:p>
    <w:p>
      <w:pPr>
        <w:topLinePunct w:val="0"/>
        <w:snapToGrid w:val="0"/>
        <w:ind w:firstLine="482"/>
        <w:rPr>
          <w:rFonts w:ascii="Times New Roman" w:cs="Times New Roman"/>
          <w:b/>
          <w:bCs/>
          <w:kern w:val="2"/>
        </w:rPr>
      </w:pPr>
      <w:r>
        <w:rPr>
          <w:rFonts w:ascii="Times New Roman" w:cs="Times New Roman"/>
          <w:b/>
          <w:bCs/>
          <w:kern w:val="2"/>
        </w:rPr>
        <w:t>1、评价范围内植被概况</w:t>
      </w:r>
    </w:p>
    <w:p>
      <w:pPr>
        <w:topLinePunct w:val="0"/>
        <w:snapToGrid w:val="0"/>
        <w:ind w:firstLine="472"/>
        <w:rPr>
          <w:rFonts w:ascii="Times New Roman" w:cs="Times New Roman"/>
          <w:spacing w:val="-2"/>
          <w:kern w:val="2"/>
        </w:rPr>
      </w:pPr>
      <w:r>
        <w:rPr>
          <w:rFonts w:ascii="Times New Roman" w:cs="Times New Roman"/>
          <w:spacing w:val="-2"/>
          <w:kern w:val="2"/>
        </w:rPr>
        <w:t>现场调查情况，评价区及项目周边地带性植物为亚热带常绿阔叶林，植被覆盖度较高，亚热带针叶林、阔叶林植被，亚热带灌丛、热性草丛植被较常见，有明显的热带特征，评价区及项目周边内天然植被和人工栽植植被均广泛分布。</w:t>
      </w:r>
    </w:p>
    <w:p>
      <w:pPr>
        <w:topLinePunct w:val="0"/>
        <w:adjustRightInd/>
        <w:snapToGrid w:val="0"/>
        <w:ind w:firstLine="472" w:firstLineChars="196"/>
        <w:rPr>
          <w:rFonts w:ascii="Times New Roman" w:cs="Times New Roman"/>
          <w:b/>
          <w:bCs/>
          <w:kern w:val="2"/>
        </w:rPr>
      </w:pPr>
      <w:r>
        <w:rPr>
          <w:rFonts w:ascii="Times New Roman" w:cs="Times New Roman"/>
          <w:b/>
          <w:bCs/>
          <w:kern w:val="2"/>
        </w:rPr>
        <w:t>2、植物群落结构及演替规律</w:t>
      </w:r>
    </w:p>
    <w:p>
      <w:pPr>
        <w:topLinePunct w:val="0"/>
        <w:snapToGrid w:val="0"/>
        <w:ind w:firstLine="480"/>
        <w:rPr>
          <w:rFonts w:ascii="Times New Roman" w:cs="Times New Roman"/>
          <w:kern w:val="2"/>
        </w:rPr>
      </w:pPr>
      <w:r>
        <w:rPr>
          <w:rFonts w:ascii="Times New Roman" w:cs="Times New Roman"/>
          <w:kern w:val="2"/>
        </w:rPr>
        <w:t>评价区及项目周边植物群落主要为乔木、灌木、草本为主的结构特征，其中乔木群落结构多为乔灌草三层植被，灌木群落结构多为灌草双层植被，草本群落则多为草丛单层植被。群落自然演替规律总体呈现草本-灌丛-乔木方向演替。同时，随着近年退耕还林等人为活动影响，还存在草本-园地、草本-乔木、灌丛-乔木、旱地-园地、旱地-乔木等结构演替，总之，项目区植物群落总体朝向生物多样性更加复杂、生产力和生物量更加丰富、生态系统结构更加稳定的方向演变。</w:t>
      </w:r>
    </w:p>
    <w:p>
      <w:pPr>
        <w:topLinePunct w:val="0"/>
        <w:snapToGrid w:val="0"/>
        <w:ind w:firstLine="482"/>
        <w:rPr>
          <w:rFonts w:ascii="Times New Roman" w:cs="Times New Roman"/>
          <w:b/>
          <w:bCs/>
          <w:kern w:val="2"/>
        </w:rPr>
      </w:pPr>
      <w:r>
        <w:rPr>
          <w:rFonts w:ascii="Times New Roman" w:cs="Times New Roman"/>
          <w:b/>
          <w:bCs/>
          <w:kern w:val="2"/>
        </w:rPr>
        <w:t>3、项目评价范围内主要植被类型</w:t>
      </w:r>
    </w:p>
    <w:p>
      <w:pPr>
        <w:pStyle w:val="114"/>
        <w:ind w:firstLine="480"/>
        <w:rPr>
          <w:kern w:val="2"/>
          <w:szCs w:val="24"/>
        </w:rPr>
      </w:pPr>
      <w:r>
        <w:rPr>
          <w:kern w:val="2"/>
          <w:szCs w:val="24"/>
        </w:rPr>
        <w:t>采用实地踏勘和样方调查相结合的方法对评价范围内植被进行实地调查，结合卫星影像解译成果，参考现有的资料和文献，根据各类群落的特征，按照吴征镒等《中国植物志</w:t>
      </w:r>
      <w:r>
        <w:rPr>
          <w:rFonts w:hint="eastAsia"/>
          <w:kern w:val="2"/>
          <w:szCs w:val="24"/>
          <w:lang w:eastAsia="zh-CN"/>
        </w:rPr>
        <w:t>》《</w:t>
      </w:r>
      <w:r>
        <w:rPr>
          <w:kern w:val="2"/>
          <w:szCs w:val="24"/>
        </w:rPr>
        <w:t>四川植物志》中对四川的自然、人工植被的分类系统，划分出评价区域内不同的植被类型，形成植被分类系统。评价区及项目周边</w:t>
      </w:r>
      <w:r>
        <w:rPr>
          <w:rFonts w:hint="eastAsia"/>
          <w:kern w:val="2"/>
          <w:szCs w:val="24"/>
        </w:rPr>
        <w:t>区域</w:t>
      </w:r>
      <w:r>
        <w:rPr>
          <w:kern w:val="2"/>
          <w:szCs w:val="24"/>
        </w:rPr>
        <w:t>自然植被涉及3种植被型组，5种植被型和9种群系，自然植被分类见表5.2-10。</w:t>
      </w:r>
    </w:p>
    <w:p>
      <w:pPr>
        <w:topLinePunct w:val="0"/>
        <w:autoSpaceDE w:val="0"/>
        <w:autoSpaceDN w:val="0"/>
        <w:spacing w:before="156" w:beforeLines="50" w:line="240" w:lineRule="auto"/>
        <w:ind w:firstLine="0" w:firstLineChars="0"/>
        <w:jc w:val="center"/>
        <w:rPr>
          <w:rFonts w:ascii="Times New Roman" w:cs="Times New Roman"/>
          <w:b/>
          <w:sz w:val="21"/>
        </w:rPr>
      </w:pPr>
      <w:r>
        <w:rPr>
          <w:rFonts w:ascii="Times New Roman" w:cs="Times New Roman"/>
          <w:b/>
          <w:sz w:val="21"/>
        </w:rPr>
        <w:t>表5.2-10 工程评价区植被分类系统</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98"/>
        <w:gridCol w:w="921"/>
        <w:gridCol w:w="825"/>
        <w:gridCol w:w="2017"/>
        <w:gridCol w:w="43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374" w:type="dxa"/>
            <w:vMerge w:val="restart"/>
            <w:textDirection w:val="tbRlV"/>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自然植被</w:t>
            </w:r>
          </w:p>
        </w:tc>
        <w:tc>
          <w:tcPr>
            <w:tcW w:w="866" w:type="dxa"/>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植被型组</w:t>
            </w:r>
          </w:p>
        </w:tc>
        <w:tc>
          <w:tcPr>
            <w:tcW w:w="776" w:type="dxa"/>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植被型</w:t>
            </w:r>
          </w:p>
        </w:tc>
        <w:tc>
          <w:tcPr>
            <w:tcW w:w="1897" w:type="dxa"/>
            <w:vAlign w:val="center"/>
          </w:tcPr>
          <w:p>
            <w:pPr>
              <w:topLinePunct w:val="0"/>
              <w:adjustRightInd/>
              <w:spacing w:before="51" w:line="214" w:lineRule="auto"/>
              <w:ind w:firstLine="0" w:firstLineChars="0"/>
              <w:jc w:val="center"/>
              <w:rPr>
                <w:rFonts w:ascii="Times New Roman" w:cs="Times New Roman"/>
                <w:kern w:val="2"/>
                <w:sz w:val="21"/>
                <w:szCs w:val="21"/>
              </w:rPr>
            </w:pPr>
            <w:r>
              <w:rPr>
                <w:rFonts w:ascii="Times New Roman" w:cs="Times New Roman"/>
                <w:spacing w:val="-3"/>
                <w:kern w:val="2"/>
                <w:sz w:val="21"/>
                <w:szCs w:val="21"/>
              </w:rPr>
              <w:t>群</w:t>
            </w:r>
            <w:r>
              <w:rPr>
                <w:rFonts w:ascii="Times New Roman" w:cs="Times New Roman"/>
                <w:spacing w:val="-2"/>
                <w:kern w:val="2"/>
                <w:sz w:val="21"/>
                <w:szCs w:val="21"/>
              </w:rPr>
              <w:t>系</w:t>
            </w:r>
          </w:p>
        </w:tc>
        <w:tc>
          <w:tcPr>
            <w:tcW w:w="4103" w:type="dxa"/>
            <w:vAlign w:val="center"/>
          </w:tcPr>
          <w:p>
            <w:pPr>
              <w:topLinePunct w:val="0"/>
              <w:adjustRightInd/>
              <w:spacing w:before="53" w:line="217" w:lineRule="auto"/>
              <w:ind w:left="1176" w:firstLine="0" w:firstLineChars="0"/>
              <w:rPr>
                <w:rFonts w:ascii="Times New Roman" w:cs="Times New Roman"/>
                <w:kern w:val="2"/>
                <w:sz w:val="21"/>
                <w:szCs w:val="21"/>
              </w:rPr>
            </w:pPr>
            <w:r>
              <w:rPr>
                <w:rFonts w:ascii="Times New Roman" w:cs="Times New Roman"/>
                <w:spacing w:val="-2"/>
                <w:kern w:val="2"/>
                <w:sz w:val="21"/>
                <w:szCs w:val="21"/>
              </w:rPr>
              <w:t>群系</w:t>
            </w:r>
            <w:r>
              <w:rPr>
                <w:rFonts w:ascii="Times New Roman" w:cs="Times New Roman"/>
                <w:spacing w:val="-1"/>
                <w:kern w:val="2"/>
                <w:sz w:val="21"/>
                <w:szCs w:val="21"/>
              </w:rPr>
              <w:t>拉丁名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4" w:hRule="atLeast"/>
          <w:jc w:val="center"/>
        </w:trPr>
        <w:tc>
          <w:tcPr>
            <w:tcW w:w="374" w:type="dxa"/>
            <w:vMerge w:val="continue"/>
            <w:textDirection w:val="tbRlV"/>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866" w:type="dxa"/>
            <w:vMerge w:val="restart"/>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针叶林</w:t>
            </w:r>
          </w:p>
        </w:tc>
        <w:tc>
          <w:tcPr>
            <w:tcW w:w="776" w:type="dxa"/>
            <w:vMerge w:val="restart"/>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暖性针叶林</w:t>
            </w:r>
          </w:p>
        </w:tc>
        <w:tc>
          <w:tcPr>
            <w:tcW w:w="1897" w:type="dxa"/>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马尾松林</w:t>
            </w:r>
          </w:p>
        </w:tc>
        <w:tc>
          <w:tcPr>
            <w:tcW w:w="4103" w:type="dxa"/>
            <w:vAlign w:val="center"/>
          </w:tcPr>
          <w:p>
            <w:pPr>
              <w:topLinePunct w:val="0"/>
              <w:adjustRightInd/>
              <w:spacing w:before="83" w:line="211" w:lineRule="auto"/>
              <w:ind w:left="650" w:firstLine="0" w:firstLineChars="0"/>
              <w:rPr>
                <w:rFonts w:ascii="Times New Roman" w:eastAsia="Times New Roman" w:cs="Times New Roman"/>
                <w:kern w:val="2"/>
                <w:sz w:val="21"/>
                <w:szCs w:val="21"/>
              </w:rPr>
            </w:pPr>
            <w:r>
              <w:rPr>
                <w:rFonts w:ascii="Times New Roman" w:eastAsia="Times New Roman" w:cs="Times New Roman"/>
                <w:spacing w:val="-1"/>
                <w:kern w:val="2"/>
                <w:sz w:val="21"/>
                <w:szCs w:val="21"/>
              </w:rPr>
              <w:t>F</w:t>
            </w:r>
            <w:r>
              <w:rPr>
                <w:rFonts w:ascii="Times New Roman" w:eastAsia="Times New Roman" w:cs="Times New Roman"/>
                <w:kern w:val="2"/>
                <w:sz w:val="21"/>
                <w:szCs w:val="21"/>
              </w:rPr>
              <w:t>orm</w:t>
            </w:r>
            <w:r>
              <w:rPr>
                <w:rFonts w:ascii="Times New Roman" w:eastAsia="Times New Roman" w:cs="Times New Roman"/>
                <w:spacing w:val="-1"/>
                <w:kern w:val="2"/>
                <w:sz w:val="21"/>
                <w:szCs w:val="21"/>
              </w:rPr>
              <w:t xml:space="preserve">. </w:t>
            </w:r>
            <w:r>
              <w:rPr>
                <w:rFonts w:ascii="Times New Roman" w:eastAsia="Times New Roman" w:cs="Times New Roman"/>
                <w:i/>
                <w:iCs/>
                <w:kern w:val="2"/>
                <w:sz w:val="21"/>
                <w:szCs w:val="21"/>
              </w:rPr>
              <w:t>Pinus</w:t>
            </w:r>
            <w:r>
              <w:rPr>
                <w:rFonts w:ascii="Times New Roman" w:eastAsia="Times New Roman" w:cs="Times New Roman"/>
                <w:spacing w:val="-1"/>
                <w:kern w:val="2"/>
                <w:sz w:val="21"/>
                <w:szCs w:val="21"/>
              </w:rPr>
              <w:t xml:space="preserve"> </w:t>
            </w:r>
            <w:r>
              <w:rPr>
                <w:rFonts w:ascii="Times New Roman" w:eastAsia="Times New Roman" w:cs="Times New Roman"/>
                <w:i/>
                <w:iCs/>
                <w:kern w:val="2"/>
                <w:sz w:val="21"/>
                <w:szCs w:val="21"/>
              </w:rPr>
              <w:t>massoniana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374" w:type="dxa"/>
            <w:vMerge w:val="continue"/>
            <w:textDirection w:val="tbRlV"/>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866" w:type="dxa"/>
            <w:vMerge w:val="continue"/>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776" w:type="dxa"/>
            <w:vMerge w:val="continue"/>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1897" w:type="dxa"/>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柏木林</w:t>
            </w:r>
          </w:p>
        </w:tc>
        <w:tc>
          <w:tcPr>
            <w:tcW w:w="4103" w:type="dxa"/>
            <w:vAlign w:val="center"/>
          </w:tcPr>
          <w:p>
            <w:pPr>
              <w:topLinePunct w:val="0"/>
              <w:adjustRightInd/>
              <w:spacing w:before="84" w:line="190" w:lineRule="auto"/>
              <w:ind w:left="639" w:firstLine="0" w:firstLineChars="0"/>
              <w:rPr>
                <w:rFonts w:ascii="Times New Roman" w:eastAsia="Times New Roman" w:cs="Times New Roman"/>
                <w:kern w:val="2"/>
                <w:sz w:val="21"/>
                <w:szCs w:val="21"/>
              </w:rPr>
            </w:pPr>
            <w:r>
              <w:rPr>
                <w:rFonts w:ascii="Times New Roman" w:eastAsia="Times New Roman" w:cs="Times New Roman"/>
                <w:kern w:val="2"/>
                <w:sz w:val="21"/>
                <w:szCs w:val="21"/>
              </w:rPr>
              <w:t>Form</w:t>
            </w:r>
            <w:r>
              <w:rPr>
                <w:rFonts w:ascii="Times New Roman" w:eastAsia="Times New Roman" w:cs="Times New Roman"/>
                <w:spacing w:val="41"/>
                <w:kern w:val="2"/>
                <w:sz w:val="21"/>
                <w:szCs w:val="21"/>
              </w:rPr>
              <w:t>.</w:t>
            </w:r>
            <w:r>
              <w:rPr>
                <w:rFonts w:ascii="Times New Roman" w:eastAsia="Times New Roman" w:cs="Times New Roman"/>
                <w:i/>
                <w:iCs/>
                <w:kern w:val="2"/>
                <w:sz w:val="21"/>
                <w:szCs w:val="21"/>
              </w:rPr>
              <w:t>Cupressusfunebris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1" w:hRule="atLeast"/>
          <w:jc w:val="center"/>
        </w:trPr>
        <w:tc>
          <w:tcPr>
            <w:tcW w:w="374" w:type="dxa"/>
            <w:vMerge w:val="continue"/>
            <w:textDirection w:val="tbRlV"/>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866" w:type="dxa"/>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阔叶林</w:t>
            </w:r>
          </w:p>
        </w:tc>
        <w:tc>
          <w:tcPr>
            <w:tcW w:w="776" w:type="dxa"/>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落叶阔叶林</w:t>
            </w:r>
          </w:p>
        </w:tc>
        <w:tc>
          <w:tcPr>
            <w:tcW w:w="1897" w:type="dxa"/>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麻栎、青冈、栓皮栎群系</w:t>
            </w:r>
          </w:p>
        </w:tc>
        <w:tc>
          <w:tcPr>
            <w:tcW w:w="4103" w:type="dxa"/>
            <w:vAlign w:val="center"/>
          </w:tcPr>
          <w:p>
            <w:pPr>
              <w:topLinePunct w:val="0"/>
              <w:adjustRightInd/>
              <w:spacing w:before="51" w:line="214" w:lineRule="auto"/>
              <w:ind w:firstLine="0" w:firstLineChars="0"/>
              <w:jc w:val="center"/>
              <w:rPr>
                <w:rFonts w:ascii="Times New Roman" w:cs="Times New Roman"/>
                <w:i/>
                <w:iCs/>
                <w:spacing w:val="-4"/>
                <w:kern w:val="2"/>
                <w:sz w:val="21"/>
                <w:szCs w:val="21"/>
              </w:rPr>
            </w:pPr>
            <w:r>
              <w:rPr>
                <w:rFonts w:ascii="Times New Roman" w:cs="Times New Roman"/>
                <w:spacing w:val="-4"/>
                <w:kern w:val="2"/>
                <w:sz w:val="21"/>
                <w:szCs w:val="21"/>
              </w:rPr>
              <w:t>Form.</w:t>
            </w:r>
            <w:r>
              <w:rPr>
                <w:rFonts w:ascii="Times New Roman" w:cs="Times New Roman"/>
                <w:i/>
                <w:iCs/>
                <w:spacing w:val="-4"/>
                <w:kern w:val="2"/>
                <w:sz w:val="21"/>
                <w:szCs w:val="21"/>
              </w:rPr>
              <w:t>Quercus acutissima Carruth.+TCyclobalanopsis glauca</w:t>
            </w:r>
            <w:r>
              <w:rPr>
                <w:rFonts w:ascii="Times New Roman" w:cs="Times New Roman"/>
                <w:spacing w:val="-4"/>
                <w:kern w:val="2"/>
                <w:sz w:val="21"/>
                <w:szCs w:val="21"/>
              </w:rPr>
              <w:t>(Thunb.) Oerst</w:t>
            </w:r>
            <w:r>
              <w:rPr>
                <w:rFonts w:ascii="Times New Roman" w:cs="Times New Roman"/>
                <w:i/>
                <w:iCs/>
                <w:spacing w:val="-4"/>
                <w:kern w:val="2"/>
                <w:sz w:val="21"/>
                <w:szCs w:val="21"/>
              </w:rPr>
              <w:t xml:space="preserve">.+Quercus variabilis </w:t>
            </w:r>
            <w:r>
              <w:rPr>
                <w:rFonts w:ascii="Times New Roman" w:cs="Times New Roman"/>
                <w:spacing w:val="-4"/>
                <w:kern w:val="2"/>
                <w:sz w:val="21"/>
                <w:szCs w:val="21"/>
              </w:rPr>
              <w:t>Bl.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374" w:type="dxa"/>
            <w:vMerge w:val="continue"/>
            <w:textDirection w:val="tbRlV"/>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866" w:type="dxa"/>
            <w:vMerge w:val="restart"/>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灌丛和灌 草丛</w:t>
            </w:r>
          </w:p>
        </w:tc>
        <w:tc>
          <w:tcPr>
            <w:tcW w:w="776" w:type="dxa"/>
            <w:vMerge w:val="restart"/>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阔叶灌丛</w:t>
            </w:r>
          </w:p>
        </w:tc>
        <w:tc>
          <w:tcPr>
            <w:tcW w:w="1897" w:type="dxa"/>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槲栎灌丛群系</w:t>
            </w:r>
          </w:p>
        </w:tc>
        <w:tc>
          <w:tcPr>
            <w:tcW w:w="4103" w:type="dxa"/>
            <w:vAlign w:val="center"/>
          </w:tcPr>
          <w:p>
            <w:pPr>
              <w:topLinePunct w:val="0"/>
              <w:adjustRightInd/>
              <w:spacing w:before="51" w:line="214" w:lineRule="auto"/>
              <w:ind w:firstLine="0" w:firstLineChars="0"/>
              <w:jc w:val="center"/>
              <w:rPr>
                <w:rFonts w:ascii="Times New Roman" w:cs="Times New Roman"/>
                <w:i/>
                <w:iCs/>
                <w:spacing w:val="-4"/>
                <w:kern w:val="2"/>
                <w:sz w:val="21"/>
                <w:szCs w:val="21"/>
              </w:rPr>
            </w:pPr>
            <w:r>
              <w:rPr>
                <w:rFonts w:ascii="Times New Roman" w:cs="Times New Roman"/>
                <w:kern w:val="2"/>
              </w:rPr>
              <w:t>Form.</w:t>
            </w:r>
            <w:r>
              <w:rPr>
                <w:rFonts w:ascii="Times New Roman" w:cs="Times New Roman"/>
                <w:i/>
                <w:iCs/>
                <w:kern w:val="2"/>
              </w:rPr>
              <w:t>Quercus aliena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374" w:type="dxa"/>
            <w:vMerge w:val="continue"/>
            <w:textDirection w:val="tbRlV"/>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866" w:type="dxa"/>
            <w:vMerge w:val="continue"/>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776" w:type="dxa"/>
            <w:vMerge w:val="continue"/>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1897" w:type="dxa"/>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马桑灌丛群系</w:t>
            </w:r>
          </w:p>
        </w:tc>
        <w:tc>
          <w:tcPr>
            <w:tcW w:w="4103" w:type="dxa"/>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kern w:val="2"/>
              </w:rPr>
              <w:t>Form.</w:t>
            </w:r>
            <w:r>
              <w:rPr>
                <w:rFonts w:ascii="Times New Roman" w:cs="Times New Roman"/>
                <w:i/>
                <w:iCs/>
                <w:kern w:val="2"/>
              </w:rPr>
              <w:t>Coriaria nepalensis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374" w:type="dxa"/>
            <w:vMerge w:val="continue"/>
            <w:textDirection w:val="tbRlV"/>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866" w:type="dxa"/>
            <w:vMerge w:val="continue"/>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776" w:type="dxa"/>
            <w:vMerge w:val="continue"/>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1897" w:type="dxa"/>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马桑、黄荆、火棘灌丛群系</w:t>
            </w:r>
          </w:p>
        </w:tc>
        <w:tc>
          <w:tcPr>
            <w:tcW w:w="4103" w:type="dxa"/>
            <w:vAlign w:val="center"/>
          </w:tcPr>
          <w:p>
            <w:pPr>
              <w:topLinePunct w:val="0"/>
              <w:adjustRightInd/>
              <w:spacing w:before="51" w:line="214" w:lineRule="auto"/>
              <w:ind w:firstLine="0" w:firstLineChars="0"/>
              <w:jc w:val="center"/>
              <w:rPr>
                <w:rFonts w:ascii="Times New Roman" w:cs="Times New Roman"/>
                <w:i/>
                <w:iCs/>
                <w:spacing w:val="-4"/>
                <w:kern w:val="2"/>
                <w:sz w:val="21"/>
                <w:szCs w:val="21"/>
              </w:rPr>
            </w:pPr>
            <w:r>
              <w:rPr>
                <w:rFonts w:ascii="Times New Roman" w:cs="Times New Roman"/>
                <w:spacing w:val="-4"/>
                <w:kern w:val="2"/>
                <w:sz w:val="21"/>
                <w:szCs w:val="21"/>
              </w:rPr>
              <w:t>Form.</w:t>
            </w:r>
            <w:r>
              <w:rPr>
                <w:rFonts w:ascii="Times New Roman" w:cs="Times New Roman"/>
                <w:i/>
                <w:iCs/>
                <w:spacing w:val="-4"/>
                <w:kern w:val="2"/>
                <w:sz w:val="21"/>
                <w:szCs w:val="21"/>
              </w:rPr>
              <w:t>Coriaria nepalensis+Vitex negundo+Pyracantha fortuneana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6" w:hRule="atLeast"/>
          <w:jc w:val="center"/>
        </w:trPr>
        <w:tc>
          <w:tcPr>
            <w:tcW w:w="374" w:type="dxa"/>
            <w:vMerge w:val="continue"/>
            <w:textDirection w:val="tbRlV"/>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866" w:type="dxa"/>
            <w:vMerge w:val="continue"/>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776" w:type="dxa"/>
            <w:vMerge w:val="restart"/>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草丛</w:t>
            </w:r>
          </w:p>
        </w:tc>
        <w:tc>
          <w:tcPr>
            <w:tcW w:w="1897" w:type="dxa"/>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白茅草丛群系</w:t>
            </w:r>
          </w:p>
        </w:tc>
        <w:tc>
          <w:tcPr>
            <w:tcW w:w="4103" w:type="dxa"/>
            <w:vAlign w:val="center"/>
          </w:tcPr>
          <w:p>
            <w:pPr>
              <w:topLinePunct w:val="0"/>
              <w:adjustRightInd/>
              <w:spacing w:before="51" w:line="214" w:lineRule="auto"/>
              <w:ind w:firstLine="0" w:firstLineChars="0"/>
              <w:jc w:val="center"/>
              <w:rPr>
                <w:rFonts w:ascii="Times New Roman" w:cs="Times New Roman"/>
                <w:i/>
                <w:iCs/>
                <w:spacing w:val="-4"/>
                <w:kern w:val="2"/>
                <w:sz w:val="21"/>
                <w:szCs w:val="21"/>
              </w:rPr>
            </w:pPr>
            <w:r>
              <w:rPr>
                <w:rFonts w:ascii="Times New Roman" w:cs="Times New Roman"/>
                <w:spacing w:val="-4"/>
                <w:kern w:val="2"/>
                <w:sz w:val="21"/>
                <w:szCs w:val="21"/>
              </w:rPr>
              <w:t xml:space="preserve">Form. </w:t>
            </w:r>
            <w:r>
              <w:rPr>
                <w:rFonts w:ascii="Times New Roman" w:cs="Times New Roman"/>
                <w:i/>
                <w:iCs/>
                <w:spacing w:val="-4"/>
                <w:kern w:val="2"/>
                <w:sz w:val="21"/>
                <w:szCs w:val="21"/>
              </w:rPr>
              <w:t>Imperata cylindric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6" w:hRule="atLeast"/>
          <w:jc w:val="center"/>
        </w:trPr>
        <w:tc>
          <w:tcPr>
            <w:tcW w:w="374" w:type="dxa"/>
            <w:vMerge w:val="continue"/>
            <w:textDirection w:val="tbRlV"/>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866" w:type="dxa"/>
            <w:vMerge w:val="continue"/>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776" w:type="dxa"/>
            <w:vMerge w:val="continue"/>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1897" w:type="dxa"/>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白茅、五节芒、野古草、斑茅草丛群系</w:t>
            </w:r>
          </w:p>
        </w:tc>
        <w:tc>
          <w:tcPr>
            <w:tcW w:w="4103" w:type="dxa"/>
            <w:vAlign w:val="center"/>
          </w:tcPr>
          <w:p>
            <w:pPr>
              <w:topLinePunct w:val="0"/>
              <w:adjustRightInd/>
              <w:spacing w:before="51" w:line="214" w:lineRule="auto"/>
              <w:ind w:firstLine="0" w:firstLineChars="0"/>
              <w:jc w:val="center"/>
              <w:rPr>
                <w:rFonts w:ascii="Times New Roman" w:cs="Times New Roman"/>
                <w:i/>
                <w:iCs/>
                <w:spacing w:val="-4"/>
                <w:kern w:val="2"/>
                <w:sz w:val="21"/>
                <w:szCs w:val="21"/>
              </w:rPr>
            </w:pPr>
            <w:r>
              <w:rPr>
                <w:rFonts w:ascii="Times New Roman" w:cs="Times New Roman"/>
                <w:spacing w:val="-4"/>
                <w:kern w:val="2"/>
                <w:sz w:val="21"/>
                <w:szCs w:val="21"/>
              </w:rPr>
              <w:t>Form.</w:t>
            </w:r>
            <w:r>
              <w:rPr>
                <w:rFonts w:ascii="Times New Roman" w:cs="Times New Roman"/>
                <w:i/>
                <w:iCs/>
                <w:spacing w:val="-4"/>
                <w:kern w:val="2"/>
                <w:sz w:val="21"/>
                <w:szCs w:val="21"/>
              </w:rPr>
              <w:t>Imperata cylindrica.+ Miscanthus floridulus+Arundinella anomala+Saccharum arundinaceum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6" w:hRule="atLeast"/>
          <w:jc w:val="center"/>
        </w:trPr>
        <w:tc>
          <w:tcPr>
            <w:tcW w:w="374" w:type="dxa"/>
            <w:vMerge w:val="continue"/>
            <w:textDirection w:val="tbRlV"/>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866" w:type="dxa"/>
            <w:vMerge w:val="continue"/>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776" w:type="dxa"/>
            <w:vMerge w:val="continue"/>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1897" w:type="dxa"/>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芒、蕨、芒萁草丛群系</w:t>
            </w:r>
          </w:p>
        </w:tc>
        <w:tc>
          <w:tcPr>
            <w:tcW w:w="4103" w:type="dxa"/>
            <w:vAlign w:val="center"/>
          </w:tcPr>
          <w:p>
            <w:pPr>
              <w:topLinePunct w:val="0"/>
              <w:adjustRightInd/>
              <w:spacing w:before="51" w:line="214" w:lineRule="auto"/>
              <w:ind w:firstLine="0" w:firstLineChars="0"/>
              <w:jc w:val="center"/>
              <w:rPr>
                <w:rFonts w:ascii="Times New Roman" w:cs="Times New Roman"/>
                <w:i/>
                <w:iCs/>
                <w:spacing w:val="-4"/>
                <w:kern w:val="2"/>
                <w:sz w:val="21"/>
                <w:szCs w:val="21"/>
              </w:rPr>
            </w:pPr>
            <w:r>
              <w:rPr>
                <w:rFonts w:ascii="Times New Roman" w:cs="Times New Roman"/>
                <w:spacing w:val="-4"/>
                <w:kern w:val="2"/>
                <w:sz w:val="21"/>
                <w:szCs w:val="21"/>
              </w:rPr>
              <w:t>Form.</w:t>
            </w:r>
            <w:r>
              <w:rPr>
                <w:rFonts w:ascii="Times New Roman" w:cs="Times New Roman"/>
                <w:i/>
                <w:iCs/>
                <w:spacing w:val="-4"/>
                <w:kern w:val="2"/>
                <w:sz w:val="21"/>
                <w:szCs w:val="21"/>
              </w:rPr>
              <w:t>Miscanthus sinensis+P.Aquilinum+Dicranopteris dichotoma</w:t>
            </w:r>
            <w:r>
              <w:rPr>
                <w:rFonts w:ascii="Times New Roman" w:cs="Times New Roman"/>
                <w:spacing w:val="-4"/>
                <w:kern w:val="2"/>
                <w:sz w:val="21"/>
                <w:szCs w:val="21"/>
              </w:rPr>
              <w:t>(Thunb.)Bernh.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374" w:type="dxa"/>
            <w:vMerge w:val="restart"/>
            <w:textDirection w:val="tbRlV"/>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人工植被</w:t>
            </w:r>
          </w:p>
        </w:tc>
        <w:tc>
          <w:tcPr>
            <w:tcW w:w="7642" w:type="dxa"/>
            <w:gridSpan w:val="4"/>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1、一年两熟水田作物组合型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374" w:type="dxa"/>
            <w:vMerge w:val="continue"/>
            <w:textDirection w:val="tbRlV"/>
            <w:vAlign w:val="center"/>
          </w:tcPr>
          <w:p>
            <w:pPr>
              <w:topLinePunct w:val="0"/>
              <w:adjustRightInd/>
              <w:spacing w:line="240" w:lineRule="auto"/>
              <w:ind w:firstLine="0" w:firstLineChars="0"/>
              <w:rPr>
                <w:rFonts w:ascii="Times New Roman" w:cs="Times New Roman"/>
                <w:kern w:val="2"/>
                <w:sz w:val="21"/>
              </w:rPr>
            </w:pPr>
          </w:p>
        </w:tc>
        <w:tc>
          <w:tcPr>
            <w:tcW w:w="7642" w:type="dxa"/>
            <w:gridSpan w:val="4"/>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2、一年两熟旱地作物组合型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6" w:hRule="atLeast"/>
          <w:jc w:val="center"/>
        </w:trPr>
        <w:tc>
          <w:tcPr>
            <w:tcW w:w="374" w:type="dxa"/>
            <w:vMerge w:val="continue"/>
            <w:textDirection w:val="tbRlV"/>
            <w:vAlign w:val="center"/>
          </w:tcPr>
          <w:p>
            <w:pPr>
              <w:topLinePunct w:val="0"/>
              <w:adjustRightInd/>
              <w:spacing w:line="240" w:lineRule="auto"/>
              <w:ind w:firstLine="0" w:firstLineChars="0"/>
              <w:rPr>
                <w:rFonts w:ascii="Times New Roman" w:cs="Times New Roman"/>
                <w:kern w:val="2"/>
                <w:sz w:val="21"/>
              </w:rPr>
            </w:pPr>
          </w:p>
        </w:tc>
        <w:tc>
          <w:tcPr>
            <w:tcW w:w="7642" w:type="dxa"/>
            <w:gridSpan w:val="4"/>
            <w:vAlign w:val="center"/>
          </w:tcPr>
          <w:p>
            <w:pPr>
              <w:topLinePunct w:val="0"/>
              <w:adjustRightInd/>
              <w:spacing w:before="51" w:line="214" w:lineRule="auto"/>
              <w:ind w:firstLine="0" w:firstLineChars="0"/>
              <w:jc w:val="center"/>
              <w:rPr>
                <w:rFonts w:ascii="Times New Roman" w:cs="Times New Roman"/>
                <w:kern w:val="2"/>
                <w:sz w:val="21"/>
              </w:rPr>
            </w:pPr>
            <w:r>
              <w:rPr>
                <w:rFonts w:ascii="Times New Roman" w:cs="Times New Roman"/>
                <w:kern w:val="2"/>
                <w:sz w:val="21"/>
              </w:rPr>
              <w:t>3、经果林植被（苹果、川梨、枇杷、桃、木瓜、樱桃、李、核桃、柑橘、柚子等）</w:t>
            </w:r>
          </w:p>
        </w:tc>
      </w:tr>
    </w:tbl>
    <w:p>
      <w:pPr>
        <w:topLinePunct w:val="0"/>
        <w:adjustRightInd/>
        <w:spacing w:before="156" w:beforeLines="50"/>
        <w:ind w:firstLine="482"/>
        <w:rPr>
          <w:rFonts w:ascii="Times New Roman" w:cs="Times New Roman"/>
          <w:b/>
          <w:kern w:val="2"/>
        </w:rPr>
      </w:pPr>
      <w:r>
        <w:rPr>
          <w:rFonts w:ascii="Times New Roman" w:cs="Times New Roman"/>
          <w:b/>
          <w:kern w:val="2"/>
        </w:rPr>
        <w:t>Ⅰ森林植被</w:t>
      </w:r>
    </w:p>
    <w:p>
      <w:pPr>
        <w:topLinePunct w:val="0"/>
        <w:adjustRightInd/>
        <w:ind w:left="520" w:firstLine="0" w:firstLineChars="0"/>
        <w:rPr>
          <w:rFonts w:ascii="Times New Roman" w:cs="Times New Roman"/>
          <w:kern w:val="2"/>
        </w:rPr>
      </w:pPr>
      <w:r>
        <w:rPr>
          <w:rFonts w:ascii="Times New Roman" w:cs="Times New Roman"/>
          <w:spacing w:val="15"/>
          <w:kern w:val="2"/>
        </w:rPr>
        <w:t>①</w:t>
      </w:r>
      <w:r>
        <w:rPr>
          <w:rFonts w:ascii="Times New Roman" w:cs="Times New Roman"/>
          <w:spacing w:val="9"/>
          <w:kern w:val="2"/>
        </w:rPr>
        <w:t>马尾松林(</w:t>
      </w:r>
      <w:r>
        <w:rPr>
          <w:rFonts w:ascii="Times New Roman" w:eastAsia="Times New Roman" w:cs="Times New Roman"/>
          <w:kern w:val="2"/>
        </w:rPr>
        <w:t>Form</w:t>
      </w:r>
      <w:r>
        <w:rPr>
          <w:rFonts w:ascii="Times New Roman" w:eastAsia="Times New Roman" w:cs="Times New Roman"/>
          <w:spacing w:val="9"/>
          <w:kern w:val="2"/>
        </w:rPr>
        <w:t>.</w:t>
      </w:r>
      <w:r>
        <w:rPr>
          <w:rFonts w:ascii="Times New Roman" w:eastAsia="Times New Roman" w:cs="Times New Roman"/>
          <w:i/>
          <w:iCs/>
          <w:kern w:val="2"/>
        </w:rPr>
        <w:t>P</w:t>
      </w:r>
      <w:r>
        <w:rPr>
          <w:rFonts w:ascii="Times New Roman" w:eastAsia="Times New Roman" w:cs="Times New Roman"/>
          <w:i/>
          <w:iCs/>
          <w:spacing w:val="9"/>
          <w:kern w:val="2"/>
        </w:rPr>
        <w:t>.</w:t>
      </w:r>
      <w:r>
        <w:rPr>
          <w:rFonts w:ascii="Times New Roman" w:eastAsia="Times New Roman" w:cs="Times New Roman"/>
          <w:i/>
          <w:iCs/>
          <w:kern w:val="2"/>
        </w:rPr>
        <w:t>massoniana</w:t>
      </w:r>
      <w:r>
        <w:rPr>
          <w:rFonts w:ascii="Times New Roman" w:cs="Times New Roman"/>
          <w:spacing w:val="9"/>
          <w:kern w:val="2"/>
        </w:rPr>
        <w:t>)</w:t>
      </w:r>
    </w:p>
    <w:p>
      <w:pPr>
        <w:topLinePunct w:val="0"/>
        <w:snapToGrid w:val="0"/>
        <w:ind w:firstLine="448"/>
        <w:rPr>
          <w:rFonts w:ascii="Times New Roman" w:cs="Times New Roman"/>
          <w:kern w:val="2"/>
        </w:rPr>
      </w:pPr>
      <w:r>
        <w:rPr>
          <w:rFonts w:ascii="Times New Roman" w:cs="Times New Roman"/>
          <w:spacing w:val="-8"/>
          <w:kern w:val="2"/>
        </w:rPr>
        <w:t>评</w:t>
      </w:r>
      <w:r>
        <w:rPr>
          <w:rFonts w:ascii="Times New Roman" w:cs="Times New Roman"/>
          <w:spacing w:val="-4"/>
          <w:kern w:val="2"/>
        </w:rPr>
        <w:t>价区及项目周边的</w:t>
      </w:r>
      <w:r>
        <w:rPr>
          <w:rFonts w:ascii="Times New Roman" w:cs="Times New Roman"/>
          <w:kern w:val="2"/>
        </w:rPr>
        <w:t>马尾</w:t>
      </w:r>
      <w:r>
        <w:rPr>
          <w:rFonts w:ascii="Times New Roman" w:cs="Times New Roman"/>
          <w:spacing w:val="-4"/>
          <w:kern w:val="2"/>
        </w:rPr>
        <w:t>松(</w:t>
      </w:r>
      <w:r>
        <w:rPr>
          <w:rFonts w:ascii="Times New Roman" w:eastAsia="Times New Roman" w:cs="Times New Roman"/>
          <w:i/>
          <w:iCs/>
          <w:spacing w:val="-4"/>
          <w:kern w:val="2"/>
        </w:rPr>
        <w:t>P.massoniana</w:t>
      </w:r>
      <w:r>
        <w:rPr>
          <w:rFonts w:ascii="Times New Roman" w:cs="Times New Roman"/>
          <w:spacing w:val="-4"/>
          <w:kern w:val="2"/>
        </w:rPr>
        <w:t>)林为人工起源，多呈块状或片状分布在评价</w:t>
      </w:r>
      <w:r>
        <w:rPr>
          <w:rFonts w:ascii="Times New Roman" w:cs="Times New Roman"/>
          <w:spacing w:val="3"/>
          <w:kern w:val="2"/>
        </w:rPr>
        <w:t>区所在山体中、上部</w:t>
      </w:r>
      <w:r>
        <w:rPr>
          <w:rFonts w:ascii="Times New Roman" w:cs="Times New Roman"/>
          <w:spacing w:val="-5"/>
          <w:kern w:val="2"/>
        </w:rPr>
        <w:t>砂页岩发育的黄壤地段上</w:t>
      </w:r>
      <w:r>
        <w:rPr>
          <w:rFonts w:ascii="Times New Roman" w:cs="Times New Roman"/>
          <w:spacing w:val="3"/>
          <w:kern w:val="2"/>
        </w:rPr>
        <w:t>，在评价区及项目周边广泛分布。群落外貌呈翠绿色，林冠整齐，层</w:t>
      </w:r>
      <w:r>
        <w:rPr>
          <w:rFonts w:ascii="Times New Roman" w:cs="Times New Roman"/>
          <w:kern w:val="2"/>
        </w:rPr>
        <w:t>次</w:t>
      </w:r>
      <w:r>
        <w:rPr>
          <w:rFonts w:ascii="Times New Roman" w:cs="Times New Roman"/>
          <w:spacing w:val="-20"/>
          <w:kern w:val="2"/>
        </w:rPr>
        <w:t>分</w:t>
      </w:r>
      <w:r>
        <w:rPr>
          <w:rFonts w:ascii="Times New Roman" w:cs="Times New Roman"/>
          <w:spacing w:val="-16"/>
          <w:kern w:val="2"/>
        </w:rPr>
        <w:t>明</w:t>
      </w:r>
      <w:r>
        <w:rPr>
          <w:rFonts w:ascii="Times New Roman" w:cs="Times New Roman"/>
          <w:spacing w:val="-10"/>
          <w:kern w:val="2"/>
        </w:rPr>
        <w:t>。主要以纯林为主，乔灌层次分明。乔木层较少，主要有杉木、板栗(</w:t>
      </w:r>
      <w:r>
        <w:rPr>
          <w:rFonts w:ascii="Times New Roman" w:eastAsia="Times New Roman" w:cs="Times New Roman"/>
          <w:i/>
          <w:iCs/>
          <w:spacing w:val="-10"/>
          <w:kern w:val="2"/>
        </w:rPr>
        <w:t>Castanea</w:t>
      </w:r>
      <w:r>
        <w:rPr>
          <w:rFonts w:ascii="Times New Roman" w:eastAsia="Times New Roman" w:cs="Times New Roman"/>
          <w:kern w:val="2"/>
        </w:rPr>
        <w:t xml:space="preserve"> </w:t>
      </w:r>
      <w:r>
        <w:rPr>
          <w:rFonts w:ascii="Times New Roman" w:eastAsia="Times New Roman" w:cs="Times New Roman"/>
          <w:i/>
          <w:iCs/>
          <w:spacing w:val="-3"/>
          <w:kern w:val="2"/>
        </w:rPr>
        <w:t>mollissima</w:t>
      </w:r>
      <w:r>
        <w:rPr>
          <w:rFonts w:ascii="Times New Roman" w:cs="Times New Roman"/>
          <w:spacing w:val="-6"/>
          <w:kern w:val="2"/>
        </w:rPr>
        <w:t>)、江南桤木</w:t>
      </w:r>
      <w:r>
        <w:rPr>
          <w:rFonts w:ascii="Times New Roman" w:cs="Times New Roman"/>
          <w:spacing w:val="-4"/>
          <w:kern w:val="2"/>
        </w:rPr>
        <w:t>、</w:t>
      </w:r>
      <w:r>
        <w:rPr>
          <w:rFonts w:ascii="Times New Roman" w:cs="Times New Roman"/>
          <w:spacing w:val="-3"/>
          <w:kern w:val="2"/>
        </w:rPr>
        <w:t>枫香、栓皮栎、麻栎等。灌木层种类较多，</w:t>
      </w:r>
      <w:r>
        <w:rPr>
          <w:rFonts w:ascii="Times New Roman" w:cs="Times New Roman"/>
          <w:spacing w:val="14"/>
          <w:kern w:val="2"/>
        </w:rPr>
        <w:t>常见</w:t>
      </w:r>
      <w:r>
        <w:rPr>
          <w:rFonts w:ascii="Times New Roman" w:cs="Times New Roman"/>
          <w:spacing w:val="12"/>
          <w:kern w:val="2"/>
        </w:rPr>
        <w:t>为</w:t>
      </w:r>
      <w:r>
        <w:rPr>
          <w:rFonts w:ascii="Times New Roman" w:cs="Times New Roman"/>
          <w:spacing w:val="7"/>
          <w:kern w:val="2"/>
        </w:rPr>
        <w:t>多种</w:t>
      </w:r>
      <w:r>
        <w:rPr>
          <w:rFonts w:ascii="Times New Roman" w:cs="Times New Roman"/>
          <w:spacing w:val="-5"/>
          <w:kern w:val="2"/>
        </w:rPr>
        <w:t>米饭花、映山红、米碎花、铁仔、</w:t>
      </w:r>
      <w:r>
        <w:rPr>
          <w:rFonts w:ascii="Times New Roman" w:cs="Times New Roman"/>
          <w:spacing w:val="7"/>
          <w:kern w:val="2"/>
        </w:rPr>
        <w:t>柃</w:t>
      </w:r>
      <w:r>
        <w:rPr>
          <w:rFonts w:ascii="Times New Roman" w:cs="Times New Roman"/>
          <w:kern w:val="2"/>
        </w:rPr>
        <w:t>木、杜鹃、鹅掌</w:t>
      </w:r>
      <w:r>
        <w:rPr>
          <w:rFonts w:ascii="Times New Roman" w:cs="Times New Roman"/>
          <w:spacing w:val="7"/>
          <w:kern w:val="2"/>
        </w:rPr>
        <w:t>柴、山矾(</w:t>
      </w:r>
      <w:r>
        <w:rPr>
          <w:rFonts w:ascii="Times New Roman" w:eastAsia="Times New Roman" w:cs="Times New Roman"/>
          <w:i/>
          <w:iCs/>
          <w:kern w:val="2"/>
        </w:rPr>
        <w:t>Symplocos</w:t>
      </w:r>
      <w:r>
        <w:rPr>
          <w:rFonts w:ascii="Times New Roman" w:eastAsia="Times New Roman" w:cs="Times New Roman"/>
          <w:spacing w:val="7"/>
          <w:kern w:val="2"/>
        </w:rPr>
        <w:t xml:space="preserve"> </w:t>
      </w:r>
      <w:r>
        <w:rPr>
          <w:rFonts w:ascii="Times New Roman" w:eastAsia="Times New Roman" w:cs="Times New Roman"/>
          <w:i/>
          <w:iCs/>
          <w:kern w:val="2"/>
        </w:rPr>
        <w:t>spp</w:t>
      </w:r>
      <w:r>
        <w:rPr>
          <w:rFonts w:ascii="Times New Roman" w:eastAsia="Times New Roman" w:cs="Times New Roman"/>
          <w:i/>
          <w:iCs/>
          <w:spacing w:val="7"/>
          <w:kern w:val="2"/>
        </w:rPr>
        <w:t>.</w:t>
      </w:r>
      <w:r>
        <w:rPr>
          <w:rFonts w:ascii="Times New Roman" w:cs="Times New Roman"/>
          <w:spacing w:val="7"/>
          <w:kern w:val="2"/>
        </w:rPr>
        <w:t>)、木莓、川莓、悬钩子</w:t>
      </w:r>
      <w:r>
        <w:rPr>
          <w:rFonts w:ascii="Times New Roman" w:cs="Times New Roman"/>
          <w:spacing w:val="30"/>
          <w:kern w:val="2"/>
        </w:rPr>
        <w:t>(</w:t>
      </w:r>
      <w:r>
        <w:rPr>
          <w:rFonts w:ascii="Times New Roman" w:eastAsia="Times New Roman" w:cs="Times New Roman"/>
          <w:i/>
          <w:iCs/>
          <w:kern w:val="2"/>
        </w:rPr>
        <w:t>Rubus</w:t>
      </w:r>
      <w:r>
        <w:rPr>
          <w:rFonts w:ascii="Times New Roman" w:eastAsia="Times New Roman" w:cs="Times New Roman"/>
          <w:spacing w:val="17"/>
          <w:kern w:val="2"/>
        </w:rPr>
        <w:t xml:space="preserve"> </w:t>
      </w:r>
      <w:r>
        <w:rPr>
          <w:rFonts w:ascii="Times New Roman" w:eastAsia="Times New Roman" w:cs="Times New Roman"/>
          <w:i/>
          <w:iCs/>
          <w:kern w:val="2"/>
        </w:rPr>
        <w:t>spp</w:t>
      </w:r>
      <w:r>
        <w:rPr>
          <w:rFonts w:ascii="Times New Roman" w:cs="Times New Roman"/>
          <w:spacing w:val="15"/>
          <w:kern w:val="2"/>
        </w:rPr>
        <w:t>)、火棘、马桑等。草本层主要有芒萁(</w:t>
      </w:r>
      <w:r>
        <w:rPr>
          <w:rFonts w:ascii="Times New Roman" w:eastAsia="Times New Roman" w:cs="Times New Roman"/>
          <w:i/>
          <w:iCs/>
          <w:kern w:val="2"/>
        </w:rPr>
        <w:t>Dicranopteris</w:t>
      </w:r>
      <w:r>
        <w:rPr>
          <w:rFonts w:ascii="Times New Roman" w:eastAsia="Times New Roman" w:cs="Times New Roman"/>
          <w:spacing w:val="15"/>
          <w:kern w:val="2"/>
        </w:rPr>
        <w:t xml:space="preserve"> </w:t>
      </w:r>
      <w:r>
        <w:rPr>
          <w:rFonts w:ascii="Times New Roman" w:eastAsia="Times New Roman" w:cs="Times New Roman"/>
          <w:i/>
          <w:iCs/>
          <w:kern w:val="2"/>
        </w:rPr>
        <w:t>dichotoma</w:t>
      </w:r>
      <w:r>
        <w:rPr>
          <w:rFonts w:ascii="Times New Roman" w:cs="Times New Roman"/>
          <w:spacing w:val="15"/>
          <w:kern w:val="2"/>
        </w:rPr>
        <w:t>)、</w:t>
      </w:r>
      <w:r>
        <w:rPr>
          <w:rFonts w:ascii="Times New Roman" w:cs="Times New Roman"/>
          <w:spacing w:val="27"/>
          <w:kern w:val="2"/>
        </w:rPr>
        <w:t>芒</w:t>
      </w:r>
      <w:r>
        <w:rPr>
          <w:rFonts w:ascii="Times New Roman" w:cs="Times New Roman"/>
          <w:spacing w:val="24"/>
          <w:kern w:val="2"/>
        </w:rPr>
        <w:t>、苔草、麦冬(</w:t>
      </w:r>
      <w:r>
        <w:rPr>
          <w:rFonts w:ascii="Times New Roman" w:cs="Times New Roman"/>
          <w:kern w:val="2"/>
        </w:rPr>
        <w:t xml:space="preserve">Ophiopogon </w:t>
      </w:r>
      <w:r>
        <w:rPr>
          <w:rFonts w:ascii="Times New Roman" w:eastAsia="Times New Roman" w:cs="Times New Roman"/>
          <w:i/>
          <w:iCs/>
          <w:kern w:val="2"/>
        </w:rPr>
        <w:t>japonicus</w:t>
      </w:r>
      <w:r>
        <w:rPr>
          <w:rFonts w:ascii="Times New Roman" w:cs="Times New Roman"/>
          <w:spacing w:val="24"/>
          <w:kern w:val="2"/>
        </w:rPr>
        <w:t>)、翠云草(</w:t>
      </w:r>
      <w:r>
        <w:rPr>
          <w:rFonts w:ascii="Times New Roman" w:eastAsia="Times New Roman" w:cs="Times New Roman"/>
          <w:i/>
          <w:iCs/>
          <w:kern w:val="2"/>
        </w:rPr>
        <w:t>Selaginella</w:t>
      </w:r>
      <w:r>
        <w:rPr>
          <w:rFonts w:ascii="Times New Roman" w:eastAsia="Times New Roman" w:cs="Times New Roman"/>
          <w:spacing w:val="24"/>
          <w:kern w:val="2"/>
        </w:rPr>
        <w:t xml:space="preserve"> </w:t>
      </w:r>
      <w:r>
        <w:rPr>
          <w:rFonts w:ascii="Times New Roman" w:eastAsia="Times New Roman" w:cs="Times New Roman"/>
          <w:i/>
          <w:iCs/>
          <w:kern w:val="2"/>
        </w:rPr>
        <w:t>uncinata</w:t>
      </w:r>
      <w:r>
        <w:rPr>
          <w:rFonts w:ascii="Times New Roman" w:cs="Times New Roman"/>
          <w:spacing w:val="24"/>
          <w:kern w:val="2"/>
        </w:rPr>
        <w:t>)、蒿</w:t>
      </w:r>
      <w:r>
        <w:rPr>
          <w:rFonts w:ascii="Times New Roman" w:cs="Times New Roman"/>
          <w:spacing w:val="-11"/>
          <w:kern w:val="2"/>
        </w:rPr>
        <w:t>等</w:t>
      </w:r>
      <w:r>
        <w:rPr>
          <w:rFonts w:ascii="Times New Roman" w:cs="Times New Roman"/>
          <w:spacing w:val="-9"/>
          <w:kern w:val="2"/>
        </w:rPr>
        <w:t>。</w:t>
      </w:r>
    </w:p>
    <w:p>
      <w:pPr>
        <w:topLinePunct w:val="0"/>
        <w:snapToGrid w:val="0"/>
        <w:ind w:firstLine="528"/>
        <w:rPr>
          <w:rFonts w:ascii="Times New Roman" w:cs="Times New Roman"/>
          <w:spacing w:val="12"/>
          <w:kern w:val="2"/>
        </w:rPr>
      </w:pPr>
      <w:r>
        <w:rPr>
          <w:rFonts w:ascii="Times New Roman" w:cs="Times New Roman"/>
          <w:spacing w:val="12"/>
          <w:kern w:val="2"/>
        </w:rPr>
        <w:t>②柏木林(Form.</w:t>
      </w:r>
      <w:r>
        <w:rPr>
          <w:rFonts w:ascii="Times New Roman" w:cs="Times New Roman"/>
          <w:i/>
          <w:iCs/>
          <w:spacing w:val="12"/>
          <w:kern w:val="2"/>
        </w:rPr>
        <w:t xml:space="preserve">Cupressus funebris </w:t>
      </w:r>
      <w:r>
        <w:rPr>
          <w:rFonts w:ascii="Times New Roman" w:cs="Times New Roman"/>
          <w:spacing w:val="12"/>
          <w:kern w:val="2"/>
        </w:rPr>
        <w:t>Endl.)</w:t>
      </w:r>
    </w:p>
    <w:p>
      <w:pPr>
        <w:topLinePunct w:val="0"/>
        <w:snapToGrid w:val="0"/>
        <w:ind w:firstLine="528"/>
        <w:rPr>
          <w:rFonts w:ascii="Times New Roman" w:cs="Times New Roman"/>
          <w:spacing w:val="12"/>
          <w:kern w:val="2"/>
        </w:rPr>
      </w:pPr>
      <w:r>
        <w:rPr>
          <w:rFonts w:ascii="Times New Roman" w:cs="Times New Roman"/>
          <w:spacing w:val="12"/>
          <w:kern w:val="2"/>
        </w:rPr>
        <w:t>柏木对土壤的适应性较强，喜肥沃、湿润、深厚、排水良好的土壤，能耐干旱瘠薄，亦能稍耐水湿。中性、微酸性及钙质土均能生长。特别在土层浅薄的钙质紫色土和黑色石灰土上其它乔木不易生长的地区，柏木却生长良好。在土壤瘠簿干旱和基岩裸露地区，常呈疏林状态，酸性黄壤及红壤上虽能生长，但生长极缓慢。</w:t>
      </w:r>
    </w:p>
    <w:p>
      <w:pPr>
        <w:topLinePunct w:val="0"/>
        <w:adjustRightInd/>
        <w:snapToGrid w:val="0"/>
        <w:ind w:firstLine="480"/>
        <w:rPr>
          <w:rFonts w:ascii="Times New Roman" w:cs="Times New Roman"/>
          <w:kern w:val="2"/>
        </w:rPr>
      </w:pPr>
      <w:r>
        <w:rPr>
          <w:rFonts w:ascii="Times New Roman" w:cs="Times New Roman"/>
          <w:kern w:val="2"/>
        </w:rPr>
        <w:t>该类型在评价区及项目周边广泛分布，多为人工栽种的用材林，柏木群落外貌整齐，生境岩石多有裸露，风化较为严重。乔木层主要为柏树，高7～9m不等，胸径8～25cm。除柏木外，乔木层中常混生有枫香、响叶杨等阔叶树种，但其优势程度低于柏木，且多为幼树。灌木、草本层种类不多，有</w:t>
      </w:r>
      <w:r>
        <w:rPr>
          <w:rFonts w:ascii="Times New Roman" w:cs="Times New Roman"/>
          <w:spacing w:val="2"/>
          <w:kern w:val="2"/>
        </w:rPr>
        <w:t>化香、黄连木、黄荆、牡荆、马桑、铁仔、短柄枹栎、</w:t>
      </w:r>
      <w:r>
        <w:rPr>
          <w:rFonts w:ascii="Times New Roman" w:cs="Times New Roman"/>
          <w:kern w:val="2"/>
        </w:rPr>
        <w:t>火棘、悬钩子、八角金盘、山胡椒等，草本有</w:t>
      </w:r>
      <w:r>
        <w:rPr>
          <w:rFonts w:ascii="Times New Roman" w:cs="Times New Roman"/>
          <w:spacing w:val="1"/>
          <w:kern w:val="2"/>
        </w:rPr>
        <w:t>以黄茅、</w:t>
      </w:r>
      <w:r>
        <w:rPr>
          <w:rFonts w:ascii="Times New Roman" w:cs="Times New Roman"/>
          <w:spacing w:val="4"/>
          <w:kern w:val="2"/>
        </w:rPr>
        <w:t>白茅、香茅为主的亚</w:t>
      </w:r>
      <w:r>
        <w:rPr>
          <w:rFonts w:ascii="Times New Roman" w:cs="Times New Roman"/>
          <w:spacing w:val="3"/>
          <w:kern w:val="2"/>
        </w:rPr>
        <w:t>热</w:t>
      </w:r>
      <w:r>
        <w:rPr>
          <w:rFonts w:ascii="Times New Roman" w:cs="Times New Roman"/>
          <w:spacing w:val="2"/>
          <w:kern w:val="2"/>
        </w:rPr>
        <w:t>带草丛</w:t>
      </w:r>
      <w:r>
        <w:rPr>
          <w:rFonts w:ascii="Times New Roman" w:cs="Times New Roman"/>
          <w:kern w:val="2"/>
        </w:rPr>
        <w:t>。</w:t>
      </w:r>
    </w:p>
    <w:p>
      <w:pPr>
        <w:topLinePunct w:val="0"/>
        <w:adjustRightInd/>
        <w:ind w:firstLine="528"/>
        <w:rPr>
          <w:rFonts w:ascii="Times New Roman" w:cs="Times New Roman"/>
          <w:kern w:val="2"/>
        </w:rPr>
      </w:pPr>
      <w:r>
        <w:rPr>
          <w:rFonts w:ascii="Times New Roman" w:cs="Times New Roman"/>
          <w:spacing w:val="12"/>
          <w:kern w:val="2"/>
        </w:rPr>
        <w:t>③</w:t>
      </w:r>
      <w:r>
        <w:rPr>
          <w:rFonts w:ascii="Times New Roman" w:cs="Times New Roman"/>
          <w:spacing w:val="-4"/>
          <w:kern w:val="2"/>
        </w:rPr>
        <w:t>麻栎</w:t>
      </w:r>
      <w:r>
        <w:rPr>
          <w:rFonts w:ascii="Times New Roman" w:cs="Times New Roman"/>
          <w:spacing w:val="-2"/>
          <w:kern w:val="2"/>
        </w:rPr>
        <w:t>、青冈、栓皮栎</w:t>
      </w:r>
      <w:r>
        <w:rPr>
          <w:rFonts w:ascii="Times New Roman" w:cs="Times New Roman"/>
          <w:kern w:val="2"/>
        </w:rPr>
        <w:t>群系(Form.</w:t>
      </w:r>
      <w:r>
        <w:rPr>
          <w:rFonts w:ascii="Times New Roman" w:eastAsia="Times New Roman" w:cs="Times New Roman"/>
          <w:i/>
          <w:iCs/>
          <w:kern w:val="2"/>
        </w:rPr>
        <w:t xml:space="preserve">Quercus acutissima </w:t>
      </w:r>
      <w:r>
        <w:rPr>
          <w:rFonts w:ascii="Times New Roman" w:cs="Times New Roman"/>
          <w:kern w:val="2"/>
        </w:rPr>
        <w:t>Carruth.</w:t>
      </w:r>
      <w:r>
        <w:rPr>
          <w:rFonts w:ascii="Times New Roman" w:cs="Times New Roman"/>
          <w:i/>
          <w:iCs/>
          <w:kern w:val="2"/>
        </w:rPr>
        <w:t>+</w:t>
      </w:r>
      <w:r>
        <w:rPr>
          <w:rFonts w:ascii="Times New Roman" w:eastAsia="Times New Roman" w:cs="Times New Roman"/>
          <w:i/>
          <w:iCs/>
          <w:kern w:val="2"/>
        </w:rPr>
        <w:t>TCyclobalanopsis glauca</w:t>
      </w:r>
      <w:r>
        <w:rPr>
          <w:rFonts w:ascii="Times New Roman" w:cs="Times New Roman"/>
          <w:kern w:val="2"/>
        </w:rPr>
        <w:t>(Thunb.)Oerst.</w:t>
      </w:r>
      <w:r>
        <w:rPr>
          <w:rFonts w:ascii="Times New Roman" w:cs="Times New Roman"/>
          <w:i/>
          <w:iCs/>
          <w:kern w:val="2"/>
        </w:rPr>
        <w:t>+</w:t>
      </w:r>
      <w:r>
        <w:rPr>
          <w:rFonts w:ascii="Times New Roman" w:eastAsia="Times New Roman" w:cs="Times New Roman"/>
          <w:i/>
          <w:iCs/>
          <w:kern w:val="2"/>
        </w:rPr>
        <w:t xml:space="preserve">Quercus variabilis </w:t>
      </w:r>
      <w:r>
        <w:rPr>
          <w:rFonts w:ascii="Times New Roman" w:cs="Times New Roman"/>
          <w:kern w:val="2"/>
        </w:rPr>
        <w:t>Bl.)</w:t>
      </w:r>
    </w:p>
    <w:p>
      <w:pPr>
        <w:topLinePunct w:val="0"/>
        <w:adjustRightInd/>
        <w:ind w:firstLine="480" w:firstLineChars="0"/>
        <w:rPr>
          <w:rFonts w:ascii="Times New Roman" w:cs="Times New Roman"/>
          <w:kern w:val="2"/>
        </w:rPr>
      </w:pPr>
      <w:r>
        <w:rPr>
          <w:rFonts w:ascii="Times New Roman" w:cs="Times New Roman"/>
          <w:kern w:val="2"/>
        </w:rPr>
        <w:t>该植被类型是评价区及周边房前屋后分布较广的植被类型，多为人工栽培，是一个生态幅度较大的森林类型，在不同气候类型的影响下，该植被类型生长发育都较好，表现出较强的适应性。这种较强的适应性，也表现在对林地的地形、岩石及土壤等环境无严格的选择上，常有慈竹混生，林内平均胸径25厘米，树高介于10-20米。常受到人类活动地影响，林下灌木极少。林下灌木主要为</w:t>
      </w:r>
      <w:r>
        <w:rPr>
          <w:rFonts w:ascii="Times New Roman" w:cs="Times New Roman"/>
          <w:spacing w:val="-2"/>
          <w:kern w:val="2"/>
        </w:rPr>
        <w:t>烟管荚蓬、火棘、蔷薇、盐肤木、映山红、铁仔、毛黄栌</w:t>
      </w:r>
      <w:r>
        <w:rPr>
          <w:rFonts w:ascii="Times New Roman" w:cs="Times New Roman"/>
          <w:kern w:val="2"/>
        </w:rPr>
        <w:t>等分布。</w:t>
      </w:r>
    </w:p>
    <w:p>
      <w:pPr>
        <w:topLinePunct w:val="0"/>
        <w:adjustRightInd/>
        <w:ind w:firstLine="480"/>
        <w:rPr>
          <w:rFonts w:ascii="Times New Roman" w:cs="Times New Roman"/>
          <w:kern w:val="2"/>
        </w:rPr>
      </w:pPr>
      <w:r>
        <w:rPr>
          <w:rFonts w:ascii="Times New Roman" w:cs="Times New Roman"/>
          <w:kern w:val="2"/>
        </w:rPr>
        <w:t>草本植物稍多，主要种类有狗牙根（</w:t>
      </w:r>
      <w:r>
        <w:rPr>
          <w:rFonts w:ascii="Times New Roman" w:cs="Times New Roman"/>
          <w:i/>
          <w:iCs/>
          <w:kern w:val="2"/>
        </w:rPr>
        <w:t>Cynodon dactylon</w:t>
      </w:r>
      <w:r>
        <w:rPr>
          <w:rFonts w:ascii="Times New Roman" w:cs="Times New Roman"/>
          <w:kern w:val="2"/>
        </w:rPr>
        <w:t>）、马唐（</w:t>
      </w:r>
      <w:r>
        <w:rPr>
          <w:rFonts w:ascii="Times New Roman" w:cs="Times New Roman"/>
          <w:i/>
          <w:iCs/>
          <w:kern w:val="2"/>
        </w:rPr>
        <w:t>Digitaria sanguinalis</w:t>
      </w:r>
      <w:r>
        <w:rPr>
          <w:rFonts w:ascii="Times New Roman" w:cs="Times New Roman"/>
          <w:kern w:val="2"/>
        </w:rPr>
        <w:t>）、酢浆草（</w:t>
      </w:r>
      <w:r>
        <w:rPr>
          <w:rFonts w:ascii="Times New Roman" w:cs="Times New Roman"/>
          <w:i/>
          <w:iCs/>
          <w:kern w:val="2"/>
        </w:rPr>
        <w:t>Oxalis corniculata</w:t>
      </w:r>
      <w:r>
        <w:rPr>
          <w:rFonts w:ascii="Times New Roman" w:cs="Times New Roman"/>
          <w:kern w:val="2"/>
        </w:rPr>
        <w:t>）、堇菜（</w:t>
      </w:r>
      <w:r>
        <w:rPr>
          <w:rFonts w:ascii="Times New Roman" w:cs="Times New Roman"/>
          <w:i/>
          <w:iCs/>
          <w:kern w:val="2"/>
        </w:rPr>
        <w:t>Viola spp.</w:t>
      </w:r>
      <w:r>
        <w:rPr>
          <w:rFonts w:ascii="Times New Roman" w:cs="Times New Roman"/>
          <w:kern w:val="2"/>
        </w:rPr>
        <w:t>）、车前（</w:t>
      </w:r>
      <w:r>
        <w:rPr>
          <w:rFonts w:ascii="Times New Roman" w:cs="Times New Roman"/>
          <w:i/>
          <w:iCs/>
          <w:kern w:val="2"/>
        </w:rPr>
        <w:t>Plantgo asiatica</w:t>
      </w:r>
      <w:r>
        <w:rPr>
          <w:rFonts w:ascii="Times New Roman" w:cs="Times New Roman"/>
          <w:kern w:val="2"/>
        </w:rPr>
        <w:t>）、欧夏枯草（</w:t>
      </w:r>
      <w:r>
        <w:rPr>
          <w:rFonts w:ascii="Times New Roman" w:cs="Times New Roman"/>
          <w:i/>
          <w:iCs/>
          <w:kern w:val="2"/>
        </w:rPr>
        <w:t>Prunella vulgaris</w:t>
      </w:r>
      <w:r>
        <w:rPr>
          <w:rFonts w:ascii="Times New Roman" w:cs="Times New Roman"/>
          <w:kern w:val="2"/>
        </w:rPr>
        <w:t>）、龙牙草（</w:t>
      </w:r>
      <w:r>
        <w:rPr>
          <w:rFonts w:ascii="Times New Roman" w:cs="Times New Roman"/>
          <w:i/>
          <w:iCs/>
          <w:kern w:val="2"/>
        </w:rPr>
        <w:t>Agrimonia pilosa</w:t>
      </w:r>
      <w:r>
        <w:rPr>
          <w:rFonts w:ascii="Times New Roman" w:cs="Times New Roman"/>
          <w:kern w:val="2"/>
        </w:rPr>
        <w:t>）、蕺菜（</w:t>
      </w:r>
      <w:r>
        <w:rPr>
          <w:rFonts w:ascii="Times New Roman" w:cs="Times New Roman"/>
          <w:i/>
          <w:iCs/>
          <w:kern w:val="2"/>
        </w:rPr>
        <w:t>Houttuynia cordata</w:t>
      </w:r>
      <w:r>
        <w:rPr>
          <w:rFonts w:ascii="Times New Roman" w:cs="Times New Roman"/>
          <w:kern w:val="2"/>
        </w:rPr>
        <w:t>）、紫花地丁(</w:t>
      </w:r>
      <w:r>
        <w:rPr>
          <w:rFonts w:ascii="Times New Roman" w:cs="Times New Roman"/>
          <w:i/>
          <w:iCs/>
          <w:kern w:val="2"/>
        </w:rPr>
        <w:t>Viola philippica</w:t>
      </w:r>
      <w:r>
        <w:rPr>
          <w:rFonts w:ascii="Times New Roman" w:cs="Times New Roman"/>
          <w:kern w:val="2"/>
        </w:rPr>
        <w:t>)、风轮菜(</w:t>
      </w:r>
      <w:r>
        <w:rPr>
          <w:rFonts w:ascii="Times New Roman" w:cs="Times New Roman"/>
          <w:i/>
          <w:iCs/>
          <w:kern w:val="2"/>
        </w:rPr>
        <w:t>Clinopodium chinensis</w:t>
      </w:r>
      <w:r>
        <w:rPr>
          <w:rFonts w:ascii="Times New Roman" w:cs="Times New Roman"/>
          <w:kern w:val="2"/>
        </w:rPr>
        <w:t>)、茅叶荩草(</w:t>
      </w:r>
      <w:r>
        <w:rPr>
          <w:rFonts w:ascii="Times New Roman" w:cs="Times New Roman"/>
          <w:i/>
          <w:kern w:val="2"/>
        </w:rPr>
        <w:t>Arthr</w:t>
      </w:r>
      <w:r>
        <w:rPr>
          <w:rFonts w:ascii="Times New Roman" w:cs="Times New Roman"/>
          <w:i/>
          <w:iCs/>
          <w:kern w:val="2"/>
        </w:rPr>
        <w:t>axon lanc</w:t>
      </w:r>
      <w:r>
        <w:rPr>
          <w:rFonts w:ascii="Times New Roman" w:cs="Times New Roman"/>
          <w:i/>
          <w:kern w:val="2"/>
        </w:rPr>
        <w:t>eoltus</w:t>
      </w:r>
      <w:r>
        <w:rPr>
          <w:rFonts w:ascii="Times New Roman" w:cs="Times New Roman"/>
          <w:kern w:val="2"/>
        </w:rPr>
        <w:t>)、阿拉伯婆婆纳(</w:t>
      </w:r>
      <w:r>
        <w:rPr>
          <w:rFonts w:ascii="Times New Roman" w:cs="Times New Roman"/>
          <w:i/>
          <w:kern w:val="2"/>
        </w:rPr>
        <w:t>Veronica persica</w:t>
      </w:r>
      <w:r>
        <w:rPr>
          <w:rFonts w:ascii="Times New Roman" w:cs="Times New Roman"/>
          <w:kern w:val="2"/>
        </w:rPr>
        <w:t>)、日本金星蕨(</w:t>
      </w:r>
      <w:r>
        <w:rPr>
          <w:rFonts w:ascii="Times New Roman" w:cs="Times New Roman"/>
          <w:i/>
          <w:kern w:val="2"/>
        </w:rPr>
        <w:t>Parathel</w:t>
      </w:r>
      <w:r>
        <w:rPr>
          <w:rFonts w:ascii="Times New Roman" w:cs="Times New Roman"/>
          <w:i/>
          <w:iCs/>
          <w:kern w:val="2"/>
        </w:rPr>
        <w:t>ypteris japo</w:t>
      </w:r>
      <w:r>
        <w:rPr>
          <w:rFonts w:ascii="Times New Roman" w:cs="Times New Roman"/>
          <w:i/>
          <w:kern w:val="2"/>
        </w:rPr>
        <w:t>nica</w:t>
      </w:r>
      <w:r>
        <w:rPr>
          <w:rFonts w:ascii="Times New Roman" w:cs="Times New Roman"/>
          <w:kern w:val="2"/>
        </w:rPr>
        <w:t>)、问荆(</w:t>
      </w:r>
      <w:r>
        <w:rPr>
          <w:rFonts w:ascii="Times New Roman" w:cs="Times New Roman"/>
          <w:i/>
          <w:kern w:val="2"/>
        </w:rPr>
        <w:t>Equ</w:t>
      </w:r>
      <w:r>
        <w:rPr>
          <w:rFonts w:ascii="Times New Roman" w:cs="Times New Roman"/>
          <w:i/>
          <w:iCs/>
          <w:kern w:val="2"/>
        </w:rPr>
        <w:t>isetum arven</w:t>
      </w:r>
      <w:r>
        <w:rPr>
          <w:rFonts w:ascii="Times New Roman" w:cs="Times New Roman"/>
          <w:i/>
          <w:kern w:val="2"/>
        </w:rPr>
        <w:t>se</w:t>
      </w:r>
      <w:r>
        <w:rPr>
          <w:rFonts w:ascii="Times New Roman" w:cs="Times New Roman"/>
          <w:kern w:val="2"/>
        </w:rPr>
        <w:t>)、马鞭草(</w:t>
      </w:r>
      <w:r>
        <w:rPr>
          <w:rFonts w:ascii="Times New Roman" w:cs="Times New Roman"/>
          <w:i/>
          <w:kern w:val="2"/>
        </w:rPr>
        <w:t>Verbena officinalis</w:t>
      </w:r>
      <w:r>
        <w:rPr>
          <w:rFonts w:ascii="Times New Roman" w:cs="Times New Roman"/>
          <w:kern w:val="2"/>
        </w:rPr>
        <w:t>)、狗牙根(</w:t>
      </w:r>
      <w:r>
        <w:rPr>
          <w:rFonts w:ascii="Times New Roman" w:cs="Times New Roman"/>
          <w:i/>
          <w:kern w:val="2"/>
        </w:rPr>
        <w:t>Cynodondactylon</w:t>
      </w:r>
      <w:r>
        <w:rPr>
          <w:rFonts w:ascii="Times New Roman" w:cs="Times New Roman"/>
          <w:kern w:val="2"/>
        </w:rPr>
        <w:t>)、稗(</w:t>
      </w:r>
      <w:r>
        <w:rPr>
          <w:rFonts w:ascii="Times New Roman" w:cs="Times New Roman"/>
          <w:i/>
          <w:kern w:val="2"/>
        </w:rPr>
        <w:t>Echinoc</w:t>
      </w:r>
      <w:r>
        <w:rPr>
          <w:rFonts w:ascii="Times New Roman" w:cs="Times New Roman"/>
          <w:i/>
          <w:iCs/>
          <w:kern w:val="2"/>
        </w:rPr>
        <w:t>hloa crusgal</w:t>
      </w:r>
      <w:r>
        <w:rPr>
          <w:rFonts w:ascii="Times New Roman" w:cs="Times New Roman"/>
          <w:i/>
          <w:kern w:val="2"/>
        </w:rPr>
        <w:t>li</w:t>
      </w:r>
      <w:r>
        <w:rPr>
          <w:rFonts w:ascii="Times New Roman" w:cs="Times New Roman"/>
          <w:kern w:val="2"/>
        </w:rPr>
        <w:t>)、球米草(</w:t>
      </w:r>
      <w:r>
        <w:rPr>
          <w:rFonts w:ascii="Times New Roman" w:cs="Times New Roman"/>
          <w:i/>
          <w:kern w:val="2"/>
        </w:rPr>
        <w:t>Oplismehus compositus</w:t>
      </w:r>
      <w:r>
        <w:rPr>
          <w:rFonts w:ascii="Times New Roman" w:cs="Times New Roman"/>
          <w:kern w:val="2"/>
        </w:rPr>
        <w:t>)、蜈蚣草(</w:t>
      </w:r>
      <w:r>
        <w:rPr>
          <w:rFonts w:ascii="Times New Roman" w:cs="Times New Roman"/>
          <w:i/>
          <w:kern w:val="2"/>
        </w:rPr>
        <w:t>Pteris vittata</w:t>
      </w:r>
      <w:r>
        <w:rPr>
          <w:rFonts w:ascii="Times New Roman" w:cs="Times New Roman"/>
          <w:kern w:val="2"/>
        </w:rPr>
        <w:t>)、三叶鬼针草(</w:t>
      </w:r>
      <w:r>
        <w:rPr>
          <w:rFonts w:ascii="Times New Roman" w:cs="Times New Roman"/>
          <w:i/>
          <w:kern w:val="2"/>
        </w:rPr>
        <w:t>Bidens pilosa</w:t>
      </w:r>
      <w:r>
        <w:rPr>
          <w:rFonts w:ascii="Times New Roman" w:cs="Times New Roman"/>
          <w:kern w:val="2"/>
        </w:rPr>
        <w:t>)、野艾蒿(</w:t>
      </w:r>
      <w:r>
        <w:rPr>
          <w:rFonts w:ascii="Times New Roman" w:cs="Times New Roman"/>
          <w:i/>
          <w:kern w:val="2"/>
        </w:rPr>
        <w:t>Artemisia lavandulaefolia</w:t>
      </w:r>
      <w:r>
        <w:rPr>
          <w:rFonts w:ascii="Times New Roman" w:cs="Times New Roman"/>
          <w:kern w:val="2"/>
        </w:rPr>
        <w:t>)等。</w:t>
      </w:r>
    </w:p>
    <w:p>
      <w:pPr>
        <w:topLinePunct w:val="0"/>
        <w:adjustRightInd/>
        <w:spacing w:before="156" w:beforeLines="50"/>
        <w:ind w:firstLine="482"/>
        <w:rPr>
          <w:rFonts w:ascii="Times New Roman" w:cs="Times New Roman"/>
          <w:b/>
          <w:kern w:val="2"/>
        </w:rPr>
      </w:pPr>
      <w:r>
        <w:rPr>
          <w:rFonts w:ascii="Times New Roman" w:cs="Times New Roman"/>
          <w:b/>
          <w:kern w:val="2"/>
        </w:rPr>
        <w:t>Ⅱ 灌丛植被</w:t>
      </w:r>
    </w:p>
    <w:p>
      <w:pPr>
        <w:topLinePunct w:val="0"/>
        <w:adjustRightInd/>
        <w:ind w:left="60" w:right="100" w:firstLine="482" w:firstLineChars="0"/>
        <w:rPr>
          <w:rFonts w:ascii="Times New Roman" w:cs="Times New Roman"/>
          <w:kern w:val="2"/>
        </w:rPr>
      </w:pPr>
      <w:r>
        <w:rPr>
          <w:rFonts w:ascii="Times New Roman" w:cs="Times New Roman"/>
          <w:spacing w:val="8"/>
          <w:kern w:val="2"/>
        </w:rPr>
        <w:t>①</w:t>
      </w:r>
      <w:r>
        <w:rPr>
          <w:rFonts w:ascii="Times New Roman" w:cs="Times New Roman"/>
          <w:kern w:val="2"/>
        </w:rPr>
        <w:t>槲栎灌丛（Form.</w:t>
      </w:r>
      <w:r>
        <w:rPr>
          <w:rFonts w:ascii="Times New Roman" w:cs="Times New Roman"/>
          <w:i/>
          <w:iCs/>
          <w:kern w:val="2"/>
        </w:rPr>
        <w:t>Quercus aliena</w:t>
      </w:r>
      <w:r>
        <w:rPr>
          <w:rFonts w:ascii="Times New Roman" w:cs="Times New Roman"/>
          <w:kern w:val="2"/>
        </w:rPr>
        <w:t>）</w:t>
      </w:r>
    </w:p>
    <w:p>
      <w:pPr>
        <w:topLinePunct w:val="0"/>
        <w:adjustRightInd/>
        <w:ind w:left="60" w:right="100" w:firstLine="482" w:firstLineChars="0"/>
        <w:rPr>
          <w:rFonts w:ascii="Times New Roman" w:cs="Times New Roman"/>
          <w:kern w:val="2"/>
        </w:rPr>
      </w:pPr>
      <w:r>
        <w:rPr>
          <w:rFonts w:ascii="Times New Roman" w:cs="Times New Roman"/>
          <w:kern w:val="2"/>
        </w:rPr>
        <w:t>槲栎灌丛在评价区及项目周边内分布于青冈麻栎林向灌草丛过渡的地带，其中以槲栎（</w:t>
      </w:r>
      <w:r>
        <w:rPr>
          <w:rFonts w:ascii="Times New Roman" w:cs="Times New Roman"/>
          <w:i/>
          <w:iCs/>
          <w:kern w:val="2"/>
        </w:rPr>
        <w:t>Quercus aliena</w:t>
      </w:r>
      <w:r>
        <w:rPr>
          <w:rFonts w:ascii="Times New Roman" w:cs="Times New Roman"/>
          <w:kern w:val="2"/>
        </w:rPr>
        <w:t>）和毛黄栌（</w:t>
      </w:r>
      <w:r>
        <w:rPr>
          <w:rFonts w:ascii="Times New Roman" w:cs="Times New Roman"/>
          <w:i/>
          <w:iCs/>
          <w:kern w:val="2"/>
        </w:rPr>
        <w:t>Cotinus coggygria var.pubescens</w:t>
      </w:r>
      <w:r>
        <w:rPr>
          <w:rFonts w:ascii="Times New Roman" w:cs="Times New Roman"/>
          <w:kern w:val="2"/>
        </w:rPr>
        <w:t>）分布量居多、盖度居大，该灌丛平均高度为2m-3m，灌丛下草本层生长稀疏，盖度通常低于10%，数量较多的草本植物有栗褐苔草（</w:t>
      </w:r>
      <w:r>
        <w:rPr>
          <w:rFonts w:ascii="Times New Roman" w:cs="Times New Roman"/>
          <w:i/>
          <w:iCs/>
          <w:kern w:val="2"/>
        </w:rPr>
        <w:t>Carex brunnea Thunb.</w:t>
      </w:r>
      <w:r>
        <w:rPr>
          <w:rFonts w:ascii="Times New Roman" w:cs="Times New Roman"/>
          <w:kern w:val="2"/>
        </w:rPr>
        <w:t>）、披针叶苔草（</w:t>
      </w:r>
      <w:r>
        <w:rPr>
          <w:rFonts w:ascii="Times New Roman" w:cs="Times New Roman"/>
          <w:i/>
          <w:iCs/>
          <w:kern w:val="2"/>
        </w:rPr>
        <w:t>Carex lanceolata</w:t>
      </w:r>
      <w:r>
        <w:rPr>
          <w:rFonts w:ascii="Times New Roman" w:cs="Times New Roman"/>
          <w:i/>
          <w:iCs/>
          <w:kern w:val="2"/>
        </w:rPr>
        <w:tab/>
      </w:r>
      <w:r>
        <w:rPr>
          <w:rFonts w:ascii="Times New Roman" w:cs="Times New Roman"/>
          <w:i/>
          <w:iCs/>
          <w:kern w:val="2"/>
        </w:rPr>
        <w:t>Boott</w:t>
      </w:r>
      <w:r>
        <w:rPr>
          <w:rFonts w:ascii="Times New Roman" w:cs="Times New Roman"/>
          <w:kern w:val="2"/>
        </w:rPr>
        <w:t>）、黄茅（</w:t>
      </w:r>
      <w:r>
        <w:rPr>
          <w:rFonts w:ascii="Times New Roman" w:cs="Times New Roman"/>
          <w:i/>
          <w:iCs/>
          <w:kern w:val="2"/>
        </w:rPr>
        <w:t>Heteropogon</w:t>
      </w:r>
      <w:r>
        <w:rPr>
          <w:rFonts w:ascii="Times New Roman" w:cs="Times New Roman"/>
          <w:i/>
          <w:iCs/>
          <w:kern w:val="2"/>
        </w:rPr>
        <w:tab/>
      </w:r>
      <w:r>
        <w:rPr>
          <w:rFonts w:ascii="Times New Roman" w:cs="Times New Roman"/>
          <w:i/>
          <w:iCs/>
          <w:kern w:val="2"/>
        </w:rPr>
        <w:t>contortus</w:t>
      </w:r>
      <w:r>
        <w:rPr>
          <w:rFonts w:ascii="Times New Roman" w:cs="Times New Roman"/>
          <w:kern w:val="2"/>
        </w:rPr>
        <w:t>）、画眉草（</w:t>
      </w:r>
      <w:r>
        <w:rPr>
          <w:rFonts w:ascii="Times New Roman" w:cs="Times New Roman"/>
          <w:i/>
          <w:iCs/>
          <w:kern w:val="2"/>
        </w:rPr>
        <w:t>Eragrostis pilosa(L.)Beauv.</w:t>
      </w:r>
      <w:r>
        <w:rPr>
          <w:rFonts w:ascii="Times New Roman" w:cs="Times New Roman"/>
          <w:kern w:val="2"/>
        </w:rPr>
        <w:t>）等。</w:t>
      </w:r>
    </w:p>
    <w:p>
      <w:pPr>
        <w:topLinePunct w:val="0"/>
        <w:adjustRightInd/>
        <w:ind w:left="487" w:leftChars="203" w:firstLine="0" w:firstLineChars="0"/>
        <w:jc w:val="left"/>
        <w:rPr>
          <w:rFonts w:ascii="Times New Roman" w:cs="Times New Roman"/>
          <w:smallCaps/>
          <w:kern w:val="2"/>
          <w:szCs w:val="20"/>
        </w:rPr>
      </w:pPr>
      <w:r>
        <w:rPr>
          <w:rFonts w:ascii="Times New Roman" w:cs="Times New Roman"/>
          <w:smallCaps/>
          <w:kern w:val="2"/>
        </w:rPr>
        <w:t>②</w:t>
      </w:r>
      <w:r>
        <w:rPr>
          <w:rFonts w:ascii="Times New Roman" w:cs="Times New Roman"/>
          <w:smallCaps/>
          <w:kern w:val="2"/>
          <w:szCs w:val="20"/>
        </w:rPr>
        <w:t>马桑灌丛（Form.</w:t>
      </w:r>
      <w:r>
        <w:rPr>
          <w:rFonts w:ascii="Times New Roman" w:cs="Times New Roman"/>
          <w:i/>
          <w:iCs/>
          <w:smallCaps/>
          <w:kern w:val="2"/>
          <w:szCs w:val="20"/>
        </w:rPr>
        <w:t>Coriaria nepalensis</w:t>
      </w:r>
      <w:r>
        <w:rPr>
          <w:rFonts w:ascii="Times New Roman" w:cs="Times New Roman"/>
          <w:smallCaps/>
          <w:kern w:val="2"/>
          <w:szCs w:val="20"/>
        </w:rPr>
        <w:t>）</w:t>
      </w:r>
    </w:p>
    <w:p>
      <w:pPr>
        <w:topLinePunct w:val="0"/>
        <w:adjustRightInd/>
        <w:ind w:left="60" w:right="100" w:firstLine="482" w:firstLineChars="0"/>
        <w:rPr>
          <w:rFonts w:ascii="Times New Roman" w:cs="Times New Roman"/>
          <w:kern w:val="2"/>
        </w:rPr>
      </w:pPr>
      <w:r>
        <w:rPr>
          <w:rFonts w:ascii="Times New Roman" w:cs="Times New Roman"/>
          <w:kern w:val="2"/>
        </w:rPr>
        <w:t>主要分布于评价区及项目周边山体下部地带和河岸地带。群落外貌呈绿色，丛状，参差不齐。盖度30%~50%，也有达70%的，除马桑外，主要由黄荆、火棘、盐肤木（</w:t>
      </w:r>
      <w:r>
        <w:rPr>
          <w:rFonts w:ascii="Times New Roman" w:cs="Times New Roman"/>
          <w:i/>
          <w:iCs/>
          <w:kern w:val="2"/>
        </w:rPr>
        <w:t>Rhus chinensis</w:t>
      </w:r>
      <w:r>
        <w:rPr>
          <w:rFonts w:ascii="Times New Roman" w:cs="Times New Roman"/>
          <w:kern w:val="2"/>
        </w:rPr>
        <w:t>）、金山荚蒾（</w:t>
      </w:r>
      <w:r>
        <w:rPr>
          <w:rFonts w:ascii="Times New Roman" w:cs="Times New Roman"/>
          <w:i/>
          <w:iCs/>
          <w:kern w:val="2"/>
        </w:rPr>
        <w:t>Viburnum chinshanense</w:t>
      </w:r>
      <w:r>
        <w:rPr>
          <w:rFonts w:ascii="Times New Roman" w:cs="Times New Roman"/>
          <w:kern w:val="2"/>
        </w:rPr>
        <w:t>）等，也常在灌丛中占一定数量。</w:t>
      </w:r>
    </w:p>
    <w:p>
      <w:pPr>
        <w:topLinePunct w:val="0"/>
        <w:adjustRightInd/>
        <w:ind w:left="60" w:right="100" w:firstLine="482" w:firstLineChars="0"/>
        <w:rPr>
          <w:rFonts w:ascii="Times New Roman" w:cs="Times New Roman"/>
          <w:kern w:val="2"/>
        </w:rPr>
      </w:pPr>
      <w:r>
        <w:rPr>
          <w:rFonts w:ascii="Times New Roman" w:cs="Times New Roman"/>
          <w:kern w:val="2"/>
        </w:rPr>
        <w:t>草本层植物一般种类较少，盖度20%~40%。主要优势种有垂穗鹅观草（</w:t>
      </w:r>
      <w:r>
        <w:rPr>
          <w:rFonts w:ascii="Times New Roman" w:cs="Times New Roman"/>
          <w:i/>
          <w:iCs/>
          <w:kern w:val="2"/>
        </w:rPr>
        <w:t>Roegneria nutans</w:t>
      </w:r>
      <w:r>
        <w:rPr>
          <w:rFonts w:ascii="Times New Roman" w:cs="Times New Roman"/>
          <w:kern w:val="2"/>
        </w:rPr>
        <w:t>）、早熟禾（</w:t>
      </w:r>
      <w:r>
        <w:rPr>
          <w:rFonts w:ascii="Times New Roman" w:cs="Times New Roman"/>
          <w:i/>
          <w:iCs/>
          <w:kern w:val="2"/>
        </w:rPr>
        <w:t>Poa annua</w:t>
      </w:r>
      <w:r>
        <w:rPr>
          <w:rFonts w:ascii="Times New Roman" w:cs="Times New Roman"/>
          <w:kern w:val="2"/>
        </w:rPr>
        <w:t>）、芒草等禾草构成。</w:t>
      </w:r>
    </w:p>
    <w:p>
      <w:pPr>
        <w:topLinePunct w:val="0"/>
        <w:adjustRightInd/>
        <w:ind w:firstLine="528"/>
        <w:rPr>
          <w:rFonts w:ascii="Times New Roman" w:cs="Times New Roman"/>
          <w:kern w:val="2"/>
        </w:rPr>
      </w:pPr>
      <w:r>
        <w:rPr>
          <w:rFonts w:ascii="Times New Roman" w:cs="Times New Roman"/>
          <w:spacing w:val="12"/>
          <w:kern w:val="2"/>
        </w:rPr>
        <w:t>④</w:t>
      </w:r>
      <w:r>
        <w:rPr>
          <w:rFonts w:ascii="Times New Roman" w:cs="Times New Roman"/>
          <w:kern w:val="2"/>
        </w:rPr>
        <w:t>马桑、黄荆、火棘群系（Form.</w:t>
      </w:r>
      <w:r>
        <w:rPr>
          <w:rFonts w:ascii="Times New Roman" w:cs="Times New Roman"/>
          <w:i/>
          <w:iCs/>
          <w:kern w:val="2"/>
        </w:rPr>
        <w:t>Coriaria nepalensis+Vitex negundo+Pyracantha fortuneana</w:t>
      </w:r>
      <w:r>
        <w:rPr>
          <w:rFonts w:ascii="Times New Roman" w:cs="Times New Roman"/>
          <w:kern w:val="2"/>
        </w:rPr>
        <w:t>）</w:t>
      </w:r>
    </w:p>
    <w:p>
      <w:pPr>
        <w:topLinePunct w:val="0"/>
        <w:adjustRightInd/>
        <w:ind w:firstLine="480" w:firstLineChars="0"/>
        <w:rPr>
          <w:rFonts w:ascii="Times New Roman" w:cs="Times New Roman"/>
          <w:kern w:val="2"/>
        </w:rPr>
      </w:pPr>
      <w:r>
        <w:rPr>
          <w:rFonts w:ascii="Times New Roman" w:cs="Times New Roman"/>
          <w:kern w:val="2"/>
        </w:rPr>
        <w:t>该群落多在林缘及砍伐迹地上出现，受人类活动干扰影响极大，群落结构不稳定，易向阔叶林演替。马桑、黄荆、火棘灌丛在评价区及项目周边一些人类活动干扰较大的支沟内及居民点周围较为典型。</w:t>
      </w:r>
    </w:p>
    <w:p>
      <w:pPr>
        <w:topLinePunct w:val="0"/>
        <w:adjustRightInd/>
        <w:ind w:firstLine="480" w:firstLineChars="0"/>
        <w:rPr>
          <w:rFonts w:ascii="Times New Roman" w:cs="Times New Roman"/>
          <w:kern w:val="2"/>
        </w:rPr>
      </w:pPr>
      <w:r>
        <w:rPr>
          <w:rFonts w:ascii="Times New Roman" w:cs="Times New Roman"/>
          <w:kern w:val="2"/>
        </w:rPr>
        <w:t>群落灌木层组成种类较为庞杂，总盖度达60%以上，以马桑、黄荆、火棘为优势种，平均高度2.5m。其他灌木种类有盐肤木、野桐（</w:t>
      </w:r>
      <w:r>
        <w:rPr>
          <w:rFonts w:ascii="Times New Roman" w:cs="Times New Roman"/>
          <w:i/>
          <w:iCs/>
          <w:kern w:val="2"/>
        </w:rPr>
        <w:t>Mallotus japonicus var. floccosus</w:t>
      </w:r>
      <w:r>
        <w:rPr>
          <w:rFonts w:ascii="Times New Roman" w:cs="Times New Roman"/>
          <w:kern w:val="2"/>
        </w:rPr>
        <w:t>）、川莓、山合欢、多种悬钩子、美丽胡枝子（</w:t>
      </w:r>
      <w:r>
        <w:rPr>
          <w:rFonts w:ascii="Times New Roman" w:cs="Times New Roman"/>
          <w:i/>
          <w:iCs/>
          <w:kern w:val="2"/>
        </w:rPr>
        <w:t>Lespedeza formosa</w:t>
      </w:r>
      <w:r>
        <w:rPr>
          <w:rFonts w:ascii="Times New Roman" w:cs="Times New Roman"/>
          <w:kern w:val="2"/>
        </w:rPr>
        <w:t>）、山胡椒（</w:t>
      </w:r>
      <w:r>
        <w:rPr>
          <w:rFonts w:ascii="Times New Roman" w:cs="Times New Roman"/>
          <w:i/>
          <w:iCs/>
          <w:kern w:val="2"/>
        </w:rPr>
        <w:t>Lindera sp.</w:t>
      </w:r>
      <w:r>
        <w:rPr>
          <w:rFonts w:ascii="Times New Roman" w:cs="Times New Roman"/>
          <w:kern w:val="2"/>
        </w:rPr>
        <w:t>）等多种灌木类型。</w:t>
      </w:r>
    </w:p>
    <w:p>
      <w:pPr>
        <w:topLinePunct w:val="0"/>
        <w:adjustRightInd/>
        <w:ind w:firstLine="480"/>
        <w:rPr>
          <w:rFonts w:ascii="Times New Roman" w:cs="Times New Roman"/>
          <w:kern w:val="2"/>
        </w:rPr>
      </w:pPr>
      <w:r>
        <w:rPr>
          <w:rFonts w:ascii="Times New Roman" w:cs="Times New Roman"/>
          <w:kern w:val="2"/>
        </w:rPr>
        <w:t>草本植物生长茂盛，分层明显。芒居于草本层第Ⅰ亚层植物，高度约1.2m。狗哇花（</w:t>
      </w:r>
      <w:r>
        <w:rPr>
          <w:rFonts w:ascii="Times New Roman" w:cs="Times New Roman"/>
          <w:i/>
          <w:iCs/>
          <w:kern w:val="2"/>
        </w:rPr>
        <w:t>Heteropappus hispidus</w:t>
      </w:r>
      <w:r>
        <w:rPr>
          <w:rFonts w:ascii="Times New Roman" w:cs="Times New Roman"/>
          <w:kern w:val="2"/>
        </w:rPr>
        <w:t>）、千里光（</w:t>
      </w:r>
      <w:r>
        <w:rPr>
          <w:rFonts w:ascii="Times New Roman" w:cs="Times New Roman"/>
          <w:i/>
          <w:iCs/>
          <w:kern w:val="2"/>
        </w:rPr>
        <w:t xml:space="preserve">Senecio scandens </w:t>
      </w:r>
      <w:r>
        <w:rPr>
          <w:rFonts w:ascii="Times New Roman" w:cs="Times New Roman"/>
          <w:kern w:val="2"/>
        </w:rPr>
        <w:t>Buch.-Ham. ex D.Don）、糙苏（</w:t>
      </w:r>
      <w:r>
        <w:rPr>
          <w:rFonts w:ascii="Times New Roman" w:cs="Times New Roman"/>
          <w:i/>
          <w:iCs/>
          <w:kern w:val="2"/>
        </w:rPr>
        <w:t>Phlomis umbros</w:t>
      </w:r>
      <w:r>
        <w:rPr>
          <w:rFonts w:ascii="Times New Roman" w:cs="Times New Roman"/>
          <w:kern w:val="2"/>
        </w:rPr>
        <w:t>a）、白茅（</w:t>
      </w:r>
      <w:r>
        <w:rPr>
          <w:rFonts w:ascii="Times New Roman" w:cs="Times New Roman"/>
          <w:i/>
          <w:iCs/>
          <w:kern w:val="2"/>
        </w:rPr>
        <w:t>Imperata cylindrica (Linn.)Beauv.</w:t>
      </w:r>
      <w:r>
        <w:rPr>
          <w:rFonts w:ascii="Times New Roman" w:cs="Times New Roman"/>
          <w:kern w:val="2"/>
        </w:rPr>
        <w:t>）等居于第Ⅱ亚层，高度30~60cm，车前（</w:t>
      </w:r>
      <w:r>
        <w:rPr>
          <w:rFonts w:ascii="Times New Roman" w:cs="Times New Roman"/>
          <w:i/>
          <w:iCs/>
          <w:kern w:val="2"/>
        </w:rPr>
        <w:t xml:space="preserve">Plantago asiatica </w:t>
      </w:r>
      <w:r>
        <w:rPr>
          <w:rFonts w:ascii="Times New Roman" w:cs="Times New Roman"/>
          <w:kern w:val="2"/>
        </w:rPr>
        <w:t>L.）、聚花过路黄（</w:t>
      </w:r>
      <w:r>
        <w:rPr>
          <w:rFonts w:ascii="Times New Roman" w:cs="Times New Roman"/>
          <w:i/>
          <w:iCs/>
          <w:kern w:val="2"/>
        </w:rPr>
        <w:t>Lysimachia congestiflora Hemsl.</w:t>
      </w:r>
      <w:r>
        <w:rPr>
          <w:rFonts w:ascii="Times New Roman" w:cs="Times New Roman"/>
          <w:kern w:val="2"/>
        </w:rPr>
        <w:t>）、蕺菜（</w:t>
      </w:r>
      <w:r>
        <w:rPr>
          <w:rFonts w:ascii="Times New Roman" w:cs="Times New Roman"/>
          <w:i/>
          <w:iCs/>
          <w:kern w:val="2"/>
        </w:rPr>
        <w:t xml:space="preserve">Houttuynia cordata </w:t>
      </w:r>
      <w:r>
        <w:rPr>
          <w:rFonts w:ascii="Times New Roman" w:cs="Times New Roman"/>
          <w:kern w:val="2"/>
        </w:rPr>
        <w:t>Thunb）、草莓（</w:t>
      </w:r>
      <w:r>
        <w:rPr>
          <w:rFonts w:ascii="Times New Roman" w:cs="Times New Roman"/>
          <w:i/>
          <w:iCs/>
          <w:kern w:val="2"/>
        </w:rPr>
        <w:t xml:space="preserve">Fragaria ananassa </w:t>
      </w:r>
      <w:r>
        <w:rPr>
          <w:rFonts w:ascii="Times New Roman" w:cs="Times New Roman"/>
          <w:kern w:val="2"/>
        </w:rPr>
        <w:t>Duch.）、葎草（</w:t>
      </w:r>
      <w:r>
        <w:rPr>
          <w:rFonts w:ascii="Times New Roman" w:cs="Times New Roman"/>
          <w:i/>
          <w:iCs/>
          <w:kern w:val="2"/>
        </w:rPr>
        <w:t>Humulus scandens</w:t>
      </w:r>
      <w:r>
        <w:rPr>
          <w:rFonts w:ascii="Times New Roman" w:cs="Times New Roman"/>
          <w:kern w:val="2"/>
        </w:rPr>
        <w:t>）等居于第Ⅲ亚层，高度在20cm以下。另外还有多种蕨类植物如毛蕨（</w:t>
      </w:r>
      <w:r>
        <w:rPr>
          <w:rFonts w:ascii="Times New Roman" w:cs="Times New Roman"/>
          <w:i/>
          <w:iCs/>
          <w:kern w:val="2"/>
        </w:rPr>
        <w:t xml:space="preserve">Cyclosorus interruptus </w:t>
      </w:r>
      <w:r>
        <w:rPr>
          <w:rFonts w:ascii="Times New Roman" w:cs="Times New Roman"/>
          <w:kern w:val="2"/>
        </w:rPr>
        <w:t>(Willd.) H. Ito）、铁角蕨（</w:t>
      </w:r>
      <w:r>
        <w:rPr>
          <w:rFonts w:ascii="Times New Roman" w:cs="Times New Roman"/>
          <w:i/>
          <w:iCs/>
          <w:kern w:val="2"/>
        </w:rPr>
        <w:t>Asplenium trichomanes</w:t>
      </w:r>
      <w:r>
        <w:rPr>
          <w:rFonts w:ascii="Times New Roman" w:cs="Times New Roman"/>
          <w:kern w:val="2"/>
        </w:rPr>
        <w:t>）在草本层生长。</w:t>
      </w:r>
    </w:p>
    <w:p>
      <w:pPr>
        <w:topLinePunct w:val="0"/>
        <w:adjustRightInd/>
        <w:spacing w:before="156" w:beforeLines="50"/>
        <w:ind w:firstLine="482"/>
        <w:rPr>
          <w:rFonts w:ascii="Times New Roman" w:cs="Times New Roman"/>
          <w:b/>
          <w:kern w:val="2"/>
        </w:rPr>
      </w:pPr>
      <w:r>
        <w:rPr>
          <w:rFonts w:ascii="Times New Roman" w:cs="Times New Roman"/>
          <w:b/>
          <w:kern w:val="2"/>
        </w:rPr>
        <w:t>Ⅲ草丛植被</w:t>
      </w:r>
    </w:p>
    <w:p>
      <w:pPr>
        <w:topLinePunct w:val="0"/>
        <w:snapToGrid w:val="0"/>
        <w:ind w:firstLine="544"/>
        <w:rPr>
          <w:rFonts w:ascii="Times New Roman" w:cs="Times New Roman"/>
          <w:kern w:val="2"/>
        </w:rPr>
      </w:pPr>
      <w:r>
        <w:rPr>
          <w:rFonts w:ascii="Times New Roman" w:cs="Times New Roman"/>
          <w:spacing w:val="16"/>
          <w:kern w:val="2"/>
        </w:rPr>
        <w:t>①</w:t>
      </w:r>
      <w:r>
        <w:rPr>
          <w:rFonts w:ascii="Times New Roman" w:cs="Times New Roman"/>
          <w:spacing w:val="11"/>
          <w:kern w:val="2"/>
        </w:rPr>
        <w:t>白</w:t>
      </w:r>
      <w:r>
        <w:rPr>
          <w:rFonts w:ascii="Times New Roman" w:cs="Times New Roman"/>
          <w:kern w:val="2"/>
        </w:rPr>
        <w:t>茅草</w:t>
      </w:r>
      <w:r>
        <w:rPr>
          <w:rFonts w:ascii="Times New Roman" w:cs="Times New Roman"/>
          <w:spacing w:val="11"/>
          <w:kern w:val="2"/>
        </w:rPr>
        <w:t>丛(</w:t>
      </w:r>
      <w:r>
        <w:rPr>
          <w:rFonts w:ascii="Times New Roman" w:eastAsia="Times New Roman" w:cs="Times New Roman"/>
          <w:kern w:val="2"/>
        </w:rPr>
        <w:t>Form</w:t>
      </w:r>
      <w:r>
        <w:rPr>
          <w:rFonts w:ascii="Times New Roman" w:eastAsia="Times New Roman" w:cs="Times New Roman"/>
          <w:spacing w:val="11"/>
          <w:kern w:val="2"/>
        </w:rPr>
        <w:t xml:space="preserve">. </w:t>
      </w:r>
      <w:r>
        <w:rPr>
          <w:rFonts w:ascii="Times New Roman" w:eastAsia="Times New Roman" w:cs="Times New Roman"/>
          <w:i/>
          <w:iCs/>
          <w:kern w:val="2"/>
        </w:rPr>
        <w:t>Imperata</w:t>
      </w:r>
      <w:r>
        <w:rPr>
          <w:rFonts w:ascii="Times New Roman" w:eastAsia="Times New Roman" w:cs="Times New Roman"/>
          <w:spacing w:val="11"/>
          <w:kern w:val="2"/>
        </w:rPr>
        <w:t xml:space="preserve"> </w:t>
      </w:r>
      <w:r>
        <w:rPr>
          <w:rFonts w:ascii="Times New Roman" w:eastAsia="Times New Roman" w:cs="Times New Roman"/>
          <w:i/>
          <w:iCs/>
          <w:kern w:val="2"/>
        </w:rPr>
        <w:t>cylindric</w:t>
      </w:r>
      <w:r>
        <w:rPr>
          <w:rFonts w:ascii="Times New Roman" w:cs="Times New Roman"/>
          <w:spacing w:val="11"/>
          <w:kern w:val="2"/>
        </w:rPr>
        <w:t>)</w:t>
      </w:r>
    </w:p>
    <w:p>
      <w:pPr>
        <w:topLinePunct w:val="0"/>
        <w:snapToGrid w:val="0"/>
        <w:ind w:firstLine="448"/>
        <w:rPr>
          <w:rFonts w:ascii="Times New Roman" w:cs="Times New Roman"/>
          <w:kern w:val="2"/>
        </w:rPr>
      </w:pPr>
      <w:r>
        <w:rPr>
          <w:rFonts w:ascii="Times New Roman" w:cs="Times New Roman"/>
          <w:spacing w:val="-8"/>
          <w:kern w:val="2"/>
        </w:rPr>
        <w:t>该群落</w:t>
      </w:r>
      <w:r>
        <w:rPr>
          <w:rFonts w:ascii="Times New Roman" w:cs="Times New Roman"/>
          <w:kern w:val="2"/>
        </w:rPr>
        <w:t>分布</w:t>
      </w:r>
      <w:r>
        <w:rPr>
          <w:rFonts w:ascii="Times New Roman" w:cs="Times New Roman"/>
          <w:spacing w:val="-8"/>
          <w:kern w:val="2"/>
        </w:rPr>
        <w:t>于</w:t>
      </w:r>
      <w:r>
        <w:rPr>
          <w:rFonts w:ascii="Times New Roman" w:cs="Times New Roman"/>
          <w:spacing w:val="-6"/>
          <w:kern w:val="2"/>
        </w:rPr>
        <w:t>路</w:t>
      </w:r>
      <w:r>
        <w:rPr>
          <w:rFonts w:ascii="Times New Roman" w:cs="Times New Roman"/>
          <w:spacing w:val="-4"/>
          <w:kern w:val="2"/>
        </w:rPr>
        <w:t>旁河谷、山坡上，生境向阳、比较干旱，受人为影响较强。</w:t>
      </w:r>
    </w:p>
    <w:p>
      <w:pPr>
        <w:topLinePunct w:val="0"/>
        <w:snapToGrid w:val="0"/>
        <w:ind w:firstLine="464"/>
        <w:rPr>
          <w:rFonts w:ascii="Times New Roman" w:cs="Times New Roman"/>
          <w:spacing w:val="23"/>
          <w:kern w:val="2"/>
        </w:rPr>
      </w:pPr>
      <w:r>
        <w:rPr>
          <w:rFonts w:ascii="Times New Roman" w:cs="Times New Roman"/>
          <w:spacing w:val="-4"/>
          <w:kern w:val="2"/>
        </w:rPr>
        <w:t>群落</w:t>
      </w:r>
      <w:r>
        <w:rPr>
          <w:rFonts w:ascii="Times New Roman" w:cs="Times New Roman"/>
          <w:kern w:val="2"/>
        </w:rPr>
        <w:t>外貌</w:t>
      </w:r>
      <w:r>
        <w:rPr>
          <w:rFonts w:ascii="Times New Roman" w:cs="Times New Roman"/>
          <w:spacing w:val="-3"/>
          <w:kern w:val="2"/>
        </w:rPr>
        <w:t>高</w:t>
      </w:r>
      <w:r>
        <w:rPr>
          <w:rFonts w:ascii="Times New Roman" w:cs="Times New Roman"/>
          <w:spacing w:val="-2"/>
          <w:kern w:val="2"/>
        </w:rPr>
        <w:t>低不齐，总盖度约</w:t>
      </w:r>
      <w:r>
        <w:rPr>
          <w:rFonts w:ascii="Times New Roman" w:eastAsia="Times New Roman" w:cs="Times New Roman"/>
          <w:spacing w:val="-2"/>
          <w:kern w:val="2"/>
        </w:rPr>
        <w:t>50</w:t>
      </w:r>
      <w:r>
        <w:rPr>
          <w:rFonts w:ascii="Times New Roman" w:cs="Times New Roman"/>
          <w:spacing w:val="-2"/>
          <w:kern w:val="2"/>
        </w:rPr>
        <w:t>％，除优势种白茅、五节芒外，其它草本植</w:t>
      </w:r>
      <w:r>
        <w:rPr>
          <w:rFonts w:ascii="Times New Roman" w:cs="Times New Roman"/>
          <w:spacing w:val="4"/>
          <w:kern w:val="2"/>
        </w:rPr>
        <w:t>物尚有金发草芒萁</w:t>
      </w:r>
      <w:r>
        <w:rPr>
          <w:rFonts w:ascii="Times New Roman" w:cs="Times New Roman"/>
          <w:spacing w:val="2"/>
          <w:kern w:val="2"/>
        </w:rPr>
        <w:t>、蕨、香青、荩草、野古草、蔗茅(</w:t>
      </w:r>
      <w:r>
        <w:rPr>
          <w:rFonts w:ascii="Times New Roman" w:eastAsia="Times New Roman" w:cs="Times New Roman"/>
          <w:i/>
          <w:iCs/>
          <w:kern w:val="2"/>
        </w:rPr>
        <w:t>Erianthus</w:t>
      </w:r>
      <w:r>
        <w:rPr>
          <w:rFonts w:ascii="Times New Roman" w:eastAsia="Times New Roman" w:cs="Times New Roman"/>
          <w:spacing w:val="2"/>
          <w:kern w:val="2"/>
        </w:rPr>
        <w:t xml:space="preserve"> </w:t>
      </w:r>
      <w:r>
        <w:rPr>
          <w:rFonts w:ascii="Times New Roman" w:eastAsia="Times New Roman" w:cs="Times New Roman"/>
          <w:i/>
          <w:iCs/>
          <w:kern w:val="2"/>
        </w:rPr>
        <w:t>rufipilus</w:t>
      </w:r>
      <w:r>
        <w:rPr>
          <w:rFonts w:ascii="Times New Roman" w:cs="Times New Roman"/>
          <w:spacing w:val="2"/>
          <w:kern w:val="2"/>
        </w:rPr>
        <w:t>)、狗牙</w:t>
      </w:r>
      <w:r>
        <w:rPr>
          <w:rFonts w:ascii="Times New Roman" w:cs="Times New Roman"/>
          <w:spacing w:val="30"/>
          <w:kern w:val="2"/>
        </w:rPr>
        <w:t>根</w:t>
      </w:r>
      <w:r>
        <w:rPr>
          <w:rFonts w:ascii="Times New Roman" w:cs="Times New Roman"/>
          <w:spacing w:val="24"/>
          <w:kern w:val="2"/>
        </w:rPr>
        <w:t>(</w:t>
      </w:r>
      <w:r>
        <w:rPr>
          <w:rFonts w:ascii="Times New Roman" w:eastAsia="Times New Roman" w:cs="Times New Roman"/>
          <w:i/>
          <w:iCs/>
          <w:kern w:val="2"/>
        </w:rPr>
        <w:t>Cynodon</w:t>
      </w:r>
      <w:r>
        <w:rPr>
          <w:rFonts w:ascii="Times New Roman" w:eastAsia="Times New Roman" w:cs="Times New Roman"/>
          <w:spacing w:val="24"/>
          <w:kern w:val="2"/>
        </w:rPr>
        <w:t xml:space="preserve"> </w:t>
      </w:r>
      <w:r>
        <w:rPr>
          <w:rFonts w:ascii="Times New Roman" w:eastAsia="Times New Roman" w:cs="Times New Roman"/>
          <w:i/>
          <w:iCs/>
          <w:kern w:val="2"/>
        </w:rPr>
        <w:t>dactylon</w:t>
      </w:r>
      <w:r>
        <w:rPr>
          <w:rFonts w:ascii="Times New Roman" w:cs="Times New Roman"/>
          <w:spacing w:val="24"/>
          <w:kern w:val="2"/>
        </w:rPr>
        <w:t>)、糯米团(</w:t>
      </w:r>
      <w:r>
        <w:rPr>
          <w:rFonts w:ascii="Times New Roman" w:eastAsia="Times New Roman" w:cs="Times New Roman"/>
          <w:i/>
          <w:iCs/>
          <w:kern w:val="2"/>
        </w:rPr>
        <w:t>Memorialis</w:t>
      </w:r>
      <w:r>
        <w:rPr>
          <w:rFonts w:ascii="Times New Roman" w:eastAsia="Times New Roman" w:cs="Times New Roman"/>
          <w:spacing w:val="24"/>
          <w:kern w:val="2"/>
        </w:rPr>
        <w:t xml:space="preserve"> </w:t>
      </w:r>
      <w:r>
        <w:rPr>
          <w:rFonts w:ascii="Times New Roman" w:eastAsia="Times New Roman" w:cs="Times New Roman"/>
          <w:i/>
          <w:iCs/>
          <w:kern w:val="2"/>
        </w:rPr>
        <w:t>hirta</w:t>
      </w:r>
      <w:r>
        <w:rPr>
          <w:rFonts w:ascii="Times New Roman" w:cs="Times New Roman"/>
          <w:spacing w:val="24"/>
          <w:kern w:val="2"/>
        </w:rPr>
        <w:t>)、苦买菜(</w:t>
      </w:r>
      <w:r>
        <w:rPr>
          <w:rFonts w:ascii="Times New Roman" w:eastAsia="Times New Roman" w:cs="Times New Roman"/>
          <w:i/>
          <w:iCs/>
          <w:kern w:val="2"/>
        </w:rPr>
        <w:t>Ixeris</w:t>
      </w:r>
      <w:r>
        <w:rPr>
          <w:rFonts w:ascii="Times New Roman" w:eastAsia="Times New Roman" w:cs="Times New Roman"/>
          <w:spacing w:val="24"/>
          <w:kern w:val="2"/>
        </w:rPr>
        <w:t xml:space="preserve"> </w:t>
      </w:r>
      <w:r>
        <w:rPr>
          <w:rFonts w:ascii="Times New Roman" w:eastAsia="Times New Roman" w:cs="Times New Roman"/>
          <w:i/>
          <w:iCs/>
          <w:kern w:val="2"/>
        </w:rPr>
        <w:t>spp</w:t>
      </w:r>
      <w:r>
        <w:rPr>
          <w:rFonts w:ascii="Times New Roman" w:eastAsia="Times New Roman" w:cs="Times New Roman"/>
          <w:i/>
          <w:iCs/>
          <w:spacing w:val="24"/>
          <w:kern w:val="2"/>
        </w:rPr>
        <w:t>.</w:t>
      </w:r>
      <w:r>
        <w:rPr>
          <w:rFonts w:ascii="Times New Roman" w:cs="Times New Roman"/>
          <w:spacing w:val="24"/>
          <w:kern w:val="2"/>
        </w:rPr>
        <w:t>)、风轮</w:t>
      </w:r>
      <w:r>
        <w:rPr>
          <w:rFonts w:ascii="Times New Roman" w:cs="Times New Roman"/>
          <w:spacing w:val="23"/>
          <w:kern w:val="2"/>
        </w:rPr>
        <w:t>菜(</w:t>
      </w:r>
      <w:r>
        <w:rPr>
          <w:rFonts w:ascii="Times New Roman" w:eastAsia="Times New Roman" w:cs="Times New Roman"/>
          <w:i/>
          <w:iCs/>
          <w:kern w:val="2"/>
        </w:rPr>
        <w:t>Clamintha</w:t>
      </w:r>
      <w:r>
        <w:rPr>
          <w:rFonts w:ascii="Times New Roman" w:eastAsia="Times New Roman" w:cs="Times New Roman"/>
          <w:spacing w:val="23"/>
          <w:kern w:val="2"/>
        </w:rPr>
        <w:t xml:space="preserve"> </w:t>
      </w:r>
      <w:r>
        <w:rPr>
          <w:rFonts w:ascii="Times New Roman" w:eastAsia="Times New Roman" w:cs="Times New Roman"/>
          <w:i/>
          <w:iCs/>
          <w:kern w:val="2"/>
        </w:rPr>
        <w:t>chinensis</w:t>
      </w:r>
      <w:r>
        <w:rPr>
          <w:rFonts w:ascii="Times New Roman" w:cs="Times New Roman"/>
          <w:spacing w:val="23"/>
          <w:kern w:val="2"/>
        </w:rPr>
        <w:t>)、菝葜。</w:t>
      </w:r>
    </w:p>
    <w:p>
      <w:pPr>
        <w:topLinePunct w:val="0"/>
        <w:adjustRightInd/>
        <w:ind w:firstLine="480"/>
        <w:rPr>
          <w:rFonts w:ascii="Times New Roman" w:cs="Times New Roman"/>
          <w:kern w:val="2"/>
        </w:rPr>
      </w:pPr>
      <w:r>
        <w:rPr>
          <w:rFonts w:ascii="Times New Roman" w:cs="Times New Roman"/>
          <w:kern w:val="2"/>
        </w:rPr>
        <w:t>②白茅、五节芒、野古草、斑茅群系（</w:t>
      </w:r>
      <w:r>
        <w:rPr>
          <w:rFonts w:ascii="Times New Roman" w:cs="Times New Roman"/>
          <w:i/>
          <w:iCs/>
          <w:kern w:val="2"/>
        </w:rPr>
        <w:t>Form.Imperata cylindrica.+Miscanthus floridulus+Arundinella anomala+Saccharum arundinaceum</w:t>
      </w:r>
      <w:r>
        <w:rPr>
          <w:rFonts w:ascii="Times New Roman" w:cs="Times New Roman"/>
          <w:kern w:val="2"/>
        </w:rPr>
        <w:t>）</w:t>
      </w:r>
    </w:p>
    <w:p>
      <w:pPr>
        <w:topLinePunct w:val="0"/>
        <w:adjustRightInd/>
        <w:ind w:firstLine="480"/>
        <w:rPr>
          <w:rFonts w:ascii="Times New Roman" w:cs="Times New Roman"/>
          <w:kern w:val="2"/>
        </w:rPr>
      </w:pPr>
      <w:r>
        <w:rPr>
          <w:rFonts w:ascii="Times New Roman" w:cs="Times New Roman"/>
          <w:kern w:val="2"/>
        </w:rPr>
        <w:t>白茅占优势所组成的灌草丛，在我国分布范围较广，主要在热带和亚热带，向北可以分布到华北地区，这是一类最常见的阳性禾草，常布满于撂荒地及火烧后的林地。</w:t>
      </w:r>
    </w:p>
    <w:p>
      <w:pPr>
        <w:topLinePunct w:val="0"/>
        <w:adjustRightInd/>
        <w:ind w:firstLine="480"/>
        <w:rPr>
          <w:rFonts w:ascii="Times New Roman" w:cs="Times New Roman"/>
          <w:kern w:val="2"/>
        </w:rPr>
      </w:pPr>
      <w:r>
        <w:rPr>
          <w:rFonts w:ascii="Times New Roman" w:cs="Times New Roman"/>
          <w:kern w:val="2"/>
        </w:rPr>
        <w:t>白茅灌草丛可出现在河谷、盆地、河漫滩上的阶地、山地、丘陵及海滩地带。在四川各地分布十分广泛。由于白茅的生活力很强，因而可以在不同的生境条件下出现。白茅对土壤的酸碱度要求亦不大严格，因此在石灰岩为基岩发育的石灰土或砂页岩等发育的酸性土上都有分布。在撂荒地上，首先遇到的就是白茅草丛，在一些地段上，白茅生长密集，地下茎很发达，相互交织成网，其他植物很难侵入，可以形成几乎是纯白茅的草丛。</w:t>
      </w:r>
    </w:p>
    <w:p>
      <w:pPr>
        <w:topLinePunct w:val="0"/>
        <w:adjustRightInd/>
        <w:ind w:firstLine="480"/>
        <w:rPr>
          <w:rFonts w:ascii="Times New Roman" w:cs="Times New Roman"/>
          <w:kern w:val="2"/>
        </w:rPr>
      </w:pPr>
      <w:r>
        <w:rPr>
          <w:rFonts w:ascii="Times New Roman" w:cs="Times New Roman"/>
          <w:kern w:val="2"/>
        </w:rPr>
        <w:t>评价范围及周边白茅草本层的高度为60-80厘米，层覆盖度在70-90%之间。其伴生植物有五节芒、野古草、斑茅、婆婆针、飞蓬、蛇莓、夏枯草、蛇含委陵草、鸡眼草、芒、黄背草、铁扫帚、歪头菜、贯叶连翘等，在群落中散生有少数灌木，如美丽胡枝子、山豆花、肖梵天花及麻栎、白栎幼树等。</w:t>
      </w:r>
    </w:p>
    <w:p>
      <w:pPr>
        <w:topLinePunct w:val="0"/>
        <w:adjustRightInd/>
        <w:ind w:firstLine="480"/>
        <w:rPr>
          <w:rFonts w:ascii="Times New Roman" w:cs="Times New Roman"/>
          <w:kern w:val="2"/>
        </w:rPr>
      </w:pPr>
      <w:r>
        <w:rPr>
          <w:rFonts w:ascii="Times New Roman" w:cs="Times New Roman"/>
          <w:kern w:val="2"/>
        </w:rPr>
        <w:t>③芒、蕨、芒萁群系（</w:t>
      </w:r>
      <w:r>
        <w:rPr>
          <w:rFonts w:ascii="Times New Roman" w:cs="Times New Roman"/>
          <w:i/>
          <w:iCs/>
          <w:kern w:val="2"/>
        </w:rPr>
        <w:t>Form.</w:t>
      </w:r>
      <w:r>
        <w:rPr>
          <w:rFonts w:ascii="Times New Roman" w:cs="Times New Roman"/>
          <w:i/>
          <w:kern w:val="2"/>
          <w:sz w:val="21"/>
          <w:szCs w:val="21"/>
        </w:rPr>
        <w:t>Miscanthus sinensis</w:t>
      </w:r>
      <w:r>
        <w:rPr>
          <w:rFonts w:ascii="Times New Roman" w:cs="Times New Roman"/>
          <w:i/>
          <w:iCs/>
          <w:kern w:val="2"/>
        </w:rPr>
        <w:t>+</w:t>
      </w:r>
      <w:r>
        <w:rPr>
          <w:rFonts w:ascii="Times New Roman" w:cs="Times New Roman"/>
          <w:i/>
          <w:iCs/>
          <w:kern w:val="2"/>
          <w:sz w:val="21"/>
          <w:szCs w:val="21"/>
        </w:rPr>
        <w:t>P.Aquilinum</w:t>
      </w:r>
      <w:r>
        <w:rPr>
          <w:rFonts w:ascii="Times New Roman" w:cs="Times New Roman"/>
          <w:i/>
          <w:iCs/>
          <w:kern w:val="2"/>
        </w:rPr>
        <w:t>+</w:t>
      </w:r>
      <w:r>
        <w:rPr>
          <w:rFonts w:ascii="Times New Roman" w:cs="Times New Roman"/>
          <w:i/>
          <w:iCs/>
          <w:kern w:val="2"/>
          <w:sz w:val="21"/>
          <w:szCs w:val="21"/>
        </w:rPr>
        <w:t>Dicranopteris dichotoma(Thunb.)Bernh.</w:t>
      </w:r>
      <w:r>
        <w:rPr>
          <w:rFonts w:ascii="Times New Roman" w:cs="Times New Roman"/>
          <w:kern w:val="2"/>
        </w:rPr>
        <w:t>）</w:t>
      </w:r>
    </w:p>
    <w:p>
      <w:pPr>
        <w:topLinePunct w:val="0"/>
        <w:adjustRightInd/>
        <w:ind w:firstLine="480"/>
        <w:rPr>
          <w:rFonts w:ascii="Times New Roman" w:cs="Times New Roman"/>
          <w:kern w:val="2"/>
        </w:rPr>
      </w:pPr>
      <w:r>
        <w:rPr>
          <w:rFonts w:ascii="Times New Roman" w:cs="Times New Roman"/>
          <w:kern w:val="2"/>
        </w:rPr>
        <w:t>本灌草丛在评价区及项目周边内分布广泛，在大部分酸性土地区均有分布，本群落为植被受到严重破坏，乔木、灌木很难恢复的情况下形成的一类灌草丛，尤其是在强度火烧山后出现。群落的特征主要由蕨类和禾本草为主的草本植物组成，灌木稀少。常见的草本植物有芒、蕨、铁芒萁、牛尾蒿、狗脊、荩草、石松等种类，禾本草主要有四脉金茅、野古草、白茅、雀稗、芒、荻等。其他草本植物有珍珠菜，毛果一枝黄花、三脉紫菀、鸡眼草及野棉花等。</w:t>
      </w:r>
    </w:p>
    <w:p>
      <w:pPr>
        <w:topLinePunct w:val="0"/>
        <w:adjustRightInd/>
        <w:spacing w:before="156" w:beforeLines="50"/>
        <w:ind w:firstLine="482"/>
        <w:rPr>
          <w:rFonts w:ascii="Times New Roman" w:cs="Times New Roman"/>
          <w:b/>
          <w:kern w:val="2"/>
        </w:rPr>
      </w:pPr>
      <w:r>
        <w:rPr>
          <w:rFonts w:ascii="Times New Roman" w:cs="Times New Roman"/>
          <w:b/>
          <w:kern w:val="2"/>
        </w:rPr>
        <w:t>Ⅳ栽培植被</w:t>
      </w:r>
    </w:p>
    <w:p>
      <w:pPr>
        <w:topLinePunct w:val="0"/>
        <w:adjustRightInd/>
        <w:ind w:firstLine="480"/>
        <w:rPr>
          <w:rFonts w:ascii="Times New Roman" w:cs="Times New Roman"/>
          <w:kern w:val="2"/>
        </w:rPr>
      </w:pPr>
      <w:r>
        <w:rPr>
          <w:rFonts w:ascii="Times New Roman" w:cs="Times New Roman"/>
          <w:kern w:val="2"/>
        </w:rPr>
        <w:t>栽培植被指人类在自然环境中，根据人类生产、生活的需要，通过人为的经营、管理措施而培育形成的植被类型。在评价</w:t>
      </w:r>
      <w:r>
        <w:rPr>
          <w:rFonts w:hint="eastAsia" w:ascii="Times New Roman" w:cs="Times New Roman"/>
          <w:kern w:val="2"/>
        </w:rPr>
        <w:t>区</w:t>
      </w:r>
      <w:r>
        <w:rPr>
          <w:rFonts w:ascii="Times New Roman" w:cs="Times New Roman"/>
          <w:kern w:val="2"/>
        </w:rPr>
        <w:t>及项目周边区域，栽培植被主要为以农业技术措施为主培育形成的农田植被以及具有一定经济效益的经济林木。现分别就各类栽培植被分析如下：</w:t>
      </w:r>
    </w:p>
    <w:p>
      <w:pPr>
        <w:topLinePunct w:val="0"/>
        <w:adjustRightInd/>
        <w:ind w:firstLine="480"/>
        <w:rPr>
          <w:rFonts w:ascii="Times New Roman" w:cs="Times New Roman"/>
          <w:kern w:val="2"/>
        </w:rPr>
      </w:pPr>
      <w:r>
        <w:rPr>
          <w:rFonts w:ascii="Times New Roman" w:cs="Times New Roman"/>
          <w:kern w:val="2"/>
        </w:rPr>
        <w:t>（1）农田植被</w:t>
      </w:r>
    </w:p>
    <w:p>
      <w:pPr>
        <w:topLinePunct w:val="0"/>
        <w:adjustRightInd/>
        <w:ind w:firstLine="480"/>
        <w:rPr>
          <w:rFonts w:ascii="Times New Roman" w:cs="Times New Roman"/>
          <w:kern w:val="2"/>
          <w:lang w:val="de-DE"/>
        </w:rPr>
      </w:pPr>
      <w:r>
        <w:rPr>
          <w:rFonts w:ascii="Times New Roman" w:cs="Times New Roman"/>
          <w:kern w:val="2"/>
          <w:lang w:val="de-DE"/>
        </w:rPr>
        <w:t>①一年两熟水稻作物</w:t>
      </w:r>
    </w:p>
    <w:p>
      <w:pPr>
        <w:topLinePunct w:val="0"/>
        <w:adjustRightInd/>
        <w:ind w:firstLine="480"/>
        <w:rPr>
          <w:rFonts w:ascii="Times New Roman" w:cs="Times New Roman"/>
          <w:kern w:val="2"/>
        </w:rPr>
      </w:pPr>
      <w:r>
        <w:rPr>
          <w:rFonts w:ascii="Times New Roman" w:cs="Times New Roman"/>
          <w:kern w:val="2"/>
        </w:rPr>
        <w:t>属于草本类型大田农作物型水田作物亚型，此类型对水利灌溉要求较高，主要分布在丘谷、河流两旁等地区。在水利条件好的地区水稻收割后可种植一季油菜、豆类等，而在部分地区，由于灌溉达不到要求只种植一季水稻。</w:t>
      </w:r>
    </w:p>
    <w:p>
      <w:pPr>
        <w:topLinePunct w:val="0"/>
        <w:adjustRightInd/>
        <w:ind w:firstLine="480"/>
        <w:rPr>
          <w:rFonts w:ascii="Times New Roman" w:cs="Times New Roman"/>
          <w:kern w:val="2"/>
          <w:lang w:val="de-DE"/>
        </w:rPr>
      </w:pPr>
      <w:r>
        <w:rPr>
          <w:rFonts w:ascii="Times New Roman" w:cs="Times New Roman"/>
          <w:kern w:val="2"/>
          <w:lang w:val="de-DE"/>
        </w:rPr>
        <w:t>②一年</w:t>
      </w:r>
      <w:r>
        <w:rPr>
          <w:rFonts w:ascii="Times New Roman" w:cs="Times New Roman"/>
          <w:kern w:val="2"/>
        </w:rPr>
        <w:t>两</w:t>
      </w:r>
      <w:r>
        <w:rPr>
          <w:rFonts w:ascii="Times New Roman" w:cs="Times New Roman"/>
          <w:kern w:val="2"/>
          <w:lang w:val="de-DE"/>
        </w:rPr>
        <w:t>作为主的蔬菜组合</w:t>
      </w:r>
    </w:p>
    <w:p>
      <w:pPr>
        <w:topLinePunct w:val="0"/>
        <w:adjustRightInd/>
        <w:ind w:firstLine="480"/>
        <w:rPr>
          <w:rFonts w:ascii="Times New Roman" w:cs="Times New Roman"/>
          <w:kern w:val="2"/>
        </w:rPr>
      </w:pPr>
      <w:r>
        <w:rPr>
          <w:rFonts w:ascii="Times New Roman" w:cs="Times New Roman"/>
          <w:kern w:val="2"/>
        </w:rPr>
        <w:t>属于草本类型蔬菜作物型旱地作物亚型，本组合型广泛分布于亚热带范围内，对灌溉要求不是很严格，本地组成蔬菜作物的建群种，有白菜、卷心菜、花椰菜、芥菜等白菜类，大头菜、萝卜、胡萝卜、洋葱、蒜、姜等根茎类、鳞茎类蔬菜，韭菜、葱、蒜、苋菜、芹菜、菠菜、莴笋等绿叶蔬菜，马铃薯、芋头等薯类，茄子、辣椒等茄果类，黄瓜、菜瓜、冬瓜、南瓜、葫芦、苦瓜、丝瓜等瓜类，豇豆、豌豆、蚕豆、大豆、菜豆等豆类，以及花生、油菜等油料作物。</w:t>
      </w:r>
    </w:p>
    <w:p>
      <w:pPr>
        <w:topLinePunct w:val="0"/>
        <w:adjustRightInd/>
        <w:ind w:firstLine="480"/>
        <w:rPr>
          <w:rFonts w:ascii="Times New Roman" w:cs="Times New Roman"/>
          <w:kern w:val="2"/>
          <w:lang w:val="de-DE"/>
        </w:rPr>
      </w:pPr>
      <w:r>
        <w:rPr>
          <w:rFonts w:ascii="Times New Roman" w:cs="Times New Roman"/>
          <w:kern w:val="2"/>
          <w:lang w:val="de-DE"/>
        </w:rPr>
        <w:t>③以</w:t>
      </w:r>
      <w:r>
        <w:rPr>
          <w:rFonts w:ascii="Times New Roman" w:cs="Times New Roman"/>
          <w:spacing w:val="2"/>
          <w:kern w:val="2"/>
        </w:rPr>
        <w:t>玉米、红苕、棉花、花生、小麦、马铃薯、豌豆</w:t>
      </w:r>
      <w:r>
        <w:rPr>
          <w:rFonts w:ascii="Times New Roman" w:cs="Times New Roman"/>
          <w:kern w:val="2"/>
          <w:lang w:val="de-DE"/>
        </w:rPr>
        <w:t>为主的作物组合</w:t>
      </w:r>
    </w:p>
    <w:p>
      <w:pPr>
        <w:topLinePunct w:val="0"/>
        <w:adjustRightInd/>
        <w:ind w:firstLine="480"/>
        <w:rPr>
          <w:rFonts w:ascii="Times New Roman" w:cs="Times New Roman"/>
          <w:kern w:val="2"/>
        </w:rPr>
      </w:pPr>
      <w:r>
        <w:rPr>
          <w:rFonts w:ascii="Times New Roman" w:cs="Times New Roman"/>
          <w:kern w:val="2"/>
        </w:rPr>
        <w:t>属于草本类型大田农作物型旱地作物亚型，广泛分布于四川盆地边缘的丘陵地区。</w:t>
      </w:r>
      <w:r>
        <w:rPr>
          <w:rFonts w:ascii="Times New Roman" w:cs="Times New Roman"/>
          <w:spacing w:val="2"/>
          <w:kern w:val="2"/>
        </w:rPr>
        <w:t>小春作物以小麦、豌豆为主，深丘上</w:t>
      </w:r>
      <w:r>
        <w:rPr>
          <w:rFonts w:ascii="Times New Roman" w:cs="Times New Roman"/>
          <w:spacing w:val="-2"/>
          <w:kern w:val="2"/>
        </w:rPr>
        <w:t>部种有马铃薯，多为一年两熟类型，</w:t>
      </w:r>
      <w:r>
        <w:rPr>
          <w:rFonts w:ascii="Times New Roman" w:cs="Times New Roman"/>
          <w:kern w:val="2"/>
        </w:rPr>
        <w:t>调查区域内局部灌溉条件较差的地方实行这种作物组合。</w:t>
      </w:r>
    </w:p>
    <w:p>
      <w:pPr>
        <w:topLinePunct w:val="0"/>
        <w:adjustRightInd/>
        <w:ind w:firstLine="480"/>
        <w:rPr>
          <w:rFonts w:ascii="Times New Roman" w:cs="Times New Roman"/>
          <w:kern w:val="2"/>
        </w:rPr>
      </w:pPr>
      <w:r>
        <w:rPr>
          <w:rFonts w:ascii="Times New Roman" w:cs="Times New Roman"/>
          <w:kern w:val="2"/>
        </w:rPr>
        <w:t>（2）经济林木</w:t>
      </w:r>
    </w:p>
    <w:p>
      <w:pPr>
        <w:topLinePunct w:val="0"/>
        <w:adjustRightInd/>
        <w:ind w:firstLine="480"/>
        <w:rPr>
          <w:rFonts w:ascii="Times New Roman" w:cs="Times New Roman"/>
          <w:kern w:val="2"/>
        </w:rPr>
      </w:pPr>
      <w:r>
        <w:rPr>
          <w:rFonts w:ascii="Times New Roman" w:cs="Times New Roman"/>
          <w:kern w:val="2"/>
        </w:rPr>
        <w:t>常见种植的种类有苹果(</w:t>
      </w:r>
      <w:r>
        <w:rPr>
          <w:rFonts w:ascii="Times New Roman" w:cs="Times New Roman"/>
          <w:i/>
          <w:kern w:val="2"/>
        </w:rPr>
        <w:t>Malus pumila</w:t>
      </w:r>
      <w:r>
        <w:rPr>
          <w:rFonts w:ascii="Times New Roman" w:cs="Times New Roman"/>
          <w:kern w:val="2"/>
        </w:rPr>
        <w:t>)、</w:t>
      </w:r>
      <w:r>
        <w:rPr>
          <w:rFonts w:ascii="Times New Roman" w:cs="Times New Roman"/>
          <w:spacing w:val="5"/>
          <w:kern w:val="2"/>
        </w:rPr>
        <w:t>川梨(</w:t>
      </w:r>
      <w:r>
        <w:rPr>
          <w:rFonts w:ascii="Times New Roman" w:eastAsia="Times New Roman" w:cs="Times New Roman"/>
          <w:i/>
          <w:iCs/>
          <w:kern w:val="2"/>
        </w:rPr>
        <w:t>Pyrus</w:t>
      </w:r>
      <w:r>
        <w:rPr>
          <w:rFonts w:ascii="Times New Roman" w:eastAsia="Times New Roman" w:cs="Times New Roman"/>
          <w:spacing w:val="5"/>
          <w:kern w:val="2"/>
        </w:rPr>
        <w:t xml:space="preserve"> </w:t>
      </w:r>
      <w:r>
        <w:rPr>
          <w:rFonts w:ascii="Times New Roman" w:eastAsia="Times New Roman" w:cs="Times New Roman"/>
          <w:i/>
          <w:iCs/>
          <w:kern w:val="2"/>
        </w:rPr>
        <w:t>pashia</w:t>
      </w:r>
      <w:r>
        <w:rPr>
          <w:rFonts w:ascii="Times New Roman" w:cs="Times New Roman"/>
          <w:spacing w:val="5"/>
          <w:kern w:val="2"/>
        </w:rPr>
        <w:t>)、枇杷(</w:t>
      </w:r>
      <w:r>
        <w:rPr>
          <w:rFonts w:ascii="Times New Roman" w:eastAsia="Times New Roman" w:cs="Times New Roman"/>
          <w:i/>
          <w:iCs/>
          <w:kern w:val="2"/>
        </w:rPr>
        <w:t>Eriobotryajaponica</w:t>
      </w:r>
      <w:r>
        <w:rPr>
          <w:rFonts w:ascii="Times New Roman" w:cs="Times New Roman"/>
          <w:spacing w:val="5"/>
          <w:kern w:val="2"/>
        </w:rPr>
        <w:t>)、桃(</w:t>
      </w:r>
      <w:r>
        <w:rPr>
          <w:rFonts w:ascii="Times New Roman" w:eastAsia="Times New Roman" w:cs="Times New Roman"/>
          <w:i/>
          <w:iCs/>
          <w:kern w:val="2"/>
        </w:rPr>
        <w:t>Amygdalus</w:t>
      </w:r>
      <w:r>
        <w:rPr>
          <w:rFonts w:ascii="Times New Roman" w:eastAsia="Times New Roman" w:cs="Times New Roman"/>
          <w:kern w:val="2"/>
        </w:rPr>
        <w:t xml:space="preserve"> </w:t>
      </w:r>
      <w:r>
        <w:rPr>
          <w:rFonts w:ascii="Times New Roman" w:eastAsia="Times New Roman" w:cs="Times New Roman"/>
          <w:i/>
          <w:iCs/>
          <w:kern w:val="2"/>
        </w:rPr>
        <w:t>persica</w:t>
      </w:r>
      <w:r>
        <w:rPr>
          <w:rFonts w:ascii="Times New Roman" w:cs="Times New Roman"/>
          <w:spacing w:val="27"/>
          <w:kern w:val="2"/>
        </w:rPr>
        <w:t>)</w:t>
      </w:r>
      <w:r>
        <w:rPr>
          <w:rFonts w:ascii="Times New Roman" w:cs="Times New Roman"/>
          <w:spacing w:val="25"/>
          <w:kern w:val="2"/>
        </w:rPr>
        <w:t>、木瓜(</w:t>
      </w:r>
      <w:r>
        <w:rPr>
          <w:rFonts w:ascii="Times New Roman" w:eastAsia="Times New Roman" w:cs="Times New Roman"/>
          <w:i/>
          <w:iCs/>
          <w:kern w:val="2"/>
        </w:rPr>
        <w:t>ChaenomelessinensisKoehne</w:t>
      </w:r>
      <w:r>
        <w:rPr>
          <w:rFonts w:ascii="Times New Roman" w:cs="Times New Roman"/>
          <w:spacing w:val="25"/>
          <w:kern w:val="2"/>
        </w:rPr>
        <w:t>)</w:t>
      </w:r>
      <w:r>
        <w:rPr>
          <w:rFonts w:ascii="Times New Roman" w:cs="Times New Roman"/>
          <w:kern w:val="2"/>
        </w:rPr>
        <w:t>、樱桃(</w:t>
      </w:r>
      <w:r>
        <w:rPr>
          <w:rFonts w:ascii="Times New Roman" w:cs="Times New Roman"/>
          <w:i/>
          <w:kern w:val="2"/>
        </w:rPr>
        <w:t>Cerasus pseudocerasus</w:t>
      </w:r>
      <w:r>
        <w:rPr>
          <w:rFonts w:ascii="Times New Roman" w:cs="Times New Roman"/>
          <w:kern w:val="2"/>
        </w:rPr>
        <w:t>)、李(</w:t>
      </w:r>
      <w:r>
        <w:rPr>
          <w:rFonts w:ascii="Times New Roman" w:cs="Times New Roman"/>
          <w:i/>
          <w:kern w:val="2"/>
        </w:rPr>
        <w:t>Prunus salicina</w:t>
      </w:r>
      <w:r>
        <w:rPr>
          <w:rFonts w:ascii="Times New Roman" w:cs="Times New Roman"/>
          <w:kern w:val="2"/>
        </w:rPr>
        <w:t>)、核桃(</w:t>
      </w:r>
      <w:r>
        <w:rPr>
          <w:rFonts w:ascii="Times New Roman" w:cs="Times New Roman"/>
          <w:i/>
          <w:kern w:val="2"/>
        </w:rPr>
        <w:t>Juglans regia</w:t>
      </w:r>
      <w:r>
        <w:rPr>
          <w:rFonts w:ascii="Times New Roman" w:cs="Times New Roman"/>
          <w:kern w:val="2"/>
        </w:rPr>
        <w:t>)、柑橘(</w:t>
      </w:r>
      <w:r>
        <w:rPr>
          <w:rFonts w:ascii="Times New Roman" w:cs="Times New Roman"/>
          <w:i/>
          <w:kern w:val="2"/>
        </w:rPr>
        <w:t>Citrus reticulata</w:t>
      </w:r>
      <w:r>
        <w:rPr>
          <w:rFonts w:ascii="Times New Roman" w:cs="Times New Roman"/>
          <w:kern w:val="2"/>
        </w:rPr>
        <w:t>)、柚子(</w:t>
      </w:r>
      <w:r>
        <w:rPr>
          <w:rFonts w:ascii="Times New Roman" w:cs="Times New Roman"/>
          <w:i/>
          <w:kern w:val="2"/>
        </w:rPr>
        <w:t>Citrus grandis</w:t>
      </w:r>
      <w:r>
        <w:rPr>
          <w:rFonts w:ascii="Times New Roman" w:cs="Times New Roman"/>
          <w:kern w:val="2"/>
        </w:rPr>
        <w:t>)等经济果树。</w:t>
      </w:r>
    </w:p>
    <w:p>
      <w:pPr>
        <w:pStyle w:val="114"/>
        <w:ind w:firstLine="480"/>
        <w:rPr>
          <w:kern w:val="2"/>
          <w:szCs w:val="24"/>
        </w:rPr>
      </w:pPr>
      <w:r>
        <w:rPr>
          <w:kern w:val="2"/>
          <w:szCs w:val="24"/>
        </w:rPr>
        <w:t>与栽培植被共存的还有各种农田杂草及田间灌草丛，它们在农闲，轮作间歇期，或者农田管理不善时，成为栽培植被的主要替代者，此时即为杂草丛生的农田外貌，杂草以禾本科、菊科、莎草科、豆科、蓼科、唇形科植物为主。常见种类有蜈蚣草、三叶鬼针草、艾蒿、土牛膝、打破碗花花、猪殃殃、反枝苋、问荆、繁缕、蒲公英、土牛膝、毛茛、雀稗、光头稗、狗牙根、牛鞭草、空心莲子草、白花碎米荠、醴肠等。</w:t>
      </w:r>
    </w:p>
    <w:p>
      <w:pPr>
        <w:pStyle w:val="114"/>
        <w:ind w:firstLine="480"/>
      </w:pPr>
      <w:r>
        <w:t>项目评价范围陆生植被调查及样方现场照片见图4.3-1。</w:t>
      </w:r>
    </w:p>
    <w:tbl>
      <w:tblPr>
        <w:tblStyle w:val="59"/>
        <w:tblW w:w="8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9"/>
        <w:gridCol w:w="4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21"/>
              <w:jc w:val="center"/>
              <w:rPr>
                <w:rFonts w:ascii="Times New Roman" w:hAnsi="Times New Roman" w:cs="Times New Roman"/>
                <w:color w:val="auto"/>
                <w:kern w:val="2"/>
              </w:rPr>
            </w:pPr>
          </w:p>
        </w:tc>
        <w:tc>
          <w:tcPr>
            <w:tcW w:w="4412" w:type="dxa"/>
          </w:tcPr>
          <w:p>
            <w:pPr>
              <w:pStyle w:val="121"/>
              <w:jc w:val="center"/>
              <w:rPr>
                <w:rFonts w:ascii="Times New Roman" w:hAnsi="Times New Roman" w:cs="Times New Roman"/>
                <w:color w:val="auto"/>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21"/>
              <w:jc w:val="center"/>
              <w:rPr>
                <w:rFonts w:ascii="Times New Roman" w:hAnsi="Times New Roman" w:cs="Times New Roman"/>
                <w:color w:val="auto"/>
                <w:kern w:val="2"/>
                <w:sz w:val="21"/>
                <w:szCs w:val="21"/>
              </w:rPr>
            </w:pPr>
          </w:p>
        </w:tc>
        <w:tc>
          <w:tcPr>
            <w:tcW w:w="4412" w:type="dxa"/>
          </w:tcPr>
          <w:p>
            <w:pPr>
              <w:pStyle w:val="121"/>
              <w:jc w:val="center"/>
              <w:rPr>
                <w:rFonts w:ascii="Times New Roman" w:hAnsi="Times New Roman" w:cs="Times New Roman"/>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21"/>
              <w:jc w:val="center"/>
              <w:rPr>
                <w:rFonts w:ascii="Times New Roman" w:hAnsi="Times New Roman" w:cs="Times New Roman"/>
                <w:color w:val="auto"/>
                <w:kern w:val="2"/>
              </w:rPr>
            </w:pPr>
          </w:p>
        </w:tc>
        <w:tc>
          <w:tcPr>
            <w:tcW w:w="4412" w:type="dxa"/>
          </w:tcPr>
          <w:p>
            <w:pPr>
              <w:pStyle w:val="121"/>
              <w:jc w:val="center"/>
              <w:rPr>
                <w:rFonts w:ascii="Times New Roman" w:hAnsi="Times New Roman" w:cs="Times New Roman"/>
                <w:color w:val="auto"/>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69" w:type="dxa"/>
          </w:tcPr>
          <w:p>
            <w:pPr>
              <w:pStyle w:val="121"/>
              <w:jc w:val="center"/>
              <w:rPr>
                <w:rFonts w:ascii="Times New Roman" w:hAnsi="Times New Roman" w:cs="Times New Roman"/>
                <w:color w:val="auto"/>
                <w:kern w:val="2"/>
                <w:sz w:val="21"/>
                <w:szCs w:val="21"/>
              </w:rPr>
            </w:pPr>
          </w:p>
        </w:tc>
        <w:tc>
          <w:tcPr>
            <w:tcW w:w="4412" w:type="dxa"/>
          </w:tcPr>
          <w:p>
            <w:pPr>
              <w:pStyle w:val="121"/>
              <w:jc w:val="center"/>
              <w:rPr>
                <w:rFonts w:ascii="Times New Roman" w:hAnsi="Times New Roman" w:cs="Times New Roman"/>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21"/>
              <w:jc w:val="center"/>
              <w:rPr>
                <w:rFonts w:ascii="Times New Roman" w:hAnsi="Times New Roman" w:cs="Times New Roman"/>
                <w:color w:val="auto"/>
                <w:kern w:val="2"/>
              </w:rPr>
            </w:pPr>
          </w:p>
        </w:tc>
        <w:tc>
          <w:tcPr>
            <w:tcW w:w="4412" w:type="dxa"/>
          </w:tcPr>
          <w:p>
            <w:pPr>
              <w:pStyle w:val="121"/>
              <w:jc w:val="center"/>
              <w:rPr>
                <w:rFonts w:ascii="Times New Roman" w:hAnsi="Times New Roman" w:cs="Times New Roman"/>
                <w:color w:val="auto"/>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21"/>
              <w:jc w:val="center"/>
              <w:rPr>
                <w:rFonts w:ascii="Times New Roman" w:hAnsi="Times New Roman" w:cs="Times New Roman"/>
                <w:color w:val="auto"/>
                <w:kern w:val="2"/>
                <w:sz w:val="21"/>
                <w:szCs w:val="21"/>
              </w:rPr>
            </w:pPr>
          </w:p>
        </w:tc>
        <w:tc>
          <w:tcPr>
            <w:tcW w:w="4412" w:type="dxa"/>
          </w:tcPr>
          <w:p>
            <w:pPr>
              <w:pStyle w:val="121"/>
              <w:jc w:val="center"/>
              <w:rPr>
                <w:rFonts w:ascii="Times New Roman" w:hAnsi="Times New Roman" w:cs="Times New Roman"/>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21"/>
              <w:jc w:val="center"/>
              <w:rPr>
                <w:rFonts w:ascii="Times New Roman" w:hAnsi="Times New Roman" w:cs="Times New Roman"/>
                <w:color w:val="auto"/>
                <w:kern w:val="2"/>
              </w:rPr>
            </w:pPr>
          </w:p>
        </w:tc>
        <w:tc>
          <w:tcPr>
            <w:tcW w:w="4412" w:type="dxa"/>
          </w:tcPr>
          <w:p>
            <w:pPr>
              <w:pStyle w:val="121"/>
              <w:jc w:val="center"/>
              <w:rPr>
                <w:rFonts w:ascii="Times New Roman" w:hAnsi="Times New Roman" w:cs="Times New Roman"/>
                <w:color w:val="auto"/>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21"/>
              <w:jc w:val="center"/>
              <w:rPr>
                <w:rFonts w:ascii="Times New Roman" w:hAnsi="Times New Roman" w:cs="Times New Roman"/>
                <w:color w:val="auto"/>
                <w:kern w:val="2"/>
                <w:sz w:val="21"/>
                <w:szCs w:val="21"/>
              </w:rPr>
            </w:pPr>
          </w:p>
        </w:tc>
        <w:tc>
          <w:tcPr>
            <w:tcW w:w="4412" w:type="dxa"/>
          </w:tcPr>
          <w:p>
            <w:pPr>
              <w:pStyle w:val="121"/>
              <w:jc w:val="center"/>
              <w:rPr>
                <w:rFonts w:ascii="Times New Roman" w:hAnsi="Times New Roman" w:cs="Times New Roman"/>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21"/>
              <w:jc w:val="center"/>
              <w:rPr>
                <w:rFonts w:ascii="Times New Roman" w:hAnsi="Times New Roman" w:cs="Times New Roman"/>
                <w:color w:val="auto"/>
                <w:spacing w:val="-4"/>
                <w:kern w:val="2"/>
                <w:sz w:val="21"/>
                <w:szCs w:val="21"/>
              </w:rPr>
            </w:pPr>
          </w:p>
        </w:tc>
        <w:tc>
          <w:tcPr>
            <w:tcW w:w="4412" w:type="dxa"/>
          </w:tcPr>
          <w:p>
            <w:pPr>
              <w:pStyle w:val="121"/>
              <w:jc w:val="center"/>
              <w:rPr>
                <w:rFonts w:ascii="Times New Roman" w:hAnsi="Times New Roman" w:cs="Times New Roman"/>
                <w:color w:val="auto"/>
                <w:spacing w:val="-4"/>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21"/>
              <w:jc w:val="center"/>
              <w:rPr>
                <w:rFonts w:ascii="Times New Roman" w:hAnsi="Times New Roman" w:cs="Times New Roman"/>
                <w:color w:val="auto"/>
                <w:kern w:val="2"/>
                <w:sz w:val="21"/>
                <w:szCs w:val="21"/>
              </w:rPr>
            </w:pPr>
          </w:p>
        </w:tc>
        <w:tc>
          <w:tcPr>
            <w:tcW w:w="4412" w:type="dxa"/>
          </w:tcPr>
          <w:p>
            <w:pPr>
              <w:pStyle w:val="121"/>
              <w:jc w:val="center"/>
              <w:rPr>
                <w:rFonts w:ascii="Times New Roman" w:hAnsi="Times New Roman" w:cs="Times New Roman"/>
                <w:color w:val="auto"/>
                <w:kern w:val="2"/>
                <w:sz w:val="21"/>
                <w:szCs w:val="21"/>
              </w:rPr>
            </w:pPr>
          </w:p>
        </w:tc>
      </w:tr>
    </w:tbl>
    <w:p>
      <w:pPr>
        <w:pStyle w:val="114"/>
        <w:ind w:firstLine="444"/>
        <w:rPr>
          <w:spacing w:val="-9"/>
          <w:szCs w:val="24"/>
        </w:rPr>
      </w:pPr>
      <w:r>
        <w:rPr>
          <w:spacing w:val="-9"/>
          <w:szCs w:val="24"/>
        </w:rPr>
        <w:t>评价范围陆生植被样方记录表如下：</w:t>
      </w:r>
    </w:p>
    <w:p>
      <w:pPr>
        <w:pStyle w:val="114"/>
        <w:ind w:firstLine="444"/>
        <w:rPr>
          <w:spacing w:val="-9"/>
          <w:szCs w:val="24"/>
        </w:rPr>
      </w:pPr>
    </w:p>
    <w:p>
      <w:pPr>
        <w:pStyle w:val="114"/>
        <w:ind w:firstLine="444"/>
        <w:rPr>
          <w:spacing w:val="-9"/>
          <w:szCs w:val="24"/>
        </w:rPr>
      </w:pPr>
    </w:p>
    <w:p>
      <w:pPr>
        <w:pStyle w:val="114"/>
        <w:ind w:firstLine="444"/>
        <w:rPr>
          <w:spacing w:val="-9"/>
          <w:szCs w:val="24"/>
        </w:rPr>
      </w:pPr>
    </w:p>
    <w:p>
      <w:pPr>
        <w:pStyle w:val="114"/>
        <w:ind w:firstLine="444"/>
        <w:rPr>
          <w:spacing w:val="-9"/>
          <w:szCs w:val="24"/>
        </w:rPr>
      </w:pPr>
    </w:p>
    <w:p>
      <w:pPr>
        <w:topLinePunct w:val="0"/>
        <w:adjustRightInd/>
        <w:spacing w:line="500" w:lineRule="exact"/>
        <w:ind w:left="60" w:right="100" w:firstLine="482" w:firstLineChars="0"/>
        <w:jc w:val="center"/>
        <w:rPr>
          <w:rFonts w:ascii="Times New Roman" w:cs="Times New Roman"/>
          <w:b/>
          <w:kern w:val="2"/>
          <w:sz w:val="21"/>
          <w:szCs w:val="20"/>
        </w:rPr>
      </w:pPr>
      <w:r>
        <w:rPr>
          <w:rFonts w:ascii="Times New Roman" w:cs="Times New Roman"/>
          <w:b/>
          <w:kern w:val="2"/>
          <w:sz w:val="21"/>
          <w:szCs w:val="20"/>
        </w:rPr>
        <w:t>样方1 马尾松</w:t>
      </w:r>
      <w:r>
        <w:rPr>
          <w:rFonts w:hint="eastAsia" w:ascii="Times New Roman" w:cs="Times New Roman"/>
          <w:b/>
          <w:kern w:val="2"/>
          <w:sz w:val="21"/>
          <w:szCs w:val="20"/>
        </w:rPr>
        <w:t>、柏木混交</w:t>
      </w:r>
      <w:r>
        <w:rPr>
          <w:rFonts w:ascii="Times New Roman" w:cs="Times New Roman"/>
          <w:b/>
          <w:kern w:val="2"/>
          <w:sz w:val="21"/>
          <w:szCs w:val="20"/>
        </w:rPr>
        <w:t>群落样方表</w:t>
      </w:r>
    </w:p>
    <w:tbl>
      <w:tblPr>
        <w:tblStyle w:val="59"/>
        <w:tblW w:w="4850" w:type="pct"/>
        <w:jc w:val="center"/>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8"/>
        <w:gridCol w:w="2687"/>
        <w:gridCol w:w="838"/>
        <w:gridCol w:w="562"/>
        <w:gridCol w:w="850"/>
        <w:gridCol w:w="750"/>
        <w:gridCol w:w="605"/>
        <w:gridCol w:w="370"/>
        <w:gridCol w:w="741"/>
        <w:gridCol w:w="693"/>
      </w:tblGrid>
      <w:tr>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63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坐标</w:t>
            </w: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83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海拔（m）</w:t>
            </w:r>
          </w:p>
        </w:tc>
        <w:tc>
          <w:tcPr>
            <w:tcW w:w="562"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826</w:t>
            </w:r>
          </w:p>
        </w:tc>
        <w:tc>
          <w:tcPr>
            <w:tcW w:w="8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土壤类型</w:t>
            </w:r>
          </w:p>
        </w:tc>
        <w:tc>
          <w:tcPr>
            <w:tcW w:w="7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壤土</w:t>
            </w:r>
          </w:p>
        </w:tc>
        <w:tc>
          <w:tcPr>
            <w:tcW w:w="60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坡度</w:t>
            </w:r>
          </w:p>
        </w:tc>
        <w:tc>
          <w:tcPr>
            <w:tcW w:w="37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7</w:t>
            </w:r>
          </w:p>
        </w:tc>
        <w:tc>
          <w:tcPr>
            <w:tcW w:w="741"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坡向</w:t>
            </w: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ES</w:t>
            </w:r>
          </w:p>
        </w:tc>
      </w:tr>
      <w:tr>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38"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中文名（拉丁名）</w:t>
            </w:r>
          </w:p>
        </w:tc>
        <w:tc>
          <w:tcPr>
            <w:tcW w:w="2250"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平均高度m</w:t>
            </w:r>
          </w:p>
        </w:tc>
        <w:tc>
          <w:tcPr>
            <w:tcW w:w="7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株数/多度</w:t>
            </w:r>
          </w:p>
        </w:tc>
        <w:tc>
          <w:tcPr>
            <w:tcW w:w="975"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平均胸径cm</w:t>
            </w:r>
          </w:p>
        </w:tc>
        <w:tc>
          <w:tcPr>
            <w:tcW w:w="741"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冠幅</w:t>
            </w: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茂盛</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度</w:t>
            </w:r>
          </w:p>
        </w:tc>
      </w:tr>
      <w:tr>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38"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乔木层</w:t>
            </w: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马尾松（</w:t>
            </w:r>
            <w:r>
              <w:rPr>
                <w:rFonts w:ascii="Times New Roman" w:cs="Times New Roman"/>
                <w:i/>
                <w:iCs/>
                <w:kern w:val="2"/>
                <w:sz w:val="21"/>
                <w:szCs w:val="21"/>
              </w:rPr>
              <w:t>Pinus massoniana</w:t>
            </w:r>
            <w:r>
              <w:rPr>
                <w:rFonts w:ascii="Times New Roman" w:cs="Times New Roman"/>
                <w:kern w:val="2"/>
                <w:sz w:val="21"/>
                <w:szCs w:val="21"/>
              </w:rPr>
              <w:t>）</w:t>
            </w:r>
          </w:p>
        </w:tc>
        <w:tc>
          <w:tcPr>
            <w:tcW w:w="2250"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14</w:t>
            </w:r>
          </w:p>
        </w:tc>
        <w:tc>
          <w:tcPr>
            <w:tcW w:w="7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24</w:t>
            </w:r>
          </w:p>
        </w:tc>
        <w:tc>
          <w:tcPr>
            <w:tcW w:w="975"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13</w:t>
            </w:r>
          </w:p>
        </w:tc>
        <w:tc>
          <w:tcPr>
            <w:tcW w:w="741"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4*3</w:t>
            </w: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38"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柏木（</w:t>
            </w:r>
            <w:r>
              <w:rPr>
                <w:rFonts w:ascii="Times New Roman" w:cs="Times New Roman"/>
                <w:i/>
                <w:kern w:val="2"/>
                <w:sz w:val="21"/>
                <w:szCs w:val="21"/>
              </w:rPr>
              <w:t>Form. Cupressus funebris</w:t>
            </w:r>
            <w:r>
              <w:rPr>
                <w:rFonts w:ascii="Times New Roman" w:cs="Times New Roman"/>
                <w:kern w:val="2"/>
                <w:sz w:val="21"/>
                <w:szCs w:val="21"/>
              </w:rPr>
              <w:t>）</w:t>
            </w:r>
          </w:p>
        </w:tc>
        <w:tc>
          <w:tcPr>
            <w:tcW w:w="2250"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11</w:t>
            </w:r>
          </w:p>
        </w:tc>
        <w:tc>
          <w:tcPr>
            <w:tcW w:w="7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9</w:t>
            </w:r>
          </w:p>
        </w:tc>
        <w:tc>
          <w:tcPr>
            <w:tcW w:w="975"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0.3</w:t>
            </w:r>
          </w:p>
        </w:tc>
        <w:tc>
          <w:tcPr>
            <w:tcW w:w="741"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1.5*1.5</w:t>
            </w: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盛</w:t>
            </w:r>
          </w:p>
        </w:tc>
      </w:tr>
      <w:tr>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38"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灌木层</w:t>
            </w: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铁仔（</w:t>
            </w:r>
            <w:r>
              <w:rPr>
                <w:rFonts w:ascii="Times New Roman" w:cs="Times New Roman"/>
                <w:i/>
                <w:iCs/>
                <w:kern w:val="2"/>
                <w:sz w:val="21"/>
                <w:szCs w:val="21"/>
              </w:rPr>
              <w:t>Myrsine africana</w:t>
            </w:r>
            <w:r>
              <w:rPr>
                <w:rFonts w:ascii="Times New Roman" w:cs="Times New Roman"/>
                <w:kern w:val="2"/>
                <w:sz w:val="21"/>
                <w:szCs w:val="21"/>
              </w:rPr>
              <w:t>）</w:t>
            </w:r>
          </w:p>
        </w:tc>
        <w:tc>
          <w:tcPr>
            <w:tcW w:w="2250"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1.5</w:t>
            </w:r>
          </w:p>
        </w:tc>
        <w:tc>
          <w:tcPr>
            <w:tcW w:w="7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14</w:t>
            </w:r>
          </w:p>
        </w:tc>
        <w:tc>
          <w:tcPr>
            <w:tcW w:w="975"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1.4</w:t>
            </w:r>
          </w:p>
        </w:tc>
        <w:tc>
          <w:tcPr>
            <w:tcW w:w="741"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38"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小果蔷薇（</w:t>
            </w:r>
            <w:r>
              <w:rPr>
                <w:rFonts w:ascii="Times New Roman" w:cs="Times New Roman"/>
                <w:i/>
                <w:iCs/>
                <w:kern w:val="2"/>
                <w:sz w:val="21"/>
                <w:szCs w:val="21"/>
              </w:rPr>
              <w:t>Rosa cymosa</w:t>
            </w:r>
            <w:r>
              <w:rPr>
                <w:rFonts w:ascii="Times New Roman" w:cs="Times New Roman"/>
                <w:kern w:val="2"/>
                <w:sz w:val="21"/>
                <w:szCs w:val="21"/>
              </w:rPr>
              <w:t>）</w:t>
            </w:r>
          </w:p>
        </w:tc>
        <w:tc>
          <w:tcPr>
            <w:tcW w:w="2250"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1.0</w:t>
            </w:r>
          </w:p>
        </w:tc>
        <w:tc>
          <w:tcPr>
            <w:tcW w:w="7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10</w:t>
            </w:r>
          </w:p>
        </w:tc>
        <w:tc>
          <w:tcPr>
            <w:tcW w:w="975"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1.4</w:t>
            </w:r>
          </w:p>
        </w:tc>
        <w:tc>
          <w:tcPr>
            <w:tcW w:w="741"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38"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乌泡子（</w:t>
            </w:r>
            <w:r>
              <w:rPr>
                <w:rFonts w:ascii="Times New Roman" w:cs="Times New Roman"/>
                <w:i/>
                <w:iCs/>
                <w:kern w:val="2"/>
                <w:sz w:val="21"/>
                <w:szCs w:val="21"/>
              </w:rPr>
              <w:t>Rubus parkeri</w:t>
            </w:r>
            <w:r>
              <w:rPr>
                <w:rFonts w:ascii="Times New Roman" w:cs="Times New Roman"/>
                <w:kern w:val="2"/>
                <w:sz w:val="21"/>
                <w:szCs w:val="21"/>
              </w:rPr>
              <w:t>）</w:t>
            </w:r>
          </w:p>
        </w:tc>
        <w:tc>
          <w:tcPr>
            <w:tcW w:w="2250"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1.2</w:t>
            </w:r>
          </w:p>
        </w:tc>
        <w:tc>
          <w:tcPr>
            <w:tcW w:w="7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8</w:t>
            </w:r>
          </w:p>
        </w:tc>
        <w:tc>
          <w:tcPr>
            <w:tcW w:w="975"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1.0</w:t>
            </w:r>
          </w:p>
        </w:tc>
        <w:tc>
          <w:tcPr>
            <w:tcW w:w="741"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38"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金山荚蒾（</w:t>
            </w:r>
            <w:r>
              <w:rPr>
                <w:rFonts w:ascii="Times New Roman" w:cs="Times New Roman"/>
                <w:i/>
                <w:iCs/>
                <w:kern w:val="2"/>
                <w:sz w:val="21"/>
                <w:szCs w:val="21"/>
              </w:rPr>
              <w:t>Viburnum chinshanense</w:t>
            </w:r>
            <w:r>
              <w:rPr>
                <w:rFonts w:ascii="Times New Roman" w:cs="Times New Roman"/>
                <w:kern w:val="2"/>
                <w:sz w:val="21"/>
                <w:szCs w:val="21"/>
              </w:rPr>
              <w:t>）</w:t>
            </w:r>
          </w:p>
        </w:tc>
        <w:tc>
          <w:tcPr>
            <w:tcW w:w="2250"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1.4</w:t>
            </w:r>
          </w:p>
        </w:tc>
        <w:tc>
          <w:tcPr>
            <w:tcW w:w="7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4</w:t>
            </w:r>
          </w:p>
        </w:tc>
        <w:tc>
          <w:tcPr>
            <w:tcW w:w="975"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1.2</w:t>
            </w:r>
          </w:p>
        </w:tc>
        <w:tc>
          <w:tcPr>
            <w:tcW w:w="741"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w:t>
            </w:r>
          </w:p>
        </w:tc>
      </w:tr>
      <w:tr>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38"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草本层</w:t>
            </w: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白茅</w:t>
            </w:r>
            <w:r>
              <w:rPr>
                <w:rFonts w:ascii="Times New Roman" w:cs="Times New Roman"/>
                <w:bCs/>
                <w:i/>
                <w:iCs/>
                <w:kern w:val="2"/>
                <w:sz w:val="21"/>
                <w:szCs w:val="21"/>
              </w:rPr>
              <w:t>Imperata cylindrica.</w:t>
            </w:r>
          </w:p>
        </w:tc>
        <w:tc>
          <w:tcPr>
            <w:tcW w:w="2250"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0.6</w:t>
            </w:r>
          </w:p>
        </w:tc>
        <w:tc>
          <w:tcPr>
            <w:tcW w:w="7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Soc</w:t>
            </w:r>
          </w:p>
        </w:tc>
        <w:tc>
          <w:tcPr>
            <w:tcW w:w="975"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1"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38"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五节芒</w:t>
            </w:r>
            <w:r>
              <w:rPr>
                <w:rFonts w:ascii="Times New Roman" w:cs="Times New Roman"/>
                <w:bCs/>
                <w:i/>
                <w:iCs/>
                <w:kern w:val="2"/>
                <w:sz w:val="21"/>
                <w:szCs w:val="21"/>
              </w:rPr>
              <w:t>Miscanthus floridulus</w:t>
            </w:r>
          </w:p>
        </w:tc>
        <w:tc>
          <w:tcPr>
            <w:tcW w:w="2250"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0.40</w:t>
            </w:r>
          </w:p>
        </w:tc>
        <w:tc>
          <w:tcPr>
            <w:tcW w:w="7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Cop</w:t>
            </w:r>
            <w:r>
              <w:rPr>
                <w:rFonts w:ascii="Times New Roman" w:cs="Times New Roman"/>
                <w:bCs/>
                <w:kern w:val="2"/>
                <w:sz w:val="21"/>
                <w:szCs w:val="21"/>
                <w:vertAlign w:val="subscript"/>
              </w:rPr>
              <w:t>1</w:t>
            </w:r>
          </w:p>
        </w:tc>
        <w:tc>
          <w:tcPr>
            <w:tcW w:w="975"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1"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38"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芒</w:t>
            </w:r>
            <w:r>
              <w:rPr>
                <w:rFonts w:ascii="Times New Roman" w:cs="Times New Roman"/>
                <w:bCs/>
                <w:i/>
                <w:iCs/>
                <w:kern w:val="2"/>
                <w:sz w:val="21"/>
                <w:szCs w:val="21"/>
              </w:rPr>
              <w:t>Miscanthus sinensis</w:t>
            </w:r>
          </w:p>
        </w:tc>
        <w:tc>
          <w:tcPr>
            <w:tcW w:w="2250"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0.25</w:t>
            </w:r>
          </w:p>
        </w:tc>
        <w:tc>
          <w:tcPr>
            <w:tcW w:w="7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Sp.</w:t>
            </w:r>
          </w:p>
        </w:tc>
        <w:tc>
          <w:tcPr>
            <w:tcW w:w="975"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1"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bl>
    <w:p>
      <w:pPr>
        <w:topLinePunct w:val="0"/>
        <w:adjustRightInd/>
        <w:spacing w:line="500" w:lineRule="exact"/>
        <w:ind w:left="60" w:right="100" w:firstLine="482" w:firstLineChars="0"/>
        <w:jc w:val="center"/>
        <w:rPr>
          <w:rFonts w:ascii="Times New Roman" w:cs="Times New Roman"/>
          <w:b/>
          <w:kern w:val="2"/>
          <w:sz w:val="21"/>
          <w:szCs w:val="20"/>
        </w:rPr>
      </w:pPr>
      <w:r>
        <w:rPr>
          <w:rFonts w:ascii="Times New Roman" w:cs="Times New Roman"/>
          <w:b/>
          <w:kern w:val="2"/>
          <w:sz w:val="21"/>
          <w:szCs w:val="20"/>
        </w:rPr>
        <w:t>样方2 柏木</w:t>
      </w:r>
      <w:r>
        <w:rPr>
          <w:rFonts w:hint="eastAsia" w:ascii="Times New Roman" w:cs="Times New Roman"/>
          <w:b/>
          <w:kern w:val="2"/>
          <w:sz w:val="21"/>
          <w:szCs w:val="20"/>
        </w:rPr>
        <w:t>、青冈混交</w:t>
      </w:r>
      <w:r>
        <w:rPr>
          <w:rFonts w:ascii="Times New Roman" w:cs="Times New Roman"/>
          <w:b/>
          <w:kern w:val="2"/>
          <w:sz w:val="21"/>
          <w:szCs w:val="20"/>
        </w:rPr>
        <w:t>群落样方表</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8"/>
        <w:gridCol w:w="2700"/>
        <w:gridCol w:w="825"/>
        <w:gridCol w:w="562"/>
        <w:gridCol w:w="813"/>
        <w:gridCol w:w="737"/>
        <w:gridCol w:w="575"/>
        <w:gridCol w:w="425"/>
        <w:gridCol w:w="766"/>
        <w:gridCol w:w="6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63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坐标</w:t>
            </w:r>
          </w:p>
        </w:tc>
        <w:tc>
          <w:tcPr>
            <w:tcW w:w="2700"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8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海拔（m）</w:t>
            </w:r>
          </w:p>
        </w:tc>
        <w:tc>
          <w:tcPr>
            <w:tcW w:w="562"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720</w:t>
            </w:r>
          </w:p>
        </w:tc>
        <w:tc>
          <w:tcPr>
            <w:tcW w:w="81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土壤类型</w:t>
            </w:r>
          </w:p>
        </w:tc>
        <w:tc>
          <w:tcPr>
            <w:tcW w:w="737" w:type="dxa"/>
            <w:vAlign w:val="center"/>
          </w:tcPr>
          <w:p>
            <w:pPr>
              <w:topLinePunct w:val="0"/>
              <w:adjustRightInd/>
              <w:spacing w:line="240" w:lineRule="auto"/>
              <w:ind w:firstLine="0" w:firstLineChars="0"/>
              <w:rPr>
                <w:rFonts w:ascii="Times New Roman" w:cs="Times New Roman"/>
                <w:bCs/>
                <w:kern w:val="2"/>
                <w:sz w:val="21"/>
                <w:szCs w:val="21"/>
              </w:rPr>
            </w:pPr>
            <w:r>
              <w:rPr>
                <w:rFonts w:ascii="Times New Roman" w:cs="Times New Roman"/>
                <w:bCs/>
                <w:kern w:val="2"/>
                <w:sz w:val="21"/>
                <w:szCs w:val="21"/>
              </w:rPr>
              <w:t>碱性土</w:t>
            </w:r>
          </w:p>
        </w:tc>
        <w:tc>
          <w:tcPr>
            <w:tcW w:w="57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坡度</w:t>
            </w:r>
          </w:p>
        </w:tc>
        <w:tc>
          <w:tcPr>
            <w:tcW w:w="4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12</w:t>
            </w:r>
          </w:p>
        </w:tc>
        <w:tc>
          <w:tcPr>
            <w:tcW w:w="766"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坡向</w:t>
            </w: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38"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中文名（拉丁名）</w:t>
            </w:r>
          </w:p>
        </w:tc>
        <w:tc>
          <w:tcPr>
            <w:tcW w:w="2200"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平均高度m</w:t>
            </w:r>
          </w:p>
        </w:tc>
        <w:tc>
          <w:tcPr>
            <w:tcW w:w="73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株数/多度</w:t>
            </w:r>
          </w:p>
        </w:tc>
        <w:tc>
          <w:tcPr>
            <w:tcW w:w="1000"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平均胸径cm</w:t>
            </w:r>
          </w:p>
        </w:tc>
        <w:tc>
          <w:tcPr>
            <w:tcW w:w="766"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冠幅</w:t>
            </w: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茂盛</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38"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乔木层</w:t>
            </w:r>
          </w:p>
        </w:tc>
        <w:tc>
          <w:tcPr>
            <w:tcW w:w="2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柏木（</w:t>
            </w:r>
            <w:r>
              <w:rPr>
                <w:rFonts w:ascii="Times New Roman" w:cs="Times New Roman"/>
                <w:i/>
                <w:kern w:val="2"/>
                <w:sz w:val="21"/>
                <w:szCs w:val="21"/>
              </w:rPr>
              <w:t>Form. Cupressus funebris</w:t>
            </w:r>
            <w:r>
              <w:rPr>
                <w:rFonts w:ascii="Times New Roman" w:cs="Times New Roman"/>
                <w:kern w:val="2"/>
                <w:sz w:val="21"/>
                <w:szCs w:val="21"/>
              </w:rPr>
              <w:t>）</w:t>
            </w:r>
          </w:p>
        </w:tc>
        <w:tc>
          <w:tcPr>
            <w:tcW w:w="2200"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11</w:t>
            </w:r>
          </w:p>
        </w:tc>
        <w:tc>
          <w:tcPr>
            <w:tcW w:w="73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w:t>
            </w:r>
            <w:r>
              <w:rPr>
                <w:rFonts w:hint="eastAsia" w:ascii="Times New Roman" w:cs="Times New Roman"/>
                <w:bCs/>
                <w:kern w:val="2"/>
                <w:sz w:val="21"/>
                <w:szCs w:val="21"/>
              </w:rPr>
              <w:t>3</w:t>
            </w:r>
          </w:p>
        </w:tc>
        <w:tc>
          <w:tcPr>
            <w:tcW w:w="1000"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12</w:t>
            </w:r>
          </w:p>
        </w:tc>
        <w:tc>
          <w:tcPr>
            <w:tcW w:w="766"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2*2</w:t>
            </w: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38"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700"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青冈（</w:t>
            </w:r>
            <w:r>
              <w:rPr>
                <w:rFonts w:ascii="Times New Roman" w:cs="Times New Roman"/>
                <w:i/>
                <w:iCs/>
                <w:kern w:val="2"/>
                <w:sz w:val="21"/>
                <w:szCs w:val="21"/>
              </w:rPr>
              <w:t>TCyclobalanopsis glauca(Thunb.)Oerst</w:t>
            </w:r>
            <w:r>
              <w:rPr>
                <w:rFonts w:ascii="Times New Roman" w:cs="Times New Roman"/>
                <w:kern w:val="2"/>
                <w:sz w:val="21"/>
                <w:szCs w:val="21"/>
              </w:rPr>
              <w:t>.</w:t>
            </w:r>
            <w:r>
              <w:rPr>
                <w:rFonts w:ascii="Times New Roman" w:cs="Times New Roman"/>
                <w:i/>
                <w:iCs/>
                <w:kern w:val="2"/>
                <w:sz w:val="21"/>
                <w:szCs w:val="21"/>
              </w:rPr>
              <w:t>）</w:t>
            </w:r>
          </w:p>
        </w:tc>
        <w:tc>
          <w:tcPr>
            <w:tcW w:w="2200"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12</w:t>
            </w:r>
          </w:p>
        </w:tc>
        <w:tc>
          <w:tcPr>
            <w:tcW w:w="73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4</w:t>
            </w:r>
          </w:p>
        </w:tc>
        <w:tc>
          <w:tcPr>
            <w:tcW w:w="1000"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10</w:t>
            </w:r>
          </w:p>
        </w:tc>
        <w:tc>
          <w:tcPr>
            <w:tcW w:w="766"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3*4</w:t>
            </w: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38"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灌木层</w:t>
            </w:r>
          </w:p>
        </w:tc>
        <w:tc>
          <w:tcPr>
            <w:tcW w:w="2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白栎（</w:t>
            </w:r>
            <w:r>
              <w:rPr>
                <w:rFonts w:ascii="Times New Roman" w:cs="Times New Roman"/>
                <w:i/>
                <w:iCs/>
                <w:kern w:val="2"/>
                <w:sz w:val="21"/>
                <w:szCs w:val="21"/>
              </w:rPr>
              <w:t>Quercus fabri</w:t>
            </w:r>
            <w:r>
              <w:rPr>
                <w:rFonts w:ascii="Times New Roman" w:cs="Times New Roman"/>
                <w:kern w:val="2"/>
                <w:sz w:val="21"/>
                <w:szCs w:val="21"/>
              </w:rPr>
              <w:t>）</w:t>
            </w:r>
          </w:p>
        </w:tc>
        <w:tc>
          <w:tcPr>
            <w:tcW w:w="2200"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1.4</w:t>
            </w:r>
          </w:p>
        </w:tc>
        <w:tc>
          <w:tcPr>
            <w:tcW w:w="73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9</w:t>
            </w:r>
          </w:p>
        </w:tc>
        <w:tc>
          <w:tcPr>
            <w:tcW w:w="1000"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0.3</w:t>
            </w:r>
          </w:p>
        </w:tc>
        <w:tc>
          <w:tcPr>
            <w:tcW w:w="766"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1.5*1.5</w:t>
            </w: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38"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盐肤木（</w:t>
            </w:r>
            <w:r>
              <w:rPr>
                <w:rFonts w:ascii="Times New Roman" w:cs="Times New Roman"/>
                <w:i/>
                <w:iCs/>
                <w:kern w:val="2"/>
                <w:sz w:val="21"/>
                <w:szCs w:val="21"/>
              </w:rPr>
              <w:t>Rhus chinensis</w:t>
            </w:r>
            <w:r>
              <w:rPr>
                <w:rFonts w:ascii="Times New Roman" w:cs="Times New Roman"/>
                <w:kern w:val="2"/>
                <w:sz w:val="21"/>
                <w:szCs w:val="21"/>
              </w:rPr>
              <w:t>）</w:t>
            </w:r>
          </w:p>
        </w:tc>
        <w:tc>
          <w:tcPr>
            <w:tcW w:w="2200"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7</w:t>
            </w:r>
          </w:p>
        </w:tc>
        <w:tc>
          <w:tcPr>
            <w:tcW w:w="73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7</w:t>
            </w:r>
          </w:p>
        </w:tc>
        <w:tc>
          <w:tcPr>
            <w:tcW w:w="1000"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1.5</w:t>
            </w:r>
          </w:p>
        </w:tc>
        <w:tc>
          <w:tcPr>
            <w:tcW w:w="766"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38"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马桑（</w:t>
            </w:r>
            <w:r>
              <w:rPr>
                <w:rFonts w:ascii="Times New Roman" w:cs="Times New Roman"/>
                <w:i/>
                <w:iCs/>
                <w:kern w:val="2"/>
                <w:sz w:val="21"/>
                <w:szCs w:val="21"/>
              </w:rPr>
              <w:t>Coriaria nepalensis</w:t>
            </w:r>
            <w:r>
              <w:rPr>
                <w:rFonts w:ascii="Times New Roman" w:cs="Times New Roman"/>
                <w:kern w:val="2"/>
                <w:sz w:val="21"/>
                <w:szCs w:val="21"/>
              </w:rPr>
              <w:t>）</w:t>
            </w:r>
          </w:p>
        </w:tc>
        <w:tc>
          <w:tcPr>
            <w:tcW w:w="2200"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1.2</w:t>
            </w:r>
          </w:p>
        </w:tc>
        <w:tc>
          <w:tcPr>
            <w:tcW w:w="73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8</w:t>
            </w:r>
          </w:p>
        </w:tc>
        <w:tc>
          <w:tcPr>
            <w:tcW w:w="1000"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1.0</w:t>
            </w:r>
          </w:p>
        </w:tc>
        <w:tc>
          <w:tcPr>
            <w:tcW w:w="766"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38"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胡枝子</w:t>
            </w:r>
            <w:r>
              <w:rPr>
                <w:rFonts w:ascii="Times New Roman" w:cs="Times New Roman"/>
                <w:i/>
                <w:iCs/>
                <w:kern w:val="2"/>
                <w:sz w:val="21"/>
                <w:szCs w:val="21"/>
              </w:rPr>
              <w:t>（Lespedeza bicolour</w:t>
            </w:r>
            <w:r>
              <w:rPr>
                <w:rFonts w:ascii="Times New Roman" w:cs="Times New Roman"/>
                <w:kern w:val="2"/>
                <w:sz w:val="21"/>
                <w:szCs w:val="21"/>
              </w:rPr>
              <w:t>）</w:t>
            </w:r>
          </w:p>
        </w:tc>
        <w:tc>
          <w:tcPr>
            <w:tcW w:w="2200"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1.2</w:t>
            </w:r>
          </w:p>
        </w:tc>
        <w:tc>
          <w:tcPr>
            <w:tcW w:w="73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8</w:t>
            </w:r>
          </w:p>
        </w:tc>
        <w:tc>
          <w:tcPr>
            <w:tcW w:w="1000"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2.0</w:t>
            </w:r>
          </w:p>
        </w:tc>
        <w:tc>
          <w:tcPr>
            <w:tcW w:w="766"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38"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铁仔（</w:t>
            </w:r>
            <w:r>
              <w:rPr>
                <w:rFonts w:ascii="Times New Roman" w:cs="Times New Roman"/>
                <w:i/>
                <w:iCs/>
                <w:kern w:val="2"/>
                <w:sz w:val="21"/>
                <w:szCs w:val="21"/>
              </w:rPr>
              <w:t>Myrsine africana</w:t>
            </w:r>
            <w:r>
              <w:rPr>
                <w:rFonts w:ascii="Times New Roman" w:cs="Times New Roman"/>
                <w:kern w:val="2"/>
                <w:sz w:val="21"/>
                <w:szCs w:val="21"/>
              </w:rPr>
              <w:t>）</w:t>
            </w:r>
          </w:p>
        </w:tc>
        <w:tc>
          <w:tcPr>
            <w:tcW w:w="2200"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1.2</w:t>
            </w:r>
          </w:p>
        </w:tc>
        <w:tc>
          <w:tcPr>
            <w:tcW w:w="73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3</w:t>
            </w:r>
          </w:p>
        </w:tc>
        <w:tc>
          <w:tcPr>
            <w:tcW w:w="1000"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1.5</w:t>
            </w:r>
          </w:p>
        </w:tc>
        <w:tc>
          <w:tcPr>
            <w:tcW w:w="766"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38"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草本层</w:t>
            </w:r>
          </w:p>
        </w:tc>
        <w:tc>
          <w:tcPr>
            <w:tcW w:w="2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黄花蒿（</w:t>
            </w:r>
            <w:r>
              <w:rPr>
                <w:rFonts w:ascii="Times New Roman" w:cs="Times New Roman"/>
                <w:i/>
                <w:iCs/>
                <w:kern w:val="2"/>
                <w:sz w:val="21"/>
                <w:szCs w:val="21"/>
              </w:rPr>
              <w:t>Artemisia annua</w:t>
            </w:r>
            <w:r>
              <w:rPr>
                <w:rFonts w:ascii="Times New Roman" w:cs="Times New Roman"/>
                <w:kern w:val="2"/>
                <w:sz w:val="21"/>
                <w:szCs w:val="21"/>
              </w:rPr>
              <w:t>）</w:t>
            </w:r>
          </w:p>
        </w:tc>
        <w:tc>
          <w:tcPr>
            <w:tcW w:w="2200"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0.95</w:t>
            </w:r>
          </w:p>
        </w:tc>
        <w:tc>
          <w:tcPr>
            <w:tcW w:w="73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Soc</w:t>
            </w:r>
          </w:p>
        </w:tc>
        <w:tc>
          <w:tcPr>
            <w:tcW w:w="1000"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66"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38"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白茅</w:t>
            </w:r>
            <w:r>
              <w:rPr>
                <w:rFonts w:ascii="Times New Roman" w:cs="Times New Roman"/>
                <w:bCs/>
                <w:i/>
                <w:iCs/>
                <w:kern w:val="2"/>
                <w:sz w:val="21"/>
                <w:szCs w:val="21"/>
              </w:rPr>
              <w:t>Imperata cylindrica.</w:t>
            </w:r>
          </w:p>
        </w:tc>
        <w:tc>
          <w:tcPr>
            <w:tcW w:w="2200"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0.55</w:t>
            </w:r>
          </w:p>
        </w:tc>
        <w:tc>
          <w:tcPr>
            <w:tcW w:w="73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Soc</w:t>
            </w:r>
          </w:p>
        </w:tc>
        <w:tc>
          <w:tcPr>
            <w:tcW w:w="1000"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66"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38"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五节芒</w:t>
            </w:r>
            <w:r>
              <w:rPr>
                <w:rFonts w:ascii="Times New Roman" w:cs="Times New Roman"/>
                <w:bCs/>
                <w:i/>
                <w:iCs/>
                <w:kern w:val="2"/>
                <w:sz w:val="21"/>
                <w:szCs w:val="21"/>
              </w:rPr>
              <w:t>Miscanthus floridulus</w:t>
            </w:r>
          </w:p>
        </w:tc>
        <w:tc>
          <w:tcPr>
            <w:tcW w:w="2200"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0.45</w:t>
            </w:r>
          </w:p>
        </w:tc>
        <w:tc>
          <w:tcPr>
            <w:tcW w:w="73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Cop</w:t>
            </w:r>
            <w:r>
              <w:rPr>
                <w:rFonts w:ascii="Times New Roman" w:cs="Times New Roman"/>
                <w:bCs/>
                <w:kern w:val="2"/>
                <w:sz w:val="21"/>
                <w:szCs w:val="21"/>
                <w:vertAlign w:val="subscript"/>
              </w:rPr>
              <w:t>1</w:t>
            </w:r>
          </w:p>
        </w:tc>
        <w:tc>
          <w:tcPr>
            <w:tcW w:w="1000"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66"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38"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芒</w:t>
            </w:r>
            <w:r>
              <w:rPr>
                <w:rFonts w:ascii="Times New Roman" w:cs="Times New Roman"/>
                <w:bCs/>
                <w:i/>
                <w:iCs/>
                <w:kern w:val="2"/>
                <w:sz w:val="21"/>
                <w:szCs w:val="21"/>
              </w:rPr>
              <w:t>Miscanthus sinensis</w:t>
            </w:r>
          </w:p>
        </w:tc>
        <w:tc>
          <w:tcPr>
            <w:tcW w:w="2200"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0.25</w:t>
            </w:r>
          </w:p>
        </w:tc>
        <w:tc>
          <w:tcPr>
            <w:tcW w:w="73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Sp.</w:t>
            </w:r>
          </w:p>
        </w:tc>
        <w:tc>
          <w:tcPr>
            <w:tcW w:w="1000"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66"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38"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700" w:type="dxa"/>
            <w:vAlign w:val="center"/>
          </w:tcPr>
          <w:p>
            <w:pPr>
              <w:topLinePunct w:val="0"/>
              <w:adjustRightInd/>
              <w:spacing w:line="240" w:lineRule="auto"/>
              <w:ind w:firstLine="0" w:firstLineChars="0"/>
              <w:rPr>
                <w:rFonts w:ascii="Times New Roman" w:cs="Times New Roman"/>
                <w:bCs/>
                <w:kern w:val="2"/>
                <w:sz w:val="21"/>
                <w:szCs w:val="21"/>
              </w:rPr>
            </w:pPr>
            <w:r>
              <w:rPr>
                <w:rFonts w:ascii="Times New Roman" w:cs="Times New Roman"/>
                <w:kern w:val="2"/>
                <w:sz w:val="21"/>
                <w:szCs w:val="21"/>
              </w:rPr>
              <w:t>三褶脉紫菀（</w:t>
            </w:r>
            <w:r>
              <w:rPr>
                <w:rFonts w:ascii="Times New Roman" w:cs="Times New Roman"/>
                <w:i/>
                <w:iCs/>
                <w:kern w:val="2"/>
                <w:sz w:val="21"/>
                <w:szCs w:val="21"/>
              </w:rPr>
              <w:t>Aster ageratoides</w:t>
            </w:r>
            <w:r>
              <w:rPr>
                <w:rFonts w:ascii="Times New Roman" w:cs="Times New Roman"/>
                <w:kern w:val="2"/>
                <w:sz w:val="21"/>
                <w:szCs w:val="21"/>
              </w:rPr>
              <w:t>）</w:t>
            </w:r>
          </w:p>
        </w:tc>
        <w:tc>
          <w:tcPr>
            <w:tcW w:w="2200"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0.6</w:t>
            </w:r>
          </w:p>
        </w:tc>
        <w:tc>
          <w:tcPr>
            <w:tcW w:w="73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Sp</w:t>
            </w:r>
          </w:p>
        </w:tc>
        <w:tc>
          <w:tcPr>
            <w:tcW w:w="1000"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66"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bl>
    <w:p>
      <w:pPr>
        <w:topLinePunct w:val="0"/>
        <w:adjustRightInd/>
        <w:spacing w:line="500" w:lineRule="exact"/>
        <w:ind w:left="60" w:right="100" w:firstLine="482" w:firstLineChars="0"/>
        <w:jc w:val="center"/>
        <w:rPr>
          <w:rFonts w:ascii="Times New Roman" w:cs="Times New Roman"/>
          <w:b/>
          <w:kern w:val="2"/>
          <w:sz w:val="21"/>
          <w:szCs w:val="20"/>
        </w:rPr>
      </w:pPr>
    </w:p>
    <w:p>
      <w:pPr>
        <w:topLinePunct w:val="0"/>
        <w:adjustRightInd/>
        <w:spacing w:line="500" w:lineRule="exact"/>
        <w:ind w:left="60" w:right="100" w:firstLine="482" w:firstLineChars="0"/>
        <w:jc w:val="center"/>
        <w:rPr>
          <w:rFonts w:ascii="Times New Roman" w:cs="Times New Roman"/>
          <w:b/>
          <w:kern w:val="2"/>
          <w:sz w:val="21"/>
          <w:szCs w:val="20"/>
        </w:rPr>
      </w:pPr>
      <w:r>
        <w:rPr>
          <w:rFonts w:ascii="Times New Roman" w:cs="Times New Roman"/>
          <w:b/>
          <w:kern w:val="2"/>
          <w:sz w:val="21"/>
          <w:szCs w:val="20"/>
        </w:rPr>
        <w:t>样方3 麻栎、青冈</w:t>
      </w:r>
      <w:r>
        <w:rPr>
          <w:rFonts w:hint="eastAsia" w:ascii="Times New Roman" w:cs="Times New Roman"/>
          <w:b/>
          <w:kern w:val="2"/>
          <w:sz w:val="21"/>
          <w:szCs w:val="20"/>
        </w:rPr>
        <w:t>混交林</w:t>
      </w:r>
      <w:r>
        <w:rPr>
          <w:rFonts w:ascii="Times New Roman" w:cs="Times New Roman"/>
          <w:b/>
          <w:kern w:val="2"/>
          <w:sz w:val="21"/>
          <w:szCs w:val="20"/>
        </w:rPr>
        <w:t>群落样方表</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2687"/>
        <w:gridCol w:w="800"/>
        <w:gridCol w:w="613"/>
        <w:gridCol w:w="762"/>
        <w:gridCol w:w="725"/>
        <w:gridCol w:w="550"/>
        <w:gridCol w:w="513"/>
        <w:gridCol w:w="728"/>
        <w:gridCol w:w="6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66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坐标</w:t>
            </w: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8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海拔（m）</w:t>
            </w:r>
          </w:p>
        </w:tc>
        <w:tc>
          <w:tcPr>
            <w:tcW w:w="61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483</w:t>
            </w:r>
          </w:p>
        </w:tc>
        <w:tc>
          <w:tcPr>
            <w:tcW w:w="762"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土壤类型</w:t>
            </w:r>
          </w:p>
        </w:tc>
        <w:tc>
          <w:tcPr>
            <w:tcW w:w="7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壤土</w:t>
            </w:r>
          </w:p>
        </w:tc>
        <w:tc>
          <w:tcPr>
            <w:tcW w:w="5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坡度</w:t>
            </w:r>
          </w:p>
        </w:tc>
        <w:tc>
          <w:tcPr>
            <w:tcW w:w="51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15</w:t>
            </w:r>
          </w:p>
        </w:tc>
        <w:tc>
          <w:tcPr>
            <w:tcW w:w="7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坡向</w:t>
            </w: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中文名（拉丁名）</w:t>
            </w:r>
          </w:p>
        </w:tc>
        <w:tc>
          <w:tcPr>
            <w:tcW w:w="217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平均高度m</w:t>
            </w:r>
          </w:p>
        </w:tc>
        <w:tc>
          <w:tcPr>
            <w:tcW w:w="7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株数/多度</w:t>
            </w:r>
          </w:p>
        </w:tc>
        <w:tc>
          <w:tcPr>
            <w:tcW w:w="106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平均胸径cm</w:t>
            </w:r>
          </w:p>
        </w:tc>
        <w:tc>
          <w:tcPr>
            <w:tcW w:w="7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冠幅</w:t>
            </w: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茂盛</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乔木层</w:t>
            </w:r>
          </w:p>
        </w:tc>
        <w:tc>
          <w:tcPr>
            <w:tcW w:w="268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麻栎（</w:t>
            </w:r>
            <w:r>
              <w:rPr>
                <w:rFonts w:ascii="Times New Roman" w:cs="Times New Roman"/>
                <w:i/>
                <w:iCs/>
                <w:kern w:val="2"/>
                <w:sz w:val="21"/>
                <w:szCs w:val="21"/>
              </w:rPr>
              <w:t>Quercus acutissima</w:t>
            </w:r>
            <w:r>
              <w:rPr>
                <w:rFonts w:ascii="Times New Roman" w:cs="Times New Roman"/>
                <w:kern w:val="2"/>
                <w:sz w:val="21"/>
                <w:szCs w:val="21"/>
              </w:rPr>
              <w:t>）</w:t>
            </w:r>
          </w:p>
        </w:tc>
        <w:tc>
          <w:tcPr>
            <w:tcW w:w="217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7</w:t>
            </w:r>
          </w:p>
        </w:tc>
        <w:tc>
          <w:tcPr>
            <w:tcW w:w="7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12</w:t>
            </w:r>
          </w:p>
        </w:tc>
        <w:tc>
          <w:tcPr>
            <w:tcW w:w="106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11</w:t>
            </w:r>
          </w:p>
        </w:tc>
        <w:tc>
          <w:tcPr>
            <w:tcW w:w="7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4*4</w:t>
            </w: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8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青冈（</w:t>
            </w:r>
            <w:r>
              <w:rPr>
                <w:rFonts w:ascii="Times New Roman" w:cs="Times New Roman"/>
                <w:i/>
                <w:iCs/>
                <w:kern w:val="2"/>
                <w:sz w:val="21"/>
                <w:szCs w:val="21"/>
              </w:rPr>
              <w:t>TCyclobalanopsis glauca(Thunb.)Oerst</w:t>
            </w:r>
            <w:r>
              <w:rPr>
                <w:rFonts w:ascii="Times New Roman" w:cs="Times New Roman"/>
                <w:kern w:val="2"/>
                <w:sz w:val="21"/>
                <w:szCs w:val="21"/>
              </w:rPr>
              <w:t>.</w:t>
            </w:r>
            <w:r>
              <w:rPr>
                <w:rFonts w:ascii="Times New Roman" w:cs="Times New Roman"/>
                <w:i/>
                <w:iCs/>
                <w:kern w:val="2"/>
                <w:sz w:val="21"/>
                <w:szCs w:val="21"/>
              </w:rPr>
              <w:t>）</w:t>
            </w:r>
          </w:p>
        </w:tc>
        <w:tc>
          <w:tcPr>
            <w:tcW w:w="217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12</w:t>
            </w:r>
          </w:p>
        </w:tc>
        <w:tc>
          <w:tcPr>
            <w:tcW w:w="7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4</w:t>
            </w:r>
          </w:p>
        </w:tc>
        <w:tc>
          <w:tcPr>
            <w:tcW w:w="106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10</w:t>
            </w:r>
          </w:p>
        </w:tc>
        <w:tc>
          <w:tcPr>
            <w:tcW w:w="7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3*4</w:t>
            </w: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Merge w:val="continue"/>
            <w:vAlign w:val="center"/>
          </w:tcPr>
          <w:p>
            <w:pPr>
              <w:topLinePunct w:val="0"/>
              <w:autoSpaceDE w:val="0"/>
              <w:autoSpaceDN w:val="0"/>
              <w:spacing w:line="240" w:lineRule="auto"/>
              <w:ind w:firstLine="0" w:firstLineChars="0"/>
              <w:jc w:val="left"/>
              <w:rPr>
                <w:rFonts w:ascii="Times New Roman" w:cs="Times New Roman"/>
                <w:bCs/>
                <w:kern w:val="2"/>
                <w:sz w:val="21"/>
                <w:szCs w:val="21"/>
              </w:rPr>
            </w:pPr>
          </w:p>
        </w:tc>
        <w:tc>
          <w:tcPr>
            <w:tcW w:w="268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栓皮栎（</w:t>
            </w:r>
            <w:r>
              <w:rPr>
                <w:rFonts w:ascii="Times New Roman" w:cs="Times New Roman"/>
                <w:i/>
                <w:iCs/>
                <w:kern w:val="2"/>
                <w:sz w:val="21"/>
                <w:szCs w:val="21"/>
              </w:rPr>
              <w:t>Quercus variabilis Bl.</w:t>
            </w:r>
            <w:r>
              <w:rPr>
                <w:rFonts w:ascii="Times New Roman" w:cs="Times New Roman"/>
                <w:kern w:val="2"/>
                <w:sz w:val="21"/>
                <w:szCs w:val="21"/>
              </w:rPr>
              <w:t>）</w:t>
            </w:r>
          </w:p>
        </w:tc>
        <w:tc>
          <w:tcPr>
            <w:tcW w:w="217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13</w:t>
            </w:r>
          </w:p>
        </w:tc>
        <w:tc>
          <w:tcPr>
            <w:tcW w:w="7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3</w:t>
            </w:r>
          </w:p>
        </w:tc>
        <w:tc>
          <w:tcPr>
            <w:tcW w:w="106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9</w:t>
            </w:r>
          </w:p>
        </w:tc>
        <w:tc>
          <w:tcPr>
            <w:tcW w:w="7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2*3</w:t>
            </w: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灌木层</w:t>
            </w: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马桑(</w:t>
            </w:r>
            <w:r>
              <w:rPr>
                <w:rFonts w:ascii="Times New Roman" w:cs="Times New Roman"/>
                <w:i/>
                <w:iCs/>
                <w:kern w:val="2"/>
                <w:sz w:val="21"/>
                <w:szCs w:val="21"/>
              </w:rPr>
              <w:t>Coriaria nepalensis</w:t>
            </w:r>
            <w:r>
              <w:rPr>
                <w:rFonts w:ascii="Times New Roman" w:cs="Times New Roman"/>
                <w:kern w:val="2"/>
                <w:sz w:val="21"/>
                <w:szCs w:val="21"/>
              </w:rPr>
              <w:t>)、</w:t>
            </w:r>
          </w:p>
        </w:tc>
        <w:tc>
          <w:tcPr>
            <w:tcW w:w="217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1.2</w:t>
            </w:r>
          </w:p>
        </w:tc>
        <w:tc>
          <w:tcPr>
            <w:tcW w:w="7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10</w:t>
            </w:r>
          </w:p>
        </w:tc>
        <w:tc>
          <w:tcPr>
            <w:tcW w:w="106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28"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豪猪刺(</w:t>
            </w:r>
            <w:r>
              <w:rPr>
                <w:rFonts w:ascii="Times New Roman" w:cs="Times New Roman"/>
                <w:i/>
                <w:iCs/>
                <w:kern w:val="2"/>
                <w:sz w:val="21"/>
                <w:szCs w:val="21"/>
              </w:rPr>
              <w:t>Berberis julianae</w:t>
            </w:r>
            <w:r>
              <w:rPr>
                <w:rFonts w:ascii="Times New Roman" w:cs="Times New Roman"/>
                <w:kern w:val="2"/>
                <w:sz w:val="21"/>
                <w:szCs w:val="21"/>
              </w:rPr>
              <w:t>)</w:t>
            </w:r>
          </w:p>
        </w:tc>
        <w:tc>
          <w:tcPr>
            <w:tcW w:w="217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1.2</w:t>
            </w:r>
          </w:p>
        </w:tc>
        <w:tc>
          <w:tcPr>
            <w:tcW w:w="7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7</w:t>
            </w:r>
          </w:p>
        </w:tc>
        <w:tc>
          <w:tcPr>
            <w:tcW w:w="106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1.5</w:t>
            </w:r>
          </w:p>
        </w:tc>
        <w:tc>
          <w:tcPr>
            <w:tcW w:w="728"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盐肤木（</w:t>
            </w:r>
            <w:r>
              <w:rPr>
                <w:rFonts w:ascii="Times New Roman" w:cs="Times New Roman"/>
                <w:i/>
                <w:iCs/>
                <w:kern w:val="2"/>
                <w:sz w:val="21"/>
                <w:szCs w:val="21"/>
              </w:rPr>
              <w:t>Rhus chinensis</w:t>
            </w:r>
            <w:r>
              <w:rPr>
                <w:rFonts w:ascii="Times New Roman" w:cs="Times New Roman"/>
                <w:kern w:val="2"/>
                <w:sz w:val="21"/>
                <w:szCs w:val="21"/>
              </w:rPr>
              <w:t>）</w:t>
            </w:r>
          </w:p>
        </w:tc>
        <w:tc>
          <w:tcPr>
            <w:tcW w:w="217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1.4</w:t>
            </w:r>
          </w:p>
        </w:tc>
        <w:tc>
          <w:tcPr>
            <w:tcW w:w="7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8</w:t>
            </w:r>
          </w:p>
        </w:tc>
        <w:tc>
          <w:tcPr>
            <w:tcW w:w="106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1.5</w:t>
            </w:r>
          </w:p>
        </w:tc>
        <w:tc>
          <w:tcPr>
            <w:tcW w:w="728"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刺红珠(</w:t>
            </w:r>
            <w:r>
              <w:rPr>
                <w:rFonts w:ascii="Times New Roman" w:cs="Times New Roman"/>
                <w:i/>
                <w:iCs/>
                <w:kern w:val="2"/>
                <w:sz w:val="21"/>
                <w:szCs w:val="21"/>
              </w:rPr>
              <w:t>Berberis dictyophylla</w:t>
            </w:r>
            <w:r>
              <w:rPr>
                <w:rFonts w:ascii="Times New Roman" w:cs="Times New Roman"/>
                <w:kern w:val="2"/>
                <w:sz w:val="21"/>
                <w:szCs w:val="21"/>
              </w:rPr>
              <w:t>)</w:t>
            </w:r>
          </w:p>
        </w:tc>
        <w:tc>
          <w:tcPr>
            <w:tcW w:w="217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1.2</w:t>
            </w:r>
          </w:p>
        </w:tc>
        <w:tc>
          <w:tcPr>
            <w:tcW w:w="7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3</w:t>
            </w:r>
          </w:p>
        </w:tc>
        <w:tc>
          <w:tcPr>
            <w:tcW w:w="106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2.0</w:t>
            </w:r>
          </w:p>
        </w:tc>
        <w:tc>
          <w:tcPr>
            <w:tcW w:w="728"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87" w:type="dxa"/>
            <w:vAlign w:val="center"/>
          </w:tcPr>
          <w:p>
            <w:pPr>
              <w:topLinePunct w:val="0"/>
              <w:adjustRightInd/>
              <w:spacing w:line="240" w:lineRule="auto"/>
              <w:ind w:firstLine="0" w:firstLineChars="0"/>
              <w:jc w:val="center"/>
              <w:rPr>
                <w:rFonts w:ascii="Times New Roman" w:cs="Times New Roman"/>
                <w:b/>
                <w:bCs/>
                <w:kern w:val="2"/>
                <w:sz w:val="21"/>
                <w:szCs w:val="21"/>
              </w:rPr>
            </w:pPr>
            <w:r>
              <w:rPr>
                <w:rFonts w:ascii="Times New Roman" w:cs="Times New Roman"/>
                <w:kern w:val="2"/>
                <w:sz w:val="21"/>
                <w:szCs w:val="21"/>
              </w:rPr>
              <w:t>胡颓子（</w:t>
            </w:r>
            <w:r>
              <w:rPr>
                <w:rFonts w:ascii="Times New Roman" w:cs="Times New Roman"/>
                <w:i/>
                <w:iCs/>
                <w:kern w:val="2"/>
                <w:sz w:val="21"/>
                <w:szCs w:val="21"/>
              </w:rPr>
              <w:t>Elaeagnus pungens Thunb.</w:t>
            </w:r>
            <w:r>
              <w:rPr>
                <w:rFonts w:ascii="Times New Roman" w:cs="Times New Roman"/>
                <w:kern w:val="2"/>
                <w:sz w:val="21"/>
                <w:szCs w:val="21"/>
              </w:rPr>
              <w:t>）</w:t>
            </w:r>
          </w:p>
        </w:tc>
        <w:tc>
          <w:tcPr>
            <w:tcW w:w="217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1.2</w:t>
            </w:r>
          </w:p>
        </w:tc>
        <w:tc>
          <w:tcPr>
            <w:tcW w:w="7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3</w:t>
            </w:r>
          </w:p>
        </w:tc>
        <w:tc>
          <w:tcPr>
            <w:tcW w:w="106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1.5</w:t>
            </w:r>
          </w:p>
        </w:tc>
        <w:tc>
          <w:tcPr>
            <w:tcW w:w="728"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草本层</w:t>
            </w: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蒿（</w:t>
            </w:r>
            <w:r>
              <w:rPr>
                <w:rFonts w:ascii="Times New Roman" w:cs="Times New Roman"/>
                <w:i/>
                <w:iCs/>
                <w:kern w:val="2"/>
                <w:sz w:val="21"/>
                <w:szCs w:val="21"/>
              </w:rPr>
              <w:t>Artemisia</w:t>
            </w:r>
            <w:r>
              <w:rPr>
                <w:rFonts w:ascii="Times New Roman" w:cs="Times New Roman"/>
                <w:kern w:val="2"/>
                <w:sz w:val="21"/>
                <w:szCs w:val="21"/>
              </w:rPr>
              <w:t>）</w:t>
            </w:r>
          </w:p>
        </w:tc>
        <w:tc>
          <w:tcPr>
            <w:tcW w:w="217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0.95</w:t>
            </w:r>
          </w:p>
        </w:tc>
        <w:tc>
          <w:tcPr>
            <w:tcW w:w="7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Cop</w:t>
            </w:r>
            <w:r>
              <w:rPr>
                <w:rFonts w:ascii="Times New Roman" w:cs="Times New Roman"/>
                <w:bCs/>
                <w:kern w:val="2"/>
                <w:sz w:val="21"/>
                <w:szCs w:val="21"/>
                <w:vertAlign w:val="subscript"/>
              </w:rPr>
              <w:t>2</w:t>
            </w:r>
          </w:p>
        </w:tc>
        <w:tc>
          <w:tcPr>
            <w:tcW w:w="106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28"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白茅（</w:t>
            </w:r>
            <w:r>
              <w:rPr>
                <w:rFonts w:ascii="Times New Roman" w:cs="Times New Roman"/>
                <w:i/>
                <w:iCs/>
                <w:kern w:val="2"/>
                <w:sz w:val="21"/>
                <w:szCs w:val="21"/>
              </w:rPr>
              <w:t>Imperata cylindrica (L.) Beauv.</w:t>
            </w:r>
            <w:r>
              <w:rPr>
                <w:rFonts w:ascii="Times New Roman" w:cs="Times New Roman"/>
                <w:kern w:val="2"/>
                <w:sz w:val="21"/>
                <w:szCs w:val="21"/>
              </w:rPr>
              <w:t>）</w:t>
            </w:r>
          </w:p>
        </w:tc>
        <w:tc>
          <w:tcPr>
            <w:tcW w:w="217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0.85</w:t>
            </w:r>
          </w:p>
        </w:tc>
        <w:tc>
          <w:tcPr>
            <w:tcW w:w="7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Cop</w:t>
            </w:r>
            <w:r>
              <w:rPr>
                <w:rFonts w:ascii="Times New Roman" w:cs="Times New Roman"/>
                <w:bCs/>
                <w:kern w:val="2"/>
                <w:sz w:val="21"/>
                <w:szCs w:val="21"/>
                <w:vertAlign w:val="subscript"/>
              </w:rPr>
              <w:t>2</w:t>
            </w:r>
          </w:p>
        </w:tc>
        <w:tc>
          <w:tcPr>
            <w:tcW w:w="106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28"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芒萁(</w:t>
            </w:r>
            <w:r>
              <w:rPr>
                <w:rFonts w:ascii="Times New Roman" w:cs="Times New Roman"/>
                <w:i/>
                <w:iCs/>
                <w:kern w:val="2"/>
                <w:sz w:val="21"/>
                <w:szCs w:val="21"/>
              </w:rPr>
              <w:t>Dicranopteris dichotoma</w:t>
            </w:r>
            <w:r>
              <w:rPr>
                <w:rFonts w:ascii="Times New Roman" w:cs="Times New Roman"/>
                <w:kern w:val="2"/>
                <w:sz w:val="21"/>
                <w:szCs w:val="21"/>
              </w:rPr>
              <w:t>)</w:t>
            </w:r>
          </w:p>
        </w:tc>
        <w:tc>
          <w:tcPr>
            <w:tcW w:w="217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0.4</w:t>
            </w:r>
          </w:p>
        </w:tc>
        <w:tc>
          <w:tcPr>
            <w:tcW w:w="7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Cop</w:t>
            </w:r>
            <w:r>
              <w:rPr>
                <w:rFonts w:ascii="Times New Roman" w:cs="Times New Roman"/>
                <w:bCs/>
                <w:kern w:val="2"/>
                <w:sz w:val="21"/>
                <w:szCs w:val="21"/>
                <w:vertAlign w:val="subscript"/>
              </w:rPr>
              <w:t>1</w:t>
            </w:r>
          </w:p>
        </w:tc>
        <w:tc>
          <w:tcPr>
            <w:tcW w:w="106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28"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聚花过路黄</w:t>
            </w:r>
            <w:r>
              <w:rPr>
                <w:rFonts w:ascii="Times New Roman" w:cs="Times New Roman"/>
                <w:i/>
                <w:iCs/>
                <w:kern w:val="2"/>
                <w:sz w:val="21"/>
                <w:szCs w:val="21"/>
              </w:rPr>
              <w:t>Lysimachia congestiflora Hemsl.</w:t>
            </w:r>
          </w:p>
        </w:tc>
        <w:tc>
          <w:tcPr>
            <w:tcW w:w="217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0.25</w:t>
            </w:r>
          </w:p>
        </w:tc>
        <w:tc>
          <w:tcPr>
            <w:tcW w:w="7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Sol.</w:t>
            </w:r>
          </w:p>
        </w:tc>
        <w:tc>
          <w:tcPr>
            <w:tcW w:w="106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28"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蕺菜</w:t>
            </w:r>
            <w:r>
              <w:rPr>
                <w:rFonts w:ascii="Times New Roman" w:cs="Times New Roman"/>
                <w:i/>
                <w:iCs/>
                <w:kern w:val="2"/>
                <w:sz w:val="21"/>
                <w:szCs w:val="21"/>
              </w:rPr>
              <w:t>Houttuynia cordata Thunb</w:t>
            </w:r>
          </w:p>
        </w:tc>
        <w:tc>
          <w:tcPr>
            <w:tcW w:w="217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0.6</w:t>
            </w:r>
          </w:p>
        </w:tc>
        <w:tc>
          <w:tcPr>
            <w:tcW w:w="7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Un.</w:t>
            </w:r>
          </w:p>
        </w:tc>
        <w:tc>
          <w:tcPr>
            <w:tcW w:w="106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28"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荩草（</w:t>
            </w:r>
            <w:r>
              <w:rPr>
                <w:rFonts w:ascii="Times New Roman" w:cs="Times New Roman"/>
                <w:i/>
                <w:iCs/>
                <w:kern w:val="2"/>
                <w:sz w:val="21"/>
                <w:szCs w:val="21"/>
              </w:rPr>
              <w:t>Gramineae </w:t>
            </w:r>
            <w:r>
              <w:rPr>
                <w:rFonts w:ascii="Times New Roman" w:cs="Times New Roman"/>
                <w:kern w:val="2"/>
                <w:sz w:val="21"/>
                <w:szCs w:val="21"/>
              </w:rPr>
              <w:t>）</w:t>
            </w:r>
          </w:p>
        </w:tc>
        <w:tc>
          <w:tcPr>
            <w:tcW w:w="217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1.2</w:t>
            </w:r>
          </w:p>
        </w:tc>
        <w:tc>
          <w:tcPr>
            <w:tcW w:w="7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Un.</w:t>
            </w:r>
          </w:p>
        </w:tc>
        <w:tc>
          <w:tcPr>
            <w:tcW w:w="106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28"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层外</w:t>
            </w:r>
          </w:p>
        </w:tc>
        <w:tc>
          <w:tcPr>
            <w:tcW w:w="8071" w:type="dxa"/>
            <w:gridSpan w:val="9"/>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托柄菝葜(</w:t>
            </w:r>
            <w:r>
              <w:rPr>
                <w:rFonts w:ascii="Times New Roman" w:cs="Times New Roman"/>
                <w:i/>
                <w:iCs/>
                <w:kern w:val="2"/>
                <w:sz w:val="21"/>
                <w:szCs w:val="21"/>
              </w:rPr>
              <w:t>Smilax discotis</w:t>
            </w:r>
            <w:r>
              <w:rPr>
                <w:rFonts w:ascii="Times New Roman" w:cs="Times New Roman"/>
                <w:kern w:val="2"/>
                <w:sz w:val="21"/>
                <w:szCs w:val="21"/>
              </w:rPr>
              <w:t>)、鞘柄菝葜(Smilax stans)、三叶木通(</w:t>
            </w:r>
            <w:r>
              <w:rPr>
                <w:rFonts w:ascii="Times New Roman" w:cs="Times New Roman"/>
                <w:i/>
                <w:iCs/>
                <w:kern w:val="2"/>
                <w:sz w:val="21"/>
                <w:szCs w:val="21"/>
              </w:rPr>
              <w:t>Akebia trifoliata</w:t>
            </w:r>
            <w:r>
              <w:rPr>
                <w:rFonts w:ascii="Times New Roman" w:cs="Times New Roman"/>
                <w:kern w:val="2"/>
                <w:sz w:val="21"/>
                <w:szCs w:val="21"/>
              </w:rPr>
              <w:t>)、三裂蛇葡萄(</w:t>
            </w:r>
            <w:r>
              <w:rPr>
                <w:rFonts w:ascii="Times New Roman" w:cs="Times New Roman"/>
                <w:i/>
                <w:iCs/>
                <w:kern w:val="2"/>
                <w:sz w:val="21"/>
                <w:szCs w:val="21"/>
              </w:rPr>
              <w:t>Ampelopsis delavayana</w:t>
            </w:r>
            <w:r>
              <w:rPr>
                <w:rFonts w:ascii="Times New Roman" w:cs="Times New Roman"/>
                <w:kern w:val="2"/>
                <w:sz w:val="21"/>
                <w:szCs w:val="21"/>
              </w:rPr>
              <w:t>)、爬山虎(</w:t>
            </w:r>
            <w:r>
              <w:rPr>
                <w:rFonts w:ascii="Times New Roman" w:cs="Times New Roman"/>
                <w:i/>
                <w:iCs/>
                <w:kern w:val="2"/>
                <w:sz w:val="21"/>
                <w:szCs w:val="21"/>
              </w:rPr>
              <w:t>Parthenocissus tricuspidata</w:t>
            </w:r>
            <w:r>
              <w:rPr>
                <w:rFonts w:ascii="Times New Roman" w:cs="Times New Roman"/>
                <w:kern w:val="2"/>
                <w:sz w:val="21"/>
                <w:szCs w:val="21"/>
              </w:rPr>
              <w:t>)</w:t>
            </w:r>
          </w:p>
        </w:tc>
      </w:tr>
    </w:tbl>
    <w:p>
      <w:pPr>
        <w:topLinePunct w:val="0"/>
        <w:adjustRightInd/>
        <w:spacing w:line="500" w:lineRule="exact"/>
        <w:ind w:left="60" w:right="100" w:firstLine="482" w:firstLineChars="0"/>
        <w:jc w:val="center"/>
        <w:rPr>
          <w:rFonts w:ascii="Times New Roman" w:cs="Times New Roman"/>
          <w:b/>
          <w:kern w:val="2"/>
          <w:sz w:val="21"/>
          <w:szCs w:val="20"/>
        </w:rPr>
      </w:pPr>
      <w:r>
        <w:rPr>
          <w:rFonts w:ascii="Times New Roman" w:cs="Times New Roman"/>
          <w:b/>
          <w:kern w:val="2"/>
          <w:sz w:val="21"/>
          <w:szCs w:val="20"/>
        </w:rPr>
        <w:t>样方</w:t>
      </w:r>
      <w:r>
        <w:rPr>
          <w:rFonts w:hint="eastAsia" w:ascii="Times New Roman" w:cs="Times New Roman"/>
          <w:b/>
          <w:kern w:val="2"/>
          <w:sz w:val="21"/>
          <w:szCs w:val="20"/>
        </w:rPr>
        <w:t>4</w:t>
      </w:r>
      <w:r>
        <w:rPr>
          <w:rFonts w:ascii="Times New Roman" w:cs="Times New Roman"/>
          <w:b/>
          <w:kern w:val="2"/>
          <w:sz w:val="21"/>
          <w:szCs w:val="20"/>
        </w:rPr>
        <w:t xml:space="preserve"> 麻栎、柏木混交林群落样方表</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2687"/>
        <w:gridCol w:w="800"/>
        <w:gridCol w:w="613"/>
        <w:gridCol w:w="762"/>
        <w:gridCol w:w="725"/>
        <w:gridCol w:w="550"/>
        <w:gridCol w:w="513"/>
        <w:gridCol w:w="728"/>
        <w:gridCol w:w="6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66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坐标</w:t>
            </w: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8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海拔（m）</w:t>
            </w:r>
          </w:p>
        </w:tc>
        <w:tc>
          <w:tcPr>
            <w:tcW w:w="61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647</w:t>
            </w:r>
          </w:p>
        </w:tc>
        <w:tc>
          <w:tcPr>
            <w:tcW w:w="762"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土壤类型</w:t>
            </w:r>
          </w:p>
        </w:tc>
        <w:tc>
          <w:tcPr>
            <w:tcW w:w="7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壤土</w:t>
            </w:r>
          </w:p>
        </w:tc>
        <w:tc>
          <w:tcPr>
            <w:tcW w:w="5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坡度</w:t>
            </w:r>
          </w:p>
        </w:tc>
        <w:tc>
          <w:tcPr>
            <w:tcW w:w="51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6</w:t>
            </w:r>
          </w:p>
        </w:tc>
        <w:tc>
          <w:tcPr>
            <w:tcW w:w="7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坡向</w:t>
            </w: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SW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中文名（拉丁名）</w:t>
            </w:r>
          </w:p>
        </w:tc>
        <w:tc>
          <w:tcPr>
            <w:tcW w:w="217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平均高度m</w:t>
            </w:r>
          </w:p>
        </w:tc>
        <w:tc>
          <w:tcPr>
            <w:tcW w:w="7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株数/多度</w:t>
            </w:r>
          </w:p>
        </w:tc>
        <w:tc>
          <w:tcPr>
            <w:tcW w:w="106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平均胸径cm</w:t>
            </w:r>
          </w:p>
        </w:tc>
        <w:tc>
          <w:tcPr>
            <w:tcW w:w="7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冠幅</w:t>
            </w: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茂盛</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乔木层</w:t>
            </w:r>
          </w:p>
        </w:tc>
        <w:tc>
          <w:tcPr>
            <w:tcW w:w="268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麻栎（</w:t>
            </w:r>
            <w:r>
              <w:rPr>
                <w:rFonts w:ascii="Times New Roman" w:cs="Times New Roman"/>
                <w:i/>
                <w:iCs/>
                <w:kern w:val="2"/>
                <w:sz w:val="21"/>
                <w:szCs w:val="21"/>
              </w:rPr>
              <w:t>Quercus acutissima</w:t>
            </w:r>
            <w:r>
              <w:rPr>
                <w:rFonts w:ascii="Times New Roman" w:cs="Times New Roman"/>
                <w:kern w:val="2"/>
                <w:sz w:val="21"/>
                <w:szCs w:val="21"/>
              </w:rPr>
              <w:t>）</w:t>
            </w:r>
          </w:p>
        </w:tc>
        <w:tc>
          <w:tcPr>
            <w:tcW w:w="217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7</w:t>
            </w:r>
          </w:p>
        </w:tc>
        <w:tc>
          <w:tcPr>
            <w:tcW w:w="7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12</w:t>
            </w:r>
          </w:p>
        </w:tc>
        <w:tc>
          <w:tcPr>
            <w:tcW w:w="106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11</w:t>
            </w:r>
          </w:p>
        </w:tc>
        <w:tc>
          <w:tcPr>
            <w:tcW w:w="7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4*4</w:t>
            </w: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柏木（</w:t>
            </w:r>
            <w:r>
              <w:rPr>
                <w:rFonts w:ascii="Times New Roman" w:cs="Times New Roman"/>
                <w:i/>
                <w:kern w:val="2"/>
                <w:sz w:val="21"/>
                <w:szCs w:val="21"/>
              </w:rPr>
              <w:t>Form. Cupressus funebris</w:t>
            </w:r>
            <w:r>
              <w:rPr>
                <w:rFonts w:ascii="Times New Roman" w:cs="Times New Roman"/>
                <w:kern w:val="2"/>
                <w:sz w:val="21"/>
                <w:szCs w:val="21"/>
              </w:rPr>
              <w:t>）</w:t>
            </w:r>
          </w:p>
        </w:tc>
        <w:tc>
          <w:tcPr>
            <w:tcW w:w="217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11</w:t>
            </w:r>
          </w:p>
        </w:tc>
        <w:tc>
          <w:tcPr>
            <w:tcW w:w="7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w:t>
            </w:r>
            <w:r>
              <w:rPr>
                <w:rFonts w:hint="eastAsia" w:ascii="Times New Roman" w:cs="Times New Roman"/>
                <w:bCs/>
                <w:kern w:val="2"/>
                <w:sz w:val="21"/>
                <w:szCs w:val="21"/>
              </w:rPr>
              <w:t>3</w:t>
            </w:r>
          </w:p>
        </w:tc>
        <w:tc>
          <w:tcPr>
            <w:tcW w:w="106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12</w:t>
            </w:r>
          </w:p>
        </w:tc>
        <w:tc>
          <w:tcPr>
            <w:tcW w:w="7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2*2</w:t>
            </w: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灌木层</w:t>
            </w: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马桑(</w:t>
            </w:r>
            <w:r>
              <w:rPr>
                <w:rFonts w:ascii="Times New Roman" w:cs="Times New Roman"/>
                <w:i/>
                <w:iCs/>
                <w:kern w:val="2"/>
                <w:sz w:val="21"/>
                <w:szCs w:val="21"/>
              </w:rPr>
              <w:t>Coriaria nepalensis</w:t>
            </w:r>
            <w:r>
              <w:rPr>
                <w:rFonts w:ascii="Times New Roman" w:cs="Times New Roman"/>
                <w:kern w:val="2"/>
                <w:sz w:val="21"/>
                <w:szCs w:val="21"/>
              </w:rPr>
              <w:t>)、</w:t>
            </w:r>
          </w:p>
        </w:tc>
        <w:tc>
          <w:tcPr>
            <w:tcW w:w="217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1.2</w:t>
            </w:r>
          </w:p>
        </w:tc>
        <w:tc>
          <w:tcPr>
            <w:tcW w:w="7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10</w:t>
            </w:r>
          </w:p>
        </w:tc>
        <w:tc>
          <w:tcPr>
            <w:tcW w:w="106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28"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豪猪刺(</w:t>
            </w:r>
            <w:r>
              <w:rPr>
                <w:rFonts w:ascii="Times New Roman" w:cs="Times New Roman"/>
                <w:i/>
                <w:iCs/>
                <w:kern w:val="2"/>
                <w:sz w:val="21"/>
                <w:szCs w:val="21"/>
              </w:rPr>
              <w:t>Berberis julianae</w:t>
            </w:r>
            <w:r>
              <w:rPr>
                <w:rFonts w:ascii="Times New Roman" w:cs="Times New Roman"/>
                <w:kern w:val="2"/>
                <w:sz w:val="21"/>
                <w:szCs w:val="21"/>
              </w:rPr>
              <w:t>)</w:t>
            </w:r>
          </w:p>
        </w:tc>
        <w:tc>
          <w:tcPr>
            <w:tcW w:w="217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1.2</w:t>
            </w:r>
          </w:p>
        </w:tc>
        <w:tc>
          <w:tcPr>
            <w:tcW w:w="7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7</w:t>
            </w:r>
          </w:p>
        </w:tc>
        <w:tc>
          <w:tcPr>
            <w:tcW w:w="106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1.5</w:t>
            </w:r>
          </w:p>
        </w:tc>
        <w:tc>
          <w:tcPr>
            <w:tcW w:w="728"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盐肤木（</w:t>
            </w:r>
            <w:r>
              <w:rPr>
                <w:rFonts w:ascii="Times New Roman" w:cs="Times New Roman"/>
                <w:i/>
                <w:iCs/>
                <w:kern w:val="2"/>
                <w:sz w:val="21"/>
                <w:szCs w:val="21"/>
              </w:rPr>
              <w:t>Rhus chinensis</w:t>
            </w:r>
            <w:r>
              <w:rPr>
                <w:rFonts w:ascii="Times New Roman" w:cs="Times New Roman"/>
                <w:kern w:val="2"/>
                <w:sz w:val="21"/>
                <w:szCs w:val="21"/>
              </w:rPr>
              <w:t>）</w:t>
            </w:r>
          </w:p>
        </w:tc>
        <w:tc>
          <w:tcPr>
            <w:tcW w:w="217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1.4</w:t>
            </w:r>
          </w:p>
        </w:tc>
        <w:tc>
          <w:tcPr>
            <w:tcW w:w="7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8</w:t>
            </w:r>
          </w:p>
        </w:tc>
        <w:tc>
          <w:tcPr>
            <w:tcW w:w="106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1.5</w:t>
            </w:r>
          </w:p>
        </w:tc>
        <w:tc>
          <w:tcPr>
            <w:tcW w:w="728"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刺红珠(</w:t>
            </w:r>
            <w:r>
              <w:rPr>
                <w:rFonts w:ascii="Times New Roman" w:cs="Times New Roman"/>
                <w:i/>
                <w:iCs/>
                <w:kern w:val="2"/>
                <w:sz w:val="21"/>
                <w:szCs w:val="21"/>
              </w:rPr>
              <w:t>Berberis dictyophylla</w:t>
            </w:r>
            <w:r>
              <w:rPr>
                <w:rFonts w:ascii="Times New Roman" w:cs="Times New Roman"/>
                <w:kern w:val="2"/>
                <w:sz w:val="21"/>
                <w:szCs w:val="21"/>
              </w:rPr>
              <w:t>)</w:t>
            </w:r>
          </w:p>
        </w:tc>
        <w:tc>
          <w:tcPr>
            <w:tcW w:w="217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1.2</w:t>
            </w:r>
          </w:p>
        </w:tc>
        <w:tc>
          <w:tcPr>
            <w:tcW w:w="7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3</w:t>
            </w:r>
          </w:p>
        </w:tc>
        <w:tc>
          <w:tcPr>
            <w:tcW w:w="106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2.0</w:t>
            </w:r>
          </w:p>
        </w:tc>
        <w:tc>
          <w:tcPr>
            <w:tcW w:w="728"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87" w:type="dxa"/>
            <w:vAlign w:val="center"/>
          </w:tcPr>
          <w:p>
            <w:pPr>
              <w:topLinePunct w:val="0"/>
              <w:adjustRightInd/>
              <w:spacing w:line="240" w:lineRule="auto"/>
              <w:ind w:firstLine="0" w:firstLineChars="0"/>
              <w:jc w:val="center"/>
              <w:rPr>
                <w:rFonts w:ascii="Times New Roman" w:cs="Times New Roman"/>
                <w:b/>
                <w:bCs/>
                <w:kern w:val="2"/>
                <w:sz w:val="21"/>
                <w:szCs w:val="21"/>
              </w:rPr>
            </w:pPr>
            <w:r>
              <w:rPr>
                <w:rFonts w:ascii="Times New Roman" w:cs="Times New Roman"/>
                <w:kern w:val="2"/>
                <w:sz w:val="21"/>
                <w:szCs w:val="21"/>
              </w:rPr>
              <w:t>胡颓子（</w:t>
            </w:r>
            <w:r>
              <w:rPr>
                <w:rFonts w:ascii="Times New Roman" w:cs="Times New Roman"/>
                <w:i/>
                <w:iCs/>
                <w:kern w:val="2"/>
                <w:sz w:val="21"/>
                <w:szCs w:val="21"/>
              </w:rPr>
              <w:t>Elaeagnus pungens Thunb.</w:t>
            </w:r>
            <w:r>
              <w:rPr>
                <w:rFonts w:ascii="Times New Roman" w:cs="Times New Roman"/>
                <w:kern w:val="2"/>
                <w:sz w:val="21"/>
                <w:szCs w:val="21"/>
              </w:rPr>
              <w:t>）</w:t>
            </w:r>
          </w:p>
        </w:tc>
        <w:tc>
          <w:tcPr>
            <w:tcW w:w="217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1.2</w:t>
            </w:r>
          </w:p>
        </w:tc>
        <w:tc>
          <w:tcPr>
            <w:tcW w:w="7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3</w:t>
            </w:r>
          </w:p>
        </w:tc>
        <w:tc>
          <w:tcPr>
            <w:tcW w:w="106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1.5</w:t>
            </w:r>
          </w:p>
        </w:tc>
        <w:tc>
          <w:tcPr>
            <w:tcW w:w="728"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草本层</w:t>
            </w: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蒿（</w:t>
            </w:r>
            <w:r>
              <w:rPr>
                <w:rFonts w:ascii="Times New Roman" w:cs="Times New Roman"/>
                <w:i/>
                <w:iCs/>
                <w:kern w:val="2"/>
                <w:sz w:val="21"/>
                <w:szCs w:val="21"/>
              </w:rPr>
              <w:t>Artemisia</w:t>
            </w:r>
            <w:r>
              <w:rPr>
                <w:rFonts w:ascii="Times New Roman" w:cs="Times New Roman"/>
                <w:kern w:val="2"/>
                <w:sz w:val="21"/>
                <w:szCs w:val="21"/>
              </w:rPr>
              <w:t>）</w:t>
            </w:r>
          </w:p>
        </w:tc>
        <w:tc>
          <w:tcPr>
            <w:tcW w:w="217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0.95</w:t>
            </w:r>
          </w:p>
        </w:tc>
        <w:tc>
          <w:tcPr>
            <w:tcW w:w="7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Cop</w:t>
            </w:r>
            <w:r>
              <w:rPr>
                <w:rFonts w:ascii="Times New Roman" w:cs="Times New Roman"/>
                <w:bCs/>
                <w:kern w:val="2"/>
                <w:sz w:val="21"/>
                <w:szCs w:val="21"/>
                <w:vertAlign w:val="subscript"/>
              </w:rPr>
              <w:t>2</w:t>
            </w:r>
          </w:p>
        </w:tc>
        <w:tc>
          <w:tcPr>
            <w:tcW w:w="106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28"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白茅（</w:t>
            </w:r>
            <w:r>
              <w:rPr>
                <w:rFonts w:ascii="Times New Roman" w:cs="Times New Roman"/>
                <w:i/>
                <w:iCs/>
                <w:kern w:val="2"/>
                <w:sz w:val="21"/>
                <w:szCs w:val="21"/>
              </w:rPr>
              <w:t>Imperata cylindrica (L.) Beauv.</w:t>
            </w:r>
            <w:r>
              <w:rPr>
                <w:rFonts w:ascii="Times New Roman" w:cs="Times New Roman"/>
                <w:kern w:val="2"/>
                <w:sz w:val="21"/>
                <w:szCs w:val="21"/>
              </w:rPr>
              <w:t>）</w:t>
            </w:r>
          </w:p>
        </w:tc>
        <w:tc>
          <w:tcPr>
            <w:tcW w:w="217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0.85</w:t>
            </w:r>
          </w:p>
        </w:tc>
        <w:tc>
          <w:tcPr>
            <w:tcW w:w="7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Cop</w:t>
            </w:r>
            <w:r>
              <w:rPr>
                <w:rFonts w:ascii="Times New Roman" w:cs="Times New Roman"/>
                <w:bCs/>
                <w:kern w:val="2"/>
                <w:sz w:val="21"/>
                <w:szCs w:val="21"/>
                <w:vertAlign w:val="subscript"/>
              </w:rPr>
              <w:t>2</w:t>
            </w:r>
          </w:p>
        </w:tc>
        <w:tc>
          <w:tcPr>
            <w:tcW w:w="106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28"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芒萁(</w:t>
            </w:r>
            <w:r>
              <w:rPr>
                <w:rFonts w:ascii="Times New Roman" w:cs="Times New Roman"/>
                <w:i/>
                <w:iCs/>
                <w:kern w:val="2"/>
                <w:sz w:val="21"/>
                <w:szCs w:val="21"/>
              </w:rPr>
              <w:t>Dicranopteris dichotoma</w:t>
            </w:r>
            <w:r>
              <w:rPr>
                <w:rFonts w:ascii="Times New Roman" w:cs="Times New Roman"/>
                <w:kern w:val="2"/>
                <w:sz w:val="21"/>
                <w:szCs w:val="21"/>
              </w:rPr>
              <w:t>)</w:t>
            </w:r>
          </w:p>
        </w:tc>
        <w:tc>
          <w:tcPr>
            <w:tcW w:w="217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0.4</w:t>
            </w:r>
          </w:p>
        </w:tc>
        <w:tc>
          <w:tcPr>
            <w:tcW w:w="7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Cop</w:t>
            </w:r>
            <w:r>
              <w:rPr>
                <w:rFonts w:ascii="Times New Roman" w:cs="Times New Roman"/>
                <w:bCs/>
                <w:kern w:val="2"/>
                <w:sz w:val="21"/>
                <w:szCs w:val="21"/>
                <w:vertAlign w:val="subscript"/>
              </w:rPr>
              <w:t>1</w:t>
            </w:r>
          </w:p>
        </w:tc>
        <w:tc>
          <w:tcPr>
            <w:tcW w:w="106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28"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聚花过路黄</w:t>
            </w:r>
            <w:r>
              <w:rPr>
                <w:rFonts w:ascii="Times New Roman" w:cs="Times New Roman"/>
                <w:i/>
                <w:iCs/>
                <w:kern w:val="2"/>
                <w:sz w:val="21"/>
                <w:szCs w:val="21"/>
              </w:rPr>
              <w:t>Lysimachia congestiflora Hemsl.</w:t>
            </w:r>
          </w:p>
        </w:tc>
        <w:tc>
          <w:tcPr>
            <w:tcW w:w="217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0.25</w:t>
            </w:r>
          </w:p>
        </w:tc>
        <w:tc>
          <w:tcPr>
            <w:tcW w:w="7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Sol.</w:t>
            </w:r>
          </w:p>
        </w:tc>
        <w:tc>
          <w:tcPr>
            <w:tcW w:w="106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28"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蕺菜</w:t>
            </w:r>
            <w:r>
              <w:rPr>
                <w:rFonts w:ascii="Times New Roman" w:cs="Times New Roman"/>
                <w:i/>
                <w:iCs/>
                <w:kern w:val="2"/>
                <w:sz w:val="21"/>
                <w:szCs w:val="21"/>
              </w:rPr>
              <w:t>Houttuynia cordata Thunb</w:t>
            </w:r>
          </w:p>
        </w:tc>
        <w:tc>
          <w:tcPr>
            <w:tcW w:w="217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0.6</w:t>
            </w:r>
          </w:p>
        </w:tc>
        <w:tc>
          <w:tcPr>
            <w:tcW w:w="7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Un.</w:t>
            </w:r>
          </w:p>
        </w:tc>
        <w:tc>
          <w:tcPr>
            <w:tcW w:w="106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28"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8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荩草（</w:t>
            </w:r>
            <w:r>
              <w:rPr>
                <w:rFonts w:ascii="Times New Roman" w:cs="Times New Roman"/>
                <w:i/>
                <w:iCs/>
                <w:kern w:val="2"/>
                <w:sz w:val="21"/>
                <w:szCs w:val="21"/>
              </w:rPr>
              <w:t>Gramineae </w:t>
            </w:r>
            <w:r>
              <w:rPr>
                <w:rFonts w:ascii="Times New Roman" w:cs="Times New Roman"/>
                <w:kern w:val="2"/>
                <w:sz w:val="21"/>
                <w:szCs w:val="21"/>
              </w:rPr>
              <w:t>）</w:t>
            </w:r>
          </w:p>
        </w:tc>
        <w:tc>
          <w:tcPr>
            <w:tcW w:w="217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1.2</w:t>
            </w:r>
          </w:p>
        </w:tc>
        <w:tc>
          <w:tcPr>
            <w:tcW w:w="7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Un.</w:t>
            </w:r>
          </w:p>
        </w:tc>
        <w:tc>
          <w:tcPr>
            <w:tcW w:w="106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28"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层外</w:t>
            </w:r>
          </w:p>
        </w:tc>
        <w:tc>
          <w:tcPr>
            <w:tcW w:w="8071" w:type="dxa"/>
            <w:gridSpan w:val="9"/>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托柄菝葜(</w:t>
            </w:r>
            <w:r>
              <w:rPr>
                <w:rFonts w:ascii="Times New Roman" w:cs="Times New Roman"/>
                <w:i/>
                <w:iCs/>
                <w:kern w:val="2"/>
                <w:sz w:val="21"/>
                <w:szCs w:val="21"/>
              </w:rPr>
              <w:t>Smilax discotis</w:t>
            </w:r>
            <w:r>
              <w:rPr>
                <w:rFonts w:ascii="Times New Roman" w:cs="Times New Roman"/>
                <w:kern w:val="2"/>
                <w:sz w:val="21"/>
                <w:szCs w:val="21"/>
              </w:rPr>
              <w:t>)、鞘柄菝葜(Smilax stans)、三叶木通(</w:t>
            </w:r>
            <w:r>
              <w:rPr>
                <w:rFonts w:ascii="Times New Roman" w:cs="Times New Roman"/>
                <w:i/>
                <w:iCs/>
                <w:kern w:val="2"/>
                <w:sz w:val="21"/>
                <w:szCs w:val="21"/>
              </w:rPr>
              <w:t>Akebia trifoliata</w:t>
            </w:r>
            <w:r>
              <w:rPr>
                <w:rFonts w:ascii="Times New Roman" w:cs="Times New Roman"/>
                <w:kern w:val="2"/>
                <w:sz w:val="21"/>
                <w:szCs w:val="21"/>
              </w:rPr>
              <w:t>)、三裂蛇葡萄(</w:t>
            </w:r>
            <w:r>
              <w:rPr>
                <w:rFonts w:ascii="Times New Roman" w:cs="Times New Roman"/>
                <w:i/>
                <w:iCs/>
                <w:kern w:val="2"/>
                <w:sz w:val="21"/>
                <w:szCs w:val="21"/>
              </w:rPr>
              <w:t>Ampelopsis delavayana</w:t>
            </w:r>
            <w:r>
              <w:rPr>
                <w:rFonts w:ascii="Times New Roman" w:cs="Times New Roman"/>
                <w:kern w:val="2"/>
                <w:sz w:val="21"/>
                <w:szCs w:val="21"/>
              </w:rPr>
              <w:t>)、爬山虎(</w:t>
            </w:r>
            <w:r>
              <w:rPr>
                <w:rFonts w:ascii="Times New Roman" w:cs="Times New Roman"/>
                <w:i/>
                <w:iCs/>
                <w:kern w:val="2"/>
                <w:sz w:val="21"/>
                <w:szCs w:val="21"/>
              </w:rPr>
              <w:t>Parthenocissus tricuspidata</w:t>
            </w:r>
            <w:r>
              <w:rPr>
                <w:rFonts w:ascii="Times New Roman" w:cs="Times New Roman"/>
                <w:kern w:val="2"/>
                <w:sz w:val="21"/>
                <w:szCs w:val="21"/>
              </w:rPr>
              <w:t>)</w:t>
            </w:r>
          </w:p>
        </w:tc>
      </w:tr>
    </w:tbl>
    <w:p>
      <w:pPr>
        <w:topLinePunct w:val="0"/>
        <w:adjustRightInd/>
        <w:spacing w:line="500" w:lineRule="exact"/>
        <w:ind w:left="60" w:right="100" w:firstLine="482" w:firstLineChars="0"/>
        <w:jc w:val="center"/>
        <w:rPr>
          <w:rFonts w:ascii="Times New Roman" w:cs="Times New Roman"/>
          <w:b/>
          <w:kern w:val="2"/>
          <w:sz w:val="21"/>
          <w:szCs w:val="20"/>
        </w:rPr>
      </w:pPr>
      <w:r>
        <w:rPr>
          <w:rFonts w:ascii="Times New Roman" w:cs="Times New Roman"/>
          <w:b/>
          <w:kern w:val="2"/>
          <w:sz w:val="21"/>
          <w:szCs w:val="20"/>
        </w:rPr>
        <w:t>样方</w:t>
      </w:r>
      <w:r>
        <w:rPr>
          <w:rFonts w:hint="eastAsia" w:ascii="Times New Roman" w:cs="Times New Roman"/>
          <w:b/>
          <w:kern w:val="2"/>
          <w:sz w:val="21"/>
          <w:szCs w:val="20"/>
        </w:rPr>
        <w:t>5</w:t>
      </w:r>
      <w:r>
        <w:rPr>
          <w:rFonts w:ascii="Times New Roman" w:cs="Times New Roman"/>
          <w:b/>
          <w:kern w:val="2"/>
          <w:sz w:val="21"/>
          <w:szCs w:val="20"/>
        </w:rPr>
        <w:t xml:space="preserve"> 槲栎灌丛群落样方表</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650"/>
        <w:gridCol w:w="812"/>
        <w:gridCol w:w="625"/>
        <w:gridCol w:w="725"/>
        <w:gridCol w:w="738"/>
        <w:gridCol w:w="550"/>
        <w:gridCol w:w="487"/>
        <w:gridCol w:w="766"/>
        <w:gridCol w:w="6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68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坐标</w:t>
            </w:r>
          </w:p>
        </w:tc>
        <w:tc>
          <w:tcPr>
            <w:tcW w:w="2650"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812"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海拔（m）</w:t>
            </w:r>
          </w:p>
        </w:tc>
        <w:tc>
          <w:tcPr>
            <w:tcW w:w="6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601</w:t>
            </w:r>
          </w:p>
        </w:tc>
        <w:tc>
          <w:tcPr>
            <w:tcW w:w="7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土壤类型</w:t>
            </w:r>
          </w:p>
        </w:tc>
        <w:tc>
          <w:tcPr>
            <w:tcW w:w="73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酸性土</w:t>
            </w:r>
          </w:p>
        </w:tc>
        <w:tc>
          <w:tcPr>
            <w:tcW w:w="5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坡度</w:t>
            </w:r>
          </w:p>
        </w:tc>
        <w:tc>
          <w:tcPr>
            <w:tcW w:w="48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5</w:t>
            </w:r>
          </w:p>
        </w:tc>
        <w:tc>
          <w:tcPr>
            <w:tcW w:w="766"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坡向</w:t>
            </w: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SW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88"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中文名（拉丁名）</w:t>
            </w:r>
          </w:p>
        </w:tc>
        <w:tc>
          <w:tcPr>
            <w:tcW w:w="2162"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平均高度m</w:t>
            </w:r>
          </w:p>
        </w:tc>
        <w:tc>
          <w:tcPr>
            <w:tcW w:w="73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株数/多度</w:t>
            </w:r>
          </w:p>
        </w:tc>
        <w:tc>
          <w:tcPr>
            <w:tcW w:w="1037"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平均胸径cm</w:t>
            </w:r>
          </w:p>
        </w:tc>
        <w:tc>
          <w:tcPr>
            <w:tcW w:w="766"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冠幅</w:t>
            </w: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茂盛</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88"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灌木层</w:t>
            </w:r>
          </w:p>
        </w:tc>
        <w:tc>
          <w:tcPr>
            <w:tcW w:w="2650" w:type="dxa"/>
            <w:vAlign w:val="center"/>
          </w:tcPr>
          <w:p>
            <w:pPr>
              <w:topLinePunct w:val="0"/>
              <w:adjustRightInd/>
              <w:spacing w:line="240" w:lineRule="auto"/>
              <w:ind w:firstLine="0" w:firstLineChars="0"/>
              <w:jc w:val="center"/>
              <w:rPr>
                <w:rFonts w:ascii="Times New Roman" w:cs="Times New Roman"/>
                <w:b/>
                <w:kern w:val="2"/>
                <w:sz w:val="21"/>
                <w:szCs w:val="21"/>
              </w:rPr>
            </w:pPr>
            <w:r>
              <w:rPr>
                <w:rFonts w:ascii="Times New Roman" w:cs="Times New Roman"/>
                <w:kern w:val="2"/>
                <w:sz w:val="21"/>
                <w:szCs w:val="21"/>
              </w:rPr>
              <w:t>槲栎（</w:t>
            </w:r>
            <w:r>
              <w:rPr>
                <w:rFonts w:ascii="Times New Roman" w:cs="Times New Roman"/>
                <w:i/>
                <w:iCs/>
                <w:kern w:val="2"/>
                <w:sz w:val="21"/>
                <w:szCs w:val="21"/>
              </w:rPr>
              <w:t>Quercus aliena</w:t>
            </w:r>
            <w:r>
              <w:rPr>
                <w:rFonts w:ascii="Times New Roman" w:cs="Times New Roman"/>
                <w:kern w:val="2"/>
                <w:sz w:val="21"/>
                <w:szCs w:val="21"/>
              </w:rPr>
              <w:t>）</w:t>
            </w:r>
          </w:p>
        </w:tc>
        <w:tc>
          <w:tcPr>
            <w:tcW w:w="2162"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1.5</w:t>
            </w:r>
          </w:p>
        </w:tc>
        <w:tc>
          <w:tcPr>
            <w:tcW w:w="73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14</w:t>
            </w:r>
          </w:p>
        </w:tc>
        <w:tc>
          <w:tcPr>
            <w:tcW w:w="1037"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2.9</w:t>
            </w:r>
          </w:p>
        </w:tc>
        <w:tc>
          <w:tcPr>
            <w:tcW w:w="766"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88"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毛黄栌（</w:t>
            </w:r>
            <w:r>
              <w:rPr>
                <w:rFonts w:ascii="Times New Roman" w:cs="Times New Roman"/>
                <w:i/>
                <w:iCs/>
                <w:kern w:val="2"/>
                <w:sz w:val="21"/>
                <w:szCs w:val="21"/>
              </w:rPr>
              <w:t>Cotinus coggygria var.pubescens</w:t>
            </w:r>
            <w:r>
              <w:rPr>
                <w:rFonts w:ascii="Times New Roman" w:cs="Times New Roman"/>
                <w:kern w:val="2"/>
                <w:sz w:val="21"/>
                <w:szCs w:val="21"/>
              </w:rPr>
              <w:t>）</w:t>
            </w:r>
          </w:p>
        </w:tc>
        <w:tc>
          <w:tcPr>
            <w:tcW w:w="2162"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2.0</w:t>
            </w:r>
          </w:p>
        </w:tc>
        <w:tc>
          <w:tcPr>
            <w:tcW w:w="73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8</w:t>
            </w:r>
          </w:p>
        </w:tc>
        <w:tc>
          <w:tcPr>
            <w:tcW w:w="1037"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1.9</w:t>
            </w:r>
          </w:p>
        </w:tc>
        <w:tc>
          <w:tcPr>
            <w:tcW w:w="766"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88"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草本层</w:t>
            </w:r>
          </w:p>
        </w:tc>
        <w:tc>
          <w:tcPr>
            <w:tcW w:w="26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栗褐苔草（</w:t>
            </w:r>
            <w:r>
              <w:rPr>
                <w:rFonts w:ascii="Times New Roman" w:cs="Times New Roman"/>
                <w:i/>
                <w:iCs/>
                <w:kern w:val="2"/>
                <w:sz w:val="21"/>
                <w:szCs w:val="21"/>
              </w:rPr>
              <w:t>Carex brunnea Thunb.</w:t>
            </w:r>
            <w:r>
              <w:rPr>
                <w:rFonts w:ascii="Times New Roman" w:cs="Times New Roman"/>
                <w:kern w:val="2"/>
                <w:sz w:val="21"/>
                <w:szCs w:val="21"/>
              </w:rPr>
              <w:t>）</w:t>
            </w:r>
          </w:p>
        </w:tc>
        <w:tc>
          <w:tcPr>
            <w:tcW w:w="2162"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0.95</w:t>
            </w:r>
          </w:p>
        </w:tc>
        <w:tc>
          <w:tcPr>
            <w:tcW w:w="73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Soc</w:t>
            </w:r>
          </w:p>
        </w:tc>
        <w:tc>
          <w:tcPr>
            <w:tcW w:w="1037"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66"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88"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披针叶苔草（</w:t>
            </w:r>
            <w:r>
              <w:rPr>
                <w:rFonts w:ascii="Times New Roman" w:cs="Times New Roman"/>
                <w:i/>
                <w:iCs/>
                <w:kern w:val="2"/>
                <w:sz w:val="21"/>
                <w:szCs w:val="21"/>
              </w:rPr>
              <w:t>Carex lanceolata</w:t>
            </w:r>
            <w:r>
              <w:rPr>
                <w:rFonts w:ascii="Times New Roman" w:cs="Times New Roman"/>
                <w:i/>
                <w:iCs/>
                <w:kern w:val="2"/>
                <w:sz w:val="21"/>
                <w:szCs w:val="21"/>
              </w:rPr>
              <w:tab/>
            </w:r>
            <w:r>
              <w:rPr>
                <w:rFonts w:ascii="Times New Roman" w:cs="Times New Roman"/>
                <w:i/>
                <w:iCs/>
                <w:kern w:val="2"/>
                <w:sz w:val="21"/>
                <w:szCs w:val="21"/>
              </w:rPr>
              <w:t>Boott</w:t>
            </w:r>
            <w:r>
              <w:rPr>
                <w:rFonts w:ascii="Times New Roman" w:cs="Times New Roman"/>
                <w:kern w:val="2"/>
                <w:sz w:val="21"/>
                <w:szCs w:val="21"/>
              </w:rPr>
              <w:t>）</w:t>
            </w:r>
          </w:p>
        </w:tc>
        <w:tc>
          <w:tcPr>
            <w:tcW w:w="2162"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0.85</w:t>
            </w:r>
          </w:p>
        </w:tc>
        <w:tc>
          <w:tcPr>
            <w:tcW w:w="73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Cop</w:t>
            </w:r>
            <w:r>
              <w:rPr>
                <w:rFonts w:ascii="Times New Roman" w:cs="Times New Roman"/>
                <w:bCs/>
                <w:kern w:val="2"/>
                <w:sz w:val="21"/>
                <w:szCs w:val="21"/>
                <w:vertAlign w:val="subscript"/>
              </w:rPr>
              <w:t>2</w:t>
            </w:r>
          </w:p>
        </w:tc>
        <w:tc>
          <w:tcPr>
            <w:tcW w:w="1037"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66"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黄茅（</w:t>
            </w:r>
            <w:r>
              <w:rPr>
                <w:rFonts w:ascii="Times New Roman" w:cs="Times New Roman"/>
                <w:i/>
                <w:iCs/>
                <w:kern w:val="2"/>
                <w:sz w:val="21"/>
                <w:szCs w:val="21"/>
              </w:rPr>
              <w:t>Heteropogon</w:t>
            </w:r>
            <w:r>
              <w:rPr>
                <w:rFonts w:ascii="Times New Roman" w:cs="Times New Roman"/>
                <w:i/>
                <w:iCs/>
                <w:kern w:val="2"/>
                <w:sz w:val="21"/>
                <w:szCs w:val="21"/>
              </w:rPr>
              <w:tab/>
            </w:r>
            <w:r>
              <w:rPr>
                <w:rFonts w:ascii="Times New Roman" w:cs="Times New Roman"/>
                <w:i/>
                <w:iCs/>
                <w:kern w:val="2"/>
                <w:sz w:val="21"/>
                <w:szCs w:val="21"/>
              </w:rPr>
              <w:t>contortus</w:t>
            </w:r>
            <w:r>
              <w:rPr>
                <w:rFonts w:ascii="Times New Roman" w:cs="Times New Roman"/>
                <w:kern w:val="2"/>
                <w:sz w:val="21"/>
                <w:szCs w:val="21"/>
              </w:rPr>
              <w:t>）</w:t>
            </w:r>
          </w:p>
        </w:tc>
        <w:tc>
          <w:tcPr>
            <w:tcW w:w="2162"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1.2</w:t>
            </w:r>
          </w:p>
        </w:tc>
        <w:tc>
          <w:tcPr>
            <w:tcW w:w="73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Sp</w:t>
            </w:r>
          </w:p>
        </w:tc>
        <w:tc>
          <w:tcPr>
            <w:tcW w:w="1037"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66"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88"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画眉草（</w:t>
            </w:r>
            <w:r>
              <w:rPr>
                <w:rFonts w:ascii="Times New Roman" w:cs="Times New Roman"/>
                <w:i/>
                <w:iCs/>
                <w:kern w:val="2"/>
                <w:sz w:val="21"/>
                <w:szCs w:val="21"/>
              </w:rPr>
              <w:t>Eragrostis pilosa(L.)Beauv.</w:t>
            </w:r>
            <w:r>
              <w:rPr>
                <w:rFonts w:ascii="Times New Roman" w:cs="Times New Roman"/>
                <w:kern w:val="2"/>
                <w:sz w:val="21"/>
                <w:szCs w:val="21"/>
              </w:rPr>
              <w:t>）</w:t>
            </w:r>
          </w:p>
        </w:tc>
        <w:tc>
          <w:tcPr>
            <w:tcW w:w="2162"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0.5</w:t>
            </w:r>
          </w:p>
        </w:tc>
        <w:tc>
          <w:tcPr>
            <w:tcW w:w="73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Sol.</w:t>
            </w:r>
          </w:p>
        </w:tc>
        <w:tc>
          <w:tcPr>
            <w:tcW w:w="1037"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66"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bl>
    <w:p>
      <w:pPr>
        <w:topLinePunct w:val="0"/>
        <w:adjustRightInd/>
        <w:spacing w:line="500" w:lineRule="exact"/>
        <w:ind w:left="60" w:right="100" w:firstLine="482" w:firstLineChars="0"/>
        <w:jc w:val="center"/>
        <w:rPr>
          <w:rFonts w:ascii="Times New Roman" w:cs="Times New Roman"/>
          <w:b/>
          <w:kern w:val="2"/>
          <w:sz w:val="21"/>
          <w:szCs w:val="20"/>
        </w:rPr>
      </w:pPr>
      <w:r>
        <w:rPr>
          <w:rFonts w:ascii="Times New Roman" w:cs="Times New Roman"/>
          <w:b/>
          <w:kern w:val="2"/>
          <w:sz w:val="21"/>
          <w:szCs w:val="20"/>
        </w:rPr>
        <w:t>样方</w:t>
      </w:r>
      <w:r>
        <w:rPr>
          <w:rFonts w:hint="eastAsia" w:ascii="Times New Roman" w:cs="Times New Roman"/>
          <w:b/>
          <w:kern w:val="2"/>
          <w:sz w:val="21"/>
          <w:szCs w:val="20"/>
        </w:rPr>
        <w:t>6</w:t>
      </w:r>
      <w:r>
        <w:rPr>
          <w:rFonts w:ascii="Times New Roman" w:cs="Times New Roman"/>
          <w:b/>
          <w:kern w:val="2"/>
          <w:sz w:val="21"/>
          <w:szCs w:val="20"/>
        </w:rPr>
        <w:t xml:space="preserve">  </w:t>
      </w:r>
      <w:r>
        <w:rPr>
          <w:rFonts w:hint="eastAsia" w:ascii="Times New Roman" w:cs="Times New Roman"/>
          <w:b/>
          <w:kern w:val="2"/>
          <w:sz w:val="21"/>
          <w:szCs w:val="20"/>
        </w:rPr>
        <w:t>火棘</w:t>
      </w:r>
      <w:r>
        <w:rPr>
          <w:rFonts w:ascii="Times New Roman" w:cs="Times New Roman"/>
          <w:b/>
          <w:kern w:val="2"/>
          <w:sz w:val="21"/>
          <w:szCs w:val="20"/>
        </w:rPr>
        <w:t>灌丛群落样方表</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2637"/>
        <w:gridCol w:w="875"/>
        <w:gridCol w:w="650"/>
        <w:gridCol w:w="688"/>
        <w:gridCol w:w="700"/>
        <w:gridCol w:w="600"/>
        <w:gridCol w:w="475"/>
        <w:gridCol w:w="753"/>
        <w:gridCol w:w="6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66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坐标</w:t>
            </w:r>
          </w:p>
        </w:tc>
        <w:tc>
          <w:tcPr>
            <w:tcW w:w="2637"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87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海拔（m）</w:t>
            </w:r>
          </w:p>
        </w:tc>
        <w:tc>
          <w:tcPr>
            <w:tcW w:w="6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608</w:t>
            </w:r>
          </w:p>
        </w:tc>
        <w:tc>
          <w:tcPr>
            <w:tcW w:w="68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土壤类型</w:t>
            </w:r>
          </w:p>
        </w:tc>
        <w:tc>
          <w:tcPr>
            <w:tcW w:w="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碱性土</w:t>
            </w:r>
          </w:p>
        </w:tc>
        <w:tc>
          <w:tcPr>
            <w:tcW w:w="6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坡度</w:t>
            </w:r>
          </w:p>
        </w:tc>
        <w:tc>
          <w:tcPr>
            <w:tcW w:w="47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w:t>
            </w:r>
            <w:r>
              <w:rPr>
                <w:rFonts w:hint="eastAsia" w:ascii="Times New Roman" w:cs="Times New Roman"/>
                <w:bCs/>
                <w:kern w:val="2"/>
                <w:sz w:val="21"/>
                <w:szCs w:val="21"/>
              </w:rPr>
              <w:t>0</w:t>
            </w:r>
          </w:p>
        </w:tc>
        <w:tc>
          <w:tcPr>
            <w:tcW w:w="75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坡向</w:t>
            </w: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w:t>
            </w:r>
            <w:r>
              <w:rPr>
                <w:rFonts w:hint="eastAsia" w:ascii="Times New Roman" w:cs="Times New Roman"/>
                <w:bCs/>
                <w:kern w:val="2"/>
                <w:sz w:val="21"/>
                <w:szCs w:val="21"/>
              </w:rPr>
              <w:t>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3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中文名（拉丁名）</w:t>
            </w:r>
          </w:p>
        </w:tc>
        <w:tc>
          <w:tcPr>
            <w:tcW w:w="2213"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平均高度m</w:t>
            </w:r>
          </w:p>
        </w:tc>
        <w:tc>
          <w:tcPr>
            <w:tcW w:w="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株数/多度</w:t>
            </w:r>
          </w:p>
        </w:tc>
        <w:tc>
          <w:tcPr>
            <w:tcW w:w="1075"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平均胸径cm</w:t>
            </w:r>
          </w:p>
        </w:tc>
        <w:tc>
          <w:tcPr>
            <w:tcW w:w="75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冠幅</w:t>
            </w: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茂盛</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灌木层</w:t>
            </w:r>
          </w:p>
        </w:tc>
        <w:tc>
          <w:tcPr>
            <w:tcW w:w="2637" w:type="dxa"/>
            <w:vAlign w:val="center"/>
          </w:tcPr>
          <w:p>
            <w:pPr>
              <w:topLinePunct w:val="0"/>
              <w:adjustRightInd/>
              <w:spacing w:line="240" w:lineRule="auto"/>
              <w:ind w:firstLine="0" w:firstLineChars="0"/>
              <w:jc w:val="center"/>
              <w:rPr>
                <w:rFonts w:ascii="Times New Roman" w:cs="Times New Roman"/>
                <w:b/>
                <w:kern w:val="2"/>
                <w:sz w:val="21"/>
                <w:szCs w:val="21"/>
              </w:rPr>
            </w:pPr>
            <w:r>
              <w:rPr>
                <w:rFonts w:ascii="Times New Roman" w:cs="Times New Roman"/>
                <w:kern w:val="2"/>
                <w:sz w:val="21"/>
                <w:szCs w:val="21"/>
              </w:rPr>
              <w:t>马桑（</w:t>
            </w:r>
            <w:r>
              <w:rPr>
                <w:rFonts w:ascii="Times New Roman" w:cs="Times New Roman"/>
                <w:i/>
                <w:iCs/>
                <w:kern w:val="2"/>
                <w:sz w:val="21"/>
                <w:szCs w:val="21"/>
              </w:rPr>
              <w:t>Coriaria nepalensis</w:t>
            </w:r>
            <w:r>
              <w:rPr>
                <w:rFonts w:ascii="Times New Roman" w:cs="Times New Roman"/>
                <w:kern w:val="2"/>
                <w:sz w:val="21"/>
                <w:szCs w:val="21"/>
              </w:rPr>
              <w:t>）</w:t>
            </w:r>
          </w:p>
        </w:tc>
        <w:tc>
          <w:tcPr>
            <w:tcW w:w="2213"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1.4</w:t>
            </w:r>
          </w:p>
        </w:tc>
        <w:tc>
          <w:tcPr>
            <w:tcW w:w="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12</w:t>
            </w:r>
          </w:p>
        </w:tc>
        <w:tc>
          <w:tcPr>
            <w:tcW w:w="1075"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1.5</w:t>
            </w:r>
          </w:p>
        </w:tc>
        <w:tc>
          <w:tcPr>
            <w:tcW w:w="75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3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黄荆（</w:t>
            </w:r>
            <w:r>
              <w:rPr>
                <w:rFonts w:ascii="Times New Roman" w:cs="Times New Roman"/>
                <w:i/>
                <w:iCs/>
                <w:kern w:val="2"/>
                <w:sz w:val="21"/>
                <w:szCs w:val="21"/>
              </w:rPr>
              <w:t>Vitex negundo L.</w:t>
            </w:r>
            <w:r>
              <w:rPr>
                <w:rFonts w:ascii="Times New Roman" w:cs="Times New Roman"/>
                <w:kern w:val="2"/>
                <w:sz w:val="21"/>
                <w:szCs w:val="21"/>
              </w:rPr>
              <w:t>）</w:t>
            </w:r>
          </w:p>
        </w:tc>
        <w:tc>
          <w:tcPr>
            <w:tcW w:w="2213"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1.3</w:t>
            </w:r>
          </w:p>
        </w:tc>
        <w:tc>
          <w:tcPr>
            <w:tcW w:w="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4</w:t>
            </w:r>
          </w:p>
        </w:tc>
        <w:tc>
          <w:tcPr>
            <w:tcW w:w="1075"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1.0</w:t>
            </w:r>
          </w:p>
        </w:tc>
        <w:tc>
          <w:tcPr>
            <w:tcW w:w="75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3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火棘（</w:t>
            </w:r>
            <w:r>
              <w:rPr>
                <w:rFonts w:ascii="Times New Roman" w:cs="Times New Roman"/>
                <w:i/>
                <w:iCs/>
                <w:kern w:val="2"/>
                <w:sz w:val="21"/>
                <w:szCs w:val="21"/>
              </w:rPr>
              <w:t>Pyracantha fortuneana (Maxim.) Li</w:t>
            </w:r>
            <w:r>
              <w:rPr>
                <w:rFonts w:ascii="Times New Roman" w:cs="Times New Roman"/>
                <w:kern w:val="2"/>
                <w:sz w:val="21"/>
                <w:szCs w:val="21"/>
              </w:rPr>
              <w:t>）</w:t>
            </w:r>
          </w:p>
        </w:tc>
        <w:tc>
          <w:tcPr>
            <w:tcW w:w="2213"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1.2</w:t>
            </w:r>
          </w:p>
        </w:tc>
        <w:tc>
          <w:tcPr>
            <w:tcW w:w="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3</w:t>
            </w:r>
          </w:p>
        </w:tc>
        <w:tc>
          <w:tcPr>
            <w:tcW w:w="1075"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2.0</w:t>
            </w:r>
          </w:p>
        </w:tc>
        <w:tc>
          <w:tcPr>
            <w:tcW w:w="75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3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盐肤木（</w:t>
            </w:r>
            <w:r>
              <w:rPr>
                <w:rFonts w:ascii="Times New Roman" w:cs="Times New Roman"/>
                <w:i/>
                <w:iCs/>
                <w:kern w:val="2"/>
                <w:sz w:val="21"/>
                <w:szCs w:val="21"/>
              </w:rPr>
              <w:t>Rhus chinensis</w:t>
            </w:r>
            <w:r>
              <w:rPr>
                <w:rFonts w:ascii="Times New Roman" w:cs="Times New Roman"/>
                <w:kern w:val="2"/>
                <w:sz w:val="21"/>
                <w:szCs w:val="21"/>
              </w:rPr>
              <w:t>）</w:t>
            </w:r>
          </w:p>
        </w:tc>
        <w:tc>
          <w:tcPr>
            <w:tcW w:w="2213"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1.4</w:t>
            </w:r>
          </w:p>
        </w:tc>
        <w:tc>
          <w:tcPr>
            <w:tcW w:w="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2</w:t>
            </w:r>
          </w:p>
        </w:tc>
        <w:tc>
          <w:tcPr>
            <w:tcW w:w="1075"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1.5</w:t>
            </w:r>
          </w:p>
        </w:tc>
        <w:tc>
          <w:tcPr>
            <w:tcW w:w="75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3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金山荚蒾（</w:t>
            </w:r>
            <w:r>
              <w:rPr>
                <w:rFonts w:ascii="Times New Roman" w:cs="Times New Roman"/>
                <w:i/>
                <w:iCs/>
                <w:kern w:val="2"/>
                <w:sz w:val="21"/>
                <w:szCs w:val="21"/>
              </w:rPr>
              <w:t>Viburnum chinshanense</w:t>
            </w:r>
            <w:r>
              <w:rPr>
                <w:rFonts w:ascii="Times New Roman" w:cs="Times New Roman"/>
                <w:kern w:val="2"/>
                <w:sz w:val="21"/>
                <w:szCs w:val="21"/>
              </w:rPr>
              <w:t>）</w:t>
            </w:r>
          </w:p>
        </w:tc>
        <w:tc>
          <w:tcPr>
            <w:tcW w:w="2213"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1.3</w:t>
            </w:r>
          </w:p>
        </w:tc>
        <w:tc>
          <w:tcPr>
            <w:tcW w:w="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4</w:t>
            </w:r>
          </w:p>
        </w:tc>
        <w:tc>
          <w:tcPr>
            <w:tcW w:w="1075"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1.0</w:t>
            </w:r>
          </w:p>
        </w:tc>
        <w:tc>
          <w:tcPr>
            <w:tcW w:w="75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草本层</w:t>
            </w:r>
          </w:p>
        </w:tc>
        <w:tc>
          <w:tcPr>
            <w:tcW w:w="263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垂穗鹅观草（</w:t>
            </w:r>
            <w:r>
              <w:rPr>
                <w:rFonts w:ascii="Times New Roman" w:cs="Times New Roman"/>
                <w:i/>
                <w:iCs/>
                <w:kern w:val="2"/>
                <w:sz w:val="21"/>
                <w:szCs w:val="21"/>
              </w:rPr>
              <w:t>Roegneria nutans</w:t>
            </w:r>
            <w:r>
              <w:rPr>
                <w:rFonts w:ascii="Times New Roman" w:cs="Times New Roman"/>
                <w:kern w:val="2"/>
                <w:sz w:val="21"/>
                <w:szCs w:val="21"/>
              </w:rPr>
              <w:t>）</w:t>
            </w:r>
          </w:p>
        </w:tc>
        <w:tc>
          <w:tcPr>
            <w:tcW w:w="2213"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0.95</w:t>
            </w:r>
          </w:p>
        </w:tc>
        <w:tc>
          <w:tcPr>
            <w:tcW w:w="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Soc</w:t>
            </w:r>
          </w:p>
        </w:tc>
        <w:tc>
          <w:tcPr>
            <w:tcW w:w="1075"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5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3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早熟禾（</w:t>
            </w:r>
            <w:r>
              <w:rPr>
                <w:rFonts w:ascii="Times New Roman" w:cs="Times New Roman"/>
                <w:i/>
                <w:iCs/>
                <w:kern w:val="2"/>
                <w:sz w:val="21"/>
                <w:szCs w:val="21"/>
              </w:rPr>
              <w:t>Poa annua</w:t>
            </w:r>
            <w:r>
              <w:rPr>
                <w:rFonts w:ascii="Times New Roman" w:cs="Times New Roman"/>
                <w:kern w:val="2"/>
                <w:sz w:val="21"/>
                <w:szCs w:val="21"/>
              </w:rPr>
              <w:t>）</w:t>
            </w:r>
          </w:p>
        </w:tc>
        <w:tc>
          <w:tcPr>
            <w:tcW w:w="2213"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0.85</w:t>
            </w:r>
          </w:p>
        </w:tc>
        <w:tc>
          <w:tcPr>
            <w:tcW w:w="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Sp</w:t>
            </w:r>
          </w:p>
        </w:tc>
        <w:tc>
          <w:tcPr>
            <w:tcW w:w="1075"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5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63"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3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芒草（</w:t>
            </w:r>
            <w:r>
              <w:rPr>
                <w:rFonts w:ascii="Times New Roman" w:cs="Times New Roman"/>
                <w:kern w:val="2"/>
                <w:sz w:val="21"/>
                <w:szCs w:val="21"/>
                <w:shd w:val="clear" w:color="auto" w:fill="FFFFFF"/>
              </w:rPr>
              <w:t>Miscanthus</w:t>
            </w:r>
            <w:r>
              <w:rPr>
                <w:rFonts w:ascii="Times New Roman" w:cs="Times New Roman"/>
                <w:kern w:val="2"/>
                <w:sz w:val="21"/>
                <w:szCs w:val="21"/>
              </w:rPr>
              <w:t>）</w:t>
            </w:r>
          </w:p>
        </w:tc>
        <w:tc>
          <w:tcPr>
            <w:tcW w:w="2213"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0.4</w:t>
            </w:r>
          </w:p>
        </w:tc>
        <w:tc>
          <w:tcPr>
            <w:tcW w:w="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Sp</w:t>
            </w:r>
          </w:p>
        </w:tc>
        <w:tc>
          <w:tcPr>
            <w:tcW w:w="1075"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5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bl>
    <w:p>
      <w:pPr>
        <w:topLinePunct w:val="0"/>
        <w:adjustRightInd/>
        <w:spacing w:line="500" w:lineRule="exact"/>
        <w:ind w:left="60" w:right="100" w:firstLine="482" w:firstLineChars="0"/>
        <w:jc w:val="center"/>
        <w:rPr>
          <w:rFonts w:ascii="Times New Roman" w:cs="Times New Roman"/>
          <w:b/>
          <w:kern w:val="2"/>
          <w:sz w:val="21"/>
          <w:szCs w:val="20"/>
        </w:rPr>
      </w:pPr>
      <w:r>
        <w:rPr>
          <w:rFonts w:ascii="Times New Roman" w:cs="Times New Roman"/>
          <w:b/>
          <w:kern w:val="2"/>
          <w:sz w:val="21"/>
          <w:szCs w:val="20"/>
        </w:rPr>
        <w:t>样方</w:t>
      </w:r>
      <w:r>
        <w:rPr>
          <w:rFonts w:hint="eastAsia" w:ascii="Times New Roman" w:cs="Times New Roman"/>
          <w:b/>
          <w:kern w:val="2"/>
          <w:sz w:val="21"/>
          <w:szCs w:val="20"/>
        </w:rPr>
        <w:t>7</w:t>
      </w:r>
      <w:r>
        <w:rPr>
          <w:rFonts w:ascii="Times New Roman" w:cs="Times New Roman"/>
          <w:b/>
          <w:kern w:val="2"/>
          <w:sz w:val="21"/>
          <w:szCs w:val="20"/>
        </w:rPr>
        <w:t xml:space="preserve"> 马桑、黄荆、火棘群落样方表</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600"/>
        <w:gridCol w:w="975"/>
        <w:gridCol w:w="538"/>
        <w:gridCol w:w="712"/>
        <w:gridCol w:w="700"/>
        <w:gridCol w:w="550"/>
        <w:gridCol w:w="538"/>
        <w:gridCol w:w="753"/>
        <w:gridCol w:w="6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67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坐标</w:t>
            </w:r>
          </w:p>
        </w:tc>
        <w:tc>
          <w:tcPr>
            <w:tcW w:w="2600"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97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海拔（m）</w:t>
            </w:r>
          </w:p>
        </w:tc>
        <w:tc>
          <w:tcPr>
            <w:tcW w:w="53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741</w:t>
            </w:r>
          </w:p>
        </w:tc>
        <w:tc>
          <w:tcPr>
            <w:tcW w:w="712"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土壤类型</w:t>
            </w:r>
          </w:p>
        </w:tc>
        <w:tc>
          <w:tcPr>
            <w:tcW w:w="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壤土</w:t>
            </w:r>
          </w:p>
        </w:tc>
        <w:tc>
          <w:tcPr>
            <w:tcW w:w="5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坡度</w:t>
            </w:r>
          </w:p>
        </w:tc>
        <w:tc>
          <w:tcPr>
            <w:tcW w:w="53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5</w:t>
            </w:r>
          </w:p>
        </w:tc>
        <w:tc>
          <w:tcPr>
            <w:tcW w:w="75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坡向</w:t>
            </w: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EN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75"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中文名（拉丁名）</w:t>
            </w:r>
          </w:p>
        </w:tc>
        <w:tc>
          <w:tcPr>
            <w:tcW w:w="222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平均高度m</w:t>
            </w:r>
          </w:p>
        </w:tc>
        <w:tc>
          <w:tcPr>
            <w:tcW w:w="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株数/多度</w:t>
            </w:r>
          </w:p>
        </w:tc>
        <w:tc>
          <w:tcPr>
            <w:tcW w:w="1088"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平均胸径cm</w:t>
            </w:r>
          </w:p>
        </w:tc>
        <w:tc>
          <w:tcPr>
            <w:tcW w:w="75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冠幅</w:t>
            </w: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茂盛</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75"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灌木层</w:t>
            </w:r>
          </w:p>
        </w:tc>
        <w:tc>
          <w:tcPr>
            <w:tcW w:w="26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火棘</w:t>
            </w:r>
            <w:r>
              <w:rPr>
                <w:rFonts w:ascii="Times New Roman" w:cs="Times New Roman"/>
                <w:i/>
                <w:iCs/>
                <w:kern w:val="2"/>
                <w:sz w:val="21"/>
                <w:szCs w:val="21"/>
              </w:rPr>
              <w:t>Pyracantha fortuneana</w:t>
            </w:r>
          </w:p>
        </w:tc>
        <w:tc>
          <w:tcPr>
            <w:tcW w:w="222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1.3</w:t>
            </w:r>
          </w:p>
        </w:tc>
        <w:tc>
          <w:tcPr>
            <w:tcW w:w="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8</w:t>
            </w:r>
          </w:p>
        </w:tc>
        <w:tc>
          <w:tcPr>
            <w:tcW w:w="1088"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1.5</w:t>
            </w:r>
          </w:p>
        </w:tc>
        <w:tc>
          <w:tcPr>
            <w:tcW w:w="75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75"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黄荆</w:t>
            </w:r>
            <w:r>
              <w:rPr>
                <w:rFonts w:ascii="Times New Roman" w:cs="Times New Roman"/>
                <w:i/>
                <w:iCs/>
                <w:kern w:val="2"/>
                <w:sz w:val="21"/>
                <w:szCs w:val="21"/>
              </w:rPr>
              <w:t>Vitex negundo</w:t>
            </w:r>
          </w:p>
        </w:tc>
        <w:tc>
          <w:tcPr>
            <w:tcW w:w="222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1.5</w:t>
            </w:r>
          </w:p>
        </w:tc>
        <w:tc>
          <w:tcPr>
            <w:tcW w:w="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10</w:t>
            </w:r>
          </w:p>
        </w:tc>
        <w:tc>
          <w:tcPr>
            <w:tcW w:w="1088"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1.0</w:t>
            </w:r>
          </w:p>
        </w:tc>
        <w:tc>
          <w:tcPr>
            <w:tcW w:w="75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75"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马桑</w:t>
            </w:r>
            <w:r>
              <w:rPr>
                <w:rFonts w:ascii="Times New Roman" w:cs="Times New Roman"/>
                <w:i/>
                <w:iCs/>
                <w:kern w:val="2"/>
                <w:sz w:val="21"/>
                <w:szCs w:val="21"/>
              </w:rPr>
              <w:t>Coriaria nepalensis</w:t>
            </w:r>
          </w:p>
        </w:tc>
        <w:tc>
          <w:tcPr>
            <w:tcW w:w="222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1.2</w:t>
            </w:r>
          </w:p>
        </w:tc>
        <w:tc>
          <w:tcPr>
            <w:tcW w:w="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19</w:t>
            </w:r>
          </w:p>
        </w:tc>
        <w:tc>
          <w:tcPr>
            <w:tcW w:w="1088"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1.0</w:t>
            </w:r>
          </w:p>
        </w:tc>
        <w:tc>
          <w:tcPr>
            <w:tcW w:w="75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75"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美丽胡枝子</w:t>
            </w:r>
            <w:r>
              <w:rPr>
                <w:rFonts w:ascii="Times New Roman" w:cs="Times New Roman"/>
                <w:i/>
                <w:iCs/>
                <w:kern w:val="2"/>
                <w:sz w:val="21"/>
                <w:szCs w:val="21"/>
              </w:rPr>
              <w:t>Lespedeza formosa</w:t>
            </w:r>
          </w:p>
        </w:tc>
        <w:tc>
          <w:tcPr>
            <w:tcW w:w="222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1.2</w:t>
            </w:r>
          </w:p>
        </w:tc>
        <w:tc>
          <w:tcPr>
            <w:tcW w:w="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3</w:t>
            </w:r>
          </w:p>
        </w:tc>
        <w:tc>
          <w:tcPr>
            <w:tcW w:w="1088"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2.0</w:t>
            </w:r>
          </w:p>
        </w:tc>
        <w:tc>
          <w:tcPr>
            <w:tcW w:w="75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75"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00"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山胡椒</w:t>
            </w:r>
            <w:r>
              <w:rPr>
                <w:rFonts w:ascii="Times New Roman" w:cs="Times New Roman"/>
                <w:i/>
                <w:iCs/>
                <w:kern w:val="2"/>
                <w:sz w:val="21"/>
                <w:szCs w:val="21"/>
              </w:rPr>
              <w:t>Lindera sp.</w:t>
            </w:r>
          </w:p>
        </w:tc>
        <w:tc>
          <w:tcPr>
            <w:tcW w:w="222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1.1</w:t>
            </w:r>
          </w:p>
        </w:tc>
        <w:tc>
          <w:tcPr>
            <w:tcW w:w="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4</w:t>
            </w:r>
          </w:p>
        </w:tc>
        <w:tc>
          <w:tcPr>
            <w:tcW w:w="1088"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1.0</w:t>
            </w:r>
          </w:p>
        </w:tc>
        <w:tc>
          <w:tcPr>
            <w:tcW w:w="75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75"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草本层</w:t>
            </w:r>
          </w:p>
        </w:tc>
        <w:tc>
          <w:tcPr>
            <w:tcW w:w="26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聚花过路黄</w:t>
            </w:r>
            <w:r>
              <w:rPr>
                <w:rFonts w:ascii="Times New Roman" w:cs="Times New Roman"/>
                <w:i/>
                <w:iCs/>
                <w:kern w:val="2"/>
                <w:sz w:val="21"/>
                <w:szCs w:val="21"/>
              </w:rPr>
              <w:t>Lysimachia congestiflora Hemsl.</w:t>
            </w:r>
          </w:p>
        </w:tc>
        <w:tc>
          <w:tcPr>
            <w:tcW w:w="222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0.25</w:t>
            </w:r>
          </w:p>
        </w:tc>
        <w:tc>
          <w:tcPr>
            <w:tcW w:w="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Sol.</w:t>
            </w:r>
          </w:p>
        </w:tc>
        <w:tc>
          <w:tcPr>
            <w:tcW w:w="1088"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5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75"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蕺菜</w:t>
            </w:r>
            <w:r>
              <w:rPr>
                <w:rFonts w:ascii="Times New Roman" w:cs="Times New Roman"/>
                <w:i/>
                <w:iCs/>
                <w:kern w:val="2"/>
                <w:sz w:val="21"/>
                <w:szCs w:val="21"/>
              </w:rPr>
              <w:t>Houttuynia cordata Thunb</w:t>
            </w:r>
          </w:p>
        </w:tc>
        <w:tc>
          <w:tcPr>
            <w:tcW w:w="222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0.6</w:t>
            </w:r>
          </w:p>
        </w:tc>
        <w:tc>
          <w:tcPr>
            <w:tcW w:w="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Un.</w:t>
            </w:r>
          </w:p>
        </w:tc>
        <w:tc>
          <w:tcPr>
            <w:tcW w:w="1088"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5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75"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草莓</w:t>
            </w:r>
            <w:r>
              <w:rPr>
                <w:rFonts w:ascii="Times New Roman" w:cs="Times New Roman"/>
                <w:i/>
                <w:iCs/>
                <w:kern w:val="2"/>
                <w:sz w:val="21"/>
                <w:szCs w:val="21"/>
              </w:rPr>
              <w:t>Fragaria ananassa Duch.</w:t>
            </w:r>
          </w:p>
        </w:tc>
        <w:tc>
          <w:tcPr>
            <w:tcW w:w="222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0.4</w:t>
            </w:r>
          </w:p>
        </w:tc>
        <w:tc>
          <w:tcPr>
            <w:tcW w:w="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Un.</w:t>
            </w:r>
          </w:p>
        </w:tc>
        <w:tc>
          <w:tcPr>
            <w:tcW w:w="1088"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5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75"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葎草</w:t>
            </w:r>
            <w:r>
              <w:rPr>
                <w:rFonts w:ascii="Times New Roman" w:cs="Times New Roman"/>
                <w:i/>
                <w:iCs/>
                <w:kern w:val="2"/>
                <w:sz w:val="21"/>
                <w:szCs w:val="21"/>
              </w:rPr>
              <w:t>Humulus scandens</w:t>
            </w:r>
          </w:p>
        </w:tc>
        <w:tc>
          <w:tcPr>
            <w:tcW w:w="222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0.4</w:t>
            </w:r>
          </w:p>
        </w:tc>
        <w:tc>
          <w:tcPr>
            <w:tcW w:w="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Un.</w:t>
            </w:r>
          </w:p>
        </w:tc>
        <w:tc>
          <w:tcPr>
            <w:tcW w:w="1088"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5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75"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毛蕨</w:t>
            </w:r>
            <w:r>
              <w:rPr>
                <w:rFonts w:ascii="Times New Roman" w:cs="Times New Roman"/>
                <w:i/>
                <w:iCs/>
                <w:kern w:val="2"/>
                <w:sz w:val="21"/>
                <w:szCs w:val="21"/>
              </w:rPr>
              <w:t>Cyclosorus interruptus (Willd.) H. Ito</w:t>
            </w:r>
          </w:p>
        </w:tc>
        <w:tc>
          <w:tcPr>
            <w:tcW w:w="222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0.25</w:t>
            </w:r>
          </w:p>
        </w:tc>
        <w:tc>
          <w:tcPr>
            <w:tcW w:w="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Un.</w:t>
            </w:r>
          </w:p>
        </w:tc>
        <w:tc>
          <w:tcPr>
            <w:tcW w:w="1088"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5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75"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铁角蕨</w:t>
            </w:r>
            <w:r>
              <w:rPr>
                <w:rFonts w:ascii="Times New Roman" w:cs="Times New Roman"/>
                <w:i/>
                <w:iCs/>
                <w:kern w:val="2"/>
                <w:sz w:val="21"/>
                <w:szCs w:val="21"/>
              </w:rPr>
              <w:t>Asplenium trichomanes</w:t>
            </w:r>
          </w:p>
        </w:tc>
        <w:tc>
          <w:tcPr>
            <w:tcW w:w="222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0.6</w:t>
            </w:r>
          </w:p>
        </w:tc>
        <w:tc>
          <w:tcPr>
            <w:tcW w:w="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Un.</w:t>
            </w:r>
          </w:p>
        </w:tc>
        <w:tc>
          <w:tcPr>
            <w:tcW w:w="1088"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5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bl>
    <w:p>
      <w:pPr>
        <w:topLinePunct w:val="0"/>
        <w:adjustRightInd/>
        <w:spacing w:line="500" w:lineRule="exact"/>
        <w:ind w:left="60" w:right="100" w:firstLine="482" w:firstLineChars="0"/>
        <w:jc w:val="center"/>
        <w:rPr>
          <w:rFonts w:ascii="Times New Roman" w:cs="Times New Roman"/>
          <w:b/>
          <w:kern w:val="2"/>
          <w:sz w:val="21"/>
          <w:szCs w:val="20"/>
        </w:rPr>
      </w:pPr>
      <w:r>
        <w:rPr>
          <w:rFonts w:ascii="Times New Roman" w:cs="Times New Roman"/>
          <w:b/>
          <w:kern w:val="2"/>
          <w:sz w:val="21"/>
          <w:szCs w:val="20"/>
        </w:rPr>
        <w:t>样方8 白茅、五节芒、野古草、斑茅群落样方表</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8"/>
        <w:gridCol w:w="2650"/>
        <w:gridCol w:w="850"/>
        <w:gridCol w:w="650"/>
        <w:gridCol w:w="725"/>
        <w:gridCol w:w="700"/>
        <w:gridCol w:w="562"/>
        <w:gridCol w:w="563"/>
        <w:gridCol w:w="703"/>
        <w:gridCol w:w="6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63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坐标</w:t>
            </w:r>
          </w:p>
        </w:tc>
        <w:tc>
          <w:tcPr>
            <w:tcW w:w="2650"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8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海拔（m）</w:t>
            </w:r>
          </w:p>
        </w:tc>
        <w:tc>
          <w:tcPr>
            <w:tcW w:w="6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558</w:t>
            </w:r>
          </w:p>
        </w:tc>
        <w:tc>
          <w:tcPr>
            <w:tcW w:w="7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土壤类型</w:t>
            </w:r>
          </w:p>
        </w:tc>
        <w:tc>
          <w:tcPr>
            <w:tcW w:w="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壤土</w:t>
            </w:r>
          </w:p>
        </w:tc>
        <w:tc>
          <w:tcPr>
            <w:tcW w:w="562"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坡度</w:t>
            </w:r>
          </w:p>
        </w:tc>
        <w:tc>
          <w:tcPr>
            <w:tcW w:w="56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2</w:t>
            </w:r>
          </w:p>
        </w:tc>
        <w:tc>
          <w:tcPr>
            <w:tcW w:w="70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坡向</w:t>
            </w: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WS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38"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中文名（拉丁名）</w:t>
            </w:r>
          </w:p>
        </w:tc>
        <w:tc>
          <w:tcPr>
            <w:tcW w:w="222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平均高度m</w:t>
            </w:r>
          </w:p>
        </w:tc>
        <w:tc>
          <w:tcPr>
            <w:tcW w:w="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株数/多度</w:t>
            </w:r>
          </w:p>
        </w:tc>
        <w:tc>
          <w:tcPr>
            <w:tcW w:w="1125"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平均胸径cm</w:t>
            </w:r>
          </w:p>
        </w:tc>
        <w:tc>
          <w:tcPr>
            <w:tcW w:w="70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冠幅</w:t>
            </w: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茂盛</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38"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草本层</w:t>
            </w:r>
          </w:p>
        </w:tc>
        <w:tc>
          <w:tcPr>
            <w:tcW w:w="26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白茅</w:t>
            </w:r>
            <w:r>
              <w:rPr>
                <w:rFonts w:ascii="Times New Roman" w:cs="Times New Roman"/>
                <w:bCs/>
                <w:i/>
                <w:iCs/>
                <w:kern w:val="2"/>
                <w:sz w:val="21"/>
                <w:szCs w:val="21"/>
              </w:rPr>
              <w:t>Imperata cylindrica.</w:t>
            </w:r>
          </w:p>
        </w:tc>
        <w:tc>
          <w:tcPr>
            <w:tcW w:w="222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0.55</w:t>
            </w:r>
          </w:p>
        </w:tc>
        <w:tc>
          <w:tcPr>
            <w:tcW w:w="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Soc</w:t>
            </w:r>
          </w:p>
        </w:tc>
        <w:tc>
          <w:tcPr>
            <w:tcW w:w="1125"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0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38"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五节芒</w:t>
            </w:r>
            <w:r>
              <w:rPr>
                <w:rFonts w:ascii="Times New Roman" w:cs="Times New Roman"/>
                <w:bCs/>
                <w:i/>
                <w:iCs/>
                <w:kern w:val="2"/>
                <w:sz w:val="21"/>
                <w:szCs w:val="21"/>
              </w:rPr>
              <w:t>Miscanthus floridulus</w:t>
            </w:r>
          </w:p>
        </w:tc>
        <w:tc>
          <w:tcPr>
            <w:tcW w:w="222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0.45</w:t>
            </w:r>
          </w:p>
        </w:tc>
        <w:tc>
          <w:tcPr>
            <w:tcW w:w="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Cop</w:t>
            </w:r>
            <w:r>
              <w:rPr>
                <w:rFonts w:ascii="Times New Roman" w:cs="Times New Roman"/>
                <w:bCs/>
                <w:kern w:val="2"/>
                <w:sz w:val="21"/>
                <w:szCs w:val="21"/>
                <w:vertAlign w:val="subscript"/>
              </w:rPr>
              <w:t>1</w:t>
            </w:r>
          </w:p>
        </w:tc>
        <w:tc>
          <w:tcPr>
            <w:tcW w:w="1125"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0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38"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芒</w:t>
            </w:r>
            <w:r>
              <w:rPr>
                <w:rFonts w:ascii="Times New Roman" w:cs="Times New Roman"/>
                <w:bCs/>
                <w:i/>
                <w:iCs/>
                <w:kern w:val="2"/>
                <w:sz w:val="21"/>
                <w:szCs w:val="21"/>
              </w:rPr>
              <w:t>Miscanthus sinensis</w:t>
            </w:r>
          </w:p>
        </w:tc>
        <w:tc>
          <w:tcPr>
            <w:tcW w:w="222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0.25</w:t>
            </w:r>
          </w:p>
        </w:tc>
        <w:tc>
          <w:tcPr>
            <w:tcW w:w="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Sp.</w:t>
            </w:r>
          </w:p>
        </w:tc>
        <w:tc>
          <w:tcPr>
            <w:tcW w:w="1125"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0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38"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黄背草</w:t>
            </w:r>
            <w:r>
              <w:rPr>
                <w:rFonts w:ascii="Times New Roman" w:cs="Times New Roman"/>
                <w:bCs/>
                <w:i/>
                <w:iCs/>
                <w:kern w:val="2"/>
                <w:sz w:val="21"/>
                <w:szCs w:val="21"/>
              </w:rPr>
              <w:t>Themeda triandra Forsk. Var. Japonica</w:t>
            </w:r>
          </w:p>
        </w:tc>
        <w:tc>
          <w:tcPr>
            <w:tcW w:w="222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0.25</w:t>
            </w:r>
          </w:p>
        </w:tc>
        <w:tc>
          <w:tcPr>
            <w:tcW w:w="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Sol.</w:t>
            </w:r>
          </w:p>
        </w:tc>
        <w:tc>
          <w:tcPr>
            <w:tcW w:w="1125"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0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638"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50"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聚花过路黄</w:t>
            </w:r>
            <w:r>
              <w:rPr>
                <w:rFonts w:ascii="Times New Roman" w:cs="Times New Roman"/>
                <w:i/>
                <w:iCs/>
                <w:kern w:val="2"/>
                <w:sz w:val="21"/>
                <w:szCs w:val="21"/>
              </w:rPr>
              <w:t>Lysimachia congestiflora Hemsl.</w:t>
            </w:r>
          </w:p>
        </w:tc>
        <w:tc>
          <w:tcPr>
            <w:tcW w:w="222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0.25</w:t>
            </w:r>
          </w:p>
        </w:tc>
        <w:tc>
          <w:tcPr>
            <w:tcW w:w="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Sol.</w:t>
            </w:r>
          </w:p>
        </w:tc>
        <w:tc>
          <w:tcPr>
            <w:tcW w:w="1125"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0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38"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50"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蕺菜</w:t>
            </w:r>
            <w:r>
              <w:rPr>
                <w:rFonts w:ascii="Times New Roman" w:cs="Times New Roman"/>
                <w:i/>
                <w:iCs/>
                <w:kern w:val="2"/>
                <w:sz w:val="21"/>
                <w:szCs w:val="21"/>
              </w:rPr>
              <w:t>Houttuynia cordata Thunb</w:t>
            </w:r>
          </w:p>
        </w:tc>
        <w:tc>
          <w:tcPr>
            <w:tcW w:w="222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0.6</w:t>
            </w:r>
          </w:p>
        </w:tc>
        <w:tc>
          <w:tcPr>
            <w:tcW w:w="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Un.</w:t>
            </w:r>
          </w:p>
        </w:tc>
        <w:tc>
          <w:tcPr>
            <w:tcW w:w="1125"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0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38"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50"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bCs/>
                <w:kern w:val="2"/>
                <w:sz w:val="21"/>
                <w:szCs w:val="21"/>
              </w:rPr>
              <w:t>野古草</w:t>
            </w:r>
            <w:r>
              <w:rPr>
                <w:rFonts w:ascii="Times New Roman" w:cs="Times New Roman"/>
                <w:bCs/>
                <w:i/>
                <w:iCs/>
                <w:kern w:val="2"/>
                <w:sz w:val="21"/>
                <w:szCs w:val="21"/>
              </w:rPr>
              <w:t>Arundinella anomala</w:t>
            </w:r>
          </w:p>
        </w:tc>
        <w:tc>
          <w:tcPr>
            <w:tcW w:w="222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0.6</w:t>
            </w:r>
          </w:p>
        </w:tc>
        <w:tc>
          <w:tcPr>
            <w:tcW w:w="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Un.</w:t>
            </w:r>
          </w:p>
        </w:tc>
        <w:tc>
          <w:tcPr>
            <w:tcW w:w="1125"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0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38"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50"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bCs/>
                <w:kern w:val="2"/>
                <w:sz w:val="21"/>
                <w:szCs w:val="21"/>
              </w:rPr>
              <w:t>斑茅</w:t>
            </w:r>
            <w:r>
              <w:rPr>
                <w:rFonts w:ascii="Times New Roman" w:cs="Times New Roman"/>
                <w:bCs/>
                <w:i/>
                <w:iCs/>
                <w:kern w:val="2"/>
                <w:sz w:val="21"/>
                <w:szCs w:val="21"/>
              </w:rPr>
              <w:t>Saccharum arundinaceum</w:t>
            </w:r>
          </w:p>
        </w:tc>
        <w:tc>
          <w:tcPr>
            <w:tcW w:w="222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0.45</w:t>
            </w:r>
          </w:p>
        </w:tc>
        <w:tc>
          <w:tcPr>
            <w:tcW w:w="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Un.</w:t>
            </w:r>
          </w:p>
        </w:tc>
        <w:tc>
          <w:tcPr>
            <w:tcW w:w="1125"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0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bl>
    <w:p>
      <w:pPr>
        <w:topLinePunct w:val="0"/>
        <w:adjustRightInd/>
        <w:spacing w:line="500" w:lineRule="exact"/>
        <w:ind w:left="60" w:right="100" w:firstLine="482" w:firstLineChars="0"/>
        <w:jc w:val="center"/>
        <w:rPr>
          <w:rFonts w:ascii="Times New Roman" w:cs="Times New Roman"/>
          <w:b/>
          <w:kern w:val="2"/>
          <w:sz w:val="21"/>
          <w:szCs w:val="20"/>
        </w:rPr>
      </w:pPr>
      <w:r>
        <w:rPr>
          <w:rFonts w:ascii="Times New Roman" w:cs="Times New Roman"/>
          <w:b/>
          <w:kern w:val="2"/>
          <w:sz w:val="21"/>
          <w:szCs w:val="20"/>
        </w:rPr>
        <w:t>样方</w:t>
      </w:r>
      <w:r>
        <w:rPr>
          <w:rFonts w:hint="eastAsia" w:ascii="Times New Roman" w:cs="Times New Roman"/>
          <w:b/>
          <w:kern w:val="2"/>
          <w:sz w:val="21"/>
          <w:szCs w:val="20"/>
        </w:rPr>
        <w:t>9</w:t>
      </w:r>
      <w:r>
        <w:rPr>
          <w:rFonts w:ascii="Times New Roman" w:cs="Times New Roman"/>
          <w:b/>
          <w:kern w:val="2"/>
          <w:sz w:val="21"/>
          <w:szCs w:val="20"/>
        </w:rPr>
        <w:t xml:space="preserve"> 芒、蕨、芒萁群落方表</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613"/>
        <w:gridCol w:w="850"/>
        <w:gridCol w:w="537"/>
        <w:gridCol w:w="850"/>
        <w:gridCol w:w="663"/>
        <w:gridCol w:w="562"/>
        <w:gridCol w:w="525"/>
        <w:gridCol w:w="766"/>
        <w:gridCol w:w="6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67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坐标</w:t>
            </w:r>
          </w:p>
        </w:tc>
        <w:tc>
          <w:tcPr>
            <w:tcW w:w="2613" w:type="dxa"/>
            <w:vAlign w:val="center"/>
          </w:tcPr>
          <w:p>
            <w:pPr>
              <w:topLinePunct w:val="0"/>
              <w:adjustRightInd/>
              <w:spacing w:line="240" w:lineRule="auto"/>
              <w:ind w:firstLine="0" w:firstLineChars="0"/>
              <w:jc w:val="center"/>
              <w:rPr>
                <w:rFonts w:ascii="Times New Roman" w:cs="Times New Roman"/>
                <w:b/>
                <w:kern w:val="2"/>
                <w:sz w:val="21"/>
                <w:szCs w:val="21"/>
              </w:rPr>
            </w:pPr>
          </w:p>
        </w:tc>
        <w:tc>
          <w:tcPr>
            <w:tcW w:w="8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海拔（m）</w:t>
            </w:r>
          </w:p>
        </w:tc>
        <w:tc>
          <w:tcPr>
            <w:tcW w:w="537"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748</w:t>
            </w:r>
          </w:p>
        </w:tc>
        <w:tc>
          <w:tcPr>
            <w:tcW w:w="8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土壤类型</w:t>
            </w:r>
          </w:p>
        </w:tc>
        <w:tc>
          <w:tcPr>
            <w:tcW w:w="663" w:type="dxa"/>
            <w:vAlign w:val="center"/>
          </w:tcPr>
          <w:p>
            <w:pPr>
              <w:topLinePunct w:val="0"/>
              <w:adjustRightInd/>
              <w:spacing w:line="240" w:lineRule="auto"/>
              <w:ind w:firstLine="0" w:firstLineChars="0"/>
              <w:rPr>
                <w:rFonts w:ascii="Times New Roman" w:cs="Times New Roman"/>
                <w:bCs/>
                <w:kern w:val="2"/>
                <w:sz w:val="21"/>
                <w:szCs w:val="21"/>
              </w:rPr>
            </w:pPr>
            <w:r>
              <w:rPr>
                <w:rFonts w:ascii="Times New Roman" w:cs="Times New Roman"/>
                <w:bCs/>
                <w:kern w:val="2"/>
                <w:sz w:val="21"/>
                <w:szCs w:val="21"/>
              </w:rPr>
              <w:t>酸性土</w:t>
            </w:r>
          </w:p>
        </w:tc>
        <w:tc>
          <w:tcPr>
            <w:tcW w:w="562"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坡度</w:t>
            </w:r>
          </w:p>
        </w:tc>
        <w:tc>
          <w:tcPr>
            <w:tcW w:w="52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5</w:t>
            </w:r>
          </w:p>
        </w:tc>
        <w:tc>
          <w:tcPr>
            <w:tcW w:w="766"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坡向</w:t>
            </w: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75"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1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中文名（拉丁名）</w:t>
            </w:r>
          </w:p>
        </w:tc>
        <w:tc>
          <w:tcPr>
            <w:tcW w:w="2237"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平均高度m</w:t>
            </w:r>
          </w:p>
        </w:tc>
        <w:tc>
          <w:tcPr>
            <w:tcW w:w="66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株数/多度</w:t>
            </w:r>
          </w:p>
        </w:tc>
        <w:tc>
          <w:tcPr>
            <w:tcW w:w="1087"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平均胸径cm</w:t>
            </w:r>
          </w:p>
        </w:tc>
        <w:tc>
          <w:tcPr>
            <w:tcW w:w="766"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冠幅</w:t>
            </w: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茂盛</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675"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草本层</w:t>
            </w:r>
          </w:p>
        </w:tc>
        <w:tc>
          <w:tcPr>
            <w:tcW w:w="2613" w:type="dxa"/>
            <w:vAlign w:val="center"/>
          </w:tcPr>
          <w:p>
            <w:pPr>
              <w:topLinePunct w:val="0"/>
              <w:adjustRightInd/>
              <w:spacing w:line="500" w:lineRule="exact"/>
              <w:ind w:right="100" w:firstLine="0" w:firstLineChars="0"/>
              <w:rPr>
                <w:rFonts w:ascii="Times New Roman" w:cs="Times New Roman"/>
                <w:bCs/>
                <w:kern w:val="2"/>
                <w:sz w:val="21"/>
                <w:szCs w:val="21"/>
              </w:rPr>
            </w:pPr>
            <w:r>
              <w:rPr>
                <w:rFonts w:ascii="Times New Roman" w:cs="Times New Roman"/>
                <w:kern w:val="2"/>
                <w:sz w:val="21"/>
                <w:szCs w:val="21"/>
              </w:rPr>
              <w:t>白茅（</w:t>
            </w:r>
            <w:r>
              <w:rPr>
                <w:rFonts w:ascii="Times New Roman" w:cs="Times New Roman"/>
                <w:i/>
                <w:iCs/>
                <w:kern w:val="2"/>
                <w:sz w:val="21"/>
                <w:szCs w:val="21"/>
              </w:rPr>
              <w:t>Imperata cylindrical var. major</w:t>
            </w:r>
            <w:r>
              <w:rPr>
                <w:rFonts w:ascii="Times New Roman" w:cs="Times New Roman"/>
                <w:kern w:val="2"/>
                <w:sz w:val="21"/>
                <w:szCs w:val="21"/>
              </w:rPr>
              <w:t>）</w:t>
            </w:r>
          </w:p>
        </w:tc>
        <w:tc>
          <w:tcPr>
            <w:tcW w:w="2237"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0.95</w:t>
            </w:r>
          </w:p>
        </w:tc>
        <w:tc>
          <w:tcPr>
            <w:tcW w:w="66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Soc</w:t>
            </w:r>
          </w:p>
        </w:tc>
        <w:tc>
          <w:tcPr>
            <w:tcW w:w="1087"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66"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75"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1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蜈蚣草（</w:t>
            </w:r>
            <w:r>
              <w:rPr>
                <w:rFonts w:ascii="Times New Roman" w:cs="Times New Roman"/>
                <w:i/>
                <w:iCs/>
                <w:kern w:val="2"/>
                <w:sz w:val="21"/>
                <w:szCs w:val="21"/>
              </w:rPr>
              <w:t>Eremochloa ciliaris (Linn. ) Merr.</w:t>
            </w:r>
            <w:r>
              <w:rPr>
                <w:rFonts w:ascii="Times New Roman" w:cs="Times New Roman"/>
                <w:kern w:val="2"/>
                <w:sz w:val="21"/>
                <w:szCs w:val="21"/>
              </w:rPr>
              <w:t>）</w:t>
            </w:r>
          </w:p>
        </w:tc>
        <w:tc>
          <w:tcPr>
            <w:tcW w:w="2237"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0.85</w:t>
            </w:r>
          </w:p>
        </w:tc>
        <w:tc>
          <w:tcPr>
            <w:tcW w:w="66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Cop</w:t>
            </w:r>
            <w:r>
              <w:rPr>
                <w:rFonts w:ascii="Times New Roman" w:cs="Times New Roman"/>
                <w:bCs/>
                <w:kern w:val="2"/>
                <w:sz w:val="21"/>
                <w:szCs w:val="21"/>
                <w:vertAlign w:val="subscript"/>
              </w:rPr>
              <w:t>1</w:t>
            </w:r>
          </w:p>
        </w:tc>
        <w:tc>
          <w:tcPr>
            <w:tcW w:w="1087"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66"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75"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1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凤尾蕨（</w:t>
            </w:r>
            <w:r>
              <w:rPr>
                <w:rFonts w:ascii="Times New Roman" w:cs="Times New Roman"/>
                <w:i/>
                <w:iCs/>
                <w:kern w:val="2"/>
                <w:sz w:val="21"/>
                <w:szCs w:val="21"/>
              </w:rPr>
              <w:t>Pteris cretica L. var. nervosa (Thunb.) Ching et S. H. Wu</w:t>
            </w:r>
            <w:r>
              <w:rPr>
                <w:rFonts w:ascii="Times New Roman" w:cs="Times New Roman"/>
                <w:i/>
                <w:iCs/>
                <w:kern w:val="2"/>
                <w:sz w:val="21"/>
              </w:rPr>
              <w:t> </w:t>
            </w:r>
            <w:r>
              <w:rPr>
                <w:rFonts w:ascii="Times New Roman" w:cs="Times New Roman"/>
                <w:kern w:val="2"/>
                <w:sz w:val="21"/>
                <w:szCs w:val="21"/>
              </w:rPr>
              <w:t>）</w:t>
            </w:r>
          </w:p>
        </w:tc>
        <w:tc>
          <w:tcPr>
            <w:tcW w:w="2237"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0.4</w:t>
            </w:r>
          </w:p>
        </w:tc>
        <w:tc>
          <w:tcPr>
            <w:tcW w:w="66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Sp</w:t>
            </w:r>
          </w:p>
        </w:tc>
        <w:tc>
          <w:tcPr>
            <w:tcW w:w="1087"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66"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75"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1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看麦娘（</w:t>
            </w:r>
            <w:r>
              <w:rPr>
                <w:rFonts w:ascii="Times New Roman" w:cs="Times New Roman"/>
                <w:i/>
                <w:iCs/>
                <w:kern w:val="2"/>
                <w:sz w:val="21"/>
                <w:szCs w:val="21"/>
              </w:rPr>
              <w:t>Alopecurus aequalis Sobol.</w:t>
            </w:r>
            <w:r>
              <w:rPr>
                <w:rFonts w:ascii="Times New Roman" w:cs="Times New Roman"/>
                <w:kern w:val="2"/>
                <w:sz w:val="21"/>
                <w:szCs w:val="21"/>
              </w:rPr>
              <w:t>）</w:t>
            </w:r>
          </w:p>
        </w:tc>
        <w:tc>
          <w:tcPr>
            <w:tcW w:w="2237"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0.8</w:t>
            </w:r>
          </w:p>
        </w:tc>
        <w:tc>
          <w:tcPr>
            <w:tcW w:w="66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Sp</w:t>
            </w:r>
          </w:p>
        </w:tc>
        <w:tc>
          <w:tcPr>
            <w:tcW w:w="1087"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66"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75"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613" w:type="dxa"/>
            <w:vAlign w:val="center"/>
          </w:tcPr>
          <w:p>
            <w:pPr>
              <w:topLinePunct w:val="0"/>
              <w:adjustRightInd/>
              <w:spacing w:line="240" w:lineRule="auto"/>
              <w:ind w:firstLine="0" w:firstLineChars="0"/>
              <w:rPr>
                <w:rFonts w:ascii="Times New Roman" w:cs="Times New Roman"/>
                <w:bCs/>
                <w:kern w:val="2"/>
                <w:sz w:val="21"/>
                <w:szCs w:val="21"/>
              </w:rPr>
            </w:pPr>
            <w:r>
              <w:rPr>
                <w:rFonts w:ascii="Times New Roman" w:cs="Times New Roman"/>
                <w:kern w:val="2"/>
                <w:sz w:val="21"/>
                <w:szCs w:val="21"/>
              </w:rPr>
              <w:t>问荆（</w:t>
            </w:r>
            <w:r>
              <w:rPr>
                <w:rFonts w:ascii="Times New Roman" w:cs="Times New Roman"/>
                <w:i/>
                <w:iCs/>
                <w:kern w:val="2"/>
                <w:sz w:val="21"/>
                <w:szCs w:val="21"/>
              </w:rPr>
              <w:t>Equisetum arvense L.</w:t>
            </w:r>
            <w:r>
              <w:rPr>
                <w:rFonts w:ascii="Times New Roman" w:cs="Times New Roman"/>
                <w:kern w:val="2"/>
                <w:sz w:val="21"/>
                <w:szCs w:val="21"/>
              </w:rPr>
              <w:t>）</w:t>
            </w:r>
          </w:p>
        </w:tc>
        <w:tc>
          <w:tcPr>
            <w:tcW w:w="2237"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0.6</w:t>
            </w:r>
          </w:p>
        </w:tc>
        <w:tc>
          <w:tcPr>
            <w:tcW w:w="66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Sp</w:t>
            </w:r>
          </w:p>
        </w:tc>
        <w:tc>
          <w:tcPr>
            <w:tcW w:w="1087"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66"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bl>
    <w:p>
      <w:pPr>
        <w:topLinePunct w:val="0"/>
        <w:adjustRightInd/>
        <w:ind w:firstLine="422"/>
        <w:jc w:val="center"/>
        <w:rPr>
          <w:rFonts w:ascii="Times New Roman" w:cs="Times New Roman"/>
          <w:b/>
          <w:bCs/>
          <w:kern w:val="2"/>
          <w:sz w:val="21"/>
          <w:szCs w:val="21"/>
        </w:rPr>
      </w:pPr>
      <w:r>
        <w:rPr>
          <w:rFonts w:ascii="Times New Roman" w:cs="Times New Roman"/>
          <w:b/>
          <w:kern w:val="2"/>
          <w:sz w:val="21"/>
          <w:szCs w:val="20"/>
        </w:rPr>
        <w:t>样方</w:t>
      </w:r>
      <w:r>
        <w:rPr>
          <w:rFonts w:hint="eastAsia" w:ascii="Times New Roman" w:cs="Times New Roman"/>
          <w:b/>
          <w:kern w:val="2"/>
          <w:sz w:val="21"/>
          <w:szCs w:val="20"/>
        </w:rPr>
        <w:t>10</w:t>
      </w:r>
      <w:r>
        <w:rPr>
          <w:rFonts w:ascii="Times New Roman" w:cs="Times New Roman"/>
          <w:b/>
          <w:bCs/>
          <w:kern w:val="2"/>
          <w:sz w:val="21"/>
          <w:szCs w:val="21"/>
        </w:rPr>
        <w:t xml:space="preserve"> 芒、</w:t>
      </w:r>
      <w:r>
        <w:rPr>
          <w:rFonts w:hint="eastAsia" w:ascii="Times New Roman" w:cs="Times New Roman"/>
          <w:b/>
          <w:bCs/>
          <w:kern w:val="2"/>
          <w:sz w:val="21"/>
          <w:szCs w:val="21"/>
        </w:rPr>
        <w:t>白茅</w:t>
      </w:r>
      <w:r>
        <w:rPr>
          <w:rFonts w:ascii="Times New Roman" w:cs="Times New Roman"/>
          <w:b/>
          <w:bCs/>
          <w:kern w:val="2"/>
          <w:sz w:val="21"/>
          <w:szCs w:val="21"/>
        </w:rPr>
        <w:t>群落样方表</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0"/>
        <w:gridCol w:w="2700"/>
        <w:gridCol w:w="800"/>
        <w:gridCol w:w="600"/>
        <w:gridCol w:w="813"/>
        <w:gridCol w:w="662"/>
        <w:gridCol w:w="575"/>
        <w:gridCol w:w="538"/>
        <w:gridCol w:w="753"/>
        <w:gridCol w:w="6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6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坐标</w:t>
            </w:r>
          </w:p>
        </w:tc>
        <w:tc>
          <w:tcPr>
            <w:tcW w:w="2700"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8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海拔（m）</w:t>
            </w:r>
          </w:p>
        </w:tc>
        <w:tc>
          <w:tcPr>
            <w:tcW w:w="6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768</w:t>
            </w:r>
          </w:p>
        </w:tc>
        <w:tc>
          <w:tcPr>
            <w:tcW w:w="81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土壤类型</w:t>
            </w:r>
          </w:p>
        </w:tc>
        <w:tc>
          <w:tcPr>
            <w:tcW w:w="662"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壤土</w:t>
            </w:r>
          </w:p>
        </w:tc>
        <w:tc>
          <w:tcPr>
            <w:tcW w:w="575"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坡度</w:t>
            </w:r>
          </w:p>
        </w:tc>
        <w:tc>
          <w:tcPr>
            <w:tcW w:w="53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5</w:t>
            </w:r>
          </w:p>
        </w:tc>
        <w:tc>
          <w:tcPr>
            <w:tcW w:w="75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坡向</w:t>
            </w: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00"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中文名（拉丁名）</w:t>
            </w:r>
          </w:p>
        </w:tc>
        <w:tc>
          <w:tcPr>
            <w:tcW w:w="2213"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平均高度m</w:t>
            </w:r>
          </w:p>
        </w:tc>
        <w:tc>
          <w:tcPr>
            <w:tcW w:w="662"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株数/多度</w:t>
            </w:r>
          </w:p>
        </w:tc>
        <w:tc>
          <w:tcPr>
            <w:tcW w:w="111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平均胸径cm</w:t>
            </w:r>
          </w:p>
        </w:tc>
        <w:tc>
          <w:tcPr>
            <w:tcW w:w="75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冠幅</w:t>
            </w: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茂盛</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00"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草本层</w:t>
            </w:r>
          </w:p>
        </w:tc>
        <w:tc>
          <w:tcPr>
            <w:tcW w:w="2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芒</w:t>
            </w:r>
            <w:r>
              <w:rPr>
                <w:rFonts w:ascii="Times New Roman" w:cs="Times New Roman"/>
                <w:i/>
                <w:kern w:val="2"/>
                <w:sz w:val="21"/>
                <w:szCs w:val="21"/>
              </w:rPr>
              <w:t>Miscanthus sinensis</w:t>
            </w:r>
          </w:p>
        </w:tc>
        <w:tc>
          <w:tcPr>
            <w:tcW w:w="2213"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0.85</w:t>
            </w:r>
          </w:p>
        </w:tc>
        <w:tc>
          <w:tcPr>
            <w:tcW w:w="662"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Cop</w:t>
            </w:r>
            <w:r>
              <w:rPr>
                <w:rFonts w:ascii="Times New Roman" w:cs="Times New Roman"/>
                <w:kern w:val="2"/>
                <w:sz w:val="21"/>
                <w:szCs w:val="21"/>
                <w:vertAlign w:val="subscript"/>
              </w:rPr>
              <w:t>1</w:t>
            </w:r>
          </w:p>
        </w:tc>
        <w:tc>
          <w:tcPr>
            <w:tcW w:w="111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5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0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700" w:type="dxa"/>
            <w:vAlign w:val="center"/>
          </w:tcPr>
          <w:p>
            <w:pPr>
              <w:topLinePunct w:val="0"/>
              <w:adjustRightInd/>
              <w:spacing w:line="500" w:lineRule="exact"/>
              <w:ind w:right="100" w:firstLine="0" w:firstLineChars="0"/>
              <w:rPr>
                <w:rFonts w:ascii="Times New Roman" w:cs="Times New Roman"/>
                <w:bCs/>
                <w:kern w:val="2"/>
                <w:sz w:val="21"/>
                <w:szCs w:val="21"/>
              </w:rPr>
            </w:pPr>
            <w:r>
              <w:rPr>
                <w:rFonts w:ascii="Times New Roman" w:cs="Times New Roman"/>
                <w:kern w:val="2"/>
                <w:sz w:val="21"/>
                <w:szCs w:val="21"/>
              </w:rPr>
              <w:t>白茅（</w:t>
            </w:r>
            <w:r>
              <w:rPr>
                <w:rFonts w:ascii="Times New Roman" w:cs="Times New Roman"/>
                <w:i/>
                <w:iCs/>
                <w:kern w:val="2"/>
                <w:sz w:val="21"/>
                <w:szCs w:val="21"/>
              </w:rPr>
              <w:t>Imperata cylindrical var. major</w:t>
            </w:r>
            <w:r>
              <w:rPr>
                <w:rFonts w:ascii="Times New Roman" w:cs="Times New Roman"/>
                <w:kern w:val="2"/>
                <w:sz w:val="21"/>
                <w:szCs w:val="21"/>
              </w:rPr>
              <w:t>）</w:t>
            </w:r>
          </w:p>
        </w:tc>
        <w:tc>
          <w:tcPr>
            <w:tcW w:w="2213"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0.95</w:t>
            </w:r>
          </w:p>
        </w:tc>
        <w:tc>
          <w:tcPr>
            <w:tcW w:w="662"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Soc</w:t>
            </w:r>
          </w:p>
        </w:tc>
        <w:tc>
          <w:tcPr>
            <w:tcW w:w="111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5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0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蕨</w:t>
            </w:r>
            <w:r>
              <w:rPr>
                <w:rFonts w:ascii="Times New Roman" w:cs="Times New Roman"/>
                <w:i/>
                <w:iCs/>
                <w:kern w:val="2"/>
                <w:sz w:val="21"/>
                <w:szCs w:val="21"/>
              </w:rPr>
              <w:t>P.Aquilinum</w:t>
            </w:r>
          </w:p>
        </w:tc>
        <w:tc>
          <w:tcPr>
            <w:tcW w:w="2213"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0.55</w:t>
            </w:r>
          </w:p>
        </w:tc>
        <w:tc>
          <w:tcPr>
            <w:tcW w:w="662"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Sp.</w:t>
            </w:r>
          </w:p>
        </w:tc>
        <w:tc>
          <w:tcPr>
            <w:tcW w:w="111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5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0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牛尾蒿</w:t>
            </w:r>
            <w:r>
              <w:rPr>
                <w:rFonts w:ascii="Times New Roman" w:cs="Times New Roman"/>
                <w:i/>
                <w:iCs/>
                <w:kern w:val="2"/>
                <w:sz w:val="21"/>
                <w:szCs w:val="21"/>
              </w:rPr>
              <w:t>Artemisia dubia Wall. ex Bess.</w:t>
            </w:r>
          </w:p>
        </w:tc>
        <w:tc>
          <w:tcPr>
            <w:tcW w:w="2213"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0.4</w:t>
            </w:r>
          </w:p>
        </w:tc>
        <w:tc>
          <w:tcPr>
            <w:tcW w:w="662"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Sol.</w:t>
            </w:r>
          </w:p>
        </w:tc>
        <w:tc>
          <w:tcPr>
            <w:tcW w:w="111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5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0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芒萁</w:t>
            </w:r>
            <w:r>
              <w:rPr>
                <w:rFonts w:ascii="Times New Roman" w:cs="Times New Roman"/>
                <w:i/>
                <w:iCs/>
                <w:kern w:val="2"/>
                <w:sz w:val="21"/>
                <w:szCs w:val="21"/>
              </w:rPr>
              <w:t>Dicranopteris dichotoma(Thunb.)Bernh.</w:t>
            </w:r>
          </w:p>
        </w:tc>
        <w:tc>
          <w:tcPr>
            <w:tcW w:w="2213"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0.4</w:t>
            </w:r>
          </w:p>
        </w:tc>
        <w:tc>
          <w:tcPr>
            <w:tcW w:w="662"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Sol.</w:t>
            </w:r>
          </w:p>
        </w:tc>
        <w:tc>
          <w:tcPr>
            <w:tcW w:w="111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5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0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270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荩草</w:t>
            </w:r>
            <w:r>
              <w:rPr>
                <w:rFonts w:ascii="Times New Roman" w:cs="Times New Roman"/>
                <w:i/>
                <w:iCs/>
                <w:kern w:val="2"/>
                <w:sz w:val="21"/>
                <w:szCs w:val="21"/>
              </w:rPr>
              <w:t>Arthraxon hispidus (Thunb.) Makino</w:t>
            </w:r>
          </w:p>
        </w:tc>
        <w:tc>
          <w:tcPr>
            <w:tcW w:w="2213"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0.25</w:t>
            </w:r>
          </w:p>
        </w:tc>
        <w:tc>
          <w:tcPr>
            <w:tcW w:w="662"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Sol.</w:t>
            </w:r>
          </w:p>
        </w:tc>
        <w:tc>
          <w:tcPr>
            <w:tcW w:w="111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53"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93" w:type="dxa"/>
            <w:vAlign w:val="center"/>
          </w:tcPr>
          <w:p>
            <w:pPr>
              <w:topLinePunct w:val="0"/>
              <w:adjustRightInd/>
              <w:spacing w:line="240" w:lineRule="auto"/>
              <w:ind w:firstLine="0" w:firstLineChars="0"/>
              <w:jc w:val="center"/>
              <w:rPr>
                <w:rFonts w:ascii="Times New Roman" w:cs="Times New Roman"/>
                <w:bCs/>
                <w:kern w:val="2"/>
                <w:sz w:val="21"/>
                <w:szCs w:val="21"/>
              </w:rPr>
            </w:pPr>
          </w:p>
        </w:tc>
      </w:tr>
    </w:tbl>
    <w:p>
      <w:pPr>
        <w:topLinePunct w:val="0"/>
        <w:snapToGrid w:val="0"/>
        <w:ind w:firstLine="0" w:firstLineChars="0"/>
        <w:rPr>
          <w:rFonts w:ascii="Times New Roman" w:cs="Times New Roman"/>
          <w:b/>
          <w:bCs/>
          <w:kern w:val="2"/>
          <w:lang w:val="de-DE"/>
        </w:rPr>
      </w:pPr>
      <w:r>
        <w:rPr>
          <w:rFonts w:ascii="Times New Roman" w:cs="Times New Roman"/>
          <w:b/>
          <w:bCs/>
          <w:kern w:val="2"/>
        </w:rPr>
        <w:t>4、项目评价范围</w:t>
      </w:r>
      <w:r>
        <w:rPr>
          <w:rFonts w:ascii="Times New Roman" w:cs="Times New Roman"/>
          <w:b/>
          <w:bCs/>
          <w:kern w:val="2"/>
          <w:lang w:val="de-DE"/>
        </w:rPr>
        <w:t>植被的基本特征</w:t>
      </w:r>
    </w:p>
    <w:p>
      <w:pPr>
        <w:topLinePunct w:val="0"/>
        <w:adjustRightInd/>
        <w:ind w:firstLine="480"/>
        <w:rPr>
          <w:rFonts w:ascii="Times New Roman" w:cs="Times New Roman"/>
          <w:kern w:val="2"/>
          <w:lang w:val="de-DE"/>
        </w:rPr>
      </w:pPr>
      <w:r>
        <w:rPr>
          <w:rFonts w:ascii="Times New Roman" w:cs="Times New Roman"/>
          <w:kern w:val="2"/>
          <w:lang w:val="de-DE"/>
        </w:rPr>
        <w:t>根据对评价范围进行的植被考察和若干重点地区代表类型的样方调查，可知区域内植被具有以下特征：</w:t>
      </w:r>
    </w:p>
    <w:p>
      <w:pPr>
        <w:topLinePunct w:val="0"/>
        <w:adjustRightInd/>
        <w:ind w:firstLine="480"/>
        <w:rPr>
          <w:rFonts w:ascii="Times New Roman" w:cs="Times New Roman"/>
          <w:kern w:val="2"/>
        </w:rPr>
      </w:pPr>
      <w:r>
        <w:rPr>
          <w:rFonts w:ascii="Times New Roman" w:cs="Times New Roman"/>
          <w:kern w:val="2"/>
        </w:rPr>
        <w:t>（1）植被次生性明显</w:t>
      </w:r>
    </w:p>
    <w:p>
      <w:pPr>
        <w:topLinePunct w:val="0"/>
        <w:adjustRightInd/>
        <w:ind w:firstLine="480"/>
        <w:rPr>
          <w:rFonts w:ascii="Times New Roman" w:cs="Times New Roman"/>
          <w:kern w:val="2"/>
        </w:rPr>
      </w:pPr>
      <w:r>
        <w:rPr>
          <w:rFonts w:ascii="Times New Roman" w:cs="Times New Roman"/>
          <w:kern w:val="2"/>
        </w:rPr>
        <w:t>评价范围在植被带谱上应为常绿阔叶林类型，但现有的常绿阔叶林面积很少，只有在人烟稀少、田头地角有残存的常绿阔叶林。评价区及项目周边山体中上部经过近年来的人工造林和封山育林等工程，许多地方已经蔚然成林，多为山地针叶林带或者针叶阔叶混交林带，主要是以马尾松、杉木、柏木为主的针叶林植被，以麻栎、青冈、栓皮栎、枫香、桤木、响叶杨等为主的阔叶林植被带，其群落结构大多具备有乔木、灌木、草本、地衣层，覆盖度基本保持在70%左右。次生灌丛则以盐肤木、黄荆、火棘、马桑、胡枝子、荚蒾、杨桐、蛇莓、算盘子、南天竹为主要的优势群落，草本优势种群主要是白茅、五节芒、野古草、斑茅、婆婆针、飞蓬、蛇莓、夏枯草、蛇含委陵草、鸡眼草、芒萁、车轴草。在评价区及项目周边海拔400m以下、坡度较缓的地带均已毁林开荒种植粮食作物，导致水土流失，自然条件发生变化，农业植被或者荒芜逐渐代替自然植被。</w:t>
      </w:r>
    </w:p>
    <w:p>
      <w:pPr>
        <w:topLinePunct w:val="0"/>
        <w:adjustRightInd/>
        <w:ind w:firstLine="480"/>
        <w:rPr>
          <w:rFonts w:ascii="Times New Roman" w:cs="Times New Roman"/>
          <w:kern w:val="2"/>
          <w:lang w:val="de-DE"/>
        </w:rPr>
      </w:pPr>
      <w:r>
        <w:rPr>
          <w:rFonts w:ascii="Times New Roman" w:cs="Times New Roman"/>
          <w:kern w:val="2"/>
          <w:lang w:val="de-DE"/>
        </w:rPr>
        <w:t>地带性常绿阔叶林的消失，使蕴藏其中的大部分珍稀动植物失去生存繁衍的环境，同时，植被的明显次生性，大面积人工种植的针叶林、落叶阔叶林以及次生的灌丛及灌草丛在</w:t>
      </w:r>
      <w:r>
        <w:rPr>
          <w:rFonts w:hint="eastAsia" w:ascii="Times New Roman" w:cs="Times New Roman"/>
          <w:kern w:val="2"/>
        </w:rPr>
        <w:t>项目周边</w:t>
      </w:r>
      <w:r>
        <w:rPr>
          <w:rFonts w:ascii="Times New Roman" w:cs="Times New Roman"/>
          <w:kern w:val="2"/>
          <w:lang w:val="de-DE"/>
        </w:rPr>
        <w:t>区域的广泛分布，致使区内植被的生态效应的有效性、生物物种的多样性及植被生物量的丰富程度都受到一定的影响。</w:t>
      </w:r>
    </w:p>
    <w:p>
      <w:pPr>
        <w:topLinePunct w:val="0"/>
        <w:adjustRightInd/>
        <w:ind w:firstLine="480"/>
        <w:rPr>
          <w:rFonts w:ascii="Times New Roman" w:cs="Times New Roman"/>
          <w:kern w:val="2"/>
          <w:lang w:val="de-DE"/>
        </w:rPr>
      </w:pPr>
      <w:r>
        <w:rPr>
          <w:rFonts w:ascii="Times New Roman" w:cs="Times New Roman"/>
          <w:kern w:val="2"/>
          <w:lang w:val="de-DE"/>
        </w:rPr>
        <w:t>（</w:t>
      </w:r>
      <w:r>
        <w:rPr>
          <w:rFonts w:ascii="Times New Roman" w:cs="Times New Roman"/>
          <w:kern w:val="2"/>
        </w:rPr>
        <w:t>2</w:t>
      </w:r>
      <w:r>
        <w:rPr>
          <w:rFonts w:ascii="Times New Roman" w:cs="Times New Roman"/>
          <w:kern w:val="2"/>
          <w:lang w:val="de-DE"/>
        </w:rPr>
        <w:t>）森林植被覆盖率较低，质量欠佳且分布不均</w:t>
      </w:r>
    </w:p>
    <w:p>
      <w:pPr>
        <w:topLinePunct w:val="0"/>
        <w:adjustRightInd/>
        <w:ind w:firstLine="480"/>
        <w:rPr>
          <w:rFonts w:ascii="Times New Roman" w:cs="Times New Roman"/>
          <w:kern w:val="2"/>
          <w:lang w:val="de-DE"/>
        </w:rPr>
      </w:pPr>
      <w:r>
        <w:rPr>
          <w:rFonts w:ascii="Times New Roman" w:cs="Times New Roman"/>
          <w:kern w:val="2"/>
          <w:lang w:val="de-DE"/>
        </w:rPr>
        <w:t>评价范围的森林植被分布较为广泛，但多为人工培育中幼龄林，因此森林蓄积量较低，森林群落的结构简单，郁闭度相对较低，生物量及生产力亦较低，因此，森林植被的生态效应较差。项目建设过程中，施工方应千方百计注意保护现有森林植被，并在项目开发的同时，采取有效措施促进森林植被的恢复，加强人工封闭或人工促进措施，做好封山育林工作，使灌丛植被尽快地向森林植被演替。</w:t>
      </w:r>
    </w:p>
    <w:p>
      <w:pPr>
        <w:topLinePunct w:val="0"/>
        <w:adjustRightInd/>
        <w:ind w:firstLine="480"/>
        <w:rPr>
          <w:rFonts w:ascii="Times New Roman" w:cs="Times New Roman"/>
          <w:kern w:val="2"/>
          <w:lang w:val="de-DE"/>
        </w:rPr>
      </w:pPr>
      <w:r>
        <w:rPr>
          <w:rFonts w:ascii="Times New Roman" w:cs="Times New Roman"/>
          <w:kern w:val="2"/>
          <w:lang w:val="de-DE"/>
        </w:rPr>
        <w:t>（</w:t>
      </w:r>
      <w:r>
        <w:rPr>
          <w:rFonts w:ascii="Times New Roman" w:cs="Times New Roman"/>
          <w:kern w:val="2"/>
        </w:rPr>
        <w:t>3</w:t>
      </w:r>
      <w:r>
        <w:rPr>
          <w:rFonts w:ascii="Times New Roman" w:cs="Times New Roman"/>
          <w:kern w:val="2"/>
          <w:lang w:val="de-DE"/>
        </w:rPr>
        <w:t>）人工植被分布广泛，尤其旱地植被占明显优势</w:t>
      </w:r>
    </w:p>
    <w:p>
      <w:pPr>
        <w:pStyle w:val="114"/>
        <w:ind w:firstLine="480"/>
        <w:rPr>
          <w:kern w:val="2"/>
          <w:szCs w:val="24"/>
        </w:rPr>
      </w:pPr>
      <w:r>
        <w:rPr>
          <w:kern w:val="2"/>
          <w:szCs w:val="24"/>
          <w:lang w:val="de-DE"/>
        </w:rPr>
        <w:t>评价范围地处川西中低山区域，土地负荷极大。目前评价范围内有农田植被</w:t>
      </w:r>
      <w:r>
        <w:rPr>
          <w:rFonts w:hint="eastAsia"/>
          <w:kern w:val="2"/>
          <w:szCs w:val="24"/>
        </w:rPr>
        <w:t>8.6</w:t>
      </w:r>
      <w:r>
        <w:rPr>
          <w:kern w:val="2"/>
          <w:szCs w:val="24"/>
          <w:lang w:val="de-DE"/>
        </w:rPr>
        <w:t>m²，约占评价区内土地总面积的</w:t>
      </w:r>
      <w:r>
        <w:rPr>
          <w:kern w:val="2"/>
          <w:szCs w:val="24"/>
        </w:rPr>
        <w:t>25.35</w:t>
      </w:r>
      <w:r>
        <w:rPr>
          <w:kern w:val="2"/>
          <w:szCs w:val="24"/>
          <w:lang w:val="de-DE"/>
        </w:rPr>
        <w:t>%，即垦殖指数达</w:t>
      </w:r>
      <w:r>
        <w:rPr>
          <w:kern w:val="2"/>
          <w:szCs w:val="24"/>
        </w:rPr>
        <w:t>25.35</w:t>
      </w:r>
      <w:r>
        <w:rPr>
          <w:kern w:val="2"/>
          <w:szCs w:val="24"/>
          <w:lang w:val="de-DE"/>
        </w:rPr>
        <w:t>%。大面积的农田植被对于解决区内人口的粮食、蔬菜等起到了重要作用，但是由于不少旱地是在河谷斜坡和丘陵山地的斜坡面上开垦出来的，这种坡耕旱地在人类长期的翻耕种植下，会加速土壤的侵蚀，使山区生态环境进一步退化。</w:t>
      </w:r>
    </w:p>
    <w:p>
      <w:pPr>
        <w:pStyle w:val="4"/>
        <w:rPr>
          <w:rFonts w:eastAsia="宋体"/>
        </w:rPr>
      </w:pPr>
      <w:r>
        <w:rPr>
          <w:rFonts w:eastAsia="宋体"/>
        </w:rPr>
        <w:t>5.2.5</w:t>
      </w:r>
      <w:r>
        <w:rPr>
          <w:rFonts w:eastAsia="宋体"/>
          <w:bCs/>
        </w:rPr>
        <w:t>评价范围植被生产力和</w:t>
      </w:r>
      <w:r>
        <w:rPr>
          <w:rFonts w:eastAsia="宋体"/>
          <w:bCs/>
          <w:lang w:val="de-DE"/>
        </w:rPr>
        <w:t>生物量分析</w:t>
      </w:r>
    </w:p>
    <w:p>
      <w:pPr>
        <w:topLinePunct w:val="0"/>
        <w:adjustRightInd/>
        <w:ind w:firstLine="482"/>
        <w:rPr>
          <w:rFonts w:ascii="Times New Roman" w:cs="Times New Roman"/>
          <w:b/>
          <w:bCs/>
          <w:kern w:val="2"/>
          <w:lang w:val="de-DE"/>
        </w:rPr>
      </w:pPr>
      <w:r>
        <w:rPr>
          <w:rFonts w:ascii="Times New Roman" w:cs="Times New Roman"/>
          <w:b/>
          <w:bCs/>
          <w:kern w:val="2"/>
          <w:lang w:val="de-DE"/>
        </w:rPr>
        <w:t>（</w:t>
      </w:r>
      <w:r>
        <w:rPr>
          <w:rFonts w:ascii="Times New Roman" w:cs="Times New Roman"/>
          <w:b/>
          <w:bCs/>
          <w:kern w:val="2"/>
        </w:rPr>
        <w:t>1</w:t>
      </w:r>
      <w:r>
        <w:rPr>
          <w:rFonts w:ascii="Times New Roman" w:cs="Times New Roman"/>
          <w:b/>
          <w:bCs/>
          <w:kern w:val="2"/>
          <w:lang w:val="de-DE"/>
        </w:rPr>
        <w:t>）土地自然生产力估算</w:t>
      </w:r>
    </w:p>
    <w:p>
      <w:pPr>
        <w:topLinePunct w:val="0"/>
        <w:adjustRightInd/>
        <w:ind w:firstLine="480"/>
        <w:rPr>
          <w:rFonts w:ascii="Times New Roman" w:cs="Times New Roman"/>
          <w:kern w:val="2"/>
          <w:lang w:val="de-DE"/>
        </w:rPr>
      </w:pPr>
      <w:r>
        <w:rPr>
          <w:rFonts w:ascii="Times New Roman" w:cs="Times New Roman"/>
          <w:kern w:val="2"/>
          <w:lang w:val="de-DE"/>
        </w:rPr>
        <w:t>采用H.lieth生物生产力经验公式计算项目区域土地自然生产力：</w:t>
      </w:r>
    </w:p>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position w:val="-26"/>
          <w:sz w:val="21"/>
        </w:rPr>
        <w:object>
          <v:shape id="_x0000_i1025" o:spt="75" type="#_x0000_t75" style="height:36.3pt;width:130.85pt;" o:ole="t" filled="f" o:preferrelative="t" stroked="f" coordsize="21600,21600">
            <v:path/>
            <v:fill on="f" focussize="0,0"/>
            <v:stroke on="f" joinstyle="miter"/>
            <v:imagedata r:id="rId53" o:title=""/>
            <o:lock v:ext="edit" aspectratio="t"/>
            <w10:wrap type="none"/>
            <w10:anchorlock/>
          </v:shape>
          <o:OLEObject Type="Embed" ProgID="Equation.3" ShapeID="_x0000_i1025" DrawAspect="Content" ObjectID="_1468075725" r:id="rId52">
            <o:LockedField>false</o:LockedField>
          </o:OLEObject>
        </w:object>
      </w:r>
    </w:p>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position w:val="-10"/>
          <w:sz w:val="21"/>
        </w:rPr>
        <w:object>
          <v:shape id="_x0000_i1026" o:spt="75" type="#_x0000_t75" style="height:21.9pt;width:149pt;" o:ole="t" filled="f" o:preferrelative="t" stroked="f" coordsize="21600,21600">
            <v:path/>
            <v:fill on="f" focussize="0,0"/>
            <v:stroke on="f" joinstyle="miter"/>
            <v:imagedata r:id="rId55" o:title=""/>
            <o:lock v:ext="edit" aspectratio="t"/>
            <w10:wrap type="none"/>
            <w10:anchorlock/>
          </v:shape>
          <o:OLEObject Type="Embed" ProgID="Equation.3" ShapeID="_x0000_i1026" DrawAspect="Content" ObjectID="_1468075726" r:id="rId54">
            <o:LockedField>false</o:LockedField>
          </o:OLEObject>
        </w:object>
      </w:r>
    </w:p>
    <w:p>
      <w:pPr>
        <w:topLinePunct w:val="0"/>
        <w:adjustRightInd/>
        <w:ind w:firstLine="0" w:firstLineChars="0"/>
        <w:rPr>
          <w:rFonts w:ascii="Times New Roman" w:cs="Times New Roman"/>
          <w:kern w:val="2"/>
        </w:rPr>
      </w:pPr>
      <w:r>
        <w:rPr>
          <w:rFonts w:ascii="Times New Roman" w:cs="Times New Roman"/>
          <w:kern w:val="2"/>
          <w:lang w:val="de-DE"/>
        </w:rPr>
        <w:t>式中：Y1——根据年均温度（t）估算的热量</w:t>
      </w:r>
      <w:r>
        <w:rPr>
          <w:rFonts w:ascii="Times New Roman" w:cs="Times New Roman"/>
          <w:kern w:val="2"/>
        </w:rPr>
        <w:t>生产力（g/m</w:t>
      </w:r>
      <w:r>
        <w:rPr>
          <w:rFonts w:ascii="Times New Roman" w:cs="Times New Roman"/>
          <w:kern w:val="2"/>
          <w:vertAlign w:val="superscript"/>
        </w:rPr>
        <w:t>2</w:t>
      </w:r>
      <w:r>
        <w:rPr>
          <w:rFonts w:ascii="Times New Roman" w:cs="Times New Roman"/>
          <w:kern w:val="2"/>
        </w:rPr>
        <w:t>·a）；</w:t>
      </w:r>
    </w:p>
    <w:p>
      <w:pPr>
        <w:topLinePunct w:val="0"/>
        <w:adjustRightInd/>
        <w:ind w:firstLine="720" w:firstLineChars="300"/>
        <w:rPr>
          <w:rFonts w:ascii="Times New Roman" w:cs="Times New Roman"/>
          <w:kern w:val="2"/>
        </w:rPr>
      </w:pPr>
      <w:bookmarkStart w:id="410" w:name="_Toc295312489"/>
      <w:r>
        <w:rPr>
          <w:rFonts w:ascii="Times New Roman" w:cs="Times New Roman"/>
          <w:i/>
          <w:kern w:val="2"/>
        </w:rPr>
        <w:t>Y</w:t>
      </w:r>
      <w:r>
        <w:rPr>
          <w:rFonts w:ascii="Times New Roman" w:cs="Times New Roman"/>
          <w:kern w:val="2"/>
          <w:vertAlign w:val="subscript"/>
        </w:rPr>
        <w:t>2</w:t>
      </w:r>
      <w:r>
        <w:rPr>
          <w:rFonts w:ascii="Times New Roman" w:cs="Times New Roman"/>
          <w:kern w:val="2"/>
        </w:rPr>
        <w:t>——根据年降水量（</w:t>
      </w:r>
      <w:r>
        <w:rPr>
          <w:rFonts w:ascii="Times New Roman" w:cs="Times New Roman"/>
          <w:i/>
          <w:kern w:val="2"/>
        </w:rPr>
        <w:t>p</w:t>
      </w:r>
      <w:r>
        <w:rPr>
          <w:rFonts w:ascii="Times New Roman" w:cs="Times New Roman"/>
          <w:kern w:val="2"/>
        </w:rPr>
        <w:t>，mm）估算的水分生产力（g/m</w:t>
      </w:r>
      <w:r>
        <w:rPr>
          <w:rFonts w:ascii="Times New Roman" w:cs="Times New Roman"/>
          <w:kern w:val="2"/>
          <w:vertAlign w:val="superscript"/>
        </w:rPr>
        <w:t>2</w:t>
      </w:r>
      <w:r>
        <w:rPr>
          <w:rFonts w:ascii="Times New Roman" w:cs="Times New Roman"/>
          <w:kern w:val="2"/>
        </w:rPr>
        <w:t>·a）。</w:t>
      </w:r>
      <w:bookmarkEnd w:id="410"/>
    </w:p>
    <w:p>
      <w:pPr>
        <w:pStyle w:val="114"/>
        <w:ind w:firstLine="480"/>
        <w:rPr>
          <w:kern w:val="2"/>
          <w:szCs w:val="24"/>
          <w:lang w:val="de-DE"/>
        </w:rPr>
      </w:pPr>
      <w:r>
        <w:rPr>
          <w:kern w:val="2"/>
          <w:szCs w:val="24"/>
          <w:lang w:val="de-DE"/>
        </w:rPr>
        <w:t>评价范围地貌类型以中低山为主，区内气候在垂直及水平方向的变化都较小，土地自然生产力计算结果如下表所示：</w:t>
      </w:r>
    </w:p>
    <w:p>
      <w:pPr>
        <w:topLinePunct w:val="0"/>
        <w:autoSpaceDE w:val="0"/>
        <w:autoSpaceDN w:val="0"/>
        <w:ind w:firstLine="0" w:firstLineChars="0"/>
        <w:jc w:val="center"/>
        <w:rPr>
          <w:rFonts w:ascii="Times New Roman" w:cs="Times New Roman"/>
          <w:b/>
          <w:sz w:val="21"/>
        </w:rPr>
      </w:pPr>
      <w:r>
        <w:rPr>
          <w:rFonts w:ascii="Times New Roman" w:cs="Times New Roman"/>
          <w:b/>
          <w:sz w:val="21"/>
        </w:rPr>
        <w:t>表5.2-11 评价范围土地自然生产力计算表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30" w:type="dxa"/>
          <w:bottom w:w="0" w:type="dxa"/>
          <w:right w:w="30" w:type="dxa"/>
        </w:tblCellMar>
      </w:tblPr>
      <w:tblGrid>
        <w:gridCol w:w="1208"/>
        <w:gridCol w:w="1910"/>
        <w:gridCol w:w="1910"/>
        <w:gridCol w:w="1910"/>
        <w:gridCol w:w="19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855" w:hRule="atLeast"/>
          <w:jc w:val="center"/>
        </w:trPr>
        <w:tc>
          <w:tcPr>
            <w:tcW w:w="683" w:type="pct"/>
            <w:vAlign w:val="center"/>
          </w:tcPr>
          <w:p>
            <w:pPr>
              <w:topLinePunct w:val="0"/>
              <w:adjustRightInd/>
              <w:spacing w:before="20" w:line="240" w:lineRule="auto"/>
              <w:ind w:firstLine="0" w:firstLineChars="0"/>
              <w:jc w:val="center"/>
              <w:rPr>
                <w:rFonts w:ascii="Times New Roman" w:cs="Times New Roman"/>
                <w:kern w:val="2"/>
                <w:sz w:val="21"/>
                <w:szCs w:val="21"/>
              </w:rPr>
            </w:pPr>
            <w:r>
              <w:rPr>
                <w:rFonts w:ascii="Times New Roman" w:cs="Times New Roman"/>
                <w:kern w:val="2"/>
                <w:sz w:val="21"/>
                <w:szCs w:val="21"/>
              </w:rPr>
              <w:t>区域</w:t>
            </w:r>
          </w:p>
        </w:tc>
        <w:tc>
          <w:tcPr>
            <w:tcW w:w="1079" w:type="pct"/>
            <w:vAlign w:val="center"/>
          </w:tcPr>
          <w:p>
            <w:pPr>
              <w:topLinePunct w:val="0"/>
              <w:adjustRightInd/>
              <w:spacing w:before="20" w:line="240" w:lineRule="auto"/>
              <w:ind w:firstLine="0" w:firstLineChars="0"/>
              <w:jc w:val="center"/>
              <w:rPr>
                <w:rFonts w:ascii="Times New Roman" w:cs="Times New Roman"/>
                <w:kern w:val="2"/>
                <w:sz w:val="21"/>
                <w:szCs w:val="21"/>
              </w:rPr>
            </w:pPr>
            <w:r>
              <w:rPr>
                <w:rFonts w:ascii="Times New Roman" w:cs="Times New Roman"/>
                <w:kern w:val="2"/>
                <w:sz w:val="21"/>
                <w:szCs w:val="21"/>
              </w:rPr>
              <w:t>多年平均气温</w:t>
            </w:r>
          </w:p>
          <w:p>
            <w:pPr>
              <w:topLinePunct w:val="0"/>
              <w:adjustRightInd/>
              <w:spacing w:before="20"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1079" w:type="pct"/>
            <w:vAlign w:val="center"/>
          </w:tcPr>
          <w:p>
            <w:pPr>
              <w:topLinePunct w:val="0"/>
              <w:adjustRightInd/>
              <w:spacing w:before="20" w:line="240" w:lineRule="auto"/>
              <w:ind w:firstLine="0" w:firstLineChars="0"/>
              <w:jc w:val="center"/>
              <w:rPr>
                <w:rFonts w:ascii="Times New Roman" w:cs="Times New Roman"/>
                <w:kern w:val="2"/>
                <w:sz w:val="21"/>
                <w:szCs w:val="21"/>
              </w:rPr>
            </w:pPr>
            <w:r>
              <w:rPr>
                <w:rFonts w:ascii="Times New Roman" w:cs="Times New Roman"/>
                <w:kern w:val="2"/>
                <w:sz w:val="21"/>
                <w:szCs w:val="21"/>
              </w:rPr>
              <w:t>多年平均降水量</w:t>
            </w:r>
          </w:p>
          <w:p>
            <w:pPr>
              <w:topLinePunct w:val="0"/>
              <w:adjustRightInd/>
              <w:spacing w:before="20" w:line="240" w:lineRule="auto"/>
              <w:ind w:firstLine="0" w:firstLineChars="0"/>
              <w:jc w:val="center"/>
              <w:rPr>
                <w:rFonts w:ascii="Times New Roman" w:cs="Times New Roman"/>
                <w:kern w:val="2"/>
                <w:sz w:val="21"/>
                <w:szCs w:val="21"/>
              </w:rPr>
            </w:pPr>
            <w:r>
              <w:rPr>
                <w:rFonts w:ascii="Times New Roman" w:cs="Times New Roman"/>
                <w:kern w:val="2"/>
                <w:sz w:val="21"/>
                <w:szCs w:val="21"/>
              </w:rPr>
              <w:t>（mm）</w:t>
            </w:r>
          </w:p>
        </w:tc>
        <w:tc>
          <w:tcPr>
            <w:tcW w:w="1079" w:type="pct"/>
            <w:vAlign w:val="center"/>
          </w:tcPr>
          <w:p>
            <w:pPr>
              <w:topLinePunct w:val="0"/>
              <w:adjustRightInd/>
              <w:spacing w:before="20" w:line="240" w:lineRule="auto"/>
              <w:ind w:firstLine="0" w:firstLineChars="0"/>
              <w:jc w:val="center"/>
              <w:rPr>
                <w:rFonts w:ascii="Times New Roman" w:cs="Times New Roman"/>
                <w:kern w:val="2"/>
                <w:sz w:val="21"/>
                <w:szCs w:val="21"/>
              </w:rPr>
            </w:pPr>
            <w:r>
              <w:rPr>
                <w:rFonts w:ascii="Times New Roman" w:cs="Times New Roman"/>
                <w:kern w:val="2"/>
                <w:sz w:val="21"/>
                <w:szCs w:val="21"/>
              </w:rPr>
              <w:t>热量生产力</w:t>
            </w:r>
          </w:p>
          <w:p>
            <w:pPr>
              <w:topLinePunct w:val="0"/>
              <w:adjustRightInd/>
              <w:spacing w:before="20" w:line="240" w:lineRule="auto"/>
              <w:ind w:firstLine="0" w:firstLineChars="0"/>
              <w:jc w:val="center"/>
              <w:rPr>
                <w:rFonts w:ascii="Times New Roman" w:cs="Times New Roman"/>
                <w:kern w:val="2"/>
                <w:sz w:val="21"/>
                <w:szCs w:val="21"/>
              </w:rPr>
            </w:pPr>
            <w:r>
              <w:rPr>
                <w:rFonts w:ascii="Times New Roman" w:cs="Times New Roman"/>
                <w:kern w:val="2"/>
                <w:sz w:val="21"/>
                <w:szCs w:val="21"/>
              </w:rPr>
              <w:t>（g/m</w:t>
            </w:r>
            <w:r>
              <w:rPr>
                <w:rFonts w:ascii="Times New Roman" w:cs="Times New Roman"/>
                <w:kern w:val="2"/>
                <w:sz w:val="21"/>
                <w:szCs w:val="21"/>
                <w:vertAlign w:val="superscript"/>
              </w:rPr>
              <w:t>2</w:t>
            </w:r>
            <w:r>
              <w:rPr>
                <w:rFonts w:ascii="Times New Roman" w:cs="Times New Roman"/>
                <w:kern w:val="2"/>
                <w:sz w:val="21"/>
                <w:szCs w:val="21"/>
              </w:rPr>
              <w:t>·a）</w:t>
            </w:r>
          </w:p>
        </w:tc>
        <w:tc>
          <w:tcPr>
            <w:tcW w:w="1079" w:type="pct"/>
            <w:vAlign w:val="center"/>
          </w:tcPr>
          <w:p>
            <w:pPr>
              <w:topLinePunct w:val="0"/>
              <w:adjustRightInd/>
              <w:spacing w:before="20" w:line="240" w:lineRule="auto"/>
              <w:ind w:firstLine="0" w:firstLineChars="0"/>
              <w:jc w:val="center"/>
              <w:rPr>
                <w:rFonts w:ascii="Times New Roman" w:cs="Times New Roman"/>
                <w:kern w:val="2"/>
                <w:sz w:val="21"/>
                <w:szCs w:val="21"/>
              </w:rPr>
            </w:pPr>
            <w:r>
              <w:rPr>
                <w:rFonts w:ascii="Times New Roman" w:cs="Times New Roman"/>
                <w:kern w:val="2"/>
                <w:sz w:val="21"/>
                <w:szCs w:val="21"/>
              </w:rPr>
              <w:t>水分生产力</w:t>
            </w:r>
          </w:p>
          <w:p>
            <w:pPr>
              <w:topLinePunct w:val="0"/>
              <w:adjustRightInd/>
              <w:spacing w:before="20" w:line="240" w:lineRule="auto"/>
              <w:ind w:firstLine="0" w:firstLineChars="0"/>
              <w:jc w:val="center"/>
              <w:rPr>
                <w:rFonts w:ascii="Times New Roman" w:cs="Times New Roman"/>
                <w:kern w:val="2"/>
                <w:sz w:val="21"/>
                <w:szCs w:val="21"/>
              </w:rPr>
            </w:pPr>
            <w:r>
              <w:rPr>
                <w:rFonts w:ascii="Times New Roman" w:cs="Times New Roman"/>
                <w:kern w:val="2"/>
                <w:sz w:val="21"/>
                <w:szCs w:val="21"/>
              </w:rPr>
              <w:t>（g/m</w:t>
            </w:r>
            <w:r>
              <w:rPr>
                <w:rFonts w:ascii="Times New Roman" w:cs="Times New Roman"/>
                <w:kern w:val="2"/>
                <w:sz w:val="21"/>
                <w:szCs w:val="21"/>
                <w:vertAlign w:val="superscript"/>
              </w:rPr>
              <w:t>2</w:t>
            </w:r>
            <w:r>
              <w:rPr>
                <w:rFonts w:ascii="Times New Roman" w:cs="Times New Roman"/>
                <w:kern w:val="2"/>
                <w:sz w:val="21"/>
                <w:szCs w:val="21"/>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476" w:hRule="atLeast"/>
          <w:jc w:val="center"/>
        </w:trPr>
        <w:tc>
          <w:tcPr>
            <w:tcW w:w="683" w:type="pct"/>
            <w:vAlign w:val="center"/>
          </w:tcPr>
          <w:p>
            <w:pPr>
              <w:topLinePunct w:val="0"/>
              <w:adjustRightInd/>
              <w:spacing w:before="20" w:line="240" w:lineRule="auto"/>
              <w:ind w:firstLine="0" w:firstLineChars="0"/>
              <w:jc w:val="center"/>
              <w:rPr>
                <w:rFonts w:ascii="Times New Roman" w:cs="Times New Roman"/>
                <w:kern w:val="2"/>
                <w:sz w:val="21"/>
                <w:szCs w:val="21"/>
              </w:rPr>
            </w:pPr>
            <w:r>
              <w:rPr>
                <w:rFonts w:ascii="Times New Roman" w:cs="Times New Roman"/>
                <w:kern w:val="2"/>
                <w:sz w:val="21"/>
                <w:szCs w:val="21"/>
              </w:rPr>
              <w:t>宣汉县</w:t>
            </w:r>
          </w:p>
        </w:tc>
        <w:tc>
          <w:tcPr>
            <w:tcW w:w="1079" w:type="pct"/>
            <w:vAlign w:val="center"/>
          </w:tcPr>
          <w:p>
            <w:pPr>
              <w:topLinePunct w:val="0"/>
              <w:adjustRightInd/>
              <w:spacing w:before="20" w:line="240" w:lineRule="auto"/>
              <w:ind w:firstLine="0" w:firstLineChars="0"/>
              <w:jc w:val="center"/>
              <w:rPr>
                <w:rFonts w:ascii="Times New Roman" w:cs="Times New Roman"/>
                <w:kern w:val="2"/>
                <w:sz w:val="21"/>
                <w:szCs w:val="21"/>
              </w:rPr>
            </w:pPr>
            <w:r>
              <w:rPr>
                <w:rFonts w:ascii="Times New Roman" w:cs="Times New Roman"/>
                <w:kern w:val="2"/>
                <w:sz w:val="21"/>
                <w:szCs w:val="21"/>
              </w:rPr>
              <w:t>16.8</w:t>
            </w:r>
          </w:p>
        </w:tc>
        <w:tc>
          <w:tcPr>
            <w:tcW w:w="1079" w:type="pct"/>
            <w:vAlign w:val="center"/>
          </w:tcPr>
          <w:p>
            <w:pPr>
              <w:topLinePunct w:val="0"/>
              <w:adjustRightInd/>
              <w:spacing w:before="20" w:line="240" w:lineRule="auto"/>
              <w:ind w:firstLine="0" w:firstLineChars="0"/>
              <w:jc w:val="center"/>
              <w:rPr>
                <w:rFonts w:ascii="Times New Roman" w:cs="Times New Roman"/>
                <w:kern w:val="2"/>
                <w:sz w:val="21"/>
                <w:szCs w:val="21"/>
              </w:rPr>
            </w:pPr>
            <w:r>
              <w:rPr>
                <w:rFonts w:ascii="Times New Roman" w:cs="Times New Roman"/>
                <w:kern w:val="2"/>
                <w:sz w:val="21"/>
                <w:szCs w:val="21"/>
              </w:rPr>
              <w:t>1132.69</w:t>
            </w:r>
          </w:p>
        </w:tc>
        <w:tc>
          <w:tcPr>
            <w:tcW w:w="1079" w:type="pct"/>
            <w:vAlign w:val="center"/>
          </w:tcPr>
          <w:p>
            <w:pPr>
              <w:topLinePunct w:val="0"/>
              <w:adjustRightInd/>
              <w:spacing w:before="20" w:line="240" w:lineRule="auto"/>
              <w:ind w:firstLine="0" w:firstLineChars="0"/>
              <w:jc w:val="center"/>
              <w:rPr>
                <w:rFonts w:ascii="Times New Roman" w:cs="Times New Roman"/>
                <w:kern w:val="2"/>
                <w:sz w:val="21"/>
                <w:szCs w:val="21"/>
              </w:rPr>
            </w:pPr>
            <w:r>
              <w:rPr>
                <w:rFonts w:ascii="Times New Roman" w:cs="Times New Roman"/>
                <w:kern w:val="2"/>
                <w:sz w:val="21"/>
                <w:szCs w:val="21"/>
              </w:rPr>
              <w:t>1994.03</w:t>
            </w:r>
          </w:p>
        </w:tc>
        <w:tc>
          <w:tcPr>
            <w:tcW w:w="1079" w:type="pct"/>
            <w:vAlign w:val="center"/>
          </w:tcPr>
          <w:p>
            <w:pPr>
              <w:topLinePunct w:val="0"/>
              <w:adjustRightInd/>
              <w:spacing w:before="20" w:line="240" w:lineRule="auto"/>
              <w:ind w:firstLine="0" w:firstLineChars="0"/>
              <w:jc w:val="center"/>
              <w:rPr>
                <w:rFonts w:ascii="Times New Roman" w:cs="Times New Roman"/>
                <w:kern w:val="2"/>
                <w:sz w:val="21"/>
                <w:szCs w:val="21"/>
              </w:rPr>
            </w:pPr>
            <w:r>
              <w:rPr>
                <w:rFonts w:ascii="Times New Roman" w:cs="Times New Roman"/>
                <w:kern w:val="2"/>
                <w:sz w:val="21"/>
                <w:szCs w:val="21"/>
              </w:rPr>
              <w:t>1585.88</w:t>
            </w:r>
          </w:p>
        </w:tc>
      </w:tr>
    </w:tbl>
    <w:p>
      <w:pPr>
        <w:topLinePunct w:val="0"/>
        <w:adjustRightInd/>
        <w:spacing w:line="480" w:lineRule="exact"/>
        <w:ind w:firstLine="720" w:firstLineChars="300"/>
        <w:rPr>
          <w:rFonts w:ascii="Times New Roman" w:cs="Times New Roman"/>
          <w:kern w:val="2"/>
        </w:rPr>
      </w:pPr>
      <w:r>
        <w:rPr>
          <w:rFonts w:ascii="Times New Roman" w:cs="Times New Roman"/>
          <w:kern w:val="2"/>
        </w:rPr>
        <w:t>从表5.2-11可以看出，项目区域热量条件充足，水分条件不足，土地自然生产力受水分条件限制，根据项目区域降水量计算得出土地自然生产力为1585.88gc/m</w:t>
      </w:r>
      <w:r>
        <w:rPr>
          <w:rFonts w:ascii="Times New Roman" w:cs="Times New Roman"/>
          <w:kern w:val="2"/>
          <w:vertAlign w:val="superscript"/>
        </w:rPr>
        <w:t>2</w:t>
      </w:r>
      <w:r>
        <w:rPr>
          <w:rFonts w:ascii="Times New Roman" w:cs="Times New Roman"/>
          <w:kern w:val="2"/>
        </w:rPr>
        <w:t>·a。</w:t>
      </w:r>
    </w:p>
    <w:p>
      <w:pPr>
        <w:topLinePunct w:val="0"/>
        <w:adjustRightInd/>
        <w:spacing w:line="480" w:lineRule="exact"/>
        <w:ind w:firstLine="482"/>
        <w:rPr>
          <w:rFonts w:ascii="Times New Roman" w:cs="Times New Roman"/>
          <w:b/>
          <w:bCs/>
          <w:kern w:val="2"/>
          <w:lang w:val="de-DE"/>
        </w:rPr>
      </w:pPr>
      <w:r>
        <w:rPr>
          <w:rFonts w:ascii="Times New Roman" w:cs="Times New Roman"/>
          <w:b/>
          <w:bCs/>
          <w:kern w:val="2"/>
          <w:lang w:val="de-DE"/>
        </w:rPr>
        <w:t>（</w:t>
      </w:r>
      <w:r>
        <w:rPr>
          <w:rFonts w:ascii="Times New Roman" w:cs="Times New Roman"/>
          <w:b/>
          <w:bCs/>
          <w:kern w:val="2"/>
        </w:rPr>
        <w:t>2</w:t>
      </w:r>
      <w:r>
        <w:rPr>
          <w:rFonts w:ascii="Times New Roman" w:cs="Times New Roman"/>
          <w:b/>
          <w:bCs/>
          <w:kern w:val="2"/>
          <w:lang w:val="de-DE"/>
        </w:rPr>
        <w:t>）植被生产力现状评价</w:t>
      </w:r>
    </w:p>
    <w:p>
      <w:pPr>
        <w:topLinePunct w:val="0"/>
        <w:adjustRightInd/>
        <w:spacing w:line="480" w:lineRule="exact"/>
        <w:ind w:firstLine="480" w:firstLineChars="0"/>
        <w:jc w:val="left"/>
        <w:rPr>
          <w:rFonts w:ascii="Times New Roman" w:cs="Times New Roman"/>
          <w:kern w:val="2"/>
        </w:rPr>
      </w:pPr>
      <w:r>
        <w:rPr>
          <w:rFonts w:ascii="Times New Roman" w:cs="Times New Roman"/>
          <w:kern w:val="2"/>
        </w:rPr>
        <w:t>植被既是重要的自然资源，又是自然条件（如地质、地貌、气候、土壤等）和人类开发利用资源状况的综合反映，植被作为陆地生物圈的主体，在生态系统中的作用也日益受到重视，尤其是对生态系统变化及稳定起决定性作用。植被净初级生产力（NPP）指绿色植物在单位时间和单位面积上所积累的有机干物质总量，它不仅是表征植物活动的重要变量，而且是判定生态系统碳汇和调节生态过程的主要因子，它直接反映植物群落在自然环境条件下的生产能力，也是生态现状质量评价的重要参数。在对评价区进行自然体系生产力评价中，数据主要来源于卫片解译，实地勘察、收集的现状资料（包括项目所在区域生态环境调查成果，各类环境信息图件及统计资料等），并采用了国内关于自然生态系统生产力和植被生物量的研究成果进行分析。</w:t>
      </w:r>
    </w:p>
    <w:p>
      <w:pPr>
        <w:topLinePunct w:val="0"/>
        <w:adjustRightInd/>
        <w:spacing w:line="480" w:lineRule="exact"/>
        <w:ind w:firstLine="480" w:firstLineChars="0"/>
        <w:jc w:val="left"/>
        <w:rPr>
          <w:rFonts w:ascii="Times New Roman" w:cs="Times New Roman"/>
          <w:b/>
          <w:bCs/>
          <w:kern w:val="2"/>
        </w:rPr>
      </w:pPr>
      <w:r>
        <w:rPr>
          <w:rFonts w:ascii="Times New Roman" w:cs="Times New Roman"/>
          <w:kern w:val="2"/>
        </w:rPr>
        <w:t>评价范围植调查是通过实地勘察、卫片解译、室内分析并结合收集的资料经综合分析而完成。卫片信息的提取过程如下：对选取的卫片数据，利用3S技术进行解译，并经几何精校正、</w:t>
      </w:r>
      <w:r>
        <w:rPr>
          <w:rFonts w:hint="eastAsia" w:ascii="Times New Roman" w:cs="Times New Roman"/>
          <w:kern w:val="2"/>
          <w:lang w:eastAsia="zh-CN"/>
        </w:rPr>
        <w:t>图像</w:t>
      </w:r>
      <w:r>
        <w:rPr>
          <w:rFonts w:ascii="Times New Roman" w:cs="Times New Roman"/>
          <w:kern w:val="2"/>
        </w:rPr>
        <w:t>增强、进行融合，根据各类环境信息数据及相关图像处理软件进行综合分析，得到评价区内生态环境研究所需的相关数据和生态图件。</w:t>
      </w:r>
    </w:p>
    <w:p>
      <w:pPr>
        <w:topLinePunct w:val="0"/>
        <w:adjustRightInd/>
        <w:spacing w:line="480" w:lineRule="exact"/>
        <w:ind w:firstLine="480" w:firstLineChars="0"/>
        <w:jc w:val="left"/>
        <w:rPr>
          <w:rFonts w:ascii="Times New Roman" w:cs="Times New Roman"/>
          <w:kern w:val="2"/>
        </w:rPr>
      </w:pPr>
      <w:r>
        <w:rPr>
          <w:rFonts w:ascii="Times New Roman" w:cs="Times New Roman"/>
          <w:kern w:val="2"/>
        </w:rPr>
        <w:t>根据调查和卫片解译，结合生态评价范围地表植被覆盖现状和植被立地情况，可将评价范围植被类型划分为以下5类：</w:t>
      </w:r>
    </w:p>
    <w:p>
      <w:pPr>
        <w:tabs>
          <w:tab w:val="left" w:pos="540"/>
        </w:tabs>
        <w:topLinePunct w:val="0"/>
        <w:adjustRightInd/>
        <w:spacing w:line="480" w:lineRule="exact"/>
        <w:ind w:firstLine="480" w:firstLineChars="0"/>
        <w:jc w:val="left"/>
        <w:rPr>
          <w:rFonts w:ascii="Times New Roman" w:cs="Times New Roman"/>
          <w:kern w:val="2"/>
        </w:rPr>
      </w:pPr>
      <w:r>
        <w:rPr>
          <w:rFonts w:ascii="Times New Roman" w:cs="Times New Roman"/>
          <w:kern w:val="2"/>
        </w:rPr>
        <w:t>①针叶林植被：主要是马尾松、柏木为主的针叶植被，评价范围内此植被类型广泛分布，南部和西部成片分布，面积为</w:t>
      </w:r>
      <w:r>
        <w:rPr>
          <w:rFonts w:ascii="Times New Roman" w:cs="Times New Roman"/>
          <w:snapToGrid w:val="0"/>
          <w:kern w:val="2"/>
        </w:rPr>
        <w:t>7.5</w:t>
      </w:r>
      <w:r>
        <w:rPr>
          <w:rFonts w:ascii="Times New Roman" w:cs="Times New Roman"/>
          <w:kern w:val="2"/>
        </w:rPr>
        <w:t>hm</w:t>
      </w:r>
      <w:r>
        <w:rPr>
          <w:rFonts w:ascii="Times New Roman" w:cs="Times New Roman"/>
          <w:kern w:val="2"/>
          <w:vertAlign w:val="superscript"/>
        </w:rPr>
        <w:t>2</w:t>
      </w:r>
      <w:r>
        <w:rPr>
          <w:rFonts w:ascii="Times New Roman" w:cs="Times New Roman"/>
          <w:kern w:val="2"/>
        </w:rPr>
        <w:t>，占评价范围面积的</w:t>
      </w:r>
      <w:r>
        <w:rPr>
          <w:rFonts w:ascii="Times New Roman" w:cs="Times New Roman"/>
          <w:snapToGrid w:val="0"/>
          <w:kern w:val="2"/>
        </w:rPr>
        <w:t>20.96</w:t>
      </w:r>
      <w:r>
        <w:rPr>
          <w:rFonts w:ascii="Times New Roman" w:cs="Times New Roman"/>
          <w:kern w:val="2"/>
        </w:rPr>
        <w:t>%，平均净初级生产力（常绿针叶林）为367.1gC/（m</w:t>
      </w:r>
      <w:r>
        <w:rPr>
          <w:rFonts w:ascii="Times New Roman" w:cs="Times New Roman"/>
          <w:kern w:val="2"/>
          <w:vertAlign w:val="superscript"/>
        </w:rPr>
        <w:t>2</w:t>
      </w:r>
      <w:r>
        <w:rPr>
          <w:rFonts w:ascii="Times New Roman" w:cs="Times New Roman"/>
          <w:kern w:val="2"/>
        </w:rPr>
        <w:t>.a）。</w:t>
      </w:r>
    </w:p>
    <w:p>
      <w:pPr>
        <w:topLinePunct w:val="0"/>
        <w:adjustRightInd/>
        <w:spacing w:line="480" w:lineRule="exact"/>
        <w:ind w:firstLine="480" w:firstLineChars="0"/>
        <w:rPr>
          <w:rFonts w:ascii="Times New Roman" w:cs="Times New Roman"/>
          <w:kern w:val="2"/>
        </w:rPr>
      </w:pPr>
      <w:r>
        <w:rPr>
          <w:rFonts w:ascii="Times New Roman" w:cs="Times New Roman"/>
          <w:kern w:val="2"/>
        </w:rPr>
        <w:t>②阔叶林植被：主要有麻栎、青冈、栓皮栎、枫香、响叶杨等阔叶树种，此植被类型在评价范围中部、北部成片分布，面积</w:t>
      </w:r>
      <w:r>
        <w:rPr>
          <w:rFonts w:ascii="Times New Roman" w:cs="Times New Roman"/>
          <w:snapToGrid w:val="0"/>
          <w:kern w:val="2"/>
        </w:rPr>
        <w:t>12.0</w:t>
      </w:r>
      <w:r>
        <w:rPr>
          <w:rFonts w:ascii="Times New Roman" w:cs="Times New Roman"/>
          <w:kern w:val="2"/>
        </w:rPr>
        <w:t>hm</w:t>
      </w:r>
      <w:r>
        <w:rPr>
          <w:rFonts w:ascii="Times New Roman" w:cs="Times New Roman"/>
          <w:kern w:val="2"/>
          <w:vertAlign w:val="superscript"/>
        </w:rPr>
        <w:t>2</w:t>
      </w:r>
      <w:r>
        <w:rPr>
          <w:rFonts w:ascii="Times New Roman" w:cs="Times New Roman"/>
          <w:kern w:val="2"/>
        </w:rPr>
        <w:t>，占评价范围面积的</w:t>
      </w:r>
      <w:r>
        <w:rPr>
          <w:rFonts w:ascii="Times New Roman" w:cs="Times New Roman"/>
          <w:snapToGrid w:val="0"/>
          <w:kern w:val="2"/>
        </w:rPr>
        <w:t>33.5</w:t>
      </w:r>
      <w:r>
        <w:rPr>
          <w:rFonts w:ascii="Times New Roman" w:cs="Times New Roman"/>
          <w:kern w:val="2"/>
        </w:rPr>
        <w:t>%，平均净初级生产力（落叶阔叶林）642.9gC/（m</w:t>
      </w:r>
      <w:r>
        <w:rPr>
          <w:rFonts w:ascii="Times New Roman" w:cs="Times New Roman"/>
          <w:kern w:val="2"/>
          <w:vertAlign w:val="superscript"/>
        </w:rPr>
        <w:t>2</w:t>
      </w:r>
      <w:r>
        <w:rPr>
          <w:rFonts w:ascii="Times New Roman" w:cs="Times New Roman"/>
          <w:kern w:val="2"/>
        </w:rPr>
        <w:t>.a）。</w:t>
      </w:r>
    </w:p>
    <w:p>
      <w:pPr>
        <w:topLinePunct w:val="0"/>
        <w:adjustRightInd/>
        <w:spacing w:line="480" w:lineRule="exact"/>
        <w:ind w:firstLine="480" w:firstLineChars="0"/>
        <w:rPr>
          <w:rFonts w:ascii="Times New Roman" w:cs="Times New Roman"/>
          <w:kern w:val="2"/>
        </w:rPr>
      </w:pPr>
      <w:r>
        <w:rPr>
          <w:rFonts w:ascii="Times New Roman" w:cs="Times New Roman"/>
          <w:kern w:val="2"/>
        </w:rPr>
        <w:t>③灌丛植被：代表植物有槲栎、马桑、黄荆、火棘、荚蒾、盐肤木等。主要分布在林下、林缘、山脚、路边、农田两旁，对保护农田和水土保持起到很重要的作用，此植被类型面积为</w:t>
      </w:r>
      <w:r>
        <w:rPr>
          <w:rFonts w:ascii="Times New Roman" w:cs="Times New Roman"/>
          <w:snapToGrid w:val="0"/>
          <w:kern w:val="2"/>
        </w:rPr>
        <w:t>1.7</w:t>
      </w:r>
      <w:r>
        <w:rPr>
          <w:rFonts w:ascii="Times New Roman" w:cs="Times New Roman"/>
          <w:kern w:val="2"/>
        </w:rPr>
        <w:t>hm</w:t>
      </w:r>
      <w:r>
        <w:rPr>
          <w:rFonts w:ascii="Times New Roman" w:cs="Times New Roman"/>
          <w:kern w:val="2"/>
          <w:vertAlign w:val="superscript"/>
        </w:rPr>
        <w:t>2</w:t>
      </w:r>
      <w:r>
        <w:rPr>
          <w:rFonts w:ascii="Times New Roman" w:cs="Times New Roman"/>
          <w:kern w:val="2"/>
        </w:rPr>
        <w:t>，占评价范围总面积的</w:t>
      </w:r>
      <w:r>
        <w:rPr>
          <w:rFonts w:ascii="Times New Roman" w:cs="Times New Roman"/>
          <w:snapToGrid w:val="0"/>
          <w:kern w:val="2"/>
        </w:rPr>
        <w:t>4.84</w:t>
      </w:r>
      <w:r>
        <w:rPr>
          <w:rFonts w:ascii="Times New Roman" w:cs="Times New Roman"/>
          <w:kern w:val="2"/>
        </w:rPr>
        <w:t>%，平均净初级生产力为（灌木）367.7gC/（m</w:t>
      </w:r>
      <w:r>
        <w:rPr>
          <w:rFonts w:ascii="Times New Roman" w:cs="Times New Roman"/>
          <w:kern w:val="2"/>
          <w:vertAlign w:val="superscript"/>
        </w:rPr>
        <w:t>2</w:t>
      </w:r>
      <w:r>
        <w:rPr>
          <w:rFonts w:ascii="Times New Roman" w:cs="Times New Roman"/>
          <w:kern w:val="2"/>
        </w:rPr>
        <w:t>.a）。</w:t>
      </w:r>
    </w:p>
    <w:p>
      <w:pPr>
        <w:topLinePunct w:val="0"/>
        <w:adjustRightInd/>
        <w:spacing w:line="480" w:lineRule="exact"/>
        <w:ind w:firstLine="480" w:firstLineChars="0"/>
        <w:rPr>
          <w:rFonts w:ascii="Times New Roman" w:cs="Times New Roman"/>
          <w:kern w:val="2"/>
        </w:rPr>
      </w:pPr>
      <w:r>
        <w:rPr>
          <w:rFonts w:ascii="Times New Roman" w:cs="Times New Roman"/>
          <w:kern w:val="2"/>
        </w:rPr>
        <w:t>④草丛植被：代表植物有白茅、五节芒、芒、芒萁、野古草、斑茅、蕨等。主要分布在分布的林下、林缘、路边、农田两旁，此植被类型面积为</w:t>
      </w:r>
      <w:r>
        <w:rPr>
          <w:rFonts w:ascii="Times New Roman" w:cs="Times New Roman"/>
          <w:snapToGrid w:val="0"/>
          <w:kern w:val="2"/>
        </w:rPr>
        <w:t>2.1</w:t>
      </w:r>
      <w:r>
        <w:rPr>
          <w:rFonts w:ascii="Times New Roman" w:cs="Times New Roman"/>
          <w:kern w:val="2"/>
        </w:rPr>
        <w:t>hm</w:t>
      </w:r>
      <w:r>
        <w:rPr>
          <w:rFonts w:ascii="Times New Roman" w:cs="Times New Roman"/>
          <w:kern w:val="2"/>
          <w:vertAlign w:val="superscript"/>
        </w:rPr>
        <w:t>2</w:t>
      </w:r>
      <w:r>
        <w:rPr>
          <w:rFonts w:ascii="Times New Roman" w:cs="Times New Roman"/>
          <w:kern w:val="2"/>
        </w:rPr>
        <w:t>，占评价范围总面积的</w:t>
      </w:r>
      <w:r>
        <w:rPr>
          <w:rFonts w:ascii="Times New Roman" w:cs="Times New Roman"/>
          <w:snapToGrid w:val="0"/>
          <w:kern w:val="2"/>
        </w:rPr>
        <w:t>5.89</w:t>
      </w:r>
      <w:r>
        <w:rPr>
          <w:rFonts w:ascii="Times New Roman" w:cs="Times New Roman"/>
          <w:kern w:val="2"/>
        </w:rPr>
        <w:t>%，平均净初级生产力（坡面草地）为</w:t>
      </w:r>
      <w:r>
        <w:rPr>
          <w:rFonts w:ascii="Times New Roman" w:cs="Times New Roman"/>
        </w:rPr>
        <w:t>507.4</w:t>
      </w:r>
      <w:r>
        <w:rPr>
          <w:rFonts w:ascii="Times New Roman" w:cs="Times New Roman"/>
          <w:kern w:val="2"/>
        </w:rPr>
        <w:t>gC/(m</w:t>
      </w:r>
      <w:r>
        <w:rPr>
          <w:rFonts w:ascii="Times New Roman" w:cs="Times New Roman"/>
          <w:kern w:val="2"/>
          <w:vertAlign w:val="superscript"/>
        </w:rPr>
        <w:t>2</w:t>
      </w:r>
      <w:r>
        <w:rPr>
          <w:rFonts w:ascii="Times New Roman" w:cs="Times New Roman"/>
          <w:kern w:val="2"/>
        </w:rPr>
        <w:t>.a)。</w:t>
      </w:r>
    </w:p>
    <w:p>
      <w:pPr>
        <w:topLinePunct w:val="0"/>
        <w:adjustRightInd/>
        <w:spacing w:line="480" w:lineRule="exact"/>
        <w:ind w:firstLine="537" w:firstLineChars="224"/>
        <w:jc w:val="left"/>
        <w:rPr>
          <w:rFonts w:ascii="Times New Roman" w:cs="Times New Roman"/>
          <w:kern w:val="2"/>
        </w:rPr>
      </w:pPr>
      <w:r>
        <w:rPr>
          <w:rFonts w:ascii="Times New Roman" w:cs="Times New Roman"/>
          <w:kern w:val="2"/>
        </w:rPr>
        <w:t>⑤农作物植被：该地区的农作物主要有水稻、玉米、红苕、棉花、花生、小麦、马铃薯、豌豆等，主要分布在山谷、河谷两侧等低海拔区；农作物植被面积</w:t>
      </w:r>
      <w:r>
        <w:rPr>
          <w:rFonts w:ascii="Times New Roman" w:cs="Times New Roman"/>
          <w:snapToGrid w:val="0"/>
          <w:kern w:val="2"/>
        </w:rPr>
        <w:t>1.4</w:t>
      </w:r>
      <w:r>
        <w:rPr>
          <w:rFonts w:ascii="Times New Roman" w:cs="Times New Roman"/>
          <w:kern w:val="2"/>
        </w:rPr>
        <w:t>hm</w:t>
      </w:r>
      <w:r>
        <w:rPr>
          <w:rFonts w:ascii="Times New Roman" w:cs="Times New Roman"/>
          <w:kern w:val="2"/>
          <w:vertAlign w:val="superscript"/>
        </w:rPr>
        <w:t>2</w:t>
      </w:r>
      <w:r>
        <w:rPr>
          <w:rFonts w:ascii="Times New Roman" w:cs="Times New Roman"/>
          <w:kern w:val="2"/>
        </w:rPr>
        <w:t>，占评价范围面积的</w:t>
      </w:r>
      <w:r>
        <w:rPr>
          <w:rFonts w:ascii="Times New Roman" w:cs="Times New Roman"/>
          <w:snapToGrid w:val="0"/>
          <w:kern w:val="2"/>
        </w:rPr>
        <w:t>35.35</w:t>
      </w:r>
      <w:r>
        <w:rPr>
          <w:rFonts w:ascii="Times New Roman" w:cs="Times New Roman"/>
          <w:kern w:val="2"/>
        </w:rPr>
        <w:t>%，平均净初级生产力426.5gC/（m</w:t>
      </w:r>
      <w:r>
        <w:rPr>
          <w:rFonts w:ascii="Times New Roman" w:cs="Times New Roman"/>
          <w:kern w:val="2"/>
          <w:vertAlign w:val="superscript"/>
        </w:rPr>
        <w:t>2</w:t>
      </w:r>
      <w:r>
        <w:rPr>
          <w:rFonts w:ascii="Times New Roman" w:cs="Times New Roman"/>
          <w:kern w:val="2"/>
        </w:rPr>
        <w:t>.a）。</w:t>
      </w:r>
    </w:p>
    <w:p>
      <w:pPr>
        <w:pStyle w:val="114"/>
        <w:ind w:firstLine="0" w:firstLineChars="0"/>
        <w:rPr>
          <w:szCs w:val="24"/>
        </w:rPr>
      </w:pPr>
      <w:r>
        <w:rPr>
          <w:szCs w:val="24"/>
        </w:rPr>
        <w:t>评价范围内各植被类型净生产力情况见下表。</w:t>
      </w:r>
    </w:p>
    <w:p>
      <w:pPr>
        <w:topLinePunct w:val="0"/>
        <w:autoSpaceDE w:val="0"/>
        <w:autoSpaceDN w:val="0"/>
        <w:spacing w:before="156" w:beforeLines="50" w:line="240" w:lineRule="auto"/>
        <w:ind w:firstLine="0" w:firstLineChars="0"/>
        <w:jc w:val="center"/>
        <w:rPr>
          <w:rFonts w:ascii="Times New Roman" w:cs="Times New Roman"/>
          <w:b/>
          <w:sz w:val="21"/>
        </w:rPr>
      </w:pPr>
      <w:r>
        <w:rPr>
          <w:rFonts w:ascii="Times New Roman" w:cs="Times New Roman"/>
          <w:b/>
          <w:sz w:val="21"/>
        </w:rPr>
        <w:t>表5.2-12 评价范围植被自然生产力情况表</w:t>
      </w:r>
    </w:p>
    <w:tbl>
      <w:tblPr>
        <w:tblStyle w:val="804"/>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1"/>
        <w:gridCol w:w="2180"/>
        <w:gridCol w:w="975"/>
        <w:gridCol w:w="877"/>
        <w:gridCol w:w="1263"/>
        <w:gridCol w:w="1231"/>
        <w:gridCol w:w="12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0" w:type="pct"/>
            <w:vAlign w:val="center"/>
          </w:tcPr>
          <w:p>
            <w:pPr>
              <w:topLinePunct w:val="0"/>
              <w:adjustRightInd/>
              <w:snapToGrid w:val="0"/>
              <w:spacing w:line="240" w:lineRule="auto"/>
              <w:ind w:firstLine="0" w:firstLineChars="0"/>
              <w:jc w:val="center"/>
              <w:rPr>
                <w:rFonts w:ascii="Times New Roman" w:cs="Times New Roman"/>
                <w:snapToGrid w:val="0"/>
                <w:kern w:val="2"/>
                <w:sz w:val="21"/>
                <w:szCs w:val="21"/>
              </w:rPr>
            </w:pPr>
            <w:r>
              <w:rPr>
                <w:rFonts w:ascii="Times New Roman" w:cs="Times New Roman"/>
                <w:snapToGrid w:val="0"/>
                <w:kern w:val="2"/>
                <w:sz w:val="21"/>
                <w:szCs w:val="21"/>
              </w:rPr>
              <w:t>植被</w:t>
            </w:r>
          </w:p>
          <w:p>
            <w:pPr>
              <w:topLinePunct w:val="0"/>
              <w:adjustRightInd/>
              <w:snapToGrid w:val="0"/>
              <w:spacing w:line="240" w:lineRule="auto"/>
              <w:ind w:firstLine="0" w:firstLineChars="0"/>
              <w:jc w:val="center"/>
              <w:rPr>
                <w:rFonts w:ascii="Times New Roman" w:cs="Times New Roman"/>
                <w:kern w:val="2"/>
                <w:sz w:val="21"/>
                <w:szCs w:val="21"/>
              </w:rPr>
            </w:pPr>
            <w:r>
              <w:rPr>
                <w:rFonts w:ascii="Times New Roman" w:cs="Times New Roman"/>
                <w:snapToGrid w:val="0"/>
                <w:kern w:val="2"/>
                <w:sz w:val="21"/>
                <w:szCs w:val="21"/>
              </w:rPr>
              <w:t>类型</w:t>
            </w:r>
          </w:p>
        </w:tc>
        <w:tc>
          <w:tcPr>
            <w:tcW w:w="1248" w:type="pct"/>
            <w:vAlign w:val="center"/>
          </w:tcPr>
          <w:p>
            <w:pPr>
              <w:topLinePunct w:val="0"/>
              <w:adjustRightInd/>
              <w:snapToGrid w:val="0"/>
              <w:spacing w:line="240" w:lineRule="auto"/>
              <w:ind w:firstLine="0" w:firstLineChars="0"/>
              <w:jc w:val="center"/>
              <w:rPr>
                <w:rFonts w:ascii="Times New Roman" w:cs="Times New Roman"/>
                <w:kern w:val="2"/>
                <w:sz w:val="21"/>
                <w:szCs w:val="21"/>
              </w:rPr>
            </w:pPr>
            <w:r>
              <w:rPr>
                <w:rFonts w:ascii="Times New Roman" w:cs="Times New Roman"/>
                <w:snapToGrid w:val="0"/>
                <w:kern w:val="2"/>
                <w:sz w:val="21"/>
                <w:szCs w:val="21"/>
              </w:rPr>
              <w:t>代表植物</w:t>
            </w:r>
          </w:p>
        </w:tc>
        <w:tc>
          <w:tcPr>
            <w:tcW w:w="558" w:type="pct"/>
            <w:vAlign w:val="center"/>
          </w:tcPr>
          <w:p>
            <w:pPr>
              <w:topLinePunct w:val="0"/>
              <w:adjustRightInd/>
              <w:snapToGrid w:val="0"/>
              <w:spacing w:line="240" w:lineRule="auto"/>
              <w:ind w:firstLine="0" w:firstLineChars="0"/>
              <w:jc w:val="center"/>
              <w:rPr>
                <w:rFonts w:ascii="Times New Roman" w:cs="Times New Roman"/>
                <w:kern w:val="2"/>
                <w:sz w:val="21"/>
                <w:szCs w:val="21"/>
              </w:rPr>
            </w:pPr>
            <w:r>
              <w:rPr>
                <w:rFonts w:ascii="Times New Roman" w:cs="Times New Roman"/>
                <w:snapToGrid w:val="0"/>
                <w:kern w:val="2"/>
                <w:sz w:val="21"/>
                <w:szCs w:val="21"/>
              </w:rPr>
              <w:t>面积（hm</w:t>
            </w:r>
            <w:r>
              <w:rPr>
                <w:rFonts w:ascii="Times New Roman" w:cs="Times New Roman"/>
                <w:snapToGrid w:val="0"/>
                <w:kern w:val="2"/>
                <w:sz w:val="21"/>
                <w:szCs w:val="21"/>
                <w:vertAlign w:val="superscript"/>
              </w:rPr>
              <w:t>2</w:t>
            </w:r>
            <w:r>
              <w:rPr>
                <w:rFonts w:ascii="Times New Roman" w:cs="Times New Roman"/>
                <w:snapToGrid w:val="0"/>
                <w:kern w:val="2"/>
                <w:sz w:val="21"/>
                <w:szCs w:val="21"/>
              </w:rPr>
              <w:t>）</w:t>
            </w:r>
          </w:p>
        </w:tc>
        <w:tc>
          <w:tcPr>
            <w:tcW w:w="502" w:type="pct"/>
            <w:vAlign w:val="center"/>
          </w:tcPr>
          <w:p>
            <w:pPr>
              <w:topLinePunct w:val="0"/>
              <w:adjustRightInd/>
              <w:snapToGrid w:val="0"/>
              <w:spacing w:line="240" w:lineRule="auto"/>
              <w:ind w:firstLine="0" w:firstLineChars="0"/>
              <w:jc w:val="center"/>
              <w:rPr>
                <w:rFonts w:ascii="Times New Roman" w:cs="Times New Roman"/>
                <w:kern w:val="2"/>
                <w:sz w:val="21"/>
                <w:szCs w:val="21"/>
              </w:rPr>
            </w:pPr>
            <w:r>
              <w:rPr>
                <w:rFonts w:ascii="Times New Roman" w:cs="Times New Roman"/>
                <w:snapToGrid w:val="0"/>
                <w:kern w:val="2"/>
                <w:sz w:val="21"/>
                <w:szCs w:val="21"/>
              </w:rPr>
              <w:t>占评价范围（%）</w:t>
            </w:r>
          </w:p>
        </w:tc>
        <w:tc>
          <w:tcPr>
            <w:tcW w:w="723" w:type="pct"/>
            <w:vAlign w:val="center"/>
          </w:tcPr>
          <w:p>
            <w:pPr>
              <w:topLinePunct w:val="0"/>
              <w:adjustRightInd/>
              <w:snapToGrid w:val="0"/>
              <w:spacing w:line="240" w:lineRule="auto"/>
              <w:ind w:firstLine="0" w:firstLineChars="0"/>
              <w:jc w:val="center"/>
              <w:rPr>
                <w:rFonts w:ascii="Times New Roman" w:cs="Times New Roman"/>
                <w:kern w:val="2"/>
                <w:sz w:val="21"/>
                <w:szCs w:val="21"/>
              </w:rPr>
            </w:pPr>
            <w:r>
              <w:rPr>
                <w:rFonts w:ascii="Times New Roman" w:cs="Times New Roman"/>
                <w:snapToGrid w:val="0"/>
                <w:kern w:val="2"/>
                <w:sz w:val="21"/>
                <w:szCs w:val="21"/>
              </w:rPr>
              <w:t>平均净生产力[</w:t>
            </w:r>
            <w:r>
              <w:rPr>
                <w:rFonts w:ascii="Times New Roman" w:cs="Times New Roman"/>
                <w:kern w:val="2"/>
              </w:rPr>
              <w:t>gC/（m</w:t>
            </w:r>
            <w:r>
              <w:rPr>
                <w:rFonts w:ascii="Times New Roman" w:cs="Times New Roman"/>
                <w:kern w:val="2"/>
                <w:vertAlign w:val="superscript"/>
              </w:rPr>
              <w:t>2</w:t>
            </w:r>
            <w:r>
              <w:rPr>
                <w:rFonts w:ascii="Times New Roman" w:cs="Times New Roman"/>
                <w:kern w:val="2"/>
              </w:rPr>
              <w:t>.a）</w:t>
            </w:r>
            <w:r>
              <w:rPr>
                <w:rFonts w:ascii="Times New Roman" w:cs="Times New Roman"/>
                <w:snapToGrid w:val="0"/>
                <w:kern w:val="2"/>
                <w:sz w:val="21"/>
                <w:szCs w:val="21"/>
              </w:rPr>
              <w:t>]</w:t>
            </w:r>
          </w:p>
        </w:tc>
        <w:tc>
          <w:tcPr>
            <w:tcW w:w="705" w:type="pct"/>
            <w:vAlign w:val="center"/>
          </w:tcPr>
          <w:p>
            <w:pPr>
              <w:topLinePunct w:val="0"/>
              <w:adjustRightInd/>
              <w:snapToGrid w:val="0"/>
              <w:spacing w:line="240" w:lineRule="auto"/>
              <w:ind w:firstLine="0" w:firstLineChars="0"/>
              <w:jc w:val="center"/>
              <w:rPr>
                <w:rFonts w:ascii="Times New Roman" w:cs="Times New Roman"/>
                <w:snapToGrid w:val="0"/>
                <w:kern w:val="2"/>
                <w:sz w:val="21"/>
                <w:szCs w:val="21"/>
              </w:rPr>
            </w:pPr>
            <w:r>
              <w:rPr>
                <w:rFonts w:ascii="Times New Roman" w:cs="Times New Roman"/>
                <w:snapToGrid w:val="0"/>
                <w:kern w:val="2"/>
                <w:sz w:val="21"/>
                <w:szCs w:val="21"/>
              </w:rPr>
              <w:t>总生产力[tC/（a）]</w:t>
            </w:r>
          </w:p>
        </w:tc>
        <w:tc>
          <w:tcPr>
            <w:tcW w:w="714" w:type="pct"/>
            <w:vAlign w:val="center"/>
          </w:tcPr>
          <w:p>
            <w:pPr>
              <w:topLinePunct w:val="0"/>
              <w:adjustRightInd/>
              <w:snapToGrid w:val="0"/>
              <w:spacing w:line="240" w:lineRule="auto"/>
              <w:ind w:firstLine="0" w:firstLineChars="0"/>
              <w:jc w:val="center"/>
              <w:rPr>
                <w:rFonts w:ascii="Times New Roman" w:cs="Times New Roman"/>
                <w:snapToGrid w:val="0"/>
                <w:kern w:val="2"/>
                <w:sz w:val="21"/>
                <w:szCs w:val="21"/>
              </w:rPr>
            </w:pPr>
            <w:r>
              <w:rPr>
                <w:rFonts w:ascii="Times New Roman" w:cs="Times New Roman"/>
                <w:snapToGrid w:val="0"/>
                <w:kern w:val="2"/>
                <w:sz w:val="21"/>
                <w:szCs w:val="21"/>
              </w:rPr>
              <w:t>生产力比重</w:t>
            </w:r>
          </w:p>
          <w:p>
            <w:pPr>
              <w:topLinePunct w:val="0"/>
              <w:adjustRightInd/>
              <w:snapToGrid w:val="0"/>
              <w:spacing w:line="240" w:lineRule="auto"/>
              <w:ind w:firstLine="0" w:firstLineChars="0"/>
              <w:jc w:val="center"/>
              <w:rPr>
                <w:rFonts w:ascii="Times New Roman" w:cs="Times New Roman"/>
                <w:snapToGrid w:val="0"/>
                <w:kern w:val="2"/>
                <w:sz w:val="21"/>
                <w:szCs w:val="21"/>
              </w:rPr>
            </w:pPr>
            <w:r>
              <w:rPr>
                <w:rFonts w:ascii="Times New Roman" w:cs="Times New Roman"/>
                <w:snapToGrid w:val="0"/>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0" w:type="pct"/>
            <w:vAlign w:val="center"/>
          </w:tcPr>
          <w:p>
            <w:pPr>
              <w:topLinePunct w:val="0"/>
              <w:adjustRightInd/>
              <w:snapToGrid w:val="0"/>
              <w:spacing w:line="240" w:lineRule="auto"/>
              <w:ind w:firstLine="0" w:firstLineChars="0"/>
              <w:jc w:val="center"/>
              <w:rPr>
                <w:rFonts w:ascii="Times New Roman" w:cs="Times New Roman"/>
                <w:kern w:val="2"/>
                <w:sz w:val="21"/>
                <w:szCs w:val="21"/>
              </w:rPr>
            </w:pPr>
            <w:r>
              <w:rPr>
                <w:rFonts w:ascii="Times New Roman" w:cs="Times New Roman"/>
                <w:snapToGrid w:val="0"/>
                <w:kern w:val="2"/>
                <w:sz w:val="21"/>
                <w:szCs w:val="21"/>
              </w:rPr>
              <w:t>针叶林植被</w:t>
            </w:r>
          </w:p>
        </w:tc>
        <w:tc>
          <w:tcPr>
            <w:tcW w:w="1248" w:type="pct"/>
            <w:vAlign w:val="center"/>
          </w:tcPr>
          <w:p>
            <w:pPr>
              <w:topLinePunct w:val="0"/>
              <w:adjustRightInd/>
              <w:snapToGrid w:val="0"/>
              <w:spacing w:line="240" w:lineRule="auto"/>
              <w:ind w:firstLine="0" w:firstLineChars="0"/>
              <w:jc w:val="center"/>
              <w:rPr>
                <w:rFonts w:ascii="Times New Roman" w:cs="Times New Roman"/>
                <w:snapToGrid w:val="0"/>
                <w:kern w:val="2"/>
                <w:sz w:val="21"/>
                <w:szCs w:val="21"/>
              </w:rPr>
            </w:pPr>
            <w:r>
              <w:rPr>
                <w:rFonts w:ascii="Times New Roman" w:cs="Times New Roman"/>
                <w:snapToGrid w:val="0"/>
                <w:kern w:val="2"/>
                <w:sz w:val="21"/>
                <w:szCs w:val="21"/>
              </w:rPr>
              <w:t>马尾松、柏木</w:t>
            </w:r>
          </w:p>
        </w:tc>
        <w:tc>
          <w:tcPr>
            <w:tcW w:w="1004" w:type="dxa"/>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 xml:space="preserve">7.5 </w:t>
            </w:r>
          </w:p>
        </w:tc>
        <w:tc>
          <w:tcPr>
            <w:tcW w:w="502"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20.96</w:t>
            </w:r>
          </w:p>
        </w:tc>
        <w:tc>
          <w:tcPr>
            <w:tcW w:w="723" w:type="pct"/>
            <w:vAlign w:val="center"/>
          </w:tcPr>
          <w:p>
            <w:pPr>
              <w:widowControl/>
              <w:topLinePunct w:val="0"/>
              <w:adjustRightInd/>
              <w:spacing w:line="240" w:lineRule="auto"/>
              <w:ind w:firstLine="0" w:firstLineChars="0"/>
              <w:jc w:val="center"/>
              <w:textAlignment w:val="center"/>
              <w:rPr>
                <w:rFonts w:ascii="Times New Roman" w:cs="Times New Roman"/>
                <w:snapToGrid w:val="0"/>
                <w:kern w:val="2"/>
                <w:sz w:val="21"/>
                <w:szCs w:val="21"/>
              </w:rPr>
            </w:pPr>
            <w:r>
              <w:rPr>
                <w:rFonts w:ascii="Times New Roman" w:cs="Times New Roman"/>
                <w:kern w:val="2"/>
                <w:sz w:val="21"/>
                <w:szCs w:val="21"/>
              </w:rPr>
              <w:t>367.1</w:t>
            </w:r>
          </w:p>
        </w:tc>
        <w:tc>
          <w:tcPr>
            <w:tcW w:w="705" w:type="pct"/>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96.8</w:t>
            </w:r>
          </w:p>
        </w:tc>
        <w:tc>
          <w:tcPr>
            <w:tcW w:w="714" w:type="pct"/>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17.2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50" w:type="pct"/>
            <w:vAlign w:val="center"/>
          </w:tcPr>
          <w:p>
            <w:pPr>
              <w:topLinePunct w:val="0"/>
              <w:adjustRightInd/>
              <w:snapToGrid w:val="0"/>
              <w:spacing w:line="240" w:lineRule="auto"/>
              <w:ind w:firstLine="0" w:firstLineChars="0"/>
              <w:jc w:val="center"/>
              <w:rPr>
                <w:rFonts w:ascii="Times New Roman" w:cs="Times New Roman"/>
                <w:snapToGrid w:val="0"/>
                <w:kern w:val="2"/>
                <w:sz w:val="21"/>
                <w:szCs w:val="21"/>
              </w:rPr>
            </w:pPr>
            <w:r>
              <w:rPr>
                <w:rFonts w:ascii="Times New Roman" w:cs="Times New Roman"/>
                <w:snapToGrid w:val="0"/>
                <w:kern w:val="2"/>
                <w:sz w:val="21"/>
                <w:szCs w:val="21"/>
              </w:rPr>
              <w:t>阔叶林植被</w:t>
            </w:r>
          </w:p>
        </w:tc>
        <w:tc>
          <w:tcPr>
            <w:tcW w:w="1248" w:type="pct"/>
            <w:vAlign w:val="center"/>
          </w:tcPr>
          <w:p>
            <w:pPr>
              <w:topLinePunct w:val="0"/>
              <w:adjustRightInd/>
              <w:snapToGrid w:val="0"/>
              <w:spacing w:line="240" w:lineRule="auto"/>
              <w:ind w:firstLine="0" w:firstLineChars="0"/>
              <w:jc w:val="center"/>
              <w:rPr>
                <w:rFonts w:ascii="Times New Roman" w:cs="Times New Roman"/>
                <w:snapToGrid w:val="0"/>
                <w:kern w:val="2"/>
                <w:sz w:val="21"/>
                <w:szCs w:val="21"/>
              </w:rPr>
            </w:pPr>
            <w:r>
              <w:rPr>
                <w:rFonts w:ascii="Times New Roman" w:cs="Times New Roman"/>
                <w:snapToGrid w:val="0"/>
                <w:kern w:val="2"/>
                <w:sz w:val="21"/>
                <w:szCs w:val="21"/>
              </w:rPr>
              <w:t>麻栎、青冈、栓皮栎、枫香、响叶杨</w:t>
            </w:r>
          </w:p>
        </w:tc>
        <w:tc>
          <w:tcPr>
            <w:tcW w:w="1004" w:type="dxa"/>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 xml:space="preserve">12.0 </w:t>
            </w:r>
          </w:p>
        </w:tc>
        <w:tc>
          <w:tcPr>
            <w:tcW w:w="502"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33.5</w:t>
            </w:r>
          </w:p>
        </w:tc>
        <w:tc>
          <w:tcPr>
            <w:tcW w:w="723" w:type="pct"/>
            <w:vAlign w:val="center"/>
          </w:tcPr>
          <w:p>
            <w:pPr>
              <w:widowControl/>
              <w:topLinePunct w:val="0"/>
              <w:adjustRightInd/>
              <w:spacing w:line="240" w:lineRule="auto"/>
              <w:ind w:firstLine="0" w:firstLineChars="0"/>
              <w:jc w:val="center"/>
              <w:textAlignment w:val="center"/>
              <w:rPr>
                <w:rFonts w:ascii="Times New Roman" w:cs="Times New Roman"/>
                <w:snapToGrid w:val="0"/>
                <w:kern w:val="2"/>
                <w:sz w:val="21"/>
                <w:szCs w:val="21"/>
              </w:rPr>
            </w:pPr>
            <w:r>
              <w:rPr>
                <w:rFonts w:ascii="Times New Roman" w:cs="Times New Roman"/>
                <w:kern w:val="2"/>
                <w:sz w:val="21"/>
                <w:szCs w:val="21"/>
              </w:rPr>
              <w:t>642.9</w:t>
            </w:r>
          </w:p>
        </w:tc>
        <w:tc>
          <w:tcPr>
            <w:tcW w:w="705" w:type="pct"/>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270.4</w:t>
            </w:r>
          </w:p>
        </w:tc>
        <w:tc>
          <w:tcPr>
            <w:tcW w:w="714" w:type="pct"/>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48.05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550" w:type="pct"/>
            <w:vAlign w:val="center"/>
          </w:tcPr>
          <w:p>
            <w:pPr>
              <w:topLinePunct w:val="0"/>
              <w:adjustRightInd/>
              <w:snapToGrid w:val="0"/>
              <w:spacing w:line="240" w:lineRule="auto"/>
              <w:ind w:firstLine="0" w:firstLineChars="0"/>
              <w:jc w:val="center"/>
              <w:rPr>
                <w:rFonts w:ascii="Times New Roman" w:cs="Times New Roman"/>
                <w:snapToGrid w:val="0"/>
                <w:kern w:val="2"/>
                <w:sz w:val="21"/>
                <w:szCs w:val="21"/>
              </w:rPr>
            </w:pPr>
            <w:r>
              <w:rPr>
                <w:rFonts w:ascii="Times New Roman" w:cs="Times New Roman"/>
                <w:snapToGrid w:val="0"/>
                <w:kern w:val="2"/>
                <w:sz w:val="21"/>
                <w:szCs w:val="21"/>
              </w:rPr>
              <w:t>灌丛植被</w:t>
            </w:r>
          </w:p>
        </w:tc>
        <w:tc>
          <w:tcPr>
            <w:tcW w:w="1248"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槲栎、马桑、黄荆、火棘、荚蒾、盐肤木</w:t>
            </w:r>
          </w:p>
        </w:tc>
        <w:tc>
          <w:tcPr>
            <w:tcW w:w="1004" w:type="dxa"/>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 xml:space="preserve">1.7 </w:t>
            </w:r>
          </w:p>
        </w:tc>
        <w:tc>
          <w:tcPr>
            <w:tcW w:w="502"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4.84</w:t>
            </w:r>
          </w:p>
        </w:tc>
        <w:tc>
          <w:tcPr>
            <w:tcW w:w="723" w:type="pct"/>
            <w:vAlign w:val="center"/>
          </w:tcPr>
          <w:p>
            <w:pPr>
              <w:widowControl/>
              <w:topLinePunct w:val="0"/>
              <w:adjustRightInd/>
              <w:spacing w:line="240" w:lineRule="auto"/>
              <w:ind w:firstLine="0" w:firstLineChars="0"/>
              <w:jc w:val="center"/>
              <w:textAlignment w:val="center"/>
              <w:rPr>
                <w:rFonts w:ascii="Times New Roman" w:cs="Times New Roman"/>
                <w:snapToGrid w:val="0"/>
                <w:kern w:val="2"/>
                <w:sz w:val="21"/>
                <w:szCs w:val="21"/>
              </w:rPr>
            </w:pPr>
            <w:r>
              <w:rPr>
                <w:rFonts w:ascii="Times New Roman" w:cs="Times New Roman"/>
                <w:kern w:val="2"/>
                <w:sz w:val="21"/>
                <w:szCs w:val="21"/>
              </w:rPr>
              <w:t>367.7</w:t>
            </w:r>
          </w:p>
        </w:tc>
        <w:tc>
          <w:tcPr>
            <w:tcW w:w="705" w:type="pct"/>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22.4</w:t>
            </w:r>
          </w:p>
        </w:tc>
        <w:tc>
          <w:tcPr>
            <w:tcW w:w="714" w:type="pct"/>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3.98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550" w:type="pct"/>
            <w:vAlign w:val="center"/>
          </w:tcPr>
          <w:p>
            <w:pPr>
              <w:topLinePunct w:val="0"/>
              <w:adjustRightInd/>
              <w:snapToGrid w:val="0"/>
              <w:spacing w:line="240" w:lineRule="auto"/>
              <w:ind w:firstLine="0" w:firstLineChars="0"/>
              <w:jc w:val="center"/>
              <w:rPr>
                <w:rFonts w:ascii="Times New Roman" w:cs="Times New Roman"/>
                <w:snapToGrid w:val="0"/>
                <w:kern w:val="2"/>
                <w:sz w:val="21"/>
                <w:szCs w:val="21"/>
              </w:rPr>
            </w:pPr>
            <w:r>
              <w:rPr>
                <w:rFonts w:ascii="Times New Roman" w:cs="Times New Roman"/>
                <w:snapToGrid w:val="0"/>
                <w:kern w:val="2"/>
                <w:sz w:val="21"/>
                <w:szCs w:val="21"/>
              </w:rPr>
              <w:t>草丛植被</w:t>
            </w:r>
          </w:p>
        </w:tc>
        <w:tc>
          <w:tcPr>
            <w:tcW w:w="1248"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白茅、五节芒、芒、芒萁、野古草、斑茅、蕨</w:t>
            </w:r>
          </w:p>
        </w:tc>
        <w:tc>
          <w:tcPr>
            <w:tcW w:w="1004" w:type="dxa"/>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 xml:space="preserve">2.1 </w:t>
            </w:r>
          </w:p>
        </w:tc>
        <w:tc>
          <w:tcPr>
            <w:tcW w:w="502"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5.89</w:t>
            </w:r>
          </w:p>
        </w:tc>
        <w:tc>
          <w:tcPr>
            <w:tcW w:w="723" w:type="pct"/>
            <w:vAlign w:val="center"/>
          </w:tcPr>
          <w:p>
            <w:pPr>
              <w:widowControl/>
              <w:topLinePunct w:val="0"/>
              <w:adjustRightInd/>
              <w:spacing w:line="240" w:lineRule="auto"/>
              <w:ind w:firstLine="0" w:firstLineChars="0"/>
              <w:jc w:val="center"/>
              <w:textAlignment w:val="center"/>
              <w:rPr>
                <w:rFonts w:ascii="Times New Roman" w:cs="Times New Roman"/>
                <w:snapToGrid w:val="0"/>
                <w:kern w:val="2"/>
                <w:sz w:val="21"/>
                <w:szCs w:val="21"/>
              </w:rPr>
            </w:pPr>
            <w:r>
              <w:rPr>
                <w:rFonts w:ascii="Times New Roman" w:cs="Times New Roman"/>
                <w:kern w:val="2"/>
                <w:sz w:val="21"/>
                <w:szCs w:val="21"/>
              </w:rPr>
              <w:t>507.4</w:t>
            </w:r>
          </w:p>
        </w:tc>
        <w:tc>
          <w:tcPr>
            <w:tcW w:w="705" w:type="pct"/>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37.6</w:t>
            </w:r>
          </w:p>
        </w:tc>
        <w:tc>
          <w:tcPr>
            <w:tcW w:w="714" w:type="pct"/>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6.68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50" w:type="pct"/>
            <w:vAlign w:val="center"/>
          </w:tcPr>
          <w:p>
            <w:pPr>
              <w:topLinePunct w:val="0"/>
              <w:adjustRightInd/>
              <w:snapToGrid w:val="0"/>
              <w:spacing w:line="240" w:lineRule="auto"/>
              <w:ind w:firstLine="0" w:firstLineChars="0"/>
              <w:jc w:val="center"/>
              <w:rPr>
                <w:rFonts w:ascii="Times New Roman" w:cs="Times New Roman"/>
                <w:kern w:val="2"/>
                <w:sz w:val="21"/>
                <w:szCs w:val="21"/>
              </w:rPr>
            </w:pPr>
            <w:r>
              <w:rPr>
                <w:rFonts w:ascii="Times New Roman" w:cs="Times New Roman"/>
                <w:snapToGrid w:val="0"/>
                <w:kern w:val="2"/>
                <w:sz w:val="21"/>
                <w:szCs w:val="21"/>
              </w:rPr>
              <w:t>农作物植被</w:t>
            </w:r>
          </w:p>
        </w:tc>
        <w:tc>
          <w:tcPr>
            <w:tcW w:w="1248"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水稻、玉米、红苕、棉花、花生、小麦、马铃薯、豌豆</w:t>
            </w:r>
          </w:p>
        </w:tc>
        <w:tc>
          <w:tcPr>
            <w:tcW w:w="1004" w:type="dxa"/>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 xml:space="preserve">1.4 </w:t>
            </w:r>
          </w:p>
        </w:tc>
        <w:tc>
          <w:tcPr>
            <w:tcW w:w="502" w:type="pct"/>
            <w:vAlign w:val="center"/>
          </w:tcPr>
          <w:p>
            <w:pPr>
              <w:widowControl/>
              <w:topLinePunct w:val="0"/>
              <w:adjustRightInd/>
              <w:spacing w:line="240" w:lineRule="auto"/>
              <w:ind w:firstLine="0" w:firstLineChars="0"/>
              <w:jc w:val="center"/>
              <w:textAlignment w:val="center"/>
              <w:rPr>
                <w:rFonts w:ascii="Times New Roman" w:cs="Times New Roman"/>
                <w:snapToGrid w:val="0"/>
                <w:kern w:val="2"/>
                <w:sz w:val="21"/>
                <w:szCs w:val="21"/>
              </w:rPr>
            </w:pPr>
            <w:r>
              <w:rPr>
                <w:rFonts w:ascii="Times New Roman" w:cs="Times New Roman"/>
                <w:kern w:val="2"/>
                <w:sz w:val="21"/>
                <w:szCs w:val="21"/>
              </w:rPr>
              <w:t>35.35</w:t>
            </w:r>
          </w:p>
        </w:tc>
        <w:tc>
          <w:tcPr>
            <w:tcW w:w="723" w:type="pct"/>
            <w:vAlign w:val="center"/>
          </w:tcPr>
          <w:p>
            <w:pPr>
              <w:widowControl/>
              <w:topLinePunct w:val="0"/>
              <w:adjustRightInd/>
              <w:spacing w:line="240" w:lineRule="auto"/>
              <w:ind w:firstLine="0" w:firstLineChars="0"/>
              <w:jc w:val="center"/>
              <w:textAlignment w:val="center"/>
              <w:rPr>
                <w:rFonts w:ascii="Times New Roman" w:cs="Times New Roman"/>
                <w:snapToGrid w:val="0"/>
                <w:kern w:val="2"/>
                <w:sz w:val="21"/>
                <w:szCs w:val="21"/>
              </w:rPr>
            </w:pPr>
            <w:r>
              <w:rPr>
                <w:rFonts w:ascii="Times New Roman" w:cs="Times New Roman"/>
                <w:kern w:val="2"/>
                <w:sz w:val="21"/>
                <w:szCs w:val="21"/>
              </w:rPr>
              <w:t>426.5</w:t>
            </w:r>
          </w:p>
        </w:tc>
        <w:tc>
          <w:tcPr>
            <w:tcW w:w="705" w:type="pct"/>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135.6</w:t>
            </w:r>
          </w:p>
        </w:tc>
        <w:tc>
          <w:tcPr>
            <w:tcW w:w="714" w:type="pct"/>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24.09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0" w:type="pct"/>
            <w:vAlign w:val="center"/>
          </w:tcPr>
          <w:p>
            <w:pPr>
              <w:topLinePunct w:val="0"/>
              <w:adjustRightInd/>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无植被</w:t>
            </w:r>
          </w:p>
        </w:tc>
        <w:tc>
          <w:tcPr>
            <w:tcW w:w="1248"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1004" w:type="dxa"/>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 xml:space="preserve">7.7 </w:t>
            </w:r>
          </w:p>
        </w:tc>
        <w:tc>
          <w:tcPr>
            <w:tcW w:w="502" w:type="pct"/>
            <w:vAlign w:val="center"/>
          </w:tcPr>
          <w:p>
            <w:pPr>
              <w:widowControl/>
              <w:topLinePunct w:val="0"/>
              <w:adjustRightInd/>
              <w:spacing w:line="240" w:lineRule="auto"/>
              <w:ind w:firstLine="0" w:firstLineChars="0"/>
              <w:jc w:val="center"/>
              <w:textAlignment w:val="center"/>
              <w:rPr>
                <w:rFonts w:ascii="Times New Roman" w:cs="Times New Roman"/>
                <w:snapToGrid w:val="0"/>
                <w:kern w:val="2"/>
                <w:sz w:val="21"/>
                <w:szCs w:val="21"/>
              </w:rPr>
            </w:pPr>
            <w:r>
              <w:rPr>
                <w:rFonts w:ascii="Times New Roman" w:cs="Times New Roman"/>
                <w:kern w:val="2"/>
                <w:sz w:val="21"/>
                <w:szCs w:val="21"/>
              </w:rPr>
              <w:t>9.46</w:t>
            </w:r>
          </w:p>
        </w:tc>
        <w:tc>
          <w:tcPr>
            <w:tcW w:w="723" w:type="pct"/>
            <w:vAlign w:val="center"/>
          </w:tcPr>
          <w:p>
            <w:pPr>
              <w:widowControl/>
              <w:topLinePunct w:val="0"/>
              <w:adjustRightInd/>
              <w:spacing w:line="240" w:lineRule="auto"/>
              <w:ind w:firstLine="0" w:firstLineChars="0"/>
              <w:jc w:val="center"/>
              <w:textAlignment w:val="center"/>
              <w:rPr>
                <w:rFonts w:ascii="Times New Roman" w:cs="Times New Roman"/>
                <w:snapToGrid w:val="0"/>
                <w:kern w:val="2"/>
                <w:sz w:val="21"/>
                <w:szCs w:val="21"/>
              </w:rPr>
            </w:pPr>
            <w:r>
              <w:rPr>
                <w:rFonts w:ascii="Times New Roman" w:cs="Times New Roman"/>
                <w:kern w:val="2"/>
                <w:sz w:val="21"/>
                <w:szCs w:val="21"/>
              </w:rPr>
              <w:t>-</w:t>
            </w:r>
          </w:p>
        </w:tc>
        <w:tc>
          <w:tcPr>
            <w:tcW w:w="705" w:type="pct"/>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0</w:t>
            </w:r>
          </w:p>
        </w:tc>
        <w:tc>
          <w:tcPr>
            <w:tcW w:w="714" w:type="pct"/>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0" w:type="pct"/>
            <w:vAlign w:val="center"/>
          </w:tcPr>
          <w:p>
            <w:pPr>
              <w:topLinePunct w:val="0"/>
              <w:adjustRightInd/>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合计</w:t>
            </w:r>
          </w:p>
        </w:tc>
        <w:tc>
          <w:tcPr>
            <w:tcW w:w="1248"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558"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35.8</w:t>
            </w:r>
          </w:p>
        </w:tc>
        <w:tc>
          <w:tcPr>
            <w:tcW w:w="502" w:type="pct"/>
            <w:vAlign w:val="center"/>
          </w:tcPr>
          <w:p>
            <w:pPr>
              <w:widowControl/>
              <w:topLinePunct w:val="0"/>
              <w:adjustRightInd/>
              <w:spacing w:line="240" w:lineRule="auto"/>
              <w:ind w:firstLine="0" w:firstLineChars="0"/>
              <w:jc w:val="center"/>
              <w:textAlignment w:val="center"/>
              <w:rPr>
                <w:rFonts w:ascii="Times New Roman" w:cs="Times New Roman"/>
                <w:snapToGrid w:val="0"/>
                <w:kern w:val="2"/>
                <w:sz w:val="21"/>
                <w:szCs w:val="21"/>
              </w:rPr>
            </w:pPr>
            <w:r>
              <w:rPr>
                <w:rFonts w:ascii="Times New Roman" w:cs="Times New Roman"/>
                <w:kern w:val="2"/>
                <w:sz w:val="21"/>
                <w:szCs w:val="21"/>
              </w:rPr>
              <w:t>100</w:t>
            </w:r>
          </w:p>
        </w:tc>
        <w:tc>
          <w:tcPr>
            <w:tcW w:w="723" w:type="pct"/>
            <w:vAlign w:val="center"/>
          </w:tcPr>
          <w:p>
            <w:pPr>
              <w:widowControl/>
              <w:topLinePunct w:val="0"/>
              <w:adjustRightInd/>
              <w:spacing w:line="240" w:lineRule="auto"/>
              <w:ind w:firstLine="0" w:firstLineChars="0"/>
              <w:jc w:val="center"/>
              <w:textAlignment w:val="center"/>
              <w:rPr>
                <w:rFonts w:ascii="Times New Roman" w:cs="Times New Roman"/>
                <w:snapToGrid w:val="0"/>
                <w:kern w:val="2"/>
                <w:sz w:val="21"/>
                <w:szCs w:val="21"/>
              </w:rPr>
            </w:pPr>
            <w:r>
              <w:rPr>
                <w:rFonts w:ascii="Times New Roman" w:cs="Times New Roman"/>
                <w:kern w:val="2"/>
                <w:sz w:val="21"/>
                <w:szCs w:val="21"/>
              </w:rPr>
              <w:t>-</w:t>
            </w:r>
          </w:p>
        </w:tc>
        <w:tc>
          <w:tcPr>
            <w:tcW w:w="705" w:type="pct"/>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562.8</w:t>
            </w:r>
          </w:p>
        </w:tc>
        <w:tc>
          <w:tcPr>
            <w:tcW w:w="714" w:type="pct"/>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0" w:type="pct"/>
            <w:vAlign w:val="center"/>
          </w:tcPr>
          <w:p>
            <w:pPr>
              <w:topLinePunct w:val="0"/>
              <w:adjustRightInd/>
              <w:snapToGrid w:val="0"/>
              <w:spacing w:line="240" w:lineRule="auto"/>
              <w:ind w:firstLine="0" w:firstLineChars="0"/>
              <w:jc w:val="center"/>
              <w:rPr>
                <w:rFonts w:ascii="Times New Roman" w:cs="Times New Roman"/>
                <w:kern w:val="2"/>
                <w:sz w:val="21"/>
                <w:szCs w:val="21"/>
              </w:rPr>
            </w:pPr>
            <w:r>
              <w:rPr>
                <w:rFonts w:ascii="Times New Roman" w:cs="Times New Roman"/>
                <w:snapToGrid w:val="0"/>
                <w:kern w:val="2"/>
                <w:sz w:val="21"/>
                <w:szCs w:val="21"/>
              </w:rPr>
              <w:t>平均</w:t>
            </w:r>
          </w:p>
        </w:tc>
        <w:tc>
          <w:tcPr>
            <w:tcW w:w="1248"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558" w:type="pct"/>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w:t>
            </w:r>
          </w:p>
        </w:tc>
        <w:tc>
          <w:tcPr>
            <w:tcW w:w="502" w:type="pct"/>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w:t>
            </w:r>
          </w:p>
        </w:tc>
        <w:tc>
          <w:tcPr>
            <w:tcW w:w="723" w:type="pct"/>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514.5</w:t>
            </w:r>
          </w:p>
        </w:tc>
        <w:tc>
          <w:tcPr>
            <w:tcW w:w="705" w:type="pct"/>
            <w:vAlign w:val="center"/>
          </w:tcPr>
          <w:p>
            <w:pPr>
              <w:topLinePunct w:val="0"/>
              <w:adjustRightInd/>
              <w:spacing w:line="240" w:lineRule="auto"/>
              <w:ind w:firstLine="0" w:firstLineChars="0"/>
              <w:jc w:val="center"/>
              <w:rPr>
                <w:rFonts w:ascii="Times New Roman" w:cs="Times New Roman"/>
                <w:kern w:val="2"/>
                <w:sz w:val="21"/>
                <w:szCs w:val="21"/>
              </w:rPr>
            </w:pPr>
          </w:p>
        </w:tc>
        <w:tc>
          <w:tcPr>
            <w:tcW w:w="714" w:type="pct"/>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0" w:type="pct"/>
            <w:vAlign w:val="center"/>
          </w:tcPr>
          <w:p>
            <w:pPr>
              <w:topLinePunct w:val="0"/>
              <w:adjustRightInd/>
              <w:snapToGrid w:val="0"/>
              <w:spacing w:line="240" w:lineRule="auto"/>
              <w:ind w:firstLine="0" w:firstLineChars="0"/>
              <w:jc w:val="center"/>
              <w:rPr>
                <w:rFonts w:ascii="Times New Roman" w:cs="Times New Roman"/>
                <w:kern w:val="2"/>
                <w:sz w:val="21"/>
                <w:szCs w:val="21"/>
              </w:rPr>
            </w:pPr>
            <w:r>
              <w:rPr>
                <w:rFonts w:ascii="Times New Roman" w:cs="Times New Roman"/>
                <w:snapToGrid w:val="0"/>
                <w:kern w:val="2"/>
                <w:sz w:val="21"/>
                <w:szCs w:val="21"/>
              </w:rPr>
              <w:t>参考标准</w:t>
            </w:r>
          </w:p>
        </w:tc>
        <w:tc>
          <w:tcPr>
            <w:tcW w:w="1248"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558" w:type="pct"/>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w:t>
            </w:r>
          </w:p>
        </w:tc>
        <w:tc>
          <w:tcPr>
            <w:tcW w:w="502" w:type="pct"/>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w:t>
            </w:r>
          </w:p>
        </w:tc>
        <w:tc>
          <w:tcPr>
            <w:tcW w:w="723" w:type="pct"/>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684</w:t>
            </w:r>
          </w:p>
        </w:tc>
        <w:tc>
          <w:tcPr>
            <w:tcW w:w="705" w:type="pct"/>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w:t>
            </w:r>
          </w:p>
        </w:tc>
        <w:tc>
          <w:tcPr>
            <w:tcW w:w="714" w:type="pct"/>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w:t>
            </w:r>
          </w:p>
        </w:tc>
      </w:tr>
    </w:tbl>
    <w:p>
      <w:pPr>
        <w:topLinePunct w:val="0"/>
        <w:adjustRightInd/>
        <w:spacing w:line="240" w:lineRule="auto"/>
        <w:ind w:firstLine="363" w:firstLineChars="0"/>
        <w:jc w:val="left"/>
        <w:rPr>
          <w:rFonts w:ascii="Times New Roman" w:cs="Times New Roman"/>
          <w:kern w:val="2"/>
          <w:sz w:val="21"/>
          <w:szCs w:val="21"/>
        </w:rPr>
      </w:pPr>
      <w:r>
        <w:rPr>
          <w:rFonts w:ascii="Times New Roman" w:cs="Times New Roman"/>
          <w:kern w:val="2"/>
          <w:sz w:val="21"/>
          <w:szCs w:val="21"/>
        </w:rPr>
        <w:t>注：表中平均生产力值来源于《中国陆地植被净初级生产力遥感估算》等文献，参考标准采用全国1989-1993中国陆地生态系统平均NPP值</w:t>
      </w:r>
    </w:p>
    <w:p>
      <w:pPr>
        <w:pStyle w:val="114"/>
        <w:ind w:firstLine="480"/>
        <w:rPr>
          <w:kern w:val="2"/>
          <w:szCs w:val="24"/>
          <w:lang w:val="de-DE"/>
        </w:rPr>
      </w:pPr>
      <w:r>
        <w:rPr>
          <w:kern w:val="2"/>
          <w:szCs w:val="24"/>
        </w:rPr>
        <w:t>从表5.2-12中可以看出，评价范围总</w:t>
      </w:r>
      <w:r>
        <w:rPr>
          <w:snapToGrid w:val="0"/>
          <w:kern w:val="2"/>
          <w:szCs w:val="24"/>
        </w:rPr>
        <w:t>生产力</w:t>
      </w:r>
      <w:r>
        <w:rPr>
          <w:szCs w:val="24"/>
        </w:rPr>
        <w:t>562.8</w:t>
      </w:r>
      <w:r>
        <w:rPr>
          <w:snapToGrid w:val="0"/>
          <w:kern w:val="2"/>
          <w:szCs w:val="24"/>
        </w:rPr>
        <w:t>tC/（a），</w:t>
      </w:r>
      <w:r>
        <w:rPr>
          <w:kern w:val="2"/>
          <w:szCs w:val="24"/>
        </w:rPr>
        <w:t>平均净生产514.5gC/（m</w:t>
      </w:r>
      <w:r>
        <w:rPr>
          <w:kern w:val="2"/>
          <w:szCs w:val="24"/>
          <w:vertAlign w:val="superscript"/>
        </w:rPr>
        <w:t>2</w:t>
      </w:r>
      <w:r>
        <w:rPr>
          <w:kern w:val="2"/>
          <w:szCs w:val="24"/>
        </w:rPr>
        <w:t>.a），比中国陆地生态系统</w:t>
      </w:r>
      <w:r>
        <w:rPr>
          <w:snapToGrid w:val="0"/>
          <w:kern w:val="2"/>
          <w:szCs w:val="24"/>
        </w:rPr>
        <w:t>平均值低169.5</w:t>
      </w:r>
      <w:r>
        <w:rPr>
          <w:kern w:val="2"/>
          <w:szCs w:val="24"/>
        </w:rPr>
        <w:t>gC/（m</w:t>
      </w:r>
      <w:r>
        <w:rPr>
          <w:kern w:val="2"/>
          <w:szCs w:val="24"/>
          <w:vertAlign w:val="superscript"/>
        </w:rPr>
        <w:t>2</w:t>
      </w:r>
      <w:r>
        <w:rPr>
          <w:kern w:val="2"/>
          <w:szCs w:val="24"/>
        </w:rPr>
        <w:t>.a），远不及评价范围土地自然生产力1585.88t/hm</w:t>
      </w:r>
      <w:r>
        <w:rPr>
          <w:kern w:val="2"/>
          <w:szCs w:val="24"/>
          <w:vertAlign w:val="superscript"/>
        </w:rPr>
        <w:t>2</w:t>
      </w:r>
      <w:r>
        <w:rPr>
          <w:kern w:val="2"/>
          <w:szCs w:val="24"/>
        </w:rPr>
        <w:t>/a，主要是由于评价范围内</w:t>
      </w:r>
      <w:r>
        <w:rPr>
          <w:snapToGrid w:val="0"/>
          <w:kern w:val="2"/>
          <w:szCs w:val="24"/>
        </w:rPr>
        <w:t>平均净生产力水平较高的地带性常绿阔叶林植被，因为人为干扰，已经基本不复存在，取而代之的是平均净生产力水平</w:t>
      </w:r>
      <w:r>
        <w:rPr>
          <w:kern w:val="2"/>
          <w:szCs w:val="24"/>
        </w:rPr>
        <w:t>较低的常绿针叶林和落叶阔叶林植被及耕地植被</w:t>
      </w:r>
      <w:r>
        <w:rPr>
          <w:szCs w:val="24"/>
        </w:rPr>
        <w:t>。</w:t>
      </w:r>
    </w:p>
    <w:p>
      <w:pPr>
        <w:topLinePunct w:val="0"/>
        <w:adjustRightInd/>
        <w:ind w:firstLine="482"/>
        <w:rPr>
          <w:rFonts w:ascii="Times New Roman" w:cs="Times New Roman"/>
          <w:b/>
          <w:bCs/>
          <w:kern w:val="2"/>
        </w:rPr>
      </w:pPr>
      <w:r>
        <w:rPr>
          <w:rFonts w:ascii="Times New Roman" w:cs="Times New Roman"/>
          <w:b/>
          <w:bCs/>
          <w:kern w:val="2"/>
        </w:rPr>
        <w:t>（3）评价范围植被生物量现状评价</w:t>
      </w:r>
    </w:p>
    <w:p>
      <w:pPr>
        <w:topLinePunct w:val="0"/>
        <w:snapToGrid w:val="0"/>
        <w:ind w:firstLine="480"/>
        <w:rPr>
          <w:rFonts w:ascii="Times New Roman" w:cs="Times New Roman"/>
        </w:rPr>
      </w:pPr>
      <w:r>
        <w:rPr>
          <w:rFonts w:ascii="Times New Roman" w:cs="Times New Roman"/>
        </w:rPr>
        <w:t>植被的生物量是指一定地段面积内植物群落在某一时期生存着的活有机物质之重量，以t/hm</w:t>
      </w:r>
      <w:r>
        <w:rPr>
          <w:rFonts w:ascii="Times New Roman" w:cs="Times New Roman"/>
          <w:vertAlign w:val="superscript"/>
        </w:rPr>
        <w:t>2</w:t>
      </w:r>
      <w:r>
        <w:rPr>
          <w:rFonts w:ascii="Times New Roman" w:cs="Times New Roman"/>
        </w:rPr>
        <w:t>表示。群落类型不同，其生物量测定的方法也有所不同。</w:t>
      </w:r>
    </w:p>
    <w:p>
      <w:pPr>
        <w:topLinePunct w:val="0"/>
        <w:snapToGrid w:val="0"/>
        <w:ind w:firstLine="482"/>
        <w:rPr>
          <w:rFonts w:ascii="Times New Roman" w:cs="Times New Roman"/>
          <w:b/>
          <w:bCs/>
        </w:rPr>
      </w:pPr>
      <w:r>
        <w:rPr>
          <w:rFonts w:ascii="Times New Roman" w:cs="Times New Roman"/>
          <w:b/>
          <w:bCs/>
        </w:rPr>
        <w:t>1、森林群落生物量</w:t>
      </w:r>
    </w:p>
    <w:p>
      <w:pPr>
        <w:topLinePunct w:val="0"/>
        <w:snapToGrid w:val="0"/>
        <w:ind w:firstLine="480"/>
        <w:rPr>
          <w:rFonts w:ascii="Times New Roman" w:cs="Times New Roman"/>
        </w:rPr>
      </w:pPr>
      <w:r>
        <w:rPr>
          <w:rFonts w:ascii="Times New Roman" w:cs="Times New Roman"/>
        </w:rPr>
        <w:t>森林生物量目前常用材积推算法来估算，用此方法估算出的生物量被称为材积源生物量。由于在作材积分析时需要对森林群落样地的林木进行砍伐取样，在实际操作中要</w:t>
      </w:r>
      <w:r>
        <w:rPr>
          <w:rFonts w:hint="eastAsia" w:ascii="Times New Roman" w:cs="Times New Roman"/>
          <w:lang w:eastAsia="zh-CN"/>
        </w:rPr>
        <w:t>涉及</w:t>
      </w:r>
      <w:r>
        <w:rPr>
          <w:rFonts w:ascii="Times New Roman" w:cs="Times New Roman"/>
        </w:rPr>
        <w:t>取样木砍伐的审批手续及样木赔偿付费等问题，因此，本次森林生物量的估算采取借用中国科学院生态环境研究中心专家建立的我国森林生物量的基本参数，以79.2t/hm</w:t>
      </w:r>
      <w:r>
        <w:rPr>
          <w:rFonts w:ascii="Times New Roman" w:cs="Times New Roman"/>
          <w:vertAlign w:val="superscript"/>
        </w:rPr>
        <w:t>2</w:t>
      </w:r>
      <w:r>
        <w:rPr>
          <w:rFonts w:ascii="Times New Roman" w:cs="Times New Roman"/>
        </w:rPr>
        <w:t>作为本次森林生物量估算的基础。考虑到上述参数未将森林群落的林下灌木、草本之生物量计入，因此，又借用中山大学学者在我国南方地区（广州林区）所进行的森林生物量测定中增加的灌木草本层生物量之补充，即在材积源生物量中增加10t/hm</w:t>
      </w:r>
      <w:r>
        <w:rPr>
          <w:rFonts w:ascii="Times New Roman" w:cs="Times New Roman"/>
          <w:vertAlign w:val="superscript"/>
        </w:rPr>
        <w:t>2</w:t>
      </w:r>
      <w:r>
        <w:rPr>
          <w:rFonts w:ascii="Times New Roman" w:cs="Times New Roman"/>
        </w:rPr>
        <w:t>，即以（79.2＋10）t/hm</w:t>
      </w:r>
      <w:r>
        <w:rPr>
          <w:rFonts w:ascii="Times New Roman" w:cs="Times New Roman"/>
          <w:vertAlign w:val="superscript"/>
        </w:rPr>
        <w:t>2</w:t>
      </w:r>
      <w:r>
        <w:rPr>
          <w:rFonts w:ascii="Times New Roman" w:cs="Times New Roman"/>
        </w:rPr>
        <w:t>来作为本评价区域森林群落生物量的基数。</w:t>
      </w:r>
    </w:p>
    <w:p>
      <w:pPr>
        <w:topLinePunct w:val="0"/>
        <w:snapToGrid w:val="0"/>
        <w:ind w:firstLine="482"/>
        <w:rPr>
          <w:rFonts w:ascii="Times New Roman" w:cs="Times New Roman"/>
          <w:b/>
          <w:bCs/>
        </w:rPr>
      </w:pPr>
      <w:r>
        <w:rPr>
          <w:rFonts w:ascii="Times New Roman" w:cs="Times New Roman"/>
          <w:b/>
          <w:bCs/>
        </w:rPr>
        <w:t>2、灌丛和灌草丛生物量</w:t>
      </w:r>
    </w:p>
    <w:p>
      <w:pPr>
        <w:topLinePunct w:val="0"/>
        <w:snapToGrid w:val="0"/>
        <w:ind w:firstLine="0" w:firstLineChars="0"/>
        <w:rPr>
          <w:rFonts w:ascii="Times New Roman" w:cs="Times New Roman"/>
        </w:rPr>
      </w:pPr>
      <w:r>
        <w:rPr>
          <w:rFonts w:ascii="Times New Roman" w:cs="Times New Roman"/>
        </w:rPr>
        <w:t xml:space="preserve">    灌丛和灌草丛生物量采用收获法测定。本次野外实地调查中，选择不同灌丛和灌草丛类型，进行了典型样方生物量测定，考虑到不同灌丛类型其生物量有很大的差异，故分别对本区内两种类型的灌丛进行生物量的测定。灌丛共作3个5×5m的生物量样方，在每个样方内均匀取样4m</w:t>
      </w:r>
      <w:r>
        <w:rPr>
          <w:rFonts w:ascii="Times New Roman" w:cs="Times New Roman"/>
          <w:vertAlign w:val="superscript"/>
        </w:rPr>
        <w:t>2</w:t>
      </w:r>
      <w:r>
        <w:rPr>
          <w:rFonts w:ascii="Times New Roman" w:cs="Times New Roman"/>
        </w:rPr>
        <w:t>的生物量（鲜重），并将部分鲜样称重后带回实验室内恒温箱中80℃烘干至恒重，计算含水量及干物质重量，将生物量鲜重换算成干重，得到灌丛地上部分平均生物量为16.28t/hm</w:t>
      </w:r>
      <w:r>
        <w:rPr>
          <w:rFonts w:ascii="Times New Roman" w:cs="Times New Roman"/>
          <w:vertAlign w:val="superscript"/>
        </w:rPr>
        <w:t>2</w:t>
      </w:r>
      <w:r>
        <w:rPr>
          <w:rFonts w:ascii="Times New Roman" w:cs="Times New Roman"/>
        </w:rPr>
        <w:t>；灌草丛取3个1×1m的生物量样方，在每个样方内均匀取样1m</w:t>
      </w:r>
      <w:r>
        <w:rPr>
          <w:rFonts w:ascii="Times New Roman" w:cs="Times New Roman"/>
          <w:vertAlign w:val="superscript"/>
        </w:rPr>
        <w:t>2</w:t>
      </w:r>
      <w:r>
        <w:rPr>
          <w:rFonts w:ascii="Times New Roman" w:cs="Times New Roman"/>
        </w:rPr>
        <w:t>的生物量（鲜重），并将部分鲜样称重后带回实验室内恒温箱中80℃烘干至恒重，计算含水量及干物质重量，将生物量鲜重换算成干重，得到灌草丛地上部分平均生物量为4.52t/hm</w:t>
      </w:r>
      <w:r>
        <w:rPr>
          <w:rFonts w:ascii="Times New Roman" w:cs="Times New Roman"/>
          <w:vertAlign w:val="superscript"/>
        </w:rPr>
        <w:t>2</w:t>
      </w:r>
      <w:r>
        <w:rPr>
          <w:rFonts w:ascii="Times New Roman" w:cs="Times New Roman"/>
        </w:rPr>
        <w:t>。由于现场测定仅作了灌丛和灌草丛的地上部分生物量的测定，地下部分生物量则利用已有的生物量资料中地上部分（T）与地下部分（R）之比例系数（T/R）为1.44的系数来推算出本评价范围内灌丛和灌草丛生物量的地下部分（屠玉麟，贵州中部喀斯特灌丛群落生物量研究，《中国岩溶》．Vol.14.No.3.1995）。因此，灌丛的生物量即为地上部分与地下部分之和：（16.28＋16.28/1.44）=27.58t/hm</w:t>
      </w:r>
      <w:r>
        <w:rPr>
          <w:rFonts w:ascii="Times New Roman" w:cs="Times New Roman"/>
          <w:vertAlign w:val="superscript"/>
        </w:rPr>
        <w:t>2</w:t>
      </w:r>
      <w:r>
        <w:rPr>
          <w:rFonts w:ascii="Times New Roman" w:cs="Times New Roman"/>
        </w:rPr>
        <w:t>，灌草丛的生物量即为地上部分与地下部分之和：（4.52＋4.52/1.44）=7.66t/hm</w:t>
      </w:r>
      <w:r>
        <w:rPr>
          <w:rFonts w:ascii="Times New Roman" w:cs="Times New Roman"/>
          <w:vertAlign w:val="superscript"/>
        </w:rPr>
        <w:t>2</w:t>
      </w:r>
      <w:r>
        <w:rPr>
          <w:rFonts w:ascii="Times New Roman" w:cs="Times New Roman"/>
        </w:rPr>
        <w:t>。</w:t>
      </w:r>
    </w:p>
    <w:p>
      <w:pPr>
        <w:topLinePunct w:val="0"/>
        <w:snapToGrid w:val="0"/>
        <w:ind w:firstLine="0" w:firstLineChars="0"/>
        <w:rPr>
          <w:rFonts w:ascii="Times New Roman" w:cs="Times New Roman"/>
          <w:b/>
          <w:bCs/>
        </w:rPr>
      </w:pPr>
      <w:r>
        <w:rPr>
          <w:rFonts w:ascii="Times New Roman" w:cs="Times New Roman"/>
          <w:b/>
          <w:bCs/>
        </w:rPr>
        <w:t xml:space="preserve">    3、农田植被的生物量</w:t>
      </w:r>
    </w:p>
    <w:p>
      <w:pPr>
        <w:pStyle w:val="114"/>
        <w:ind w:firstLine="480"/>
        <w:rPr>
          <w:kern w:val="2"/>
          <w:szCs w:val="24"/>
          <w:lang w:val="de-DE"/>
        </w:rPr>
      </w:pPr>
      <w:r>
        <w:rPr>
          <w:kern w:val="2"/>
          <w:szCs w:val="24"/>
        </w:rPr>
        <w:t>农田植被生物量由三部分组成，即作物籽粒、</w:t>
      </w:r>
      <w:r>
        <w:rPr>
          <w:rFonts w:hint="eastAsia"/>
          <w:kern w:val="2"/>
          <w:szCs w:val="24"/>
          <w:lang w:eastAsia="zh-CN"/>
        </w:rPr>
        <w:t>秸秆</w:t>
      </w:r>
      <w:r>
        <w:rPr>
          <w:kern w:val="2"/>
          <w:szCs w:val="24"/>
        </w:rPr>
        <w:t>和根茬。由于目前尚无宣汉县农田的</w:t>
      </w:r>
      <w:r>
        <w:rPr>
          <w:rFonts w:hint="eastAsia"/>
          <w:kern w:val="2"/>
          <w:szCs w:val="24"/>
          <w:lang w:eastAsia="zh-CN"/>
        </w:rPr>
        <w:t>秸秆</w:t>
      </w:r>
      <w:r>
        <w:rPr>
          <w:kern w:val="2"/>
          <w:szCs w:val="24"/>
        </w:rPr>
        <w:t>、根茬单位面积产量数据，农田植被生物量基数参考四川省已有案例。</w:t>
      </w:r>
    </w:p>
    <w:p>
      <w:pPr>
        <w:topLinePunct w:val="0"/>
        <w:snapToGrid w:val="0"/>
        <w:spacing w:line="240" w:lineRule="auto"/>
        <w:ind w:firstLine="561" w:firstLineChars="0"/>
        <w:jc w:val="center"/>
        <w:rPr>
          <w:rFonts w:ascii="Times New Roman" w:cs="Times New Roman"/>
          <w:b/>
          <w:sz w:val="21"/>
          <w:szCs w:val="21"/>
        </w:rPr>
      </w:pPr>
      <w:r>
        <w:rPr>
          <w:rFonts w:ascii="Times New Roman" w:cs="Times New Roman"/>
          <w:b/>
          <w:sz w:val="21"/>
          <w:szCs w:val="21"/>
        </w:rPr>
        <w:t>表5.2-13 评价范围内的植被生物量现状值</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46"/>
        <w:gridCol w:w="1740"/>
        <w:gridCol w:w="1929"/>
        <w:gridCol w:w="1729"/>
        <w:gridCol w:w="15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Merge w:val="restar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植被类型</w:t>
            </w:r>
          </w:p>
        </w:tc>
        <w:tc>
          <w:tcPr>
            <w:tcW w:w="4870" w:type="dxa"/>
            <w:gridSpan w:val="3"/>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项目评价范围</w:t>
            </w:r>
          </w:p>
        </w:tc>
        <w:tc>
          <w:tcPr>
            <w:tcW w:w="1434" w:type="dxa"/>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Merge w:val="continue"/>
            <w:vAlign w:val="center"/>
          </w:tcPr>
          <w:p>
            <w:pPr>
              <w:topLinePunct w:val="0"/>
              <w:adjustRightInd/>
              <w:spacing w:line="240" w:lineRule="auto"/>
              <w:ind w:firstLine="0" w:firstLineChars="0"/>
              <w:jc w:val="center"/>
              <w:rPr>
                <w:rFonts w:ascii="Times New Roman" w:cs="Times New Roman"/>
                <w:kern w:val="2"/>
                <w:sz w:val="21"/>
                <w:szCs w:val="21"/>
              </w:rPr>
            </w:pPr>
          </w:p>
        </w:tc>
        <w:tc>
          <w:tcPr>
            <w:tcW w:w="1570"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面积（hm</w:t>
            </w:r>
            <w:r>
              <w:rPr>
                <w:rFonts w:ascii="Times New Roman" w:cs="Times New Roman"/>
                <w:kern w:val="2"/>
                <w:sz w:val="21"/>
                <w:szCs w:val="21"/>
                <w:vertAlign w:val="superscript"/>
              </w:rPr>
              <w:t>2</w:t>
            </w:r>
            <w:r>
              <w:rPr>
                <w:rFonts w:ascii="Times New Roman" w:cs="Times New Roman"/>
                <w:kern w:val="2"/>
                <w:sz w:val="21"/>
                <w:szCs w:val="21"/>
              </w:rPr>
              <w:t>）</w:t>
            </w:r>
          </w:p>
        </w:tc>
        <w:tc>
          <w:tcPr>
            <w:tcW w:w="1740"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基数（t/hm²）</w:t>
            </w:r>
          </w:p>
        </w:tc>
        <w:tc>
          <w:tcPr>
            <w:tcW w:w="1560"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生物量（t）</w:t>
            </w:r>
          </w:p>
        </w:tc>
        <w:tc>
          <w:tcPr>
            <w:tcW w:w="1434"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百分比（%）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水田植被</w:t>
            </w:r>
          </w:p>
        </w:tc>
        <w:tc>
          <w:tcPr>
            <w:tcW w:w="1570" w:type="dxa"/>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 xml:space="preserve">1.6 </w:t>
            </w:r>
          </w:p>
        </w:tc>
        <w:tc>
          <w:tcPr>
            <w:tcW w:w="1740" w:type="dxa"/>
            <w:vAlign w:val="bottom"/>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10.51</w:t>
            </w:r>
          </w:p>
        </w:tc>
        <w:tc>
          <w:tcPr>
            <w:tcW w:w="1560" w:type="dxa"/>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 xml:space="preserve">16.41 </w:t>
            </w:r>
          </w:p>
        </w:tc>
        <w:tc>
          <w:tcPr>
            <w:tcW w:w="1434" w:type="dxa"/>
            <w:vAlign w:val="bottom"/>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0.78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旱地植被</w:t>
            </w:r>
          </w:p>
        </w:tc>
        <w:tc>
          <w:tcPr>
            <w:tcW w:w="1570" w:type="dxa"/>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 xml:space="preserve">7.9 </w:t>
            </w:r>
          </w:p>
        </w:tc>
        <w:tc>
          <w:tcPr>
            <w:tcW w:w="1740" w:type="dxa"/>
            <w:vAlign w:val="bottom"/>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10.31</w:t>
            </w:r>
          </w:p>
        </w:tc>
        <w:tc>
          <w:tcPr>
            <w:tcW w:w="1560" w:type="dxa"/>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 xml:space="preserve">81.40 </w:t>
            </w:r>
          </w:p>
        </w:tc>
        <w:tc>
          <w:tcPr>
            <w:tcW w:w="1434" w:type="dxa"/>
            <w:vAlign w:val="bottom"/>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森林植被</w:t>
            </w:r>
          </w:p>
        </w:tc>
        <w:tc>
          <w:tcPr>
            <w:tcW w:w="1570" w:type="dxa"/>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 xml:space="preserve">21.5 </w:t>
            </w:r>
          </w:p>
        </w:tc>
        <w:tc>
          <w:tcPr>
            <w:tcW w:w="1740" w:type="dxa"/>
            <w:vAlign w:val="bottom"/>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89.2</w:t>
            </w:r>
          </w:p>
        </w:tc>
        <w:tc>
          <w:tcPr>
            <w:tcW w:w="1560" w:type="dxa"/>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 xml:space="preserve">1920.73 </w:t>
            </w:r>
          </w:p>
        </w:tc>
        <w:tc>
          <w:tcPr>
            <w:tcW w:w="1434" w:type="dxa"/>
            <w:vAlign w:val="bottom"/>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91.94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灌丛植被</w:t>
            </w:r>
          </w:p>
        </w:tc>
        <w:tc>
          <w:tcPr>
            <w:tcW w:w="1570" w:type="dxa"/>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 xml:space="preserve">1.9 </w:t>
            </w:r>
          </w:p>
        </w:tc>
        <w:tc>
          <w:tcPr>
            <w:tcW w:w="1740" w:type="dxa"/>
            <w:vAlign w:val="bottom"/>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27.58</w:t>
            </w:r>
          </w:p>
        </w:tc>
        <w:tc>
          <w:tcPr>
            <w:tcW w:w="1560" w:type="dxa"/>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 xml:space="preserve">52.79 </w:t>
            </w:r>
          </w:p>
        </w:tc>
        <w:tc>
          <w:tcPr>
            <w:tcW w:w="1434" w:type="dxa"/>
            <w:vAlign w:val="bottom"/>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2.53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灌草丛植被</w:t>
            </w:r>
          </w:p>
        </w:tc>
        <w:tc>
          <w:tcPr>
            <w:tcW w:w="1570" w:type="dxa"/>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 xml:space="preserve">2.3 </w:t>
            </w:r>
          </w:p>
        </w:tc>
        <w:tc>
          <w:tcPr>
            <w:tcW w:w="1740" w:type="dxa"/>
            <w:vAlign w:val="bottom"/>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7.66</w:t>
            </w:r>
          </w:p>
        </w:tc>
        <w:tc>
          <w:tcPr>
            <w:tcW w:w="1560" w:type="dxa"/>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 xml:space="preserve">17.84 </w:t>
            </w:r>
          </w:p>
        </w:tc>
        <w:tc>
          <w:tcPr>
            <w:tcW w:w="1434" w:type="dxa"/>
            <w:vAlign w:val="bottom"/>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0.86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合计</w:t>
            </w:r>
          </w:p>
        </w:tc>
        <w:tc>
          <w:tcPr>
            <w:tcW w:w="1570" w:type="dxa"/>
            <w:vAlign w:val="bottom"/>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35.8</w:t>
            </w:r>
          </w:p>
        </w:tc>
        <w:tc>
          <w:tcPr>
            <w:tcW w:w="1740" w:type="dxa"/>
            <w:vAlign w:val="bottom"/>
          </w:tcPr>
          <w:p>
            <w:pPr>
              <w:topLinePunct w:val="0"/>
              <w:adjustRightInd/>
              <w:spacing w:line="240" w:lineRule="auto"/>
              <w:ind w:firstLine="0" w:firstLineChars="0"/>
              <w:jc w:val="center"/>
              <w:rPr>
                <w:rFonts w:ascii="Times New Roman" w:cs="Times New Roman"/>
                <w:kern w:val="2"/>
                <w:sz w:val="21"/>
                <w:szCs w:val="21"/>
              </w:rPr>
            </w:pPr>
          </w:p>
        </w:tc>
        <w:tc>
          <w:tcPr>
            <w:tcW w:w="1560" w:type="dxa"/>
            <w:vAlign w:val="bottom"/>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2089.17</w:t>
            </w:r>
          </w:p>
        </w:tc>
        <w:tc>
          <w:tcPr>
            <w:tcW w:w="1434" w:type="dxa"/>
            <w:vAlign w:val="bottom"/>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 xml:space="preserve">100 </w:t>
            </w:r>
          </w:p>
        </w:tc>
      </w:tr>
    </w:tbl>
    <w:p>
      <w:pPr>
        <w:pStyle w:val="114"/>
        <w:ind w:firstLine="480"/>
      </w:pPr>
      <w:r>
        <w:t>由表5.2-13可知，在评价范围内植物总生物量中，森林植被生物量所占比重最大，达到91.94%，可见森林植被对区域生物量的贡献之大，同时也表明森林植被是本评价区域最重要的生态系统，森林生态效益不可忽视，在维持区域生态平衡方面有绝对的意义。</w:t>
      </w:r>
    </w:p>
    <w:p>
      <w:pPr>
        <w:pStyle w:val="4"/>
        <w:rPr>
          <w:rFonts w:eastAsia="宋体"/>
        </w:rPr>
      </w:pPr>
      <w:r>
        <w:rPr>
          <w:rFonts w:eastAsia="宋体"/>
        </w:rPr>
        <w:t>5.2.6</w:t>
      </w:r>
      <w:r>
        <w:rPr>
          <w:rFonts w:eastAsia="宋体"/>
          <w:bCs/>
        </w:rPr>
        <w:t>景观生态体系现状调查</w:t>
      </w:r>
    </w:p>
    <w:p>
      <w:pPr>
        <w:topLinePunct w:val="0"/>
        <w:snapToGrid w:val="0"/>
        <w:ind w:firstLine="482" w:firstLineChars="0"/>
        <w:rPr>
          <w:rFonts w:ascii="Times New Roman" w:cs="Times New Roman"/>
          <w:kern w:val="2"/>
        </w:rPr>
      </w:pPr>
      <w:r>
        <w:rPr>
          <w:rFonts w:ascii="Times New Roman" w:cs="Times New Roman"/>
          <w:kern w:val="2"/>
        </w:rPr>
        <w:t>景观（Landscape）的定义有多种表述，但大部分都是反映内陆地形、地貌或景色的，或是反映某一地理区域的综合地形特征。而景观生态学（LandscapeEcology）将景观定义为：“一个空间异质性的区域，由相互作用的拼块（patch）或生态系统组成，以相似的形式重复出现的生态体系”。为了深入认识评价范围内的环境特征，下面用景观生态学的原理和方法来研究生态体系的组成、特征、生产力及其稳定性。</w:t>
      </w:r>
    </w:p>
    <w:p>
      <w:pPr>
        <w:topLinePunct w:val="0"/>
        <w:adjustRightInd/>
        <w:ind w:firstLine="482"/>
        <w:rPr>
          <w:rFonts w:ascii="Times New Roman" w:cs="Times New Roman"/>
          <w:b/>
          <w:bCs/>
          <w:kern w:val="2"/>
        </w:rPr>
      </w:pPr>
      <w:r>
        <w:rPr>
          <w:rFonts w:ascii="Times New Roman" w:cs="Times New Roman"/>
          <w:b/>
          <w:bCs/>
          <w:kern w:val="2"/>
        </w:rPr>
        <w:t>1、景观生态体系组成与特征</w:t>
      </w:r>
    </w:p>
    <w:p>
      <w:pPr>
        <w:topLinePunct w:val="0"/>
        <w:snapToGrid w:val="0"/>
        <w:ind w:firstLine="482" w:firstLineChars="0"/>
        <w:rPr>
          <w:rFonts w:ascii="Times New Roman" w:cs="Times New Roman"/>
        </w:rPr>
      </w:pPr>
      <w:r>
        <w:rPr>
          <w:rFonts w:ascii="Times New Roman" w:cs="Times New Roman"/>
          <w:kern w:val="2"/>
        </w:rPr>
        <w:t>按照生态学中景观的概念描述可知，景观生态体系的组成即生态系统或土地利</w:t>
      </w:r>
      <w:r>
        <w:rPr>
          <w:rFonts w:ascii="Times New Roman" w:cs="Times New Roman"/>
        </w:rPr>
        <w:t>用类型组成，因而可以用评价范围内的主要土地利用类型——森林、灌丛、灌草丛、耕地、河流水面、建设用地等生态系统作为景观体系的基本单元——拼块来进行景观分析。</w:t>
      </w:r>
    </w:p>
    <w:p>
      <w:pPr>
        <w:topLinePunct w:val="0"/>
        <w:snapToGrid w:val="0"/>
        <w:ind w:firstLine="482" w:firstLineChars="0"/>
        <w:rPr>
          <w:rFonts w:ascii="Times New Roman" w:cs="Times New Roman"/>
          <w:kern w:val="2"/>
        </w:rPr>
      </w:pPr>
      <w:r>
        <w:rPr>
          <w:rFonts w:ascii="Times New Roman" w:cs="Times New Roman"/>
          <w:kern w:val="2"/>
        </w:rPr>
        <w:t>（1）马尾松、柏木、麻栎、青冈、栓皮栎、枫香、响叶杨及乔木经济树种等为主的森林拼块属于人工栽培或干预后经过一段时间自然生长发育形成，具有一定人工性，属于环境资源拼块。该拼块成片分布，连通程度较高。该拼块面积为22.5hm²，约占评价区域总面积的62.96%，是评价区内较最重要的景观拼块，对评价区内生态起着绝对作用。</w:t>
      </w:r>
    </w:p>
    <w:p>
      <w:pPr>
        <w:topLinePunct w:val="0"/>
        <w:snapToGrid w:val="0"/>
        <w:ind w:firstLine="482" w:firstLineChars="0"/>
        <w:rPr>
          <w:rFonts w:ascii="Times New Roman" w:cs="Times New Roman"/>
          <w:kern w:val="2"/>
        </w:rPr>
      </w:pPr>
      <w:r>
        <w:rPr>
          <w:rFonts w:ascii="Times New Roman" w:cs="Times New Roman"/>
          <w:kern w:val="2"/>
        </w:rPr>
        <w:t>（2）槲栎、马桑、黄荆、火棘、荚蒾、盐肤木及灌木经济树种等为主的灌丛拼块属于人类活动影响下形成的干扰拼块，多分布在林地边缘地带或荒坡田坎，由于人类活动频繁，受干扰程度高，水土流失和生物多样性受损较严重。该拼块面积为0.7hm²，占评价区域总面积的</w:t>
      </w:r>
      <w:r>
        <w:rPr>
          <w:rFonts w:ascii="Times New Roman" w:cs="Times New Roman"/>
        </w:rPr>
        <w:t>1.97</w:t>
      </w:r>
      <w:r>
        <w:rPr>
          <w:rFonts w:ascii="Times New Roman" w:cs="Times New Roman"/>
          <w:kern w:val="2"/>
        </w:rPr>
        <w:t>%，是评价区内重要的拼块之一。</w:t>
      </w:r>
    </w:p>
    <w:p>
      <w:pPr>
        <w:topLinePunct w:val="0"/>
        <w:snapToGrid w:val="0"/>
        <w:ind w:firstLine="482" w:firstLineChars="0"/>
        <w:rPr>
          <w:rFonts w:ascii="Times New Roman" w:cs="Times New Roman"/>
          <w:kern w:val="2"/>
        </w:rPr>
      </w:pPr>
      <w:r>
        <w:rPr>
          <w:rFonts w:ascii="Times New Roman" w:cs="Times New Roman"/>
          <w:kern w:val="2"/>
        </w:rPr>
        <w:t>（3）白茅、五节芒、芒、芒萁、野古草、斑茅、蕨等为主的灌草丛拼块</w:t>
      </w:r>
    </w:p>
    <w:p>
      <w:pPr>
        <w:topLinePunct w:val="0"/>
        <w:snapToGrid w:val="0"/>
        <w:ind w:firstLine="482" w:firstLineChars="0"/>
        <w:rPr>
          <w:rFonts w:ascii="Times New Roman" w:cs="Times New Roman"/>
          <w:kern w:val="2"/>
        </w:rPr>
      </w:pPr>
      <w:r>
        <w:rPr>
          <w:rFonts w:ascii="Times New Roman" w:cs="Times New Roman"/>
          <w:kern w:val="2"/>
        </w:rPr>
        <w:t>属于人类活动影响下形成的干扰拼块，分布广泛，由于人类活动频繁，受干扰程度高，水土流失和生物多样性受损较严重。该拼块面积为</w:t>
      </w:r>
      <w:r>
        <w:rPr>
          <w:rFonts w:ascii="Times New Roman" w:cs="Times New Roman"/>
        </w:rPr>
        <w:t>0.4</w:t>
      </w:r>
      <w:r>
        <w:rPr>
          <w:rFonts w:ascii="Times New Roman" w:cs="Times New Roman"/>
          <w:kern w:val="2"/>
        </w:rPr>
        <w:t>hm²，占评价区总面积的</w:t>
      </w:r>
      <w:r>
        <w:rPr>
          <w:rFonts w:ascii="Times New Roman" w:cs="Times New Roman"/>
        </w:rPr>
        <w:t>1.08</w:t>
      </w:r>
      <w:r>
        <w:rPr>
          <w:rFonts w:ascii="Times New Roman" w:cs="Times New Roman"/>
          <w:kern w:val="2"/>
        </w:rPr>
        <w:t>%。</w:t>
      </w:r>
    </w:p>
    <w:p>
      <w:pPr>
        <w:topLinePunct w:val="0"/>
        <w:snapToGrid w:val="0"/>
        <w:ind w:firstLine="482" w:firstLineChars="0"/>
        <w:rPr>
          <w:rFonts w:ascii="Times New Roman" w:cs="Times New Roman"/>
          <w:kern w:val="2"/>
        </w:rPr>
      </w:pPr>
      <w:r>
        <w:rPr>
          <w:rFonts w:ascii="Times New Roman" w:cs="Times New Roman"/>
          <w:kern w:val="2"/>
        </w:rPr>
        <w:t>（4）以水稻、玉米、红苕、棉花、花生、小麦、马铃薯、豌豆为主的耕地植被拼块</w:t>
      </w:r>
    </w:p>
    <w:p>
      <w:pPr>
        <w:topLinePunct w:val="0"/>
        <w:snapToGrid w:val="0"/>
        <w:ind w:firstLine="482" w:firstLineChars="0"/>
        <w:rPr>
          <w:rFonts w:ascii="Times New Roman" w:cs="Times New Roman"/>
          <w:kern w:val="2"/>
        </w:rPr>
      </w:pPr>
      <w:r>
        <w:rPr>
          <w:rFonts w:ascii="Times New Roman" w:cs="Times New Roman"/>
          <w:kern w:val="2"/>
        </w:rPr>
        <w:t>属于人工引进的种植拼块。该拼块的生境、外貌及结构与水田均有明显区别，其生境一般比较干燥，地面具有一定坡度，作物种类比较多样化，并形成多种组合。该拼块面积为</w:t>
      </w:r>
      <w:r>
        <w:rPr>
          <w:rFonts w:ascii="Times New Roman" w:cs="Times New Roman"/>
        </w:rPr>
        <w:t>8.7</w:t>
      </w:r>
      <w:r>
        <w:rPr>
          <w:rFonts w:ascii="Times New Roman" w:cs="Times New Roman"/>
          <w:kern w:val="2"/>
        </w:rPr>
        <w:t>hm²，占评价区面积的</w:t>
      </w:r>
      <w:r>
        <w:rPr>
          <w:rFonts w:ascii="Times New Roman" w:cs="Times New Roman"/>
        </w:rPr>
        <w:t>24.18</w:t>
      </w:r>
      <w:r>
        <w:rPr>
          <w:rFonts w:ascii="Times New Roman" w:cs="Times New Roman"/>
          <w:kern w:val="2"/>
        </w:rPr>
        <w:t>%。</w:t>
      </w:r>
    </w:p>
    <w:p>
      <w:pPr>
        <w:topLinePunct w:val="0"/>
        <w:snapToGrid w:val="0"/>
        <w:ind w:firstLine="482" w:firstLineChars="0"/>
        <w:rPr>
          <w:rFonts w:ascii="Times New Roman" w:cs="Times New Roman"/>
          <w:kern w:val="2"/>
        </w:rPr>
      </w:pPr>
      <w:r>
        <w:rPr>
          <w:rFonts w:ascii="Times New Roman" w:cs="Times New Roman"/>
          <w:kern w:val="2"/>
        </w:rPr>
        <w:t>（5）以河流水面等为主的水面拼块</w:t>
      </w:r>
    </w:p>
    <w:p>
      <w:pPr>
        <w:topLinePunct w:val="0"/>
        <w:snapToGrid w:val="0"/>
        <w:ind w:firstLine="482" w:firstLineChars="0"/>
        <w:rPr>
          <w:rFonts w:ascii="Times New Roman" w:cs="Times New Roman"/>
          <w:kern w:val="2"/>
        </w:rPr>
      </w:pPr>
      <w:r>
        <w:rPr>
          <w:rFonts w:ascii="Times New Roman" w:cs="Times New Roman"/>
          <w:kern w:val="2"/>
        </w:rPr>
        <w:t>为自然或人工形成的水生生态系统，含河流水面、坑塘水面，属环境资源拼块。水面拼块总面积为1.5hm²，占评价区面积的</w:t>
      </w:r>
      <w:r>
        <w:rPr>
          <w:rFonts w:ascii="Times New Roman" w:cs="Times New Roman"/>
        </w:rPr>
        <w:t>3.98</w:t>
      </w:r>
      <w:r>
        <w:rPr>
          <w:rFonts w:ascii="Times New Roman" w:cs="Times New Roman"/>
          <w:kern w:val="2"/>
        </w:rPr>
        <w:t>%。</w:t>
      </w:r>
    </w:p>
    <w:p>
      <w:pPr>
        <w:topLinePunct w:val="0"/>
        <w:snapToGrid w:val="0"/>
        <w:ind w:firstLine="482" w:firstLineChars="0"/>
        <w:rPr>
          <w:rFonts w:ascii="Times New Roman" w:cs="Times New Roman"/>
          <w:kern w:val="2"/>
        </w:rPr>
      </w:pPr>
      <w:r>
        <w:rPr>
          <w:rFonts w:ascii="Times New Roman" w:cs="Times New Roman"/>
          <w:kern w:val="2"/>
        </w:rPr>
        <w:t>（6）建设用地为主的人工生态系统拼块</w:t>
      </w:r>
    </w:p>
    <w:p>
      <w:pPr>
        <w:topLinePunct w:val="0"/>
        <w:snapToGrid w:val="0"/>
        <w:ind w:firstLine="482" w:firstLineChars="0"/>
        <w:rPr>
          <w:rFonts w:ascii="Times New Roman" w:cs="Times New Roman"/>
          <w:kern w:val="2"/>
        </w:rPr>
      </w:pPr>
      <w:r>
        <w:rPr>
          <w:rFonts w:ascii="Times New Roman" w:cs="Times New Roman"/>
          <w:kern w:val="2"/>
        </w:rPr>
        <w:t>该拼块是人工建造引进的拼块，为人类的聚居地，是拼块中受人类干扰最明显的组分之一，表现在拼块外貌和结构上不再具有自然属性，更具社会性，该拼块在区内分布比较局限，在村寨所在地有成片分布。该拼块面积约为2.1hm²，占评价区总面积的5.83%。</w:t>
      </w:r>
    </w:p>
    <w:p>
      <w:pPr>
        <w:topLinePunct w:val="0"/>
        <w:snapToGrid w:val="0"/>
        <w:ind w:firstLine="482" w:firstLineChars="0"/>
        <w:rPr>
          <w:rFonts w:ascii="Times New Roman" w:cs="Times New Roman"/>
          <w:kern w:val="2"/>
        </w:rPr>
      </w:pPr>
      <w:r>
        <w:rPr>
          <w:rFonts w:ascii="Times New Roman" w:cs="Times New Roman"/>
          <w:kern w:val="2"/>
        </w:rPr>
        <w:t>以上拼块类型构成了本区景观生态体系，它们之间既相互联系又相互制约。</w:t>
      </w:r>
    </w:p>
    <w:p>
      <w:pPr>
        <w:topLinePunct w:val="0"/>
        <w:snapToGrid w:val="0"/>
        <w:ind w:firstLine="0" w:firstLineChars="0"/>
        <w:rPr>
          <w:rFonts w:ascii="Times New Roman" w:cs="Times New Roman"/>
          <w:kern w:val="2"/>
        </w:rPr>
      </w:pPr>
      <w:r>
        <w:rPr>
          <w:rFonts w:ascii="Times New Roman" w:cs="Times New Roman"/>
          <w:kern w:val="2"/>
        </w:rPr>
        <w:t>以马尾松、柏木、麻栎、青冈、栓皮栎、枫香、响叶杨及乔木经济树种的森林拼块，以槲栎、马桑、黄荆、火棘、荚蒾、盐肤木及灌木经济树种为主的灌丛拼块等陆地生态系统决定了以河流水面为主的水生生态系统状况，同时对以水稻、玉米、红苕、棉花、花生、小麦、马铃薯、豌豆为主的耕地植被的生产力水平有着重要影响。环境资源拼块自然生产能力和稳定性的维护是决定本区生态环境质量的主导性因素，该类型拼块的总面积为</w:t>
      </w:r>
      <w:r>
        <w:rPr>
          <w:rFonts w:hint="eastAsia" w:ascii="Times New Roman" w:cs="Times New Roman"/>
          <w:kern w:val="2"/>
        </w:rPr>
        <w:t>32.3</w:t>
      </w:r>
      <w:r>
        <w:rPr>
          <w:rFonts w:ascii="Times New Roman" w:cs="Times New Roman"/>
          <w:kern w:val="2"/>
        </w:rPr>
        <w:t>hm</w:t>
      </w:r>
      <w:r>
        <w:rPr>
          <w:rFonts w:ascii="Times New Roman" w:cs="Times New Roman"/>
          <w:kern w:val="2"/>
          <w:vertAlign w:val="superscript"/>
        </w:rPr>
        <w:t>2</w:t>
      </w:r>
      <w:r>
        <w:rPr>
          <w:rFonts w:ascii="Times New Roman" w:cs="Times New Roman"/>
          <w:kern w:val="2"/>
        </w:rPr>
        <w:t>，占所有拼块总面积的90.19%；人为活动影响产生的拼块总面积为</w:t>
      </w:r>
      <w:r>
        <w:rPr>
          <w:rFonts w:hint="eastAsia" w:ascii="Times New Roman" w:cs="Times New Roman"/>
          <w:kern w:val="2"/>
        </w:rPr>
        <w:t>3..5</w:t>
      </w:r>
      <w:r>
        <w:rPr>
          <w:rFonts w:ascii="Times New Roman" w:cs="Times New Roman"/>
          <w:kern w:val="2"/>
        </w:rPr>
        <w:t>hm</w:t>
      </w:r>
      <w:r>
        <w:rPr>
          <w:rFonts w:ascii="Times New Roman" w:cs="Times New Roman"/>
          <w:kern w:val="2"/>
          <w:vertAlign w:val="superscript"/>
        </w:rPr>
        <w:t>2</w:t>
      </w:r>
      <w:r>
        <w:rPr>
          <w:rFonts w:ascii="Times New Roman" w:cs="Times New Roman"/>
          <w:kern w:val="2"/>
        </w:rPr>
        <w:t>，占所有拼块总面积的9.81%。</w:t>
      </w:r>
    </w:p>
    <w:p>
      <w:pPr>
        <w:pStyle w:val="114"/>
        <w:ind w:firstLine="480"/>
        <w:rPr>
          <w:b/>
          <w:bCs/>
        </w:rPr>
      </w:pPr>
      <w:r>
        <w:rPr>
          <w:kern w:val="2"/>
          <w:szCs w:val="24"/>
        </w:rPr>
        <w:t>评价范围内以上各景观拼块相应特征见表5.2-14。</w:t>
      </w:r>
    </w:p>
    <w:p>
      <w:pPr>
        <w:topLinePunct w:val="0"/>
        <w:autoSpaceDE w:val="0"/>
        <w:autoSpaceDN w:val="0"/>
        <w:ind w:firstLine="0" w:firstLineChars="0"/>
        <w:jc w:val="center"/>
        <w:rPr>
          <w:rFonts w:ascii="Times New Roman" w:cs="Times New Roman"/>
          <w:b/>
          <w:sz w:val="21"/>
        </w:rPr>
      </w:pPr>
      <w:r>
        <w:rPr>
          <w:rFonts w:ascii="Times New Roman" w:cs="Times New Roman"/>
          <w:b/>
          <w:sz w:val="21"/>
        </w:rPr>
        <w:t>表5.2-14 评价区域拼块类型、数量及面积表</w:t>
      </w:r>
    </w:p>
    <w:tbl>
      <w:tblPr>
        <w:tblStyle w:val="59"/>
        <w:tblW w:w="485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3200"/>
        <w:gridCol w:w="2857"/>
        <w:gridCol w:w="249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15" w:hRule="atLeast"/>
          <w:jc w:val="center"/>
        </w:trPr>
        <w:tc>
          <w:tcPr>
            <w:tcW w:w="1871" w:type="pct"/>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拼块类型</w:t>
            </w:r>
          </w:p>
        </w:tc>
        <w:tc>
          <w:tcPr>
            <w:tcW w:w="1670" w:type="pct"/>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面积（hm</w:t>
            </w:r>
            <w:r>
              <w:rPr>
                <w:rFonts w:ascii="Times New Roman" w:cs="Times New Roman"/>
                <w:kern w:val="2"/>
                <w:sz w:val="21"/>
                <w:szCs w:val="21"/>
                <w:vertAlign w:val="superscript"/>
              </w:rPr>
              <w:t>2</w:t>
            </w:r>
            <w:r>
              <w:rPr>
                <w:rFonts w:ascii="Times New Roman" w:cs="Times New Roman"/>
                <w:kern w:val="2"/>
                <w:sz w:val="21"/>
                <w:szCs w:val="21"/>
              </w:rPr>
              <w:t>）</w:t>
            </w:r>
          </w:p>
        </w:tc>
        <w:tc>
          <w:tcPr>
            <w:tcW w:w="1459" w:type="pct"/>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百分比（%）</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15" w:hRule="atLeast"/>
          <w:jc w:val="center"/>
        </w:trPr>
        <w:tc>
          <w:tcPr>
            <w:tcW w:w="1871" w:type="pct"/>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森林拼块</w:t>
            </w:r>
          </w:p>
        </w:tc>
        <w:tc>
          <w:tcPr>
            <w:tcW w:w="2945" w:type="dxa"/>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22.5</w:t>
            </w:r>
          </w:p>
        </w:tc>
        <w:tc>
          <w:tcPr>
            <w:tcW w:w="1459" w:type="pct"/>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62.96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05" w:hRule="atLeast"/>
          <w:jc w:val="center"/>
        </w:trPr>
        <w:tc>
          <w:tcPr>
            <w:tcW w:w="1871" w:type="pct"/>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灌丛拼块</w:t>
            </w:r>
          </w:p>
        </w:tc>
        <w:tc>
          <w:tcPr>
            <w:tcW w:w="2945" w:type="dxa"/>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0.7</w:t>
            </w:r>
          </w:p>
        </w:tc>
        <w:tc>
          <w:tcPr>
            <w:tcW w:w="1459" w:type="pct"/>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1.97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85" w:hRule="atLeast"/>
          <w:jc w:val="center"/>
        </w:trPr>
        <w:tc>
          <w:tcPr>
            <w:tcW w:w="1871" w:type="pct"/>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灌草丛拼块</w:t>
            </w:r>
          </w:p>
        </w:tc>
        <w:tc>
          <w:tcPr>
            <w:tcW w:w="2945" w:type="dxa"/>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0.4</w:t>
            </w:r>
          </w:p>
        </w:tc>
        <w:tc>
          <w:tcPr>
            <w:tcW w:w="1459" w:type="pct"/>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1.08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30" w:hRule="atLeast"/>
          <w:jc w:val="center"/>
        </w:trPr>
        <w:tc>
          <w:tcPr>
            <w:tcW w:w="1871" w:type="pct"/>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耕地植被拼块</w:t>
            </w:r>
          </w:p>
        </w:tc>
        <w:tc>
          <w:tcPr>
            <w:tcW w:w="2945" w:type="dxa"/>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8.7</w:t>
            </w:r>
          </w:p>
        </w:tc>
        <w:tc>
          <w:tcPr>
            <w:tcW w:w="1459" w:type="pct"/>
            <w:vAlign w:val="center"/>
          </w:tcPr>
          <w:p>
            <w:pPr>
              <w:widowControl/>
              <w:topLinePunct w:val="0"/>
              <w:adjustRightInd/>
              <w:spacing w:line="240" w:lineRule="auto"/>
              <w:ind w:firstLine="0" w:firstLineChars="0"/>
              <w:jc w:val="center"/>
              <w:textAlignment w:val="center"/>
              <w:rPr>
                <w:rFonts w:ascii="Times New Roman" w:cs="Times New Roman"/>
                <w:snapToGrid w:val="0"/>
                <w:kern w:val="2"/>
                <w:sz w:val="21"/>
                <w:szCs w:val="21"/>
              </w:rPr>
            </w:pPr>
            <w:r>
              <w:rPr>
                <w:rFonts w:ascii="Times New Roman" w:cs="Times New Roman"/>
                <w:kern w:val="2"/>
                <w:sz w:val="21"/>
                <w:szCs w:val="21"/>
              </w:rPr>
              <w:t>24.18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30" w:hRule="atLeast"/>
          <w:jc w:val="center"/>
        </w:trPr>
        <w:tc>
          <w:tcPr>
            <w:tcW w:w="1871" w:type="pct"/>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河流水面拼块</w:t>
            </w:r>
          </w:p>
        </w:tc>
        <w:tc>
          <w:tcPr>
            <w:tcW w:w="2945" w:type="dxa"/>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1.4</w:t>
            </w:r>
          </w:p>
        </w:tc>
        <w:tc>
          <w:tcPr>
            <w:tcW w:w="1459" w:type="pct"/>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3.98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30" w:hRule="atLeast"/>
          <w:jc w:val="center"/>
        </w:trPr>
        <w:tc>
          <w:tcPr>
            <w:tcW w:w="1871" w:type="pct"/>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人工生态系统拼块</w:t>
            </w:r>
          </w:p>
        </w:tc>
        <w:tc>
          <w:tcPr>
            <w:tcW w:w="2945" w:type="dxa"/>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2.1</w:t>
            </w:r>
          </w:p>
        </w:tc>
        <w:tc>
          <w:tcPr>
            <w:tcW w:w="1459" w:type="pct"/>
            <w:vAlign w:val="bottom"/>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5.83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30" w:hRule="atLeast"/>
          <w:jc w:val="center"/>
        </w:trPr>
        <w:tc>
          <w:tcPr>
            <w:tcW w:w="1871" w:type="pct"/>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总计</w:t>
            </w:r>
          </w:p>
        </w:tc>
        <w:tc>
          <w:tcPr>
            <w:tcW w:w="1670" w:type="pct"/>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35.8</w:t>
            </w:r>
          </w:p>
        </w:tc>
        <w:tc>
          <w:tcPr>
            <w:tcW w:w="1459" w:type="pct"/>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100</w:t>
            </w:r>
          </w:p>
        </w:tc>
      </w:tr>
    </w:tbl>
    <w:p>
      <w:pPr>
        <w:topLinePunct w:val="0"/>
        <w:adjustRightInd/>
        <w:spacing w:line="480" w:lineRule="exact"/>
        <w:ind w:firstLine="482"/>
        <w:rPr>
          <w:rFonts w:ascii="Times New Roman" w:cs="Times New Roman"/>
          <w:b/>
          <w:bCs/>
          <w:kern w:val="2"/>
        </w:rPr>
      </w:pPr>
      <w:r>
        <w:rPr>
          <w:rFonts w:ascii="Times New Roman" w:cs="Times New Roman"/>
          <w:b/>
          <w:bCs/>
          <w:kern w:val="2"/>
        </w:rPr>
        <w:t>2、景观生态体系现状质量评价</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景观稳定性是景观的各种参数的长期变化呈水平状态，或是在水平线上下摆动的幅度和周期性具有统计特征（Format，1990），它的稳定性本质上是景观各组分，即气候、地貌、岩石、土壤、植被、水文等稳定性的综合体现，它们之间既有一定联系，又有一定区别。因此，在评价景观的稳定性时应考虑到景观组分间的相互联系与相互作用，在实际中评价景观的稳定性时，主要考虑的是植被组分的变化。</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评价区域环境是一个以自然环境为主、受人类活动干扰强烈的区域环境，其环境质量状况是由区内自然环境各个因子与人类社会之间的相互作用来决定的。根据景观生态学中景观生态结构与功能相匹配的原理，景观结构的合理性将决定区域净功能状况的优劣，即决定景观生态体系的质量状况。因此，采取区内景观生态体系空间结构合理程度的方法，来判断区内景观生态体系的稳定性。具体方法采用优势度计算法，各参数计算公式如下：</w:t>
      </w:r>
    </w:p>
    <w:p>
      <w:pPr>
        <w:topLinePunct w:val="0"/>
        <w:adjustRightInd/>
        <w:spacing w:line="500" w:lineRule="exact"/>
        <w:ind w:right="100" w:firstLine="0" w:firstLineChars="0"/>
        <w:rPr>
          <w:rFonts w:ascii="Times New Roman" w:cs="Times New Roman"/>
          <w:kern w:val="2"/>
        </w:rPr>
      </w:pPr>
      <w:r>
        <w:rPr>
          <w:rFonts w:ascii="Times New Roman" w:cs="Times New Roman"/>
          <w:kern w:val="2"/>
        </w:rPr>
        <w:t xml:space="preserve">    密度Rd=I拼块的数目/拼块的总数×100﹪；</w:t>
      </w:r>
    </w:p>
    <w:p>
      <w:pPr>
        <w:topLinePunct w:val="0"/>
        <w:adjustRightInd/>
        <w:spacing w:line="500" w:lineRule="exact"/>
        <w:ind w:right="100" w:firstLine="480"/>
        <w:rPr>
          <w:rFonts w:ascii="Times New Roman" w:cs="Times New Roman"/>
          <w:kern w:val="2"/>
        </w:rPr>
      </w:pPr>
      <w:r>
        <w:rPr>
          <w:rFonts w:ascii="Times New Roman" w:cs="Times New Roman"/>
          <w:kern w:val="2"/>
        </w:rPr>
        <w:t>频率Rf=拼块I出现的小样方数/小样方总数×100﹪；</w:t>
      </w:r>
    </w:p>
    <w:p>
      <w:pPr>
        <w:topLinePunct w:val="0"/>
        <w:adjustRightInd/>
        <w:spacing w:line="500" w:lineRule="exact"/>
        <w:ind w:right="100" w:firstLine="480"/>
        <w:rPr>
          <w:rFonts w:ascii="Times New Roman" w:cs="Times New Roman"/>
          <w:kern w:val="2"/>
        </w:rPr>
      </w:pPr>
      <w:r>
        <w:rPr>
          <w:rFonts w:ascii="Times New Roman" w:cs="Times New Roman"/>
          <w:kern w:val="2"/>
        </w:rPr>
        <w:t>景观比例Lp＝拼块I的面积/样地总面积×100﹪；</w:t>
      </w:r>
    </w:p>
    <w:p>
      <w:pPr>
        <w:topLinePunct w:val="0"/>
        <w:adjustRightInd/>
        <w:spacing w:line="500" w:lineRule="exact"/>
        <w:ind w:right="100" w:firstLine="480"/>
        <w:rPr>
          <w:rFonts w:ascii="Times New Roman" w:cs="Times New Roman"/>
          <w:kern w:val="2"/>
        </w:rPr>
      </w:pPr>
      <w:r>
        <w:rPr>
          <w:rFonts w:ascii="Times New Roman" w:cs="Times New Roman"/>
          <w:kern w:val="2"/>
        </w:rPr>
        <w:t>景观优势度Do＝12[（Rd+Rf）/2＋Lp]×100﹪。</w:t>
      </w:r>
    </w:p>
    <w:p>
      <w:pPr>
        <w:pStyle w:val="114"/>
        <w:ind w:firstLine="480"/>
        <w:rPr>
          <w:b/>
          <w:bCs/>
        </w:rPr>
      </w:pPr>
      <w:r>
        <w:rPr>
          <w:kern w:val="2"/>
          <w:szCs w:val="24"/>
        </w:rPr>
        <w:t>在景观频率的评判中，采取在微机上的土地利用图上取样的方法，共选取200个小样方。统计各类拼块出现的小样方数，得出各个拼块的频度，计算出主要拼块的优势度，结果见表5.2-15。</w:t>
      </w:r>
    </w:p>
    <w:p>
      <w:pPr>
        <w:topLinePunct w:val="0"/>
        <w:autoSpaceDE w:val="0"/>
        <w:autoSpaceDN w:val="0"/>
        <w:spacing w:before="156" w:beforeLines="50" w:line="240" w:lineRule="auto"/>
        <w:ind w:firstLine="0" w:firstLineChars="0"/>
        <w:jc w:val="center"/>
        <w:rPr>
          <w:rFonts w:ascii="Times New Roman" w:cs="Times New Roman"/>
          <w:b/>
          <w:sz w:val="21"/>
        </w:rPr>
      </w:pPr>
      <w:r>
        <w:rPr>
          <w:rFonts w:ascii="Times New Roman" w:cs="Times New Roman"/>
          <w:b/>
          <w:sz w:val="21"/>
        </w:rPr>
        <w:t>表5.2-15 评价范围各拼块优势度值</w:t>
      </w:r>
    </w:p>
    <w:tbl>
      <w:tblPr>
        <w:tblStyle w:val="59"/>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1734"/>
        <w:gridCol w:w="1623"/>
        <w:gridCol w:w="1703"/>
        <w:gridCol w:w="2073"/>
        <w:gridCol w:w="168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983" w:type="pct"/>
            <w:vAlign w:val="bottom"/>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拼块类型</w:t>
            </w:r>
          </w:p>
        </w:tc>
        <w:tc>
          <w:tcPr>
            <w:tcW w:w="920" w:type="pct"/>
            <w:vAlign w:val="bottom"/>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密度Rd（%）</w:t>
            </w:r>
          </w:p>
        </w:tc>
        <w:tc>
          <w:tcPr>
            <w:tcW w:w="965" w:type="pct"/>
            <w:vAlign w:val="bottom"/>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频率Rf（%）</w:t>
            </w:r>
          </w:p>
        </w:tc>
        <w:tc>
          <w:tcPr>
            <w:tcW w:w="1175" w:type="pct"/>
            <w:vAlign w:val="bottom"/>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景观比例Lp（%）</w:t>
            </w:r>
          </w:p>
        </w:tc>
        <w:tc>
          <w:tcPr>
            <w:tcW w:w="955" w:type="pct"/>
            <w:vAlign w:val="bottom"/>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优势度Do（%）</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983" w:type="pct"/>
            <w:vAlign w:val="bottom"/>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森林</w:t>
            </w:r>
          </w:p>
        </w:tc>
        <w:tc>
          <w:tcPr>
            <w:tcW w:w="1530" w:type="dxa"/>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51.95</w:t>
            </w:r>
          </w:p>
        </w:tc>
        <w:tc>
          <w:tcPr>
            <w:tcW w:w="1605" w:type="dxa"/>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74.38</w:t>
            </w:r>
          </w:p>
        </w:tc>
        <w:tc>
          <w:tcPr>
            <w:tcW w:w="1954" w:type="dxa"/>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67.04</w:t>
            </w:r>
          </w:p>
        </w:tc>
        <w:tc>
          <w:tcPr>
            <w:tcW w:w="1588" w:type="dxa"/>
            <w:vAlign w:val="bottom"/>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65.1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983" w:type="pct"/>
            <w:vAlign w:val="bottom"/>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灌丛</w:t>
            </w:r>
          </w:p>
        </w:tc>
        <w:tc>
          <w:tcPr>
            <w:tcW w:w="1530" w:type="dxa"/>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5.25</w:t>
            </w:r>
          </w:p>
        </w:tc>
        <w:tc>
          <w:tcPr>
            <w:tcW w:w="1605" w:type="dxa"/>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2.31</w:t>
            </w:r>
          </w:p>
        </w:tc>
        <w:tc>
          <w:tcPr>
            <w:tcW w:w="1954" w:type="dxa"/>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2.18</w:t>
            </w:r>
          </w:p>
        </w:tc>
        <w:tc>
          <w:tcPr>
            <w:tcW w:w="1588" w:type="dxa"/>
            <w:vAlign w:val="bottom"/>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2.98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983" w:type="pct"/>
            <w:vAlign w:val="bottom"/>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灌草丛</w:t>
            </w:r>
          </w:p>
        </w:tc>
        <w:tc>
          <w:tcPr>
            <w:tcW w:w="1530" w:type="dxa"/>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3.2</w:t>
            </w:r>
          </w:p>
        </w:tc>
        <w:tc>
          <w:tcPr>
            <w:tcW w:w="1605" w:type="dxa"/>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1.3</w:t>
            </w:r>
          </w:p>
        </w:tc>
        <w:tc>
          <w:tcPr>
            <w:tcW w:w="1954" w:type="dxa"/>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1.14</w:t>
            </w:r>
          </w:p>
        </w:tc>
        <w:tc>
          <w:tcPr>
            <w:tcW w:w="1588" w:type="dxa"/>
            <w:vAlign w:val="bottom"/>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983" w:type="pct"/>
            <w:vAlign w:val="bottom"/>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耕地</w:t>
            </w:r>
          </w:p>
        </w:tc>
        <w:tc>
          <w:tcPr>
            <w:tcW w:w="1530" w:type="dxa"/>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22.74</w:t>
            </w:r>
          </w:p>
        </w:tc>
        <w:tc>
          <w:tcPr>
            <w:tcW w:w="1605" w:type="dxa"/>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28.61</w:t>
            </w:r>
          </w:p>
        </w:tc>
        <w:tc>
          <w:tcPr>
            <w:tcW w:w="1954" w:type="dxa"/>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21.62</w:t>
            </w:r>
          </w:p>
        </w:tc>
        <w:tc>
          <w:tcPr>
            <w:tcW w:w="1588" w:type="dxa"/>
            <w:vAlign w:val="bottom"/>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23.65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983" w:type="pct"/>
            <w:vAlign w:val="bottom"/>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河流水面</w:t>
            </w:r>
          </w:p>
        </w:tc>
        <w:tc>
          <w:tcPr>
            <w:tcW w:w="1530" w:type="dxa"/>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5.28</w:t>
            </w:r>
          </w:p>
        </w:tc>
        <w:tc>
          <w:tcPr>
            <w:tcW w:w="1605" w:type="dxa"/>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6.68</w:t>
            </w:r>
          </w:p>
        </w:tc>
        <w:tc>
          <w:tcPr>
            <w:tcW w:w="1954" w:type="dxa"/>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5.02</w:t>
            </w:r>
          </w:p>
        </w:tc>
        <w:tc>
          <w:tcPr>
            <w:tcW w:w="1588" w:type="dxa"/>
            <w:vAlign w:val="bottom"/>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5.5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983" w:type="pct"/>
            <w:vAlign w:val="bottom"/>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人工生态系统</w:t>
            </w:r>
          </w:p>
        </w:tc>
        <w:tc>
          <w:tcPr>
            <w:tcW w:w="1530" w:type="dxa"/>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11.58</w:t>
            </w:r>
          </w:p>
        </w:tc>
        <w:tc>
          <w:tcPr>
            <w:tcW w:w="1605" w:type="dxa"/>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3.99</w:t>
            </w:r>
          </w:p>
        </w:tc>
        <w:tc>
          <w:tcPr>
            <w:tcW w:w="1954" w:type="dxa"/>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3</w:t>
            </w:r>
          </w:p>
        </w:tc>
        <w:tc>
          <w:tcPr>
            <w:tcW w:w="1588" w:type="dxa"/>
            <w:vAlign w:val="bottom"/>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5.39</w:t>
            </w:r>
          </w:p>
        </w:tc>
      </w:tr>
    </w:tbl>
    <w:p>
      <w:pPr>
        <w:pStyle w:val="4"/>
        <w:rPr>
          <w:rFonts w:eastAsia="宋体"/>
        </w:rPr>
      </w:pPr>
      <w:r>
        <w:rPr>
          <w:rFonts w:eastAsia="宋体"/>
        </w:rPr>
        <w:t>5.2.7</w:t>
      </w:r>
      <w:r>
        <w:rPr>
          <w:rFonts w:eastAsia="宋体"/>
          <w:bCs/>
        </w:rPr>
        <w:t>生态系统类型调查与评价</w:t>
      </w:r>
    </w:p>
    <w:p>
      <w:pPr>
        <w:topLinePunct w:val="0"/>
        <w:snapToGrid w:val="0"/>
        <w:ind w:firstLine="480"/>
        <w:rPr>
          <w:rFonts w:ascii="Times New Roman" w:cs="Times New Roman"/>
          <w:bCs/>
          <w:kern w:val="2"/>
        </w:rPr>
      </w:pPr>
      <w:r>
        <w:rPr>
          <w:rFonts w:ascii="Times New Roman" w:cs="Times New Roman"/>
          <w:bCs/>
          <w:kern w:val="2"/>
        </w:rPr>
        <w:t>根据地形地貌、土地利用类型以及植被类型的不同，将评价范围内生态系统划分为不同的类型。调查显示，评价范围内生态系统类型主要包括森林生态系统、灌丛生态系统、灌草丛生态系统、耕地生态系统、河流水面生态系统、人工生态系统。生态系统整体开发强度大，区域内森林多为人工林，少量为次生林。</w:t>
      </w:r>
    </w:p>
    <w:p>
      <w:pPr>
        <w:topLinePunct w:val="0"/>
        <w:snapToGrid w:val="0"/>
        <w:ind w:firstLine="480"/>
        <w:rPr>
          <w:rFonts w:ascii="Times New Roman" w:cs="Times New Roman"/>
          <w:bCs/>
          <w:kern w:val="2"/>
        </w:rPr>
      </w:pPr>
      <w:r>
        <w:rPr>
          <w:rFonts w:ascii="Times New Roman" w:cs="Times New Roman"/>
          <w:bCs/>
          <w:kern w:val="2"/>
        </w:rPr>
        <w:t>根据现场调查，评价范围内的森林生态系统占绝对优势，面积22.5hm</w:t>
      </w:r>
      <w:r>
        <w:rPr>
          <w:rFonts w:ascii="Times New Roman" w:cs="Times New Roman"/>
          <w:bCs/>
          <w:kern w:val="2"/>
          <w:vertAlign w:val="superscript"/>
        </w:rPr>
        <w:t>2</w:t>
      </w:r>
      <w:r>
        <w:rPr>
          <w:rFonts w:ascii="Times New Roman" w:cs="Times New Roman"/>
          <w:bCs/>
          <w:kern w:val="2"/>
        </w:rPr>
        <w:t>，占比62.96%。森林生态系统是以乔木为主的生物群落以及其非生物环境综合组成的陆地生态系统，生态系统中的植物以乔木为主，也有少量灌木和草本植物，还有不同种类的动物资源。森林生态系统生态服务功能高，在涵养水源、净化空气、保持水土、吸烟滞尘、改变区域水热状况等方面有着突出的作用。</w:t>
      </w:r>
    </w:p>
    <w:p>
      <w:pPr>
        <w:pStyle w:val="114"/>
        <w:ind w:firstLine="480"/>
      </w:pPr>
      <w:r>
        <w:rPr>
          <w:kern w:val="2"/>
          <w:szCs w:val="24"/>
        </w:rPr>
        <w:t>评价区生态系统类型分布特征及解译结果见下表。</w:t>
      </w:r>
    </w:p>
    <w:p>
      <w:pPr>
        <w:topLinePunct w:val="0"/>
        <w:autoSpaceDE w:val="0"/>
        <w:autoSpaceDN w:val="0"/>
        <w:spacing w:before="156" w:beforeLines="50" w:line="240" w:lineRule="auto"/>
        <w:ind w:firstLine="0" w:firstLineChars="0"/>
        <w:jc w:val="center"/>
        <w:rPr>
          <w:rFonts w:ascii="Times New Roman" w:cs="Times New Roman"/>
          <w:b/>
          <w:sz w:val="21"/>
        </w:rPr>
      </w:pPr>
      <w:r>
        <w:rPr>
          <w:rFonts w:ascii="Times New Roman" w:cs="Times New Roman"/>
          <w:b/>
          <w:sz w:val="21"/>
        </w:rPr>
        <w:t>表5.2-16 生态系统类型面积统计表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83"/>
        <w:gridCol w:w="2813"/>
        <w:gridCol w:w="27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34" w:type="pct"/>
            <w:vMerge w:val="restart"/>
            <w:shd w:val="clear" w:color="auto" w:fill="auto"/>
            <w:noWrap/>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生态系统类型</w:t>
            </w:r>
          </w:p>
        </w:tc>
        <w:tc>
          <w:tcPr>
            <w:tcW w:w="3066" w:type="pct"/>
            <w:gridSpan w:val="2"/>
            <w:shd w:val="clear" w:color="000000" w:fill="FFFFFF"/>
            <w:noWrap/>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评价区范围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34" w:type="pct"/>
            <w:vMerge w:val="continue"/>
            <w:shd w:val="clear" w:color="auto" w:fill="auto"/>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p>
        </w:tc>
        <w:tc>
          <w:tcPr>
            <w:tcW w:w="1562" w:type="pct"/>
            <w:shd w:val="clear" w:color="000000" w:fill="FFFFFF"/>
            <w:noWrap/>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面积（hm</w:t>
            </w:r>
            <w:r>
              <w:rPr>
                <w:rFonts w:ascii="Times New Roman" w:cs="Times New Roman"/>
                <w:kern w:val="2"/>
                <w:sz w:val="21"/>
                <w:szCs w:val="21"/>
                <w:vertAlign w:val="superscript"/>
              </w:rPr>
              <w:t>2</w:t>
            </w:r>
            <w:r>
              <w:rPr>
                <w:rFonts w:ascii="Times New Roman" w:cs="Times New Roman"/>
                <w:kern w:val="2"/>
                <w:sz w:val="21"/>
                <w:szCs w:val="21"/>
              </w:rPr>
              <w:t>）</w:t>
            </w:r>
          </w:p>
        </w:tc>
        <w:tc>
          <w:tcPr>
            <w:tcW w:w="1504" w:type="pct"/>
            <w:shd w:val="clear" w:color="000000" w:fill="FFFFFF"/>
            <w:noWrap/>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占比（%）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34" w:type="pct"/>
            <w:shd w:val="clear" w:color="auto" w:fill="auto"/>
            <w:noWrap/>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森林生态系统</w:t>
            </w:r>
          </w:p>
        </w:tc>
        <w:tc>
          <w:tcPr>
            <w:tcW w:w="2813" w:type="dxa"/>
            <w:shd w:val="clear" w:color="000000" w:fill="FFFFFF"/>
            <w:noWrap/>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22.5</w:t>
            </w:r>
          </w:p>
        </w:tc>
        <w:tc>
          <w:tcPr>
            <w:tcW w:w="1504" w:type="pct"/>
            <w:shd w:val="clear" w:color="000000" w:fill="FFFFFF"/>
            <w:noWrap/>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62.96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34" w:type="pct"/>
            <w:shd w:val="clear" w:color="auto" w:fill="auto"/>
            <w:noWrap/>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灌丛生态系统</w:t>
            </w:r>
          </w:p>
        </w:tc>
        <w:tc>
          <w:tcPr>
            <w:tcW w:w="2813" w:type="dxa"/>
            <w:shd w:val="clear" w:color="000000" w:fill="FFFFFF"/>
            <w:noWrap/>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0.7</w:t>
            </w:r>
          </w:p>
        </w:tc>
        <w:tc>
          <w:tcPr>
            <w:tcW w:w="1504" w:type="pct"/>
            <w:shd w:val="clear" w:color="000000" w:fill="FFFFFF"/>
            <w:noWrap/>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34" w:type="pct"/>
            <w:shd w:val="clear" w:color="auto" w:fill="auto"/>
            <w:noWrap/>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灌草丛生态系统</w:t>
            </w:r>
          </w:p>
        </w:tc>
        <w:tc>
          <w:tcPr>
            <w:tcW w:w="2813" w:type="dxa"/>
            <w:shd w:val="clear" w:color="000000" w:fill="FFFFFF"/>
            <w:noWrap/>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0.4</w:t>
            </w:r>
          </w:p>
        </w:tc>
        <w:tc>
          <w:tcPr>
            <w:tcW w:w="1504" w:type="pct"/>
            <w:shd w:val="clear" w:color="000000" w:fill="FFFFFF"/>
            <w:noWrap/>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34" w:type="pct"/>
            <w:shd w:val="clear" w:color="auto" w:fill="auto"/>
            <w:noWrap/>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耕地生态系统</w:t>
            </w:r>
          </w:p>
        </w:tc>
        <w:tc>
          <w:tcPr>
            <w:tcW w:w="2813" w:type="dxa"/>
            <w:shd w:val="clear" w:color="000000" w:fill="FFFFFF"/>
            <w:noWrap/>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8.7</w:t>
            </w:r>
          </w:p>
        </w:tc>
        <w:tc>
          <w:tcPr>
            <w:tcW w:w="1504" w:type="pct"/>
            <w:shd w:val="clear" w:color="000000" w:fill="FFFFFF"/>
            <w:noWrap/>
            <w:vAlign w:val="center"/>
          </w:tcPr>
          <w:p>
            <w:pPr>
              <w:widowControl/>
              <w:topLinePunct w:val="0"/>
              <w:adjustRightInd/>
              <w:spacing w:line="240" w:lineRule="auto"/>
              <w:ind w:firstLine="0" w:firstLineChars="0"/>
              <w:jc w:val="center"/>
              <w:textAlignment w:val="center"/>
              <w:rPr>
                <w:rFonts w:ascii="Times New Roman" w:cs="Times New Roman"/>
                <w:snapToGrid w:val="0"/>
                <w:kern w:val="2"/>
                <w:sz w:val="21"/>
                <w:szCs w:val="21"/>
              </w:rPr>
            </w:pPr>
            <w:r>
              <w:rPr>
                <w:rFonts w:ascii="Times New Roman" w:cs="Times New Roman"/>
                <w:kern w:val="2"/>
                <w:sz w:val="21"/>
                <w:szCs w:val="21"/>
              </w:rPr>
              <w:t>24.18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34" w:type="pct"/>
            <w:shd w:val="clear" w:color="auto" w:fill="auto"/>
            <w:noWrap/>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河流水面生态系统</w:t>
            </w:r>
          </w:p>
        </w:tc>
        <w:tc>
          <w:tcPr>
            <w:tcW w:w="2813" w:type="dxa"/>
            <w:shd w:val="clear" w:color="000000" w:fill="FFFFFF"/>
            <w:noWrap/>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1.4</w:t>
            </w:r>
          </w:p>
        </w:tc>
        <w:tc>
          <w:tcPr>
            <w:tcW w:w="1504" w:type="pct"/>
            <w:shd w:val="clear" w:color="000000" w:fill="FFFFFF"/>
            <w:noWrap/>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34" w:type="pct"/>
            <w:shd w:val="clear" w:color="auto" w:fill="auto"/>
            <w:noWrap/>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人工生态系统</w:t>
            </w:r>
          </w:p>
        </w:tc>
        <w:tc>
          <w:tcPr>
            <w:tcW w:w="2813" w:type="dxa"/>
            <w:shd w:val="clear" w:color="000000" w:fill="FFFFFF"/>
            <w:noWrap/>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2.1</w:t>
            </w:r>
          </w:p>
        </w:tc>
        <w:tc>
          <w:tcPr>
            <w:tcW w:w="1504" w:type="pct"/>
            <w:shd w:val="clear" w:color="000000" w:fill="FFFFFF"/>
            <w:noWrap/>
            <w:vAlign w:val="bottom"/>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5.83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34" w:type="pct"/>
            <w:shd w:val="clear" w:color="auto" w:fill="auto"/>
            <w:noWrap/>
            <w:vAlign w:val="center"/>
          </w:tcPr>
          <w:p>
            <w:pPr>
              <w:widowControl/>
              <w:topLinePunct w:val="0"/>
              <w:adjustRightInd/>
              <w:spacing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总计</w:t>
            </w:r>
          </w:p>
        </w:tc>
        <w:tc>
          <w:tcPr>
            <w:tcW w:w="1562" w:type="pct"/>
            <w:shd w:val="clear" w:color="000000" w:fill="FFFFFF"/>
            <w:noWrap/>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35.8</w:t>
            </w:r>
          </w:p>
        </w:tc>
        <w:tc>
          <w:tcPr>
            <w:tcW w:w="1504" w:type="pct"/>
            <w:shd w:val="clear" w:color="000000" w:fill="FFFFFF"/>
            <w:noWrap/>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100</w:t>
            </w:r>
          </w:p>
        </w:tc>
      </w:tr>
    </w:tbl>
    <w:p>
      <w:pPr>
        <w:pStyle w:val="4"/>
        <w:rPr>
          <w:rFonts w:eastAsia="宋体"/>
        </w:rPr>
      </w:pPr>
      <w:bookmarkStart w:id="411" w:name="_Toc12288590"/>
      <w:r>
        <w:rPr>
          <w:rFonts w:eastAsia="宋体"/>
        </w:rPr>
        <w:t>5.2.8</w:t>
      </w:r>
      <w:r>
        <w:rPr>
          <w:rFonts w:eastAsia="宋体"/>
          <w:bCs/>
        </w:rPr>
        <w:t>生态系统服务功能评价</w:t>
      </w:r>
      <w:bookmarkEnd w:id="411"/>
    </w:p>
    <w:p>
      <w:pPr>
        <w:topLinePunct w:val="0"/>
        <w:snapToGrid w:val="0"/>
        <w:ind w:firstLine="482" w:firstLineChars="0"/>
        <w:rPr>
          <w:rFonts w:ascii="Times New Roman" w:cs="Times New Roman"/>
          <w:kern w:val="2"/>
        </w:rPr>
      </w:pPr>
      <w:r>
        <w:rPr>
          <w:rFonts w:ascii="Times New Roman" w:cs="Times New Roman"/>
          <w:kern w:val="2"/>
        </w:rPr>
        <w:t>（1）生物多样性保护功能</w:t>
      </w:r>
    </w:p>
    <w:p>
      <w:pPr>
        <w:topLinePunct w:val="0"/>
        <w:snapToGrid w:val="0"/>
        <w:ind w:firstLine="482" w:firstLineChars="0"/>
        <w:rPr>
          <w:rFonts w:ascii="Times New Roman" w:cs="Times New Roman"/>
          <w:kern w:val="2"/>
        </w:rPr>
      </w:pPr>
      <w:r>
        <w:rPr>
          <w:rFonts w:ascii="Times New Roman" w:cs="Times New Roman"/>
          <w:kern w:val="2"/>
        </w:rPr>
        <w:t>森林、灌丛、灌草丛生态系统，为周边野生动物提供了一定的生存繁衍空间，对野生动物物种多样性保护发挥着重要作用。</w:t>
      </w:r>
    </w:p>
    <w:p>
      <w:pPr>
        <w:topLinePunct w:val="0"/>
        <w:snapToGrid w:val="0"/>
        <w:ind w:firstLine="482" w:firstLineChars="0"/>
        <w:rPr>
          <w:rFonts w:ascii="Times New Roman" w:cs="Times New Roman"/>
          <w:kern w:val="2"/>
        </w:rPr>
      </w:pPr>
      <w:r>
        <w:rPr>
          <w:rFonts w:ascii="Times New Roman" w:cs="Times New Roman"/>
          <w:kern w:val="2"/>
        </w:rPr>
        <w:t>（2）维持区域生态平衡功能</w:t>
      </w:r>
    </w:p>
    <w:p>
      <w:pPr>
        <w:topLinePunct w:val="0"/>
        <w:snapToGrid w:val="0"/>
        <w:ind w:firstLine="482" w:firstLineChars="0"/>
        <w:rPr>
          <w:rFonts w:ascii="Times New Roman" w:cs="Times New Roman"/>
          <w:kern w:val="2"/>
        </w:rPr>
      </w:pPr>
      <w:r>
        <w:rPr>
          <w:rFonts w:ascii="Times New Roman" w:cs="Times New Roman"/>
          <w:kern w:val="2"/>
        </w:rPr>
        <w:t>森林、灌丛、灌草丛生态系统在维持区域生态平衡中也具有良好的作用，有助于保持区域水平衡的稳定性。</w:t>
      </w:r>
    </w:p>
    <w:p>
      <w:pPr>
        <w:topLinePunct w:val="0"/>
        <w:snapToGrid w:val="0"/>
        <w:ind w:firstLine="482" w:firstLineChars="0"/>
        <w:rPr>
          <w:rFonts w:ascii="Times New Roman" w:cs="Times New Roman"/>
          <w:kern w:val="2"/>
        </w:rPr>
      </w:pPr>
      <w:r>
        <w:rPr>
          <w:rFonts w:ascii="Times New Roman" w:cs="Times New Roman"/>
          <w:kern w:val="2"/>
        </w:rPr>
        <w:t>（3）生态安全保障功能</w:t>
      </w:r>
    </w:p>
    <w:p>
      <w:pPr>
        <w:pStyle w:val="114"/>
        <w:ind w:firstLine="480"/>
      </w:pPr>
      <w:r>
        <w:rPr>
          <w:kern w:val="2"/>
          <w:szCs w:val="24"/>
        </w:rPr>
        <w:t>森林、灌丛、灌草丛生态系统是野生动物必要的栖息地，也是维护评价区生态安全的重要屏障。</w:t>
      </w:r>
    </w:p>
    <w:p>
      <w:pPr>
        <w:pStyle w:val="4"/>
        <w:rPr>
          <w:rFonts w:eastAsia="宋体"/>
        </w:rPr>
      </w:pPr>
      <w:r>
        <w:rPr>
          <w:rFonts w:eastAsia="宋体"/>
        </w:rPr>
        <w:t>5.2.9</w:t>
      </w:r>
      <w:r>
        <w:rPr>
          <w:rFonts w:eastAsia="宋体"/>
          <w:bCs/>
        </w:rPr>
        <w:t>陆生野生动物现状调查</w:t>
      </w:r>
    </w:p>
    <w:p>
      <w:pPr>
        <w:topLinePunct w:val="0"/>
        <w:snapToGrid w:val="0"/>
        <w:ind w:firstLine="482"/>
        <w:rPr>
          <w:rFonts w:ascii="Times New Roman" w:cs="Times New Roman"/>
          <w:b/>
          <w:bCs/>
          <w:kern w:val="2"/>
        </w:rPr>
      </w:pPr>
      <w:r>
        <w:rPr>
          <w:rFonts w:ascii="Times New Roman" w:cs="Times New Roman"/>
          <w:b/>
          <w:bCs/>
          <w:kern w:val="2"/>
        </w:rPr>
        <w:t>1、项目评价范围内陆生野生脊椎动物现状和特点</w:t>
      </w:r>
    </w:p>
    <w:p>
      <w:pPr>
        <w:topLinePunct w:val="0"/>
        <w:snapToGrid w:val="0"/>
        <w:ind w:firstLine="480"/>
        <w:rPr>
          <w:rFonts w:ascii="Times New Roman" w:cs="Times New Roman"/>
          <w:kern w:val="2"/>
        </w:rPr>
      </w:pPr>
      <w:r>
        <w:rPr>
          <w:rFonts w:ascii="Times New Roman" w:cs="Times New Roman"/>
          <w:kern w:val="2"/>
        </w:rPr>
        <w:t>动物调查采用资料检索法及访谈法</w:t>
      </w:r>
      <w:r>
        <w:rPr>
          <w:rFonts w:hint="eastAsia" w:ascii="Times New Roman" w:cs="Times New Roman"/>
          <w:kern w:val="2"/>
        </w:rPr>
        <w:t>，辅以样线法</w:t>
      </w:r>
      <w:r>
        <w:rPr>
          <w:rFonts w:ascii="Times New Roman" w:cs="Times New Roman"/>
          <w:kern w:val="2"/>
        </w:rPr>
        <w:t>。</w:t>
      </w:r>
      <w:r>
        <w:rPr>
          <w:rFonts w:hint="eastAsia" w:ascii="Times New Roman" w:cs="Times New Roman"/>
          <w:kern w:val="2"/>
        </w:rPr>
        <w:t>本项目野生动物调查设置调查样线3条，样线长为1-3km，单侧观察宽度为50m，样线分别设置在乔木林、灌草丛、耕地，涵盖不用的生境条件，尽量在评价区及周边区域分布。</w:t>
      </w:r>
      <w:r>
        <w:rPr>
          <w:rFonts w:ascii="Times New Roman" w:cs="Times New Roman"/>
          <w:kern w:val="2"/>
        </w:rPr>
        <w:t>由于项目评价范围现有土地开发利用程度较高，人类活动对当地野生动物影响较大，野生动物组成比较简单，种类较少，多为鸟类和小型啮齿类动物，鸟类繁殖期多在食物资源丰富的春夏季，啮齿类动物多无固定繁殖期，蛇类越冬期主要在11</w:t>
      </w:r>
      <w:r>
        <w:rPr>
          <w:rFonts w:hint="eastAsia" w:ascii="Times New Roman" w:cs="Times New Roman"/>
          <w:kern w:val="2"/>
          <w:lang w:val="en-US" w:eastAsia="zh-CN"/>
        </w:rPr>
        <w:t>月至</w:t>
      </w:r>
      <w:r>
        <w:rPr>
          <w:rFonts w:ascii="Times New Roman" w:cs="Times New Roman"/>
          <w:kern w:val="2"/>
        </w:rPr>
        <w:t>次年4月，本次评价以项目所在区域宣汉县陆生野生动物分布情况为准。</w:t>
      </w:r>
    </w:p>
    <w:p>
      <w:pPr>
        <w:topLinePunct w:val="0"/>
        <w:autoSpaceDE w:val="0"/>
        <w:autoSpaceDN w:val="0"/>
        <w:ind w:firstLine="0" w:firstLineChars="0"/>
        <w:jc w:val="center"/>
        <w:rPr>
          <w:rFonts w:ascii="Times New Roman" w:cs="Times New Roman"/>
          <w:b/>
          <w:sz w:val="21"/>
        </w:rPr>
      </w:pPr>
      <w:r>
        <w:rPr>
          <w:rFonts w:hint="eastAsia" w:ascii="Times New Roman" w:cs="Times New Roman"/>
          <w:b/>
          <w:sz w:val="21"/>
        </w:rPr>
        <w:t>表5.2-17 野生动物野外调查样线分布表</w:t>
      </w:r>
    </w:p>
    <w:tbl>
      <w:tblPr>
        <w:tblStyle w:val="60"/>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3"/>
        <w:gridCol w:w="3000"/>
        <w:gridCol w:w="3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2073" w:type="dxa"/>
            <w:tcBorders>
              <w:top w:val="single" w:color="auto" w:sz="12" w:space="0"/>
              <w:left w:val="nil"/>
            </w:tcBorders>
            <w:vAlign w:val="center"/>
          </w:tcPr>
          <w:p>
            <w:pPr>
              <w:widowControl/>
              <w:topLinePunct w:val="0"/>
              <w:adjustRightInd/>
              <w:spacing w:line="240" w:lineRule="auto"/>
              <w:ind w:firstLine="0" w:firstLineChars="0"/>
              <w:jc w:val="center"/>
              <w:textAlignment w:val="bottom"/>
              <w:rPr>
                <w:rFonts w:ascii="Times New Roman" w:eastAsia="Times New Roman" w:cs="Times New Roman"/>
                <w:sz w:val="21"/>
                <w:szCs w:val="21"/>
              </w:rPr>
            </w:pPr>
            <w:r>
              <w:rPr>
                <w:rFonts w:hint="eastAsia" w:ascii="Times New Roman" w:eastAsia="Times New Roman" w:cs="Times New Roman"/>
                <w:sz w:val="21"/>
                <w:szCs w:val="21"/>
              </w:rPr>
              <w:t>样带编号</w:t>
            </w:r>
          </w:p>
        </w:tc>
        <w:tc>
          <w:tcPr>
            <w:tcW w:w="3000" w:type="dxa"/>
            <w:tcBorders>
              <w:top w:val="single" w:color="auto" w:sz="12" w:space="0"/>
            </w:tcBorders>
            <w:vAlign w:val="center"/>
          </w:tcPr>
          <w:p>
            <w:pPr>
              <w:widowControl/>
              <w:topLinePunct w:val="0"/>
              <w:adjustRightInd/>
              <w:spacing w:line="240" w:lineRule="auto"/>
              <w:ind w:firstLine="0" w:firstLineChars="0"/>
              <w:jc w:val="center"/>
              <w:textAlignment w:val="bottom"/>
              <w:rPr>
                <w:rFonts w:ascii="Times New Roman" w:eastAsia="Times New Roman" w:cs="Times New Roman"/>
                <w:sz w:val="21"/>
                <w:szCs w:val="21"/>
              </w:rPr>
            </w:pPr>
            <w:r>
              <w:rPr>
                <w:rFonts w:hint="eastAsia" w:ascii="Times New Roman" w:eastAsia="Times New Roman" w:cs="Times New Roman"/>
                <w:sz w:val="21"/>
                <w:szCs w:val="21"/>
              </w:rPr>
              <w:t>设置区域概况</w:t>
            </w:r>
          </w:p>
        </w:tc>
        <w:tc>
          <w:tcPr>
            <w:tcW w:w="3661" w:type="dxa"/>
            <w:tcBorders>
              <w:top w:val="single" w:color="auto" w:sz="12" w:space="0"/>
              <w:right w:val="nil"/>
            </w:tcBorders>
            <w:vAlign w:val="center"/>
          </w:tcPr>
          <w:p>
            <w:pPr>
              <w:widowControl/>
              <w:topLinePunct w:val="0"/>
              <w:adjustRightInd/>
              <w:spacing w:line="240" w:lineRule="auto"/>
              <w:ind w:firstLine="0" w:firstLineChars="0"/>
              <w:jc w:val="center"/>
              <w:textAlignment w:val="bottom"/>
              <w:rPr>
                <w:rFonts w:ascii="Times New Roman" w:eastAsia="Times New Roman" w:cs="Times New Roman"/>
                <w:sz w:val="21"/>
                <w:szCs w:val="21"/>
              </w:rPr>
            </w:pPr>
            <w:r>
              <w:rPr>
                <w:rFonts w:hint="eastAsia" w:ascii="Times New Roman" w:eastAsia="Times New Roman" w:cs="Times New Roman"/>
                <w:sz w:val="21"/>
                <w:szCs w:val="21"/>
              </w:rPr>
              <w:t>主要野生动物类型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073" w:type="dxa"/>
            <w:tcBorders>
              <w:left w:val="nil"/>
            </w:tcBorders>
            <w:vAlign w:val="center"/>
          </w:tcPr>
          <w:p>
            <w:pPr>
              <w:widowControl/>
              <w:topLinePunct w:val="0"/>
              <w:adjustRightInd/>
              <w:spacing w:line="240" w:lineRule="auto"/>
              <w:ind w:firstLine="0" w:firstLineChars="0"/>
              <w:jc w:val="center"/>
              <w:textAlignment w:val="bottom"/>
              <w:rPr>
                <w:rFonts w:ascii="Times New Roman" w:eastAsia="Times New Roman" w:cs="Times New Roman"/>
                <w:sz w:val="21"/>
                <w:szCs w:val="21"/>
              </w:rPr>
            </w:pPr>
            <w:r>
              <w:rPr>
                <w:rFonts w:hint="eastAsia" w:ascii="Times New Roman" w:eastAsia="Times New Roman" w:cs="Times New Roman"/>
                <w:sz w:val="21"/>
                <w:szCs w:val="21"/>
              </w:rPr>
              <w:t>1</w:t>
            </w:r>
          </w:p>
        </w:tc>
        <w:tc>
          <w:tcPr>
            <w:tcW w:w="3000" w:type="dxa"/>
            <w:vAlign w:val="center"/>
          </w:tcPr>
          <w:p>
            <w:pPr>
              <w:widowControl/>
              <w:topLinePunct w:val="0"/>
              <w:adjustRightInd/>
              <w:spacing w:line="240" w:lineRule="auto"/>
              <w:ind w:firstLine="0" w:firstLineChars="0"/>
              <w:jc w:val="center"/>
              <w:textAlignment w:val="bottom"/>
              <w:rPr>
                <w:rFonts w:ascii="Times New Roman" w:eastAsia="Times New Roman" w:cs="Times New Roman"/>
                <w:sz w:val="21"/>
                <w:szCs w:val="21"/>
              </w:rPr>
            </w:pPr>
            <w:r>
              <w:rPr>
                <w:rFonts w:hint="eastAsia" w:ascii="Times New Roman" w:eastAsia="Times New Roman" w:cs="Times New Roman"/>
                <w:sz w:val="21"/>
                <w:szCs w:val="21"/>
              </w:rPr>
              <w:t>乔木林</w:t>
            </w:r>
          </w:p>
        </w:tc>
        <w:tc>
          <w:tcPr>
            <w:tcW w:w="3661" w:type="dxa"/>
            <w:tcBorders>
              <w:right w:val="nil"/>
            </w:tcBorders>
            <w:vAlign w:val="center"/>
          </w:tcPr>
          <w:p>
            <w:pPr>
              <w:widowControl/>
              <w:topLinePunct w:val="0"/>
              <w:adjustRightInd/>
              <w:spacing w:line="240" w:lineRule="auto"/>
              <w:ind w:firstLine="0" w:firstLineChars="0"/>
              <w:jc w:val="center"/>
              <w:textAlignment w:val="bottom"/>
              <w:rPr>
                <w:rFonts w:ascii="Times New Roman" w:eastAsia="Times New Roman" w:cs="Times New Roman"/>
                <w:sz w:val="21"/>
                <w:szCs w:val="21"/>
              </w:rPr>
            </w:pPr>
            <w:r>
              <w:rPr>
                <w:rFonts w:ascii="Times New Roman" w:eastAsia="Times New Roman" w:cs="Times New Roman"/>
                <w:sz w:val="21"/>
                <w:szCs w:val="21"/>
              </w:rPr>
              <w:t>鸟类、两栖类、爬行类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073" w:type="dxa"/>
            <w:tcBorders>
              <w:left w:val="nil"/>
            </w:tcBorders>
            <w:vAlign w:val="center"/>
          </w:tcPr>
          <w:p>
            <w:pPr>
              <w:widowControl/>
              <w:topLinePunct w:val="0"/>
              <w:adjustRightInd/>
              <w:spacing w:line="240" w:lineRule="auto"/>
              <w:ind w:firstLine="0" w:firstLineChars="0"/>
              <w:jc w:val="center"/>
              <w:textAlignment w:val="bottom"/>
              <w:rPr>
                <w:rFonts w:ascii="Times New Roman" w:eastAsia="Times New Roman" w:cs="Times New Roman"/>
                <w:sz w:val="21"/>
                <w:szCs w:val="21"/>
              </w:rPr>
            </w:pPr>
            <w:r>
              <w:rPr>
                <w:rFonts w:hint="eastAsia" w:ascii="Times New Roman" w:eastAsia="Times New Roman" w:cs="Times New Roman"/>
                <w:sz w:val="21"/>
                <w:szCs w:val="21"/>
              </w:rPr>
              <w:t>2</w:t>
            </w:r>
          </w:p>
        </w:tc>
        <w:tc>
          <w:tcPr>
            <w:tcW w:w="3000" w:type="dxa"/>
            <w:vAlign w:val="center"/>
          </w:tcPr>
          <w:p>
            <w:pPr>
              <w:widowControl/>
              <w:topLinePunct w:val="0"/>
              <w:adjustRightInd/>
              <w:spacing w:line="240" w:lineRule="auto"/>
              <w:ind w:firstLine="0" w:firstLineChars="0"/>
              <w:jc w:val="center"/>
              <w:textAlignment w:val="bottom"/>
              <w:rPr>
                <w:rFonts w:ascii="Times New Roman" w:eastAsia="Times New Roman" w:cs="Times New Roman"/>
                <w:sz w:val="21"/>
                <w:szCs w:val="21"/>
              </w:rPr>
            </w:pPr>
            <w:r>
              <w:rPr>
                <w:rFonts w:hint="eastAsia" w:ascii="Times New Roman" w:eastAsia="Times New Roman" w:cs="Times New Roman"/>
                <w:sz w:val="21"/>
                <w:szCs w:val="21"/>
              </w:rPr>
              <w:t>灌丛</w:t>
            </w:r>
          </w:p>
        </w:tc>
        <w:tc>
          <w:tcPr>
            <w:tcW w:w="3661" w:type="dxa"/>
            <w:tcBorders>
              <w:right w:val="nil"/>
            </w:tcBorders>
            <w:vAlign w:val="center"/>
          </w:tcPr>
          <w:p>
            <w:pPr>
              <w:widowControl/>
              <w:topLinePunct w:val="0"/>
              <w:adjustRightInd/>
              <w:spacing w:line="240" w:lineRule="auto"/>
              <w:ind w:firstLine="0" w:firstLineChars="0"/>
              <w:jc w:val="center"/>
              <w:textAlignment w:val="bottom"/>
              <w:rPr>
                <w:rFonts w:ascii="Times New Roman" w:eastAsia="Times New Roman" w:cs="Times New Roman"/>
                <w:sz w:val="21"/>
                <w:szCs w:val="21"/>
              </w:rPr>
            </w:pPr>
            <w:r>
              <w:rPr>
                <w:rFonts w:ascii="Times New Roman" w:eastAsia="Times New Roman" w:cs="Times New Roman"/>
                <w:sz w:val="21"/>
                <w:szCs w:val="21"/>
              </w:rPr>
              <w:t>鸟类、两栖类、爬行类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073" w:type="dxa"/>
            <w:tcBorders>
              <w:left w:val="nil"/>
              <w:bottom w:val="single" w:color="auto" w:sz="12" w:space="0"/>
            </w:tcBorders>
            <w:vAlign w:val="center"/>
          </w:tcPr>
          <w:p>
            <w:pPr>
              <w:widowControl/>
              <w:topLinePunct w:val="0"/>
              <w:adjustRightInd/>
              <w:spacing w:line="240" w:lineRule="auto"/>
              <w:ind w:firstLine="0" w:firstLineChars="0"/>
              <w:jc w:val="center"/>
              <w:textAlignment w:val="bottom"/>
              <w:rPr>
                <w:rFonts w:ascii="Times New Roman" w:eastAsia="Times New Roman" w:cs="Times New Roman"/>
                <w:sz w:val="21"/>
                <w:szCs w:val="21"/>
              </w:rPr>
            </w:pPr>
            <w:r>
              <w:rPr>
                <w:rFonts w:hint="eastAsia" w:ascii="Times New Roman" w:eastAsia="Times New Roman" w:cs="Times New Roman"/>
                <w:sz w:val="21"/>
                <w:szCs w:val="21"/>
              </w:rPr>
              <w:t>3</w:t>
            </w:r>
          </w:p>
        </w:tc>
        <w:tc>
          <w:tcPr>
            <w:tcW w:w="3000" w:type="dxa"/>
            <w:tcBorders>
              <w:bottom w:val="single" w:color="auto" w:sz="12" w:space="0"/>
            </w:tcBorders>
            <w:vAlign w:val="center"/>
          </w:tcPr>
          <w:p>
            <w:pPr>
              <w:widowControl/>
              <w:topLinePunct w:val="0"/>
              <w:adjustRightInd/>
              <w:spacing w:line="240" w:lineRule="auto"/>
              <w:ind w:firstLine="0" w:firstLineChars="0"/>
              <w:jc w:val="center"/>
              <w:textAlignment w:val="bottom"/>
              <w:rPr>
                <w:rFonts w:ascii="Times New Roman" w:eastAsia="Times New Roman" w:cs="Times New Roman"/>
                <w:sz w:val="21"/>
                <w:szCs w:val="21"/>
              </w:rPr>
            </w:pPr>
            <w:r>
              <w:rPr>
                <w:rFonts w:hint="eastAsia" w:ascii="Times New Roman" w:eastAsia="Times New Roman" w:cs="Times New Roman"/>
                <w:sz w:val="21"/>
                <w:szCs w:val="21"/>
              </w:rPr>
              <w:t>耕地</w:t>
            </w:r>
          </w:p>
        </w:tc>
        <w:tc>
          <w:tcPr>
            <w:tcW w:w="3661" w:type="dxa"/>
            <w:tcBorders>
              <w:bottom w:val="single" w:color="auto" w:sz="12" w:space="0"/>
              <w:right w:val="nil"/>
            </w:tcBorders>
            <w:vAlign w:val="center"/>
          </w:tcPr>
          <w:p>
            <w:pPr>
              <w:widowControl/>
              <w:topLinePunct w:val="0"/>
              <w:adjustRightInd/>
              <w:spacing w:line="240" w:lineRule="auto"/>
              <w:ind w:firstLine="0" w:firstLineChars="0"/>
              <w:jc w:val="center"/>
              <w:textAlignment w:val="bottom"/>
              <w:rPr>
                <w:rFonts w:ascii="Times New Roman" w:eastAsia="Times New Roman" w:cs="Times New Roman"/>
                <w:sz w:val="21"/>
                <w:szCs w:val="21"/>
              </w:rPr>
            </w:pPr>
            <w:r>
              <w:rPr>
                <w:rFonts w:ascii="Times New Roman" w:eastAsia="Times New Roman" w:cs="Times New Roman"/>
                <w:sz w:val="21"/>
                <w:szCs w:val="21"/>
              </w:rPr>
              <w:t>鸟类、两栖类、爬行类</w:t>
            </w:r>
          </w:p>
        </w:tc>
      </w:tr>
    </w:tbl>
    <w:p>
      <w:pPr>
        <w:topLinePunct w:val="0"/>
        <w:snapToGrid w:val="0"/>
        <w:ind w:firstLine="482"/>
        <w:rPr>
          <w:rFonts w:ascii="Times New Roman" w:cs="Times New Roman"/>
          <w:b/>
          <w:bCs/>
          <w:kern w:val="2"/>
        </w:rPr>
      </w:pPr>
      <w:r>
        <w:rPr>
          <w:rFonts w:ascii="Times New Roman" w:cs="Times New Roman"/>
          <w:b/>
          <w:bCs/>
          <w:kern w:val="2"/>
        </w:rPr>
        <w:t>2、物种组成</w:t>
      </w:r>
    </w:p>
    <w:p>
      <w:pPr>
        <w:topLinePunct w:val="0"/>
        <w:snapToGrid w:val="0"/>
        <w:ind w:firstLine="480"/>
        <w:rPr>
          <w:rFonts w:ascii="Times New Roman" w:cs="Times New Roman"/>
          <w:kern w:val="2"/>
        </w:rPr>
      </w:pPr>
      <w:r>
        <w:rPr>
          <w:rFonts w:ascii="Times New Roman" w:cs="Times New Roman"/>
          <w:kern w:val="2"/>
        </w:rPr>
        <w:t>根据现场调查、访问</w:t>
      </w:r>
      <w:r>
        <w:rPr>
          <w:rFonts w:hint="eastAsia" w:ascii="Times New Roman" w:cs="Times New Roman"/>
          <w:kern w:val="2"/>
        </w:rPr>
        <w:t>并结合相关资料</w:t>
      </w:r>
      <w:r>
        <w:rPr>
          <w:rFonts w:ascii="Times New Roman" w:cs="Times New Roman"/>
          <w:kern w:val="2"/>
        </w:rPr>
        <w:t>，评价区及周边不完全统计有野生脊椎动物19目35科65种，其中两栖类1目3科5种，爬行类1目2科6种，哺乳类6目9科15种，鸟类11目21科39种。</w:t>
      </w:r>
    </w:p>
    <w:p>
      <w:pPr>
        <w:topLinePunct w:val="0"/>
        <w:autoSpaceDE w:val="0"/>
        <w:autoSpaceDN w:val="0"/>
        <w:ind w:firstLine="0" w:firstLineChars="0"/>
        <w:jc w:val="center"/>
        <w:rPr>
          <w:rFonts w:ascii="Times New Roman" w:cs="Times New Roman"/>
          <w:b/>
          <w:sz w:val="21"/>
        </w:rPr>
      </w:pPr>
      <w:r>
        <w:rPr>
          <w:rFonts w:ascii="Times New Roman" w:cs="Times New Roman"/>
          <w:b/>
          <w:sz w:val="21"/>
        </w:rPr>
        <w:t>表5.2-18 评价区野生脊椎动物物种组成</w:t>
      </w:r>
    </w:p>
    <w:tbl>
      <w:tblPr>
        <w:tblStyle w:val="579"/>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393"/>
        <w:gridCol w:w="1207"/>
        <w:gridCol w:w="1207"/>
        <w:gridCol w:w="1376"/>
        <w:gridCol w:w="1435"/>
        <w:gridCol w:w="1302"/>
        <w:gridCol w:w="868"/>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30" w:hRule="atLeast"/>
          <w:jc w:val="center"/>
        </w:trPr>
        <w:tc>
          <w:tcPr>
            <w:tcW w:w="1316"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类别</w:t>
            </w:r>
          </w:p>
        </w:tc>
        <w:tc>
          <w:tcPr>
            <w:tcW w:w="114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目数</w:t>
            </w:r>
          </w:p>
        </w:tc>
        <w:tc>
          <w:tcPr>
            <w:tcW w:w="114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科数</w:t>
            </w:r>
          </w:p>
        </w:tc>
        <w:tc>
          <w:tcPr>
            <w:tcW w:w="130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物种数</w:t>
            </w:r>
          </w:p>
        </w:tc>
        <w:tc>
          <w:tcPr>
            <w:tcW w:w="1356"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国家Ⅰ级</w:t>
            </w:r>
          </w:p>
        </w:tc>
        <w:tc>
          <w:tcPr>
            <w:tcW w:w="123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国家Ⅱ级</w:t>
            </w:r>
          </w:p>
        </w:tc>
        <w:tc>
          <w:tcPr>
            <w:tcW w:w="820"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省级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6" w:hRule="atLeast"/>
          <w:jc w:val="center"/>
        </w:trPr>
        <w:tc>
          <w:tcPr>
            <w:tcW w:w="1316"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两栖类</w:t>
            </w:r>
          </w:p>
        </w:tc>
        <w:tc>
          <w:tcPr>
            <w:tcW w:w="114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1</w:t>
            </w:r>
          </w:p>
        </w:tc>
        <w:tc>
          <w:tcPr>
            <w:tcW w:w="114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3</w:t>
            </w:r>
          </w:p>
        </w:tc>
        <w:tc>
          <w:tcPr>
            <w:tcW w:w="130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5</w:t>
            </w:r>
          </w:p>
        </w:tc>
        <w:tc>
          <w:tcPr>
            <w:tcW w:w="1356"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w:t>
            </w:r>
          </w:p>
        </w:tc>
        <w:tc>
          <w:tcPr>
            <w:tcW w:w="123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w:t>
            </w:r>
          </w:p>
        </w:tc>
        <w:tc>
          <w:tcPr>
            <w:tcW w:w="820"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6" w:hRule="atLeast"/>
          <w:jc w:val="center"/>
        </w:trPr>
        <w:tc>
          <w:tcPr>
            <w:tcW w:w="1316"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爬行类</w:t>
            </w:r>
          </w:p>
        </w:tc>
        <w:tc>
          <w:tcPr>
            <w:tcW w:w="114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1</w:t>
            </w:r>
          </w:p>
        </w:tc>
        <w:tc>
          <w:tcPr>
            <w:tcW w:w="114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2</w:t>
            </w:r>
          </w:p>
        </w:tc>
        <w:tc>
          <w:tcPr>
            <w:tcW w:w="130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6</w:t>
            </w:r>
          </w:p>
        </w:tc>
        <w:tc>
          <w:tcPr>
            <w:tcW w:w="1356"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w:t>
            </w:r>
          </w:p>
        </w:tc>
        <w:tc>
          <w:tcPr>
            <w:tcW w:w="123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w:t>
            </w:r>
          </w:p>
        </w:tc>
        <w:tc>
          <w:tcPr>
            <w:tcW w:w="820"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6" w:hRule="atLeast"/>
          <w:jc w:val="center"/>
        </w:trPr>
        <w:tc>
          <w:tcPr>
            <w:tcW w:w="1316"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鸟类</w:t>
            </w:r>
          </w:p>
        </w:tc>
        <w:tc>
          <w:tcPr>
            <w:tcW w:w="114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11</w:t>
            </w:r>
          </w:p>
        </w:tc>
        <w:tc>
          <w:tcPr>
            <w:tcW w:w="114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21</w:t>
            </w:r>
          </w:p>
        </w:tc>
        <w:tc>
          <w:tcPr>
            <w:tcW w:w="130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39</w:t>
            </w:r>
          </w:p>
        </w:tc>
        <w:tc>
          <w:tcPr>
            <w:tcW w:w="1356"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w:t>
            </w:r>
          </w:p>
        </w:tc>
        <w:tc>
          <w:tcPr>
            <w:tcW w:w="123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w:t>
            </w:r>
          </w:p>
        </w:tc>
        <w:tc>
          <w:tcPr>
            <w:tcW w:w="820"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47" w:hRule="atLeast"/>
          <w:jc w:val="center"/>
        </w:trPr>
        <w:tc>
          <w:tcPr>
            <w:tcW w:w="1316"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兽类</w:t>
            </w:r>
          </w:p>
        </w:tc>
        <w:tc>
          <w:tcPr>
            <w:tcW w:w="114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6</w:t>
            </w:r>
          </w:p>
        </w:tc>
        <w:tc>
          <w:tcPr>
            <w:tcW w:w="114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9</w:t>
            </w:r>
          </w:p>
        </w:tc>
        <w:tc>
          <w:tcPr>
            <w:tcW w:w="130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15</w:t>
            </w:r>
          </w:p>
        </w:tc>
        <w:tc>
          <w:tcPr>
            <w:tcW w:w="1356"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w:t>
            </w:r>
          </w:p>
        </w:tc>
        <w:tc>
          <w:tcPr>
            <w:tcW w:w="123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w:t>
            </w:r>
          </w:p>
        </w:tc>
        <w:tc>
          <w:tcPr>
            <w:tcW w:w="820"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33" w:hRule="atLeast"/>
          <w:jc w:val="center"/>
        </w:trPr>
        <w:tc>
          <w:tcPr>
            <w:tcW w:w="1316"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合计</w:t>
            </w:r>
          </w:p>
        </w:tc>
        <w:tc>
          <w:tcPr>
            <w:tcW w:w="114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19</w:t>
            </w:r>
          </w:p>
        </w:tc>
        <w:tc>
          <w:tcPr>
            <w:tcW w:w="114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35</w:t>
            </w:r>
          </w:p>
        </w:tc>
        <w:tc>
          <w:tcPr>
            <w:tcW w:w="130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65</w:t>
            </w:r>
          </w:p>
        </w:tc>
        <w:tc>
          <w:tcPr>
            <w:tcW w:w="1356"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w:t>
            </w:r>
          </w:p>
        </w:tc>
        <w:tc>
          <w:tcPr>
            <w:tcW w:w="123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w:t>
            </w:r>
          </w:p>
        </w:tc>
        <w:tc>
          <w:tcPr>
            <w:tcW w:w="820"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w:t>
            </w:r>
          </w:p>
        </w:tc>
      </w:tr>
    </w:tbl>
    <w:p>
      <w:pPr>
        <w:topLinePunct w:val="0"/>
        <w:adjustRightInd/>
        <w:spacing w:line="480" w:lineRule="exact"/>
        <w:ind w:firstLine="482"/>
        <w:rPr>
          <w:rFonts w:ascii="Times New Roman" w:cs="Times New Roman"/>
          <w:b/>
          <w:bCs/>
          <w:kern w:val="2"/>
        </w:rPr>
      </w:pPr>
      <w:r>
        <w:rPr>
          <w:rFonts w:ascii="Times New Roman" w:cs="Times New Roman"/>
          <w:b/>
          <w:bCs/>
          <w:kern w:val="2"/>
        </w:rPr>
        <w:t>A、兽类的组成及分布</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根据野外调查和文献资料核实，评价区共有兽类6目9科12属15种，即食虫目2科2属2种、翼手目1科1属1种、食肉目1科1属1种、啮齿目5科7属10种、兔形目1科1属1种。从目一级水平看，啮齿目优势明显。由于人类活动影响，评价区的兽类主要以常见的小型兽类为主，基本难以寻觅大、中型兽类的痕迹，本次调查未发现保护兽类动物的踪迹。</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（1）区系分析</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区内有分布的15种兽类中，东洋界种类有5种，占该区域实际调查到有分布的兽类总种数的33.33%；古北界种类有3种，占20.00%，广布种有7种，占46.67%。</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（2）生态分布</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根据该区域的环境特征和兽类的生活特性，该区域兽类主要分为如下几种生态类型：</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溪流区兽类：指生活在评价区内溪流和沿岸的物种，主要包括：黄鼬、草兔、社鼠等。</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林区兽类：主要是指生活在森林环境的物种，森林环境在该区域主要分布于坡地中上部。为该区最广的生境类型，主要分布的兽类有社鼠等。</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灌草丛区兽类：该区域的生境类型主要包括灌丛、草丛和农耕地等，分布海拔相对较低，生活于其中的兽类主要包括：黄鼬、草兔、社鼠等，其中的优势种类为草兔、社鼠等。</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（3）保护物种</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评价区内未发现国家级重点保护动物，同时评价区的相关资料也未记载相关国家级重点保护动物。</w:t>
      </w:r>
    </w:p>
    <w:p>
      <w:pPr>
        <w:topLinePunct w:val="0"/>
        <w:adjustRightInd/>
        <w:spacing w:line="480" w:lineRule="exact"/>
        <w:ind w:firstLine="482"/>
        <w:rPr>
          <w:rFonts w:ascii="Times New Roman" w:cs="Times New Roman"/>
          <w:b/>
          <w:bCs/>
          <w:kern w:val="2"/>
        </w:rPr>
      </w:pPr>
      <w:r>
        <w:rPr>
          <w:rFonts w:ascii="Times New Roman" w:cs="Times New Roman"/>
          <w:b/>
          <w:bCs/>
          <w:kern w:val="2"/>
        </w:rPr>
        <w:t>B、鸟类的组成及分布</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根据文献查阅及现场调研，评价范围内共有鸟类39种，隶11目21科34属。其中，从类群构成看，雀形目鸟类17种，占评价区鸟类总种数的43.59%。</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（1）区系分析</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评价区内鸟类中属古北界的有11种，占评价区内鸟类总数的28.21%；属东洋界的有9种，占评价区内鸟类总数的23.08%；属广布种的有19种，占评价区内鸟类总数的48.72%。调查评价区内鸟类以广布种占优势。</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（2）居留类型</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评价区内有留鸟24种，占鸟类总数的61.54%；夏候鸟13种，约占33.33%；冬候鸟1种，各占2.56%。调查评价区内鸟类以留鸟为主。</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（3）生态分布</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根据评价区植被分布的特点，将评价区鸟类分布的生境划分为以下几种类型：</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森林区鸟类：森林环境在该区域较广泛。生活于该区的鸟类较多，主要为雉科、鸦科、雀科等。优势种类有雉鸡、山斑鸠、大杜鹃、树麻雀、噪鹃等。</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草灌丛、农区鸟类：该类生境在评价区内分布较狭窄。该区段生活的鸟类主要是鸡形目及雀形目的部分鸟类。其中的优势种类主要有家燕、毛脚燕、普通翠鸟等。</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（4）保护物种</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据调查和访问，评价区内有2种国家Ⅱ级重点保护鸟类，为雀鹰、画眉，偶见于评价区内的针叶林、阔叶林林。由于评价区人类活动较为频繁，适宜的栖息地相对比较少，因此主要为过境取食及活动，并无栖息地。</w:t>
      </w:r>
    </w:p>
    <w:p>
      <w:pPr>
        <w:topLinePunct w:val="0"/>
        <w:adjustRightInd/>
        <w:spacing w:line="480" w:lineRule="exact"/>
        <w:ind w:firstLine="482"/>
        <w:rPr>
          <w:rFonts w:ascii="Times New Roman" w:cs="Times New Roman"/>
          <w:b/>
          <w:bCs/>
          <w:kern w:val="2"/>
        </w:rPr>
      </w:pPr>
      <w:r>
        <w:rPr>
          <w:rFonts w:ascii="Times New Roman" w:cs="Times New Roman"/>
          <w:b/>
          <w:bCs/>
          <w:kern w:val="2"/>
        </w:rPr>
        <w:t>C、爬行动物的组成及分布</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根据野外调查和相关资料，确认评价区域内共分布有爬行动物6种，分属1目2科，分别为游蛇科5属5种，蝰蛇科1属1种。评价范围内生境较广泛，主要有翠青蛇、赤链蛇、乌梢蛇、王锦蛇等种类。从物种的目级组成看，评价区的爬行类均为有鳞目蛇亚目的种类。从科级组成看，评价区爬行类以游蛇科种类占优势。</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（1）区系分布</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评价范围分布的6种爬行动物东洋界物种有3种，古北种1种，广布种2种。</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（2）生态分布</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评价区的爬行动物大多栖息在灌草丛中。</w:t>
      </w:r>
    </w:p>
    <w:p>
      <w:pPr>
        <w:topLinePunct w:val="0"/>
        <w:adjustRightInd/>
        <w:ind w:firstLine="482" w:firstLineChars="0"/>
        <w:rPr>
          <w:rFonts w:ascii="Times New Roman" w:cs="Times New Roman"/>
          <w:kern w:val="2"/>
        </w:rPr>
      </w:pPr>
      <w:r>
        <w:rPr>
          <w:rFonts w:ascii="Times New Roman" w:cs="Times New Roman"/>
          <w:kern w:val="2"/>
        </w:rPr>
        <w:t>（3）保护物种</w:t>
      </w:r>
    </w:p>
    <w:p>
      <w:pPr>
        <w:topLinePunct w:val="0"/>
        <w:adjustRightInd/>
        <w:ind w:firstLine="482" w:firstLineChars="0"/>
        <w:rPr>
          <w:rFonts w:ascii="Times New Roman" w:cs="Times New Roman"/>
          <w:kern w:val="2"/>
        </w:rPr>
      </w:pPr>
      <w:r>
        <w:rPr>
          <w:rFonts w:ascii="Times New Roman" w:cs="Times New Roman"/>
          <w:kern w:val="2"/>
        </w:rPr>
        <w:t>调查中未发现属于国家级保护和四川省级保护的爬行类物种。</w:t>
      </w:r>
    </w:p>
    <w:p>
      <w:pPr>
        <w:topLinePunct w:val="0"/>
        <w:adjustRightInd/>
        <w:ind w:firstLine="482"/>
        <w:rPr>
          <w:rFonts w:ascii="Times New Roman" w:cs="Times New Roman"/>
          <w:b/>
          <w:bCs/>
          <w:kern w:val="2"/>
        </w:rPr>
      </w:pPr>
      <w:r>
        <w:rPr>
          <w:rFonts w:ascii="Times New Roman" w:cs="Times New Roman"/>
          <w:b/>
          <w:bCs/>
          <w:kern w:val="2"/>
        </w:rPr>
        <w:t>D、两栖动物的组成及分布</w:t>
      </w:r>
    </w:p>
    <w:p>
      <w:pPr>
        <w:topLinePunct w:val="0"/>
        <w:adjustRightInd/>
        <w:ind w:firstLine="482" w:firstLineChars="0"/>
        <w:rPr>
          <w:rFonts w:ascii="Times New Roman" w:cs="Times New Roman"/>
          <w:kern w:val="2"/>
        </w:rPr>
      </w:pPr>
      <w:r>
        <w:rPr>
          <w:rFonts w:ascii="Times New Roman" w:cs="Times New Roman"/>
          <w:kern w:val="2"/>
        </w:rPr>
        <w:t>据不完全统计，评价区域内分布有两栖动物5种，隶属于1目3科，分别为蟾蜍科1属2种，蛙科2属2种，叉舌蛙科1属1种。</w:t>
      </w:r>
    </w:p>
    <w:p>
      <w:pPr>
        <w:topLinePunct w:val="0"/>
        <w:adjustRightInd/>
        <w:ind w:firstLine="482" w:firstLineChars="0"/>
        <w:rPr>
          <w:rFonts w:ascii="Times New Roman" w:cs="Times New Roman"/>
          <w:kern w:val="2"/>
        </w:rPr>
      </w:pPr>
      <w:r>
        <w:rPr>
          <w:rFonts w:ascii="Times New Roman" w:cs="Times New Roman"/>
          <w:kern w:val="2"/>
        </w:rPr>
        <w:t>（1）区系分析</w:t>
      </w:r>
    </w:p>
    <w:p>
      <w:pPr>
        <w:topLinePunct w:val="0"/>
        <w:adjustRightInd/>
        <w:ind w:firstLine="482" w:firstLineChars="0"/>
        <w:rPr>
          <w:rFonts w:ascii="Times New Roman" w:cs="Times New Roman"/>
          <w:kern w:val="2"/>
        </w:rPr>
      </w:pPr>
      <w:r>
        <w:rPr>
          <w:rFonts w:ascii="Times New Roman" w:cs="Times New Roman"/>
          <w:kern w:val="2"/>
        </w:rPr>
        <w:t>评价区内的两栖类以东洋界为主，仅有1个古北种和1个广布种。</w:t>
      </w:r>
    </w:p>
    <w:p>
      <w:pPr>
        <w:topLinePunct w:val="0"/>
        <w:adjustRightInd/>
        <w:ind w:firstLine="482" w:firstLineChars="0"/>
        <w:rPr>
          <w:rFonts w:ascii="Times New Roman" w:cs="Times New Roman"/>
          <w:kern w:val="2"/>
        </w:rPr>
      </w:pPr>
      <w:r>
        <w:rPr>
          <w:rFonts w:ascii="Times New Roman" w:cs="Times New Roman"/>
          <w:kern w:val="2"/>
        </w:rPr>
        <w:t>（2）生态分布</w:t>
      </w:r>
    </w:p>
    <w:p>
      <w:pPr>
        <w:topLinePunct w:val="0"/>
        <w:snapToGrid w:val="0"/>
        <w:ind w:firstLine="482" w:firstLineChars="0"/>
        <w:rPr>
          <w:rFonts w:ascii="Times New Roman" w:cs="Times New Roman"/>
          <w:kern w:val="2"/>
        </w:rPr>
      </w:pPr>
      <w:r>
        <w:rPr>
          <w:rFonts w:hint="eastAsia" w:ascii="Times New Roman" w:cs="Times New Roman"/>
          <w:kern w:val="2"/>
        </w:rPr>
        <w:t>蟾蜍、</w:t>
      </w:r>
      <w:r>
        <w:rPr>
          <w:rFonts w:ascii="Times New Roman" w:cs="Times New Roman"/>
          <w:kern w:val="2"/>
        </w:rPr>
        <w:t>黑眶蟾蜍等生活在河沟两侧或其附近环境植被较为茂密、阴湿的灌草丛区域；花臭蛙主要生活在大小溪两岸潮湿的岩石上；泽陆蛙主要在水域地区。</w:t>
      </w:r>
    </w:p>
    <w:p>
      <w:pPr>
        <w:topLinePunct w:val="0"/>
        <w:snapToGrid w:val="0"/>
        <w:ind w:firstLine="482" w:firstLineChars="0"/>
        <w:rPr>
          <w:rFonts w:ascii="Times New Roman" w:cs="Times New Roman"/>
          <w:kern w:val="2"/>
        </w:rPr>
      </w:pPr>
      <w:r>
        <w:rPr>
          <w:rFonts w:ascii="Times New Roman" w:cs="Times New Roman"/>
          <w:kern w:val="2"/>
        </w:rPr>
        <w:t>（3）保护物种</w:t>
      </w:r>
    </w:p>
    <w:p>
      <w:pPr>
        <w:topLinePunct w:val="0"/>
        <w:snapToGrid w:val="0"/>
        <w:ind w:firstLine="480"/>
        <w:rPr>
          <w:rFonts w:ascii="Times New Roman" w:cs="Times New Roman"/>
          <w:kern w:val="2"/>
        </w:rPr>
      </w:pPr>
      <w:r>
        <w:rPr>
          <w:rFonts w:ascii="Times New Roman" w:cs="Times New Roman"/>
          <w:kern w:val="2"/>
        </w:rPr>
        <w:t>调查中未发现属于国家级保护和省级保护的两栖类物种。</w:t>
      </w:r>
    </w:p>
    <w:p>
      <w:pPr>
        <w:pStyle w:val="4"/>
        <w:rPr>
          <w:rFonts w:eastAsia="宋体"/>
        </w:rPr>
      </w:pPr>
      <w:r>
        <w:rPr>
          <w:rFonts w:eastAsia="宋体"/>
        </w:rPr>
        <w:t>5.2.10</w:t>
      </w:r>
      <w:r>
        <w:rPr>
          <w:rFonts w:eastAsia="宋体"/>
          <w:bCs/>
        </w:rPr>
        <w:t>重要物种、迁徙物种、重要生境调查</w:t>
      </w:r>
    </w:p>
    <w:p>
      <w:pPr>
        <w:ind w:firstLine="482"/>
        <w:rPr>
          <w:rFonts w:ascii="Times New Roman" w:cs="Times New Roman"/>
          <w:b/>
          <w:bCs/>
          <w:kern w:val="2"/>
        </w:rPr>
      </w:pPr>
      <w:r>
        <w:rPr>
          <w:rFonts w:ascii="Times New Roman" w:cs="Times New Roman"/>
          <w:b/>
          <w:bCs/>
          <w:kern w:val="2"/>
        </w:rPr>
        <w:t>1、项目评价范围内重点保护野生植物和古树名木</w:t>
      </w:r>
    </w:p>
    <w:p>
      <w:pPr>
        <w:topLinePunct w:val="0"/>
        <w:adjustRightInd/>
        <w:ind w:firstLine="482" w:firstLineChars="0"/>
        <w:rPr>
          <w:rFonts w:ascii="Times New Roman" w:cs="Times New Roman"/>
          <w:spacing w:val="-6"/>
          <w:kern w:val="2"/>
        </w:rPr>
      </w:pPr>
      <w:r>
        <w:rPr>
          <w:rFonts w:ascii="Times New Roman" w:cs="Times New Roman"/>
          <w:spacing w:val="-6"/>
          <w:kern w:val="2"/>
        </w:rPr>
        <w:t>根据现场调查及相关文献资料查阅，本次评价范围内的林地主要为人工林，区域植物种类主要为杉木、柏木、马尾松、竹类及其他常见灌草植物和经济林木等。</w:t>
      </w:r>
      <w:r>
        <w:rPr>
          <w:rFonts w:ascii="Times New Roman" w:cs="Times New Roman"/>
          <w:kern w:val="2"/>
        </w:rPr>
        <w:t>按照现行的《中华人民共和国野生植物保护条例（1999）</w:t>
      </w:r>
      <w:r>
        <w:rPr>
          <w:rFonts w:hint="eastAsia" w:ascii="Times New Roman" w:cs="Times New Roman"/>
          <w:kern w:val="2"/>
          <w:lang w:eastAsia="zh-CN"/>
        </w:rPr>
        <w:t>》《</w:t>
      </w:r>
      <w:r>
        <w:rPr>
          <w:rFonts w:ascii="Times New Roman" w:cs="Times New Roman"/>
          <w:spacing w:val="-6"/>
          <w:kern w:val="2"/>
        </w:rPr>
        <w:t>国家重点保护野生植物名录》(国家林业和草原局农业农村部公告</w:t>
      </w:r>
      <w:r>
        <w:rPr>
          <w:rFonts w:ascii="Times New Roman" w:eastAsia="Times New Roman" w:cs="Times New Roman"/>
          <w:spacing w:val="-6"/>
          <w:kern w:val="2"/>
        </w:rPr>
        <w:t>2021</w:t>
      </w:r>
      <w:r>
        <w:rPr>
          <w:rFonts w:ascii="Times New Roman" w:cs="Times New Roman"/>
          <w:spacing w:val="-9"/>
          <w:kern w:val="2"/>
        </w:rPr>
        <w:t>年</w:t>
      </w:r>
      <w:r>
        <w:rPr>
          <w:rFonts w:ascii="Times New Roman" w:cs="Times New Roman"/>
          <w:spacing w:val="-5"/>
          <w:kern w:val="2"/>
        </w:rPr>
        <w:t>第</w:t>
      </w:r>
      <w:r>
        <w:rPr>
          <w:rFonts w:ascii="Times New Roman" w:eastAsia="Times New Roman" w:cs="Times New Roman"/>
          <w:spacing w:val="-5"/>
          <w:kern w:val="2"/>
        </w:rPr>
        <w:t>15</w:t>
      </w:r>
      <w:r>
        <w:rPr>
          <w:rFonts w:ascii="Times New Roman" w:cs="Times New Roman"/>
          <w:spacing w:val="-5"/>
          <w:kern w:val="2"/>
        </w:rPr>
        <w:t>号)</w:t>
      </w:r>
      <w:r>
        <w:rPr>
          <w:rFonts w:ascii="Times New Roman" w:cs="Times New Roman"/>
          <w:kern w:val="2"/>
        </w:rPr>
        <w:t>、《全国古树名木普查建档技术规定（2001）》以及相关科考资料，评价区无重点保护野生植物和古树名木等重要物种分布。</w:t>
      </w:r>
      <w:r>
        <w:rPr>
          <w:rFonts w:ascii="Times New Roman" w:cs="Times New Roman"/>
          <w:spacing w:val="-6"/>
          <w:kern w:val="2"/>
        </w:rPr>
        <w:t>后续应加强评价范围内保护植物的跟踪调查，对及时发现的重点保护植物采取就地保护措施，对发现的名木古树采取挂牌保护。</w:t>
      </w:r>
    </w:p>
    <w:p>
      <w:pPr>
        <w:topLinePunct w:val="0"/>
        <w:adjustRightInd/>
        <w:ind w:firstLine="482"/>
        <w:rPr>
          <w:rFonts w:ascii="Times New Roman" w:cs="Times New Roman"/>
          <w:b/>
          <w:bCs/>
          <w:kern w:val="2"/>
        </w:rPr>
      </w:pPr>
      <w:r>
        <w:rPr>
          <w:rFonts w:ascii="Times New Roman" w:cs="Times New Roman"/>
          <w:b/>
          <w:bCs/>
          <w:kern w:val="2"/>
        </w:rPr>
        <w:t>2、项目评价范围内重点保护野生动物</w:t>
      </w:r>
    </w:p>
    <w:p>
      <w:pPr>
        <w:topLinePunct w:val="0"/>
        <w:snapToGrid w:val="0"/>
        <w:ind w:firstLine="482" w:firstLineChars="0"/>
        <w:rPr>
          <w:rFonts w:ascii="Times New Roman" w:cs="Times New Roman"/>
          <w:kern w:val="2"/>
        </w:rPr>
      </w:pPr>
      <w:r>
        <w:rPr>
          <w:rFonts w:ascii="Times New Roman" w:cs="Times New Roman"/>
          <w:kern w:val="2"/>
        </w:rPr>
        <w:t>根据实际调查及现场复核，参照现行《中华人民共和国野生动物保护法（2004）</w:t>
      </w:r>
      <w:r>
        <w:rPr>
          <w:rFonts w:hint="eastAsia" w:ascii="Times New Roman" w:cs="Times New Roman"/>
          <w:kern w:val="2"/>
          <w:lang w:eastAsia="zh-CN"/>
        </w:rPr>
        <w:t>》《</w:t>
      </w:r>
      <w:r>
        <w:rPr>
          <w:rFonts w:ascii="Times New Roman" w:cs="Times New Roman"/>
          <w:kern w:val="2"/>
        </w:rPr>
        <w:t>国家重点保护野生动物名录》及相关科考资料，在项目评价范围，无迁徙物种和重要生境分布。</w:t>
      </w:r>
    </w:p>
    <w:p>
      <w:pPr>
        <w:pStyle w:val="4"/>
        <w:rPr>
          <w:rFonts w:eastAsia="宋体"/>
        </w:rPr>
      </w:pPr>
      <w:r>
        <w:rPr>
          <w:rFonts w:eastAsia="宋体"/>
        </w:rPr>
        <w:t>5.2.11</w:t>
      </w:r>
      <w:r>
        <w:rPr>
          <w:rFonts w:eastAsia="宋体"/>
          <w:bCs/>
        </w:rPr>
        <w:t>物种多样性分析</w:t>
      </w:r>
    </w:p>
    <w:p>
      <w:pPr>
        <w:topLinePunct w:val="0"/>
        <w:snapToGrid w:val="0"/>
        <w:ind w:firstLine="480"/>
        <w:rPr>
          <w:rFonts w:ascii="Times New Roman" w:cs="Times New Roman"/>
          <w:kern w:val="2"/>
        </w:rPr>
      </w:pPr>
      <w:r>
        <w:rPr>
          <w:rFonts w:ascii="Times New Roman" w:cs="Times New Roman"/>
        </w:rPr>
        <w:t>项目用地范围植被类型主要有马尾松、柏木等针叶林植被和麻栎、青冈、栓皮栎、枫香、响叶杨等阔叶林植被以及槲栎、马桑、黄荆、火棘、荚蒾、盐肤木、白茅、五节芒、芒、芒萁、野古草、斑茅、蕨等为主的灌草丛植被，群落结构和组成相对复杂，且均为当地常见类型，分布较广。人类活动对当地野生动物影响较大，野生动物组成比较简单，种类较少，多为鸟类和小型啮齿类动物，物种多样性较简单。</w:t>
      </w:r>
    </w:p>
    <w:p>
      <w:pPr>
        <w:pStyle w:val="3"/>
        <w:spacing w:before="120"/>
        <w:rPr>
          <w:rFonts w:cs="Times New Roman"/>
        </w:rPr>
      </w:pPr>
      <w:bookmarkStart w:id="412" w:name="_Toc7419"/>
      <w:r>
        <w:rPr>
          <w:rFonts w:cs="Times New Roman"/>
        </w:rPr>
        <w:t>5.3 环境空气质量现状与评价</w:t>
      </w:r>
      <w:bookmarkEnd w:id="404"/>
      <w:bookmarkEnd w:id="405"/>
      <w:bookmarkEnd w:id="412"/>
    </w:p>
    <w:p>
      <w:pPr>
        <w:pStyle w:val="114"/>
        <w:ind w:firstLine="480"/>
      </w:pPr>
      <w:r>
        <w:t>根据项目工程特点和各工艺站场的具体情况，以项目涉及区域作为本项目大气环境质量现状调查、评价的对象。本评价对本项目站场所在地进行大气环境质量现状监测数据以及《</w:t>
      </w:r>
      <w:r>
        <w:rPr>
          <w:shd w:val="clear" w:color="auto" w:fill="FFFFFF"/>
        </w:rPr>
        <w:t>达州市2022年环境空气质量状况</w:t>
      </w:r>
      <w:r>
        <w:t>》环境空气质量公报数据。</w:t>
      </w:r>
    </w:p>
    <w:p>
      <w:pPr>
        <w:pStyle w:val="6"/>
        <w:ind w:firstLine="482"/>
        <w:rPr>
          <w:rFonts w:ascii="Times New Roman" w:cs="Times New Roman"/>
          <w:b/>
          <w:bCs/>
        </w:rPr>
      </w:pPr>
      <w:r>
        <w:rPr>
          <w:rFonts w:ascii="Times New Roman" w:cs="Times New Roman"/>
          <w:b/>
          <w:bCs/>
        </w:rPr>
        <w:t>1、达标判断</w:t>
      </w:r>
    </w:p>
    <w:p>
      <w:pPr>
        <w:pStyle w:val="114"/>
        <w:ind w:firstLine="480"/>
      </w:pPr>
      <w:r>
        <w:t>本项目位于达州市宣汉县，项目所在区环境空气功能分区为二类区。根据《环境影响评价技术导则 总纲》（HJ2.1-2016）与《环境影响评价技术导则 大气环境》（HJ2.2-2018）的要求，评价采用达州市</w:t>
      </w:r>
      <w:r>
        <w:rPr>
          <w:rFonts w:hint="eastAsia"/>
          <w:lang w:val="en-US" w:eastAsia="zh-CN"/>
        </w:rPr>
        <w:t>生态环境局</w:t>
      </w:r>
      <w:r>
        <w:t>发布（http://sthjj.dazhou.gov.cn/news-list-hjzl.html）的《达州市2022年环境空气质量状况》中的数据进行评价：</w:t>
      </w:r>
    </w:p>
    <w:p>
      <w:pPr>
        <w:pStyle w:val="114"/>
        <w:ind w:firstLine="480"/>
        <w:rPr>
          <w:shd w:val="clear" w:color="auto" w:fill="FFFFFF"/>
        </w:rPr>
      </w:pPr>
      <w:r>
        <w:rPr>
          <w:shd w:val="clear" w:color="auto" w:fill="FFFFFF"/>
        </w:rPr>
        <w:t>表5.3-1  2022年达州市宣汉县空气主要污染物评价 单位：μg/m³</w:t>
      </w:r>
    </w:p>
    <w:tbl>
      <w:tblPr>
        <w:tblStyle w:val="59"/>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3246"/>
        <w:gridCol w:w="1187"/>
        <w:gridCol w:w="1143"/>
        <w:gridCol w:w="1126"/>
        <w:gridCol w:w="1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tcBorders>
              <w:left w:val="nil"/>
            </w:tcBorders>
            <w:vAlign w:val="center"/>
          </w:tcPr>
          <w:p>
            <w:pPr>
              <w:pStyle w:val="134"/>
            </w:pPr>
            <w:r>
              <w:t>污染物</w:t>
            </w:r>
          </w:p>
        </w:tc>
        <w:tc>
          <w:tcPr>
            <w:tcW w:w="1857" w:type="pct"/>
            <w:vAlign w:val="center"/>
          </w:tcPr>
          <w:p>
            <w:pPr>
              <w:pStyle w:val="134"/>
            </w:pPr>
            <w:r>
              <w:t>年评价指标</w:t>
            </w:r>
          </w:p>
        </w:tc>
        <w:tc>
          <w:tcPr>
            <w:tcW w:w="679" w:type="pct"/>
            <w:vAlign w:val="center"/>
          </w:tcPr>
          <w:p>
            <w:pPr>
              <w:pStyle w:val="134"/>
            </w:pPr>
            <w:r>
              <w:t>评价标准</w:t>
            </w:r>
          </w:p>
        </w:tc>
        <w:tc>
          <w:tcPr>
            <w:tcW w:w="654" w:type="pct"/>
            <w:vAlign w:val="center"/>
          </w:tcPr>
          <w:p>
            <w:pPr>
              <w:pStyle w:val="134"/>
            </w:pPr>
            <w:r>
              <w:t>现状浓度</w:t>
            </w:r>
          </w:p>
        </w:tc>
        <w:tc>
          <w:tcPr>
            <w:tcW w:w="644" w:type="pct"/>
            <w:tcBorders>
              <w:right w:val="nil"/>
            </w:tcBorders>
            <w:vAlign w:val="center"/>
          </w:tcPr>
          <w:p>
            <w:pPr>
              <w:pStyle w:val="134"/>
            </w:pPr>
            <w:r>
              <w:t>占标率</w:t>
            </w:r>
          </w:p>
        </w:tc>
        <w:tc>
          <w:tcPr>
            <w:tcW w:w="644" w:type="pct"/>
            <w:tcBorders>
              <w:right w:val="nil"/>
            </w:tcBorders>
            <w:vAlign w:val="center"/>
          </w:tcPr>
          <w:p>
            <w:pPr>
              <w:pStyle w:val="134"/>
            </w:pPr>
            <w: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tcBorders>
              <w:left w:val="nil"/>
            </w:tcBorders>
            <w:vAlign w:val="center"/>
          </w:tcPr>
          <w:p>
            <w:pPr>
              <w:pStyle w:val="134"/>
            </w:pPr>
            <w:r>
              <w:t>PM</w:t>
            </w:r>
            <w:r>
              <w:rPr>
                <w:vertAlign w:val="subscript"/>
              </w:rPr>
              <w:t>10</w:t>
            </w:r>
          </w:p>
        </w:tc>
        <w:tc>
          <w:tcPr>
            <w:tcW w:w="1857" w:type="pct"/>
            <w:vAlign w:val="center"/>
          </w:tcPr>
          <w:p>
            <w:pPr>
              <w:pStyle w:val="134"/>
            </w:pPr>
            <w:r>
              <w:t>年平均质量浓度</w:t>
            </w:r>
          </w:p>
        </w:tc>
        <w:tc>
          <w:tcPr>
            <w:tcW w:w="679" w:type="pct"/>
            <w:vAlign w:val="center"/>
          </w:tcPr>
          <w:p>
            <w:pPr>
              <w:pStyle w:val="134"/>
            </w:pPr>
            <w:r>
              <w:t>70</w:t>
            </w:r>
          </w:p>
        </w:tc>
        <w:tc>
          <w:tcPr>
            <w:tcW w:w="654" w:type="pct"/>
            <w:vAlign w:val="center"/>
          </w:tcPr>
          <w:p>
            <w:pPr>
              <w:pStyle w:val="134"/>
            </w:pPr>
            <w:r>
              <w:t>50</w:t>
            </w:r>
          </w:p>
        </w:tc>
        <w:tc>
          <w:tcPr>
            <w:tcW w:w="644" w:type="pct"/>
            <w:tcBorders>
              <w:right w:val="nil"/>
            </w:tcBorders>
            <w:vAlign w:val="center"/>
          </w:tcPr>
          <w:p>
            <w:pPr>
              <w:pStyle w:val="134"/>
            </w:pPr>
            <w:r>
              <w:t>71.4%</w:t>
            </w:r>
          </w:p>
        </w:tc>
        <w:tc>
          <w:tcPr>
            <w:tcW w:w="644" w:type="pct"/>
            <w:tcBorders>
              <w:right w:val="nil"/>
            </w:tcBorders>
            <w:vAlign w:val="center"/>
          </w:tcPr>
          <w:p>
            <w:pPr>
              <w:pStyle w:val="134"/>
            </w:pPr>
            <w: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tcBorders>
              <w:left w:val="nil"/>
            </w:tcBorders>
            <w:vAlign w:val="center"/>
          </w:tcPr>
          <w:p>
            <w:pPr>
              <w:pStyle w:val="134"/>
            </w:pPr>
            <w:r>
              <w:t>PM</w:t>
            </w:r>
            <w:r>
              <w:rPr>
                <w:vertAlign w:val="subscript"/>
              </w:rPr>
              <w:t>2.5</w:t>
            </w:r>
          </w:p>
        </w:tc>
        <w:tc>
          <w:tcPr>
            <w:tcW w:w="1857" w:type="pct"/>
            <w:vAlign w:val="center"/>
          </w:tcPr>
          <w:p>
            <w:pPr>
              <w:pStyle w:val="134"/>
            </w:pPr>
            <w:r>
              <w:t>年平均质量浓度</w:t>
            </w:r>
          </w:p>
        </w:tc>
        <w:tc>
          <w:tcPr>
            <w:tcW w:w="679" w:type="pct"/>
            <w:vAlign w:val="center"/>
          </w:tcPr>
          <w:p>
            <w:pPr>
              <w:pStyle w:val="134"/>
            </w:pPr>
            <w:r>
              <w:t>35</w:t>
            </w:r>
          </w:p>
        </w:tc>
        <w:tc>
          <w:tcPr>
            <w:tcW w:w="654" w:type="pct"/>
            <w:vAlign w:val="center"/>
          </w:tcPr>
          <w:p>
            <w:pPr>
              <w:pStyle w:val="134"/>
            </w:pPr>
            <w:r>
              <w:t>27</w:t>
            </w:r>
          </w:p>
        </w:tc>
        <w:tc>
          <w:tcPr>
            <w:tcW w:w="644" w:type="pct"/>
            <w:tcBorders>
              <w:right w:val="nil"/>
            </w:tcBorders>
            <w:vAlign w:val="center"/>
          </w:tcPr>
          <w:p>
            <w:pPr>
              <w:pStyle w:val="134"/>
            </w:pPr>
            <w:r>
              <w:t>77.1%</w:t>
            </w:r>
          </w:p>
        </w:tc>
        <w:tc>
          <w:tcPr>
            <w:tcW w:w="644" w:type="pct"/>
            <w:tcBorders>
              <w:right w:val="nil"/>
            </w:tcBorders>
            <w:vAlign w:val="center"/>
          </w:tcPr>
          <w:p>
            <w:pPr>
              <w:pStyle w:val="134"/>
            </w:pPr>
            <w: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tcBorders>
              <w:left w:val="nil"/>
            </w:tcBorders>
            <w:vAlign w:val="center"/>
          </w:tcPr>
          <w:p>
            <w:pPr>
              <w:pStyle w:val="134"/>
            </w:pPr>
            <w:r>
              <w:t>SO</w:t>
            </w:r>
            <w:r>
              <w:rPr>
                <w:vertAlign w:val="subscript"/>
              </w:rPr>
              <w:t>2</w:t>
            </w:r>
          </w:p>
        </w:tc>
        <w:tc>
          <w:tcPr>
            <w:tcW w:w="1857" w:type="pct"/>
            <w:vAlign w:val="center"/>
          </w:tcPr>
          <w:p>
            <w:pPr>
              <w:pStyle w:val="134"/>
            </w:pPr>
            <w:r>
              <w:t>年平均质量浓度</w:t>
            </w:r>
          </w:p>
        </w:tc>
        <w:tc>
          <w:tcPr>
            <w:tcW w:w="679" w:type="pct"/>
            <w:vAlign w:val="center"/>
          </w:tcPr>
          <w:p>
            <w:pPr>
              <w:pStyle w:val="134"/>
            </w:pPr>
            <w:r>
              <w:t>60</w:t>
            </w:r>
          </w:p>
        </w:tc>
        <w:tc>
          <w:tcPr>
            <w:tcW w:w="654" w:type="pct"/>
            <w:vAlign w:val="center"/>
          </w:tcPr>
          <w:p>
            <w:pPr>
              <w:pStyle w:val="134"/>
            </w:pPr>
            <w:r>
              <w:t>5</w:t>
            </w:r>
          </w:p>
        </w:tc>
        <w:tc>
          <w:tcPr>
            <w:tcW w:w="644" w:type="pct"/>
            <w:tcBorders>
              <w:right w:val="nil"/>
            </w:tcBorders>
            <w:vAlign w:val="center"/>
          </w:tcPr>
          <w:p>
            <w:pPr>
              <w:pStyle w:val="134"/>
            </w:pPr>
            <w:r>
              <w:t>8.3%</w:t>
            </w:r>
          </w:p>
        </w:tc>
        <w:tc>
          <w:tcPr>
            <w:tcW w:w="644" w:type="pct"/>
            <w:tcBorders>
              <w:right w:val="nil"/>
            </w:tcBorders>
            <w:vAlign w:val="center"/>
          </w:tcPr>
          <w:p>
            <w:pPr>
              <w:pStyle w:val="134"/>
            </w:pPr>
            <w: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tcBorders>
              <w:left w:val="nil"/>
            </w:tcBorders>
            <w:vAlign w:val="center"/>
          </w:tcPr>
          <w:p>
            <w:pPr>
              <w:pStyle w:val="134"/>
            </w:pPr>
            <w:r>
              <w:t>NO</w:t>
            </w:r>
            <w:r>
              <w:rPr>
                <w:vertAlign w:val="subscript"/>
              </w:rPr>
              <w:t>2</w:t>
            </w:r>
          </w:p>
        </w:tc>
        <w:tc>
          <w:tcPr>
            <w:tcW w:w="1857" w:type="pct"/>
            <w:vAlign w:val="center"/>
          </w:tcPr>
          <w:p>
            <w:pPr>
              <w:pStyle w:val="134"/>
            </w:pPr>
            <w:r>
              <w:t>年平均质量浓度</w:t>
            </w:r>
          </w:p>
        </w:tc>
        <w:tc>
          <w:tcPr>
            <w:tcW w:w="679" w:type="pct"/>
            <w:vAlign w:val="center"/>
          </w:tcPr>
          <w:p>
            <w:pPr>
              <w:pStyle w:val="134"/>
            </w:pPr>
            <w:r>
              <w:t>40</w:t>
            </w:r>
          </w:p>
        </w:tc>
        <w:tc>
          <w:tcPr>
            <w:tcW w:w="654" w:type="pct"/>
            <w:vAlign w:val="center"/>
          </w:tcPr>
          <w:p>
            <w:pPr>
              <w:pStyle w:val="134"/>
            </w:pPr>
            <w:r>
              <w:t>19</w:t>
            </w:r>
          </w:p>
        </w:tc>
        <w:tc>
          <w:tcPr>
            <w:tcW w:w="644" w:type="pct"/>
            <w:tcBorders>
              <w:right w:val="nil"/>
            </w:tcBorders>
            <w:vAlign w:val="center"/>
          </w:tcPr>
          <w:p>
            <w:pPr>
              <w:pStyle w:val="134"/>
            </w:pPr>
            <w:r>
              <w:t>47.5%</w:t>
            </w:r>
          </w:p>
        </w:tc>
        <w:tc>
          <w:tcPr>
            <w:tcW w:w="644" w:type="pct"/>
            <w:tcBorders>
              <w:right w:val="nil"/>
            </w:tcBorders>
            <w:vAlign w:val="center"/>
          </w:tcPr>
          <w:p>
            <w:pPr>
              <w:pStyle w:val="134"/>
            </w:pPr>
            <w: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tcBorders>
              <w:left w:val="nil"/>
            </w:tcBorders>
            <w:vAlign w:val="center"/>
          </w:tcPr>
          <w:p>
            <w:pPr>
              <w:pStyle w:val="134"/>
            </w:pPr>
            <w:r>
              <w:t>CO</w:t>
            </w:r>
          </w:p>
        </w:tc>
        <w:tc>
          <w:tcPr>
            <w:tcW w:w="1857" w:type="pct"/>
            <w:vAlign w:val="center"/>
          </w:tcPr>
          <w:p>
            <w:pPr>
              <w:pStyle w:val="134"/>
            </w:pPr>
            <w:r>
              <w:t>95%百分位数24小时平均</w:t>
            </w:r>
          </w:p>
        </w:tc>
        <w:tc>
          <w:tcPr>
            <w:tcW w:w="679" w:type="pct"/>
            <w:vAlign w:val="center"/>
          </w:tcPr>
          <w:p>
            <w:pPr>
              <w:pStyle w:val="134"/>
            </w:pPr>
            <w:r>
              <w:t>4mg/m³</w:t>
            </w:r>
          </w:p>
        </w:tc>
        <w:tc>
          <w:tcPr>
            <w:tcW w:w="654" w:type="pct"/>
            <w:vAlign w:val="center"/>
          </w:tcPr>
          <w:p>
            <w:pPr>
              <w:pStyle w:val="134"/>
            </w:pPr>
            <w:r>
              <w:t>1.1mg/m³</w:t>
            </w:r>
          </w:p>
        </w:tc>
        <w:tc>
          <w:tcPr>
            <w:tcW w:w="644" w:type="pct"/>
            <w:tcBorders>
              <w:right w:val="nil"/>
            </w:tcBorders>
            <w:vAlign w:val="center"/>
          </w:tcPr>
          <w:p>
            <w:pPr>
              <w:pStyle w:val="134"/>
            </w:pPr>
            <w:r>
              <w:t>27.5%</w:t>
            </w:r>
          </w:p>
        </w:tc>
        <w:tc>
          <w:tcPr>
            <w:tcW w:w="644" w:type="pct"/>
            <w:tcBorders>
              <w:right w:val="nil"/>
            </w:tcBorders>
            <w:vAlign w:val="center"/>
          </w:tcPr>
          <w:p>
            <w:pPr>
              <w:pStyle w:val="134"/>
            </w:pPr>
            <w: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tcBorders>
              <w:left w:val="nil"/>
            </w:tcBorders>
            <w:vAlign w:val="center"/>
          </w:tcPr>
          <w:p>
            <w:pPr>
              <w:pStyle w:val="134"/>
            </w:pPr>
            <w:r>
              <w:t>O</w:t>
            </w:r>
            <w:r>
              <w:rPr>
                <w:vertAlign w:val="subscript"/>
              </w:rPr>
              <w:t>3</w:t>
            </w:r>
          </w:p>
        </w:tc>
        <w:tc>
          <w:tcPr>
            <w:tcW w:w="1857" w:type="pct"/>
            <w:vAlign w:val="center"/>
          </w:tcPr>
          <w:p>
            <w:pPr>
              <w:pStyle w:val="134"/>
            </w:pPr>
            <w:r>
              <w:t>90%百分位数日最大8小时滑动平均</w:t>
            </w:r>
          </w:p>
        </w:tc>
        <w:tc>
          <w:tcPr>
            <w:tcW w:w="679" w:type="pct"/>
            <w:vAlign w:val="center"/>
          </w:tcPr>
          <w:p>
            <w:pPr>
              <w:pStyle w:val="134"/>
            </w:pPr>
            <w:r>
              <w:t>160</w:t>
            </w:r>
          </w:p>
        </w:tc>
        <w:tc>
          <w:tcPr>
            <w:tcW w:w="654" w:type="pct"/>
            <w:vAlign w:val="center"/>
          </w:tcPr>
          <w:p>
            <w:pPr>
              <w:pStyle w:val="134"/>
            </w:pPr>
            <w:r>
              <w:t>99</w:t>
            </w:r>
          </w:p>
        </w:tc>
        <w:tc>
          <w:tcPr>
            <w:tcW w:w="644" w:type="pct"/>
            <w:tcBorders>
              <w:right w:val="nil"/>
            </w:tcBorders>
            <w:vAlign w:val="center"/>
          </w:tcPr>
          <w:p>
            <w:pPr>
              <w:pStyle w:val="134"/>
            </w:pPr>
            <w:r>
              <w:t>61.9%</w:t>
            </w:r>
          </w:p>
        </w:tc>
        <w:tc>
          <w:tcPr>
            <w:tcW w:w="644" w:type="pct"/>
            <w:tcBorders>
              <w:right w:val="nil"/>
            </w:tcBorders>
            <w:vAlign w:val="center"/>
          </w:tcPr>
          <w:p>
            <w:pPr>
              <w:pStyle w:val="134"/>
            </w:pPr>
            <w:r>
              <w:t>达标</w:t>
            </w:r>
          </w:p>
        </w:tc>
      </w:tr>
    </w:tbl>
    <w:p>
      <w:pPr>
        <w:pStyle w:val="114"/>
        <w:ind w:firstLine="480"/>
        <w:rPr>
          <w:shd w:val="clear" w:color="auto" w:fill="FFFFFF"/>
        </w:rPr>
      </w:pPr>
      <w:r>
        <w:rPr>
          <w:shd w:val="clear" w:color="auto" w:fill="FFFFFF"/>
        </w:rPr>
        <w:t>综上可知，项目所在区SO</w:t>
      </w:r>
      <w:r>
        <w:rPr>
          <w:shd w:val="clear" w:color="auto" w:fill="FFFFFF"/>
          <w:vertAlign w:val="subscript"/>
        </w:rPr>
        <w:t>2</w:t>
      </w:r>
      <w:r>
        <w:rPr>
          <w:shd w:val="clear" w:color="auto" w:fill="FFFFFF"/>
        </w:rPr>
        <w:t>、NO</w:t>
      </w:r>
      <w:r>
        <w:rPr>
          <w:shd w:val="clear" w:color="auto" w:fill="FFFFFF"/>
          <w:vertAlign w:val="subscript"/>
        </w:rPr>
        <w:t>2</w:t>
      </w:r>
      <w:r>
        <w:rPr>
          <w:shd w:val="clear" w:color="auto" w:fill="FFFFFF"/>
        </w:rPr>
        <w:t>、PM</w:t>
      </w:r>
      <w:r>
        <w:rPr>
          <w:shd w:val="clear" w:color="auto" w:fill="FFFFFF"/>
          <w:vertAlign w:val="subscript"/>
        </w:rPr>
        <w:t>10</w:t>
      </w:r>
      <w:r>
        <w:rPr>
          <w:shd w:val="clear" w:color="auto" w:fill="FFFFFF"/>
        </w:rPr>
        <w:t>、CO、O</w:t>
      </w:r>
      <w:r>
        <w:rPr>
          <w:shd w:val="clear" w:color="auto" w:fill="FFFFFF"/>
          <w:vertAlign w:val="subscript"/>
        </w:rPr>
        <w:t>3</w:t>
      </w:r>
      <w:r>
        <w:rPr>
          <w:shd w:val="clear" w:color="auto" w:fill="FFFFFF"/>
        </w:rPr>
        <w:t>、PM</w:t>
      </w:r>
      <w:r>
        <w:rPr>
          <w:shd w:val="clear" w:color="auto" w:fill="FFFFFF"/>
          <w:vertAlign w:val="subscript"/>
        </w:rPr>
        <w:t>2.5</w:t>
      </w:r>
      <w:r>
        <w:rPr>
          <w:shd w:val="clear" w:color="auto" w:fill="FFFFFF"/>
        </w:rPr>
        <w:t>均达标，因此项目所在区判定为达标区。</w:t>
      </w:r>
    </w:p>
    <w:p>
      <w:pPr>
        <w:pStyle w:val="114"/>
        <w:ind w:firstLine="482"/>
        <w:rPr>
          <w:b/>
          <w:bCs/>
        </w:rPr>
      </w:pPr>
      <w:r>
        <w:rPr>
          <w:b/>
          <w:bCs/>
        </w:rPr>
        <w:t>2、特征污染物</w:t>
      </w:r>
    </w:p>
    <w:p>
      <w:pPr>
        <w:pStyle w:val="114"/>
        <w:ind w:firstLine="480"/>
      </w:pPr>
      <w:r>
        <w:t>（1）监测点布设</w:t>
      </w:r>
    </w:p>
    <w:p>
      <w:pPr>
        <w:pStyle w:val="114"/>
        <w:ind w:firstLine="480"/>
      </w:pPr>
      <w:r>
        <w:t>本次大气特征污染物委托四川省允诺信检测技术有限公司对P108集气站进行了实地监测，共布设1个大气环境监测点，</w:t>
      </w:r>
      <w:bookmarkStart w:id="413" w:name="OLE_LINK16"/>
      <w:r>
        <w:rPr>
          <w:kern w:val="2"/>
          <w:szCs w:val="24"/>
        </w:rPr>
        <w:t>HG</w:t>
      </w:r>
      <w:r>
        <w:t>1位于</w:t>
      </w:r>
      <w:r>
        <w:rPr>
          <w:bCs/>
        </w:rPr>
        <w:t>P108集气站所在地</w:t>
      </w:r>
      <w:bookmarkEnd w:id="413"/>
      <w:r>
        <w:rPr>
          <w:bCs/>
        </w:rPr>
        <w:t>南侧</w:t>
      </w:r>
      <w:r>
        <w:t>。</w:t>
      </w:r>
    </w:p>
    <w:p>
      <w:pPr>
        <w:pStyle w:val="114"/>
        <w:ind w:firstLine="480"/>
      </w:pPr>
      <w:r>
        <w:t>（2）监测项目：非甲烷总烃、硫化氢。</w:t>
      </w:r>
    </w:p>
    <w:p>
      <w:pPr>
        <w:pStyle w:val="114"/>
        <w:ind w:firstLine="480"/>
      </w:pPr>
      <w:r>
        <w:t>（3）监测频次：连续采样7天。</w:t>
      </w:r>
    </w:p>
    <w:p>
      <w:pPr>
        <w:pStyle w:val="114"/>
        <w:ind w:firstLine="480"/>
      </w:pPr>
      <w:r>
        <w:t>（4）采样及分析方法</w:t>
      </w:r>
    </w:p>
    <w:p>
      <w:pPr>
        <w:pStyle w:val="114"/>
        <w:ind w:firstLine="480"/>
      </w:pPr>
      <w:r>
        <w:t>采样及分析方法按国家有关规定进行。</w:t>
      </w:r>
    </w:p>
    <w:p>
      <w:pPr>
        <w:pStyle w:val="114"/>
        <w:ind w:firstLine="480"/>
      </w:pPr>
      <w:r>
        <w:t>（5）评价标准</w:t>
      </w:r>
    </w:p>
    <w:p>
      <w:pPr>
        <w:pStyle w:val="114"/>
        <w:ind w:firstLine="480"/>
      </w:pPr>
      <w:r>
        <w:t>本次非甲烷总烃环境质量现状评价，执行标准采用《大气污染物综合排放标准详解》浓度限值2.0mg/m</w:t>
      </w:r>
      <w:r>
        <w:rPr>
          <w:vertAlign w:val="superscript"/>
        </w:rPr>
        <w:t>3</w:t>
      </w:r>
      <w:r>
        <w:t>；硫化氢环境质量现状评价，执行标准采用《环境影响评价技术导则</w:t>
      </w:r>
      <w:r>
        <w:rPr>
          <w:rFonts w:hint="eastAsia"/>
        </w:rPr>
        <w:t xml:space="preserve"> </w:t>
      </w:r>
      <w:r>
        <w:t>大气环境》（HJ2.2-2018）中附录D浓度限值10μg/m</w:t>
      </w:r>
      <w:r>
        <w:rPr>
          <w:vertAlign w:val="superscript"/>
        </w:rPr>
        <w:t>3</w:t>
      </w:r>
      <w:r>
        <w:t>。</w:t>
      </w:r>
    </w:p>
    <w:p>
      <w:pPr>
        <w:pStyle w:val="114"/>
        <w:ind w:firstLine="480"/>
      </w:pPr>
      <w:r>
        <w:t>（6）评价方法</w:t>
      </w:r>
    </w:p>
    <w:p>
      <w:pPr>
        <w:pStyle w:val="114"/>
        <w:ind w:firstLine="480"/>
      </w:pPr>
      <w:r>
        <w:t>根据《环境影响评价技术导则</w:t>
      </w:r>
      <w:r>
        <w:rPr>
          <w:rFonts w:hint="eastAsia"/>
        </w:rPr>
        <w:t xml:space="preserve"> </w:t>
      </w:r>
      <w:r>
        <w:t>大气环境》（HJ2.2-2018），采用最大监测浓度占标率对评价区域大气环境质量现状进行评价，评价模式如下：</w:t>
      </w:r>
    </w:p>
    <w:p>
      <w:pPr>
        <w:pStyle w:val="114"/>
        <w:ind w:firstLine="480"/>
      </w:pPr>
      <m:oMathPara>
        <m:oMath>
          <m:sSub>
            <m:sSubPr>
              <m:ctrlPr>
                <w:rPr>
                  <w:rFonts w:ascii="Cambria Math" w:hAnsi="Cambria Math"/>
                  <w:kern w:val="2"/>
                </w:rPr>
              </m:ctrlPr>
            </m:sSubPr>
            <m:e>
              <m:r>
                <m:rPr>
                  <m:sty m:val="p"/>
                </m:rPr>
                <w:rPr>
                  <w:rFonts w:ascii="Cambria Math" w:hAnsi="Cambria Math"/>
                </w:rPr>
                <m:t>P</m:t>
              </m:r>
              <m:ctrlPr>
                <w:rPr>
                  <w:rFonts w:ascii="Cambria Math" w:hAnsi="Cambria Math"/>
                  <w:kern w:val="2"/>
                </w:rPr>
              </m:ctrlPr>
            </m:e>
            <m:sub>
              <m:r>
                <m:rPr>
                  <m:sty m:val="p"/>
                </m:rPr>
                <w:rPr>
                  <w:rFonts w:ascii="Cambria Math" w:hAnsi="Cambria Math"/>
                </w:rPr>
                <m:t>i</m:t>
              </m:r>
              <m:ctrlPr>
                <w:rPr>
                  <w:rFonts w:ascii="Cambria Math" w:hAnsi="Cambria Math"/>
                  <w:kern w:val="2"/>
                </w:rPr>
              </m:ctrlPr>
            </m:sub>
          </m:sSub>
          <m:r>
            <m:rPr>
              <m:sty m:val="p"/>
            </m:rPr>
            <w:rPr>
              <w:rFonts w:ascii="Cambria Math" w:hAnsi="Cambria Math"/>
            </w:rPr>
            <m:t>=</m:t>
          </m:r>
          <m:f>
            <m:fPr>
              <m:ctrlPr>
                <w:rPr>
                  <w:rFonts w:ascii="Cambria Math" w:hAnsi="Cambria Math"/>
                  <w:kern w:val="2"/>
                </w:rPr>
              </m:ctrlPr>
            </m:fPr>
            <m:num>
              <m:sSub>
                <m:sSubPr>
                  <m:ctrlPr>
                    <w:rPr>
                      <w:rFonts w:ascii="Cambria Math" w:hAnsi="Cambria Math"/>
                      <w:kern w:val="2"/>
                    </w:rPr>
                  </m:ctrlPr>
                </m:sSubPr>
                <m:e>
                  <m:r>
                    <m:rPr>
                      <m:sty m:val="p"/>
                    </m:rPr>
                    <w:rPr>
                      <w:rFonts w:ascii="Cambria Math" w:hAnsi="Cambria Math"/>
                    </w:rPr>
                    <m:t>C</m:t>
                  </m:r>
                  <m:ctrlPr>
                    <w:rPr>
                      <w:rFonts w:ascii="Cambria Math" w:hAnsi="Cambria Math"/>
                      <w:kern w:val="2"/>
                    </w:rPr>
                  </m:ctrlPr>
                </m:e>
                <m:sub>
                  <m:r>
                    <m:rPr>
                      <m:sty m:val="p"/>
                    </m:rPr>
                    <w:rPr>
                      <w:rFonts w:ascii="Cambria Math" w:hAnsi="Cambria Math"/>
                    </w:rPr>
                    <m:t>i</m:t>
                  </m:r>
                  <m:ctrlPr>
                    <w:rPr>
                      <w:rFonts w:ascii="Cambria Math" w:hAnsi="Cambria Math"/>
                      <w:kern w:val="2"/>
                    </w:rPr>
                  </m:ctrlPr>
                </m:sub>
              </m:sSub>
              <m:ctrlPr>
                <w:rPr>
                  <w:rFonts w:ascii="Cambria Math" w:hAnsi="Cambria Math"/>
                  <w:kern w:val="2"/>
                </w:rPr>
              </m:ctrlPr>
            </m:num>
            <m:den>
              <m:sSub>
                <m:sSubPr>
                  <m:ctrlPr>
                    <w:rPr>
                      <w:rFonts w:ascii="Cambria Math" w:hAnsi="Cambria Math"/>
                      <w:kern w:val="2"/>
                    </w:rPr>
                  </m:ctrlPr>
                </m:sSubPr>
                <m:e>
                  <m:r>
                    <m:rPr>
                      <m:sty m:val="p"/>
                    </m:rPr>
                    <w:rPr>
                      <w:rFonts w:ascii="Cambria Math" w:hAnsi="Cambria Math"/>
                    </w:rPr>
                    <m:t>C</m:t>
                  </m:r>
                  <m:ctrlPr>
                    <w:rPr>
                      <w:rFonts w:ascii="Cambria Math" w:hAnsi="Cambria Math"/>
                      <w:kern w:val="2"/>
                    </w:rPr>
                  </m:ctrlPr>
                </m:e>
                <m:sub>
                  <m:r>
                    <m:rPr>
                      <m:sty m:val="p"/>
                    </m:rPr>
                    <w:rPr>
                      <w:rFonts w:ascii="Cambria Math" w:hAnsi="Cambria Math"/>
                    </w:rPr>
                    <m:t>oi</m:t>
                  </m:r>
                  <m:ctrlPr>
                    <w:rPr>
                      <w:rFonts w:ascii="Cambria Math" w:hAnsi="Cambria Math"/>
                      <w:kern w:val="2"/>
                    </w:rPr>
                  </m:ctrlPr>
                </m:sub>
              </m:sSub>
              <m:ctrlPr>
                <w:rPr>
                  <w:rFonts w:ascii="Cambria Math" w:hAnsi="Cambria Math"/>
                  <w:i/>
                  <w:kern w:val="2"/>
                </w:rPr>
              </m:ctrlPr>
            </m:den>
          </m:f>
          <m:r>
            <m:rPr>
              <m:sty m:val="p"/>
            </m:rPr>
            <w:rPr>
              <w:rFonts w:ascii="Cambria Math" w:hAnsi="Cambria Math"/>
            </w:rPr>
            <m:t>×100%</m:t>
          </m:r>
        </m:oMath>
      </m:oMathPara>
    </w:p>
    <w:p>
      <w:pPr>
        <w:pStyle w:val="114"/>
        <w:ind w:firstLine="480"/>
      </w:pPr>
      <w:r>
        <w:t>P</w:t>
      </w:r>
      <w:r>
        <w:rPr>
          <w:sz w:val="16"/>
          <w:szCs w:val="16"/>
        </w:rPr>
        <w:t>i</w:t>
      </w:r>
      <w:r>
        <w:t>——为第i个污染物的最大监测浓度占标率，%；</w:t>
      </w:r>
    </w:p>
    <w:p>
      <w:pPr>
        <w:pStyle w:val="114"/>
        <w:ind w:firstLine="480"/>
      </w:pPr>
      <w:r>
        <w:t>C</w:t>
      </w:r>
      <w:r>
        <w:rPr>
          <w:sz w:val="16"/>
          <w:szCs w:val="16"/>
        </w:rPr>
        <w:t>i</w:t>
      </w:r>
      <w:r>
        <w:t>——为第i个污染因子的最大实测浓度（mg/m</w:t>
      </w:r>
      <w:r>
        <w:rPr>
          <w:vertAlign w:val="superscript"/>
        </w:rPr>
        <w:t>3</w:t>
      </w:r>
      <w:r>
        <w:t>）；</w:t>
      </w:r>
    </w:p>
    <w:p>
      <w:pPr>
        <w:pStyle w:val="114"/>
        <w:ind w:firstLine="480"/>
      </w:pPr>
      <w:r>
        <w:t>C</w:t>
      </w:r>
      <w:r>
        <w:rPr>
          <w:sz w:val="16"/>
          <w:szCs w:val="16"/>
        </w:rPr>
        <w:t>oi</w:t>
      </w:r>
      <w:r>
        <w:t>——为第i个污染物相对应的评价标准（mg/m</w:t>
      </w:r>
      <w:r>
        <w:rPr>
          <w:vertAlign w:val="superscript"/>
        </w:rPr>
        <w:t>3</w:t>
      </w:r>
      <w:r>
        <w:t>）。</w:t>
      </w:r>
    </w:p>
    <w:p>
      <w:pPr>
        <w:pStyle w:val="114"/>
        <w:ind w:firstLine="480"/>
      </w:pPr>
      <w:r>
        <w:t>根据HJ2.2-2018，现状监测结果以列表的方式给出各监测点大气污染物的不同取值时间的变化范围，并给出各取值时间最大浓度值占相应标准浓度限值的百分比和超标率，并评价达标情况。</w:t>
      </w:r>
    </w:p>
    <w:p>
      <w:pPr>
        <w:pStyle w:val="6"/>
        <w:ind w:firstLine="480"/>
        <w:rPr>
          <w:rFonts w:ascii="Times New Roman" w:cs="Times New Roman"/>
        </w:rPr>
      </w:pPr>
      <w:r>
        <w:rPr>
          <w:rFonts w:ascii="Times New Roman" w:cs="Times New Roman"/>
        </w:rPr>
        <w:t>（7）监测结果及评价结论</w:t>
      </w:r>
    </w:p>
    <w:p>
      <w:pPr>
        <w:pStyle w:val="39"/>
        <w:rPr>
          <w:rStyle w:val="536"/>
          <w:rFonts w:cs="Times New Roman"/>
          <w:sz w:val="21"/>
        </w:rPr>
      </w:pPr>
      <w:r>
        <w:rPr>
          <w:rStyle w:val="536"/>
          <w:rFonts w:cs="Times New Roman"/>
          <w:sz w:val="21"/>
        </w:rPr>
        <w:t>表5.3-2  环境空气质量现状监测结果  单位：mg/m</w:t>
      </w:r>
      <w:r>
        <w:rPr>
          <w:rStyle w:val="536"/>
          <w:rFonts w:cs="Times New Roman"/>
          <w:sz w:val="21"/>
          <w:vertAlign w:val="superscript"/>
        </w:rPr>
        <w:t>3</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240"/>
        <w:gridCol w:w="1241"/>
        <w:gridCol w:w="1241"/>
        <w:gridCol w:w="1253"/>
        <w:gridCol w:w="1253"/>
        <w:gridCol w:w="1253"/>
        <w:gridCol w:w="125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blHeader/>
          <w:jc w:val="center"/>
        </w:trPr>
        <w:tc>
          <w:tcPr>
            <w:tcW w:w="1240" w:type="dxa"/>
            <w:vMerge w:val="restart"/>
            <w:shd w:val="clear" w:color="auto" w:fill="auto"/>
            <w:vAlign w:val="center"/>
          </w:tcPr>
          <w:p>
            <w:pPr>
              <w:pStyle w:val="134"/>
              <w:rPr>
                <w:b/>
                <w:bCs/>
              </w:rPr>
            </w:pPr>
            <w:r>
              <w:rPr>
                <w:b/>
                <w:bCs/>
              </w:rPr>
              <w:t>监测点位</w:t>
            </w:r>
          </w:p>
        </w:tc>
        <w:tc>
          <w:tcPr>
            <w:tcW w:w="1241" w:type="dxa"/>
            <w:vMerge w:val="restart"/>
            <w:shd w:val="clear" w:color="auto" w:fill="auto"/>
            <w:vAlign w:val="center"/>
          </w:tcPr>
          <w:p>
            <w:pPr>
              <w:pStyle w:val="134"/>
              <w:rPr>
                <w:b/>
                <w:bCs/>
              </w:rPr>
            </w:pPr>
            <w:r>
              <w:rPr>
                <w:b/>
                <w:bCs/>
              </w:rPr>
              <w:t>监测日期</w:t>
            </w:r>
          </w:p>
        </w:tc>
        <w:tc>
          <w:tcPr>
            <w:tcW w:w="1241" w:type="dxa"/>
            <w:vMerge w:val="restart"/>
            <w:shd w:val="clear" w:color="auto" w:fill="auto"/>
            <w:vAlign w:val="center"/>
          </w:tcPr>
          <w:p>
            <w:pPr>
              <w:pStyle w:val="134"/>
              <w:rPr>
                <w:b/>
                <w:bCs/>
              </w:rPr>
            </w:pPr>
            <w:r>
              <w:rPr>
                <w:b/>
                <w:bCs/>
              </w:rPr>
              <w:t>项目</w:t>
            </w:r>
          </w:p>
        </w:tc>
        <w:tc>
          <w:tcPr>
            <w:tcW w:w="5012" w:type="dxa"/>
            <w:gridSpan w:val="4"/>
            <w:shd w:val="clear" w:color="auto" w:fill="auto"/>
            <w:vAlign w:val="center"/>
          </w:tcPr>
          <w:p>
            <w:pPr>
              <w:pStyle w:val="134"/>
              <w:rPr>
                <w:b/>
                <w:bCs/>
              </w:rPr>
            </w:pPr>
            <w:r>
              <w:rPr>
                <w:b/>
                <w:bCs/>
              </w:rPr>
              <w:t>监测结果（小时值）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blHeader/>
          <w:jc w:val="center"/>
        </w:trPr>
        <w:tc>
          <w:tcPr>
            <w:tcW w:w="1240" w:type="dxa"/>
            <w:vMerge w:val="continue"/>
            <w:shd w:val="clear" w:color="auto" w:fill="auto"/>
            <w:vAlign w:val="center"/>
          </w:tcPr>
          <w:p>
            <w:pPr>
              <w:pStyle w:val="134"/>
              <w:rPr>
                <w:b/>
                <w:bCs/>
              </w:rPr>
            </w:pPr>
          </w:p>
        </w:tc>
        <w:tc>
          <w:tcPr>
            <w:tcW w:w="1241" w:type="dxa"/>
            <w:vMerge w:val="continue"/>
            <w:shd w:val="clear" w:color="auto" w:fill="auto"/>
            <w:vAlign w:val="center"/>
          </w:tcPr>
          <w:p>
            <w:pPr>
              <w:pStyle w:val="134"/>
              <w:rPr>
                <w:b/>
                <w:bCs/>
              </w:rPr>
            </w:pPr>
          </w:p>
        </w:tc>
        <w:tc>
          <w:tcPr>
            <w:tcW w:w="1241" w:type="dxa"/>
            <w:vMerge w:val="continue"/>
            <w:shd w:val="clear" w:color="auto" w:fill="auto"/>
            <w:vAlign w:val="center"/>
          </w:tcPr>
          <w:p>
            <w:pPr>
              <w:pStyle w:val="134"/>
              <w:rPr>
                <w:b/>
                <w:bCs/>
              </w:rPr>
            </w:pPr>
          </w:p>
        </w:tc>
        <w:tc>
          <w:tcPr>
            <w:tcW w:w="1253" w:type="dxa"/>
            <w:shd w:val="clear" w:color="auto" w:fill="auto"/>
            <w:vAlign w:val="center"/>
          </w:tcPr>
          <w:p>
            <w:pPr>
              <w:pStyle w:val="134"/>
              <w:rPr>
                <w:b/>
                <w:bCs/>
              </w:rPr>
            </w:pPr>
            <w:r>
              <w:rPr>
                <w:b/>
                <w:bCs/>
              </w:rPr>
              <w:t>第1次</w:t>
            </w:r>
          </w:p>
        </w:tc>
        <w:tc>
          <w:tcPr>
            <w:tcW w:w="1253" w:type="dxa"/>
            <w:shd w:val="clear" w:color="auto" w:fill="auto"/>
            <w:vAlign w:val="center"/>
          </w:tcPr>
          <w:p>
            <w:pPr>
              <w:pStyle w:val="134"/>
              <w:rPr>
                <w:b/>
                <w:bCs/>
              </w:rPr>
            </w:pPr>
            <w:r>
              <w:rPr>
                <w:b/>
                <w:bCs/>
              </w:rPr>
              <w:t>第2次</w:t>
            </w:r>
          </w:p>
        </w:tc>
        <w:tc>
          <w:tcPr>
            <w:tcW w:w="1253" w:type="dxa"/>
            <w:shd w:val="clear" w:color="auto" w:fill="auto"/>
            <w:vAlign w:val="center"/>
          </w:tcPr>
          <w:p>
            <w:pPr>
              <w:pStyle w:val="134"/>
              <w:rPr>
                <w:b/>
                <w:bCs/>
              </w:rPr>
            </w:pPr>
            <w:r>
              <w:rPr>
                <w:b/>
                <w:bCs/>
              </w:rPr>
              <w:t>第3次</w:t>
            </w:r>
          </w:p>
        </w:tc>
        <w:tc>
          <w:tcPr>
            <w:tcW w:w="1253" w:type="dxa"/>
            <w:shd w:val="clear" w:color="auto" w:fill="auto"/>
            <w:vAlign w:val="center"/>
          </w:tcPr>
          <w:p>
            <w:pPr>
              <w:pStyle w:val="134"/>
              <w:rPr>
                <w:b/>
                <w:bCs/>
              </w:rPr>
            </w:pPr>
            <w:r>
              <w:rPr>
                <w:b/>
                <w:bCs/>
              </w:rPr>
              <w:t>第4次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240" w:type="dxa"/>
            <w:vMerge w:val="restart"/>
            <w:shd w:val="clear" w:color="auto" w:fill="auto"/>
            <w:vAlign w:val="center"/>
          </w:tcPr>
          <w:p>
            <w:pPr>
              <w:pStyle w:val="134"/>
            </w:pPr>
            <w:r>
              <w:t>集气站所在地</w:t>
            </w:r>
            <w:bookmarkStart w:id="414" w:name="OLE_LINK21"/>
            <w:bookmarkStart w:id="415" w:name="OLE_LINK22"/>
            <w:r>
              <w:t>HG</w:t>
            </w:r>
            <w:bookmarkEnd w:id="414"/>
            <w:bookmarkEnd w:id="415"/>
            <w:r>
              <w:t>1</w:t>
            </w:r>
          </w:p>
        </w:tc>
        <w:tc>
          <w:tcPr>
            <w:tcW w:w="1241" w:type="dxa"/>
            <w:shd w:val="clear" w:color="auto" w:fill="auto"/>
            <w:vAlign w:val="center"/>
          </w:tcPr>
          <w:p>
            <w:pPr>
              <w:pStyle w:val="134"/>
            </w:pPr>
            <w:r>
              <w:t>2023.9.1</w:t>
            </w:r>
          </w:p>
        </w:tc>
        <w:tc>
          <w:tcPr>
            <w:tcW w:w="1241" w:type="dxa"/>
            <w:vMerge w:val="restart"/>
            <w:shd w:val="clear" w:color="auto" w:fill="auto"/>
            <w:vAlign w:val="center"/>
          </w:tcPr>
          <w:p>
            <w:pPr>
              <w:pStyle w:val="134"/>
            </w:pPr>
            <w:r>
              <w:t>非甲烷总烃</w:t>
            </w:r>
          </w:p>
        </w:tc>
        <w:tc>
          <w:tcPr>
            <w:tcW w:w="1253" w:type="dxa"/>
            <w:shd w:val="clear" w:color="auto" w:fill="auto"/>
            <w:vAlign w:val="center"/>
          </w:tcPr>
          <w:p>
            <w:pPr>
              <w:pStyle w:val="134"/>
            </w:pPr>
            <w:r>
              <w:t>0.67</w:t>
            </w:r>
          </w:p>
        </w:tc>
        <w:tc>
          <w:tcPr>
            <w:tcW w:w="1253" w:type="dxa"/>
            <w:shd w:val="clear" w:color="auto" w:fill="auto"/>
            <w:vAlign w:val="center"/>
          </w:tcPr>
          <w:p>
            <w:pPr>
              <w:pStyle w:val="134"/>
            </w:pPr>
            <w:r>
              <w:t>0.79</w:t>
            </w:r>
          </w:p>
        </w:tc>
        <w:tc>
          <w:tcPr>
            <w:tcW w:w="1253" w:type="dxa"/>
            <w:shd w:val="clear" w:color="auto" w:fill="auto"/>
            <w:vAlign w:val="center"/>
          </w:tcPr>
          <w:p>
            <w:pPr>
              <w:pStyle w:val="134"/>
            </w:pPr>
            <w:r>
              <w:t>0.60</w:t>
            </w:r>
          </w:p>
        </w:tc>
        <w:tc>
          <w:tcPr>
            <w:tcW w:w="1253" w:type="dxa"/>
            <w:shd w:val="clear" w:color="auto" w:fill="auto"/>
            <w:vAlign w:val="center"/>
          </w:tcPr>
          <w:p>
            <w:pPr>
              <w:pStyle w:val="134"/>
            </w:pPr>
            <w:r>
              <w:t>0.64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240" w:type="dxa"/>
            <w:vMerge w:val="continue"/>
            <w:shd w:val="clear" w:color="auto" w:fill="auto"/>
            <w:vAlign w:val="center"/>
          </w:tcPr>
          <w:p>
            <w:pPr>
              <w:pStyle w:val="134"/>
            </w:pPr>
          </w:p>
        </w:tc>
        <w:tc>
          <w:tcPr>
            <w:tcW w:w="1241" w:type="dxa"/>
            <w:shd w:val="clear" w:color="auto" w:fill="auto"/>
            <w:vAlign w:val="center"/>
          </w:tcPr>
          <w:p>
            <w:pPr>
              <w:pStyle w:val="134"/>
            </w:pPr>
            <w:r>
              <w:t>2023.9.2</w:t>
            </w:r>
          </w:p>
        </w:tc>
        <w:tc>
          <w:tcPr>
            <w:tcW w:w="1241" w:type="dxa"/>
            <w:vMerge w:val="continue"/>
            <w:shd w:val="clear" w:color="auto" w:fill="auto"/>
            <w:vAlign w:val="center"/>
          </w:tcPr>
          <w:p>
            <w:pPr>
              <w:pStyle w:val="134"/>
            </w:pPr>
          </w:p>
        </w:tc>
        <w:tc>
          <w:tcPr>
            <w:tcW w:w="1253" w:type="dxa"/>
            <w:shd w:val="clear" w:color="auto" w:fill="auto"/>
            <w:vAlign w:val="center"/>
          </w:tcPr>
          <w:p>
            <w:pPr>
              <w:pStyle w:val="134"/>
            </w:pPr>
            <w:r>
              <w:t>0.72</w:t>
            </w:r>
          </w:p>
        </w:tc>
        <w:tc>
          <w:tcPr>
            <w:tcW w:w="1253" w:type="dxa"/>
            <w:shd w:val="clear" w:color="auto" w:fill="auto"/>
            <w:vAlign w:val="center"/>
          </w:tcPr>
          <w:p>
            <w:pPr>
              <w:pStyle w:val="134"/>
            </w:pPr>
            <w:r>
              <w:t>0.72</w:t>
            </w:r>
          </w:p>
        </w:tc>
        <w:tc>
          <w:tcPr>
            <w:tcW w:w="1253" w:type="dxa"/>
            <w:shd w:val="clear" w:color="auto" w:fill="auto"/>
            <w:vAlign w:val="center"/>
          </w:tcPr>
          <w:p>
            <w:pPr>
              <w:pStyle w:val="134"/>
            </w:pPr>
            <w:r>
              <w:t>0.72</w:t>
            </w:r>
          </w:p>
        </w:tc>
        <w:tc>
          <w:tcPr>
            <w:tcW w:w="1253" w:type="dxa"/>
            <w:shd w:val="clear" w:color="auto" w:fill="auto"/>
            <w:vAlign w:val="center"/>
          </w:tcPr>
          <w:p>
            <w:pPr>
              <w:pStyle w:val="134"/>
            </w:pPr>
            <w:r>
              <w:t>0.73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240" w:type="dxa"/>
            <w:vMerge w:val="continue"/>
            <w:shd w:val="clear" w:color="auto" w:fill="auto"/>
            <w:vAlign w:val="center"/>
          </w:tcPr>
          <w:p>
            <w:pPr>
              <w:pStyle w:val="134"/>
            </w:pPr>
          </w:p>
        </w:tc>
        <w:tc>
          <w:tcPr>
            <w:tcW w:w="1241" w:type="dxa"/>
            <w:shd w:val="clear" w:color="auto" w:fill="auto"/>
            <w:vAlign w:val="center"/>
          </w:tcPr>
          <w:p>
            <w:pPr>
              <w:pStyle w:val="134"/>
            </w:pPr>
            <w:r>
              <w:t>2023.9.3</w:t>
            </w:r>
          </w:p>
        </w:tc>
        <w:tc>
          <w:tcPr>
            <w:tcW w:w="1241" w:type="dxa"/>
            <w:vMerge w:val="continue"/>
            <w:shd w:val="clear" w:color="auto" w:fill="auto"/>
            <w:vAlign w:val="center"/>
          </w:tcPr>
          <w:p>
            <w:pPr>
              <w:pStyle w:val="134"/>
            </w:pPr>
          </w:p>
        </w:tc>
        <w:tc>
          <w:tcPr>
            <w:tcW w:w="1253" w:type="dxa"/>
            <w:shd w:val="clear" w:color="auto" w:fill="auto"/>
            <w:vAlign w:val="center"/>
          </w:tcPr>
          <w:p>
            <w:pPr>
              <w:pStyle w:val="134"/>
            </w:pPr>
            <w:r>
              <w:t>0.74</w:t>
            </w:r>
          </w:p>
        </w:tc>
        <w:tc>
          <w:tcPr>
            <w:tcW w:w="1253" w:type="dxa"/>
            <w:shd w:val="clear" w:color="auto" w:fill="auto"/>
            <w:vAlign w:val="center"/>
          </w:tcPr>
          <w:p>
            <w:pPr>
              <w:pStyle w:val="134"/>
            </w:pPr>
            <w:r>
              <w:t>0.70</w:t>
            </w:r>
          </w:p>
        </w:tc>
        <w:tc>
          <w:tcPr>
            <w:tcW w:w="1253" w:type="dxa"/>
            <w:shd w:val="clear" w:color="auto" w:fill="auto"/>
            <w:vAlign w:val="center"/>
          </w:tcPr>
          <w:p>
            <w:pPr>
              <w:pStyle w:val="134"/>
            </w:pPr>
            <w:r>
              <w:t>0.98</w:t>
            </w:r>
          </w:p>
        </w:tc>
        <w:tc>
          <w:tcPr>
            <w:tcW w:w="1253" w:type="dxa"/>
            <w:shd w:val="clear" w:color="auto" w:fill="auto"/>
            <w:vAlign w:val="center"/>
          </w:tcPr>
          <w:p>
            <w:pPr>
              <w:pStyle w:val="134"/>
            </w:pPr>
            <w:r>
              <w:t>0.94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240" w:type="dxa"/>
            <w:vMerge w:val="continue"/>
            <w:shd w:val="clear" w:color="auto" w:fill="auto"/>
            <w:vAlign w:val="center"/>
          </w:tcPr>
          <w:p>
            <w:pPr>
              <w:pStyle w:val="134"/>
            </w:pPr>
          </w:p>
        </w:tc>
        <w:tc>
          <w:tcPr>
            <w:tcW w:w="1241" w:type="dxa"/>
            <w:shd w:val="clear" w:color="auto" w:fill="auto"/>
            <w:vAlign w:val="center"/>
          </w:tcPr>
          <w:p>
            <w:pPr>
              <w:pStyle w:val="134"/>
            </w:pPr>
            <w:r>
              <w:t>2023.9.4</w:t>
            </w:r>
          </w:p>
        </w:tc>
        <w:tc>
          <w:tcPr>
            <w:tcW w:w="1241" w:type="dxa"/>
            <w:vMerge w:val="continue"/>
            <w:shd w:val="clear" w:color="auto" w:fill="auto"/>
            <w:vAlign w:val="center"/>
          </w:tcPr>
          <w:p>
            <w:pPr>
              <w:pStyle w:val="134"/>
            </w:pPr>
          </w:p>
        </w:tc>
        <w:tc>
          <w:tcPr>
            <w:tcW w:w="1253" w:type="dxa"/>
            <w:shd w:val="clear" w:color="auto" w:fill="auto"/>
            <w:vAlign w:val="center"/>
          </w:tcPr>
          <w:p>
            <w:pPr>
              <w:pStyle w:val="134"/>
            </w:pPr>
            <w:r>
              <w:t>1.02</w:t>
            </w:r>
          </w:p>
        </w:tc>
        <w:tc>
          <w:tcPr>
            <w:tcW w:w="1253" w:type="dxa"/>
            <w:shd w:val="clear" w:color="auto" w:fill="auto"/>
            <w:vAlign w:val="center"/>
          </w:tcPr>
          <w:p>
            <w:pPr>
              <w:pStyle w:val="134"/>
            </w:pPr>
            <w:r>
              <w:t>1.04</w:t>
            </w:r>
          </w:p>
        </w:tc>
        <w:tc>
          <w:tcPr>
            <w:tcW w:w="1253" w:type="dxa"/>
            <w:shd w:val="clear" w:color="auto" w:fill="auto"/>
            <w:vAlign w:val="center"/>
          </w:tcPr>
          <w:p>
            <w:pPr>
              <w:pStyle w:val="134"/>
            </w:pPr>
            <w:r>
              <w:t>1.07</w:t>
            </w:r>
          </w:p>
        </w:tc>
        <w:tc>
          <w:tcPr>
            <w:tcW w:w="1253" w:type="dxa"/>
            <w:shd w:val="clear" w:color="auto" w:fill="auto"/>
            <w:vAlign w:val="center"/>
          </w:tcPr>
          <w:p>
            <w:pPr>
              <w:pStyle w:val="134"/>
            </w:pPr>
            <w:r>
              <w:t>1.06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240" w:type="dxa"/>
            <w:vMerge w:val="continue"/>
            <w:shd w:val="clear" w:color="auto" w:fill="auto"/>
            <w:vAlign w:val="center"/>
          </w:tcPr>
          <w:p>
            <w:pPr>
              <w:pStyle w:val="134"/>
            </w:pPr>
          </w:p>
        </w:tc>
        <w:tc>
          <w:tcPr>
            <w:tcW w:w="1241" w:type="dxa"/>
            <w:shd w:val="clear" w:color="auto" w:fill="auto"/>
            <w:vAlign w:val="center"/>
          </w:tcPr>
          <w:p>
            <w:pPr>
              <w:pStyle w:val="134"/>
            </w:pPr>
            <w:r>
              <w:t>2023.9.5</w:t>
            </w:r>
          </w:p>
        </w:tc>
        <w:tc>
          <w:tcPr>
            <w:tcW w:w="1241" w:type="dxa"/>
            <w:vMerge w:val="continue"/>
            <w:shd w:val="clear" w:color="auto" w:fill="auto"/>
            <w:vAlign w:val="center"/>
          </w:tcPr>
          <w:p>
            <w:pPr>
              <w:pStyle w:val="134"/>
            </w:pPr>
          </w:p>
        </w:tc>
        <w:tc>
          <w:tcPr>
            <w:tcW w:w="1253" w:type="dxa"/>
            <w:shd w:val="clear" w:color="auto" w:fill="auto"/>
            <w:vAlign w:val="center"/>
          </w:tcPr>
          <w:p>
            <w:pPr>
              <w:pStyle w:val="134"/>
            </w:pPr>
            <w:r>
              <w:t>0.69</w:t>
            </w:r>
          </w:p>
        </w:tc>
        <w:tc>
          <w:tcPr>
            <w:tcW w:w="1253" w:type="dxa"/>
            <w:shd w:val="clear" w:color="auto" w:fill="auto"/>
            <w:vAlign w:val="center"/>
          </w:tcPr>
          <w:p>
            <w:pPr>
              <w:pStyle w:val="134"/>
            </w:pPr>
            <w:r>
              <w:t>0.70</w:t>
            </w:r>
          </w:p>
        </w:tc>
        <w:tc>
          <w:tcPr>
            <w:tcW w:w="1253" w:type="dxa"/>
            <w:shd w:val="clear" w:color="auto" w:fill="auto"/>
            <w:vAlign w:val="center"/>
          </w:tcPr>
          <w:p>
            <w:pPr>
              <w:pStyle w:val="134"/>
            </w:pPr>
            <w:r>
              <w:t>0.76</w:t>
            </w:r>
          </w:p>
        </w:tc>
        <w:tc>
          <w:tcPr>
            <w:tcW w:w="1253" w:type="dxa"/>
            <w:shd w:val="clear" w:color="auto" w:fill="auto"/>
            <w:vAlign w:val="center"/>
          </w:tcPr>
          <w:p>
            <w:pPr>
              <w:pStyle w:val="134"/>
            </w:pPr>
            <w:r>
              <w:t>0.74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240" w:type="dxa"/>
            <w:vMerge w:val="continue"/>
            <w:shd w:val="clear" w:color="auto" w:fill="auto"/>
            <w:vAlign w:val="center"/>
          </w:tcPr>
          <w:p>
            <w:pPr>
              <w:pStyle w:val="134"/>
            </w:pPr>
          </w:p>
        </w:tc>
        <w:tc>
          <w:tcPr>
            <w:tcW w:w="1241" w:type="dxa"/>
            <w:shd w:val="clear" w:color="auto" w:fill="auto"/>
            <w:vAlign w:val="center"/>
          </w:tcPr>
          <w:p>
            <w:pPr>
              <w:pStyle w:val="134"/>
            </w:pPr>
            <w:r>
              <w:t>2023.9.6</w:t>
            </w:r>
          </w:p>
        </w:tc>
        <w:tc>
          <w:tcPr>
            <w:tcW w:w="1241" w:type="dxa"/>
            <w:vMerge w:val="continue"/>
            <w:shd w:val="clear" w:color="auto" w:fill="auto"/>
            <w:vAlign w:val="center"/>
          </w:tcPr>
          <w:p>
            <w:pPr>
              <w:pStyle w:val="134"/>
            </w:pPr>
          </w:p>
        </w:tc>
        <w:tc>
          <w:tcPr>
            <w:tcW w:w="1253" w:type="dxa"/>
            <w:shd w:val="clear" w:color="auto" w:fill="auto"/>
            <w:vAlign w:val="center"/>
          </w:tcPr>
          <w:p>
            <w:pPr>
              <w:pStyle w:val="134"/>
            </w:pPr>
            <w:r>
              <w:t>1.08</w:t>
            </w:r>
          </w:p>
        </w:tc>
        <w:tc>
          <w:tcPr>
            <w:tcW w:w="1253" w:type="dxa"/>
            <w:shd w:val="clear" w:color="auto" w:fill="auto"/>
            <w:vAlign w:val="center"/>
          </w:tcPr>
          <w:p>
            <w:pPr>
              <w:pStyle w:val="134"/>
            </w:pPr>
            <w:r>
              <w:t>1.08</w:t>
            </w:r>
          </w:p>
        </w:tc>
        <w:tc>
          <w:tcPr>
            <w:tcW w:w="1253" w:type="dxa"/>
            <w:shd w:val="clear" w:color="auto" w:fill="auto"/>
            <w:vAlign w:val="center"/>
          </w:tcPr>
          <w:p>
            <w:pPr>
              <w:pStyle w:val="134"/>
            </w:pPr>
            <w:r>
              <w:t>0.86</w:t>
            </w:r>
          </w:p>
        </w:tc>
        <w:tc>
          <w:tcPr>
            <w:tcW w:w="1253" w:type="dxa"/>
            <w:shd w:val="clear" w:color="auto" w:fill="auto"/>
            <w:vAlign w:val="center"/>
          </w:tcPr>
          <w:p>
            <w:pPr>
              <w:pStyle w:val="134"/>
            </w:pPr>
            <w:r>
              <w:t>0.88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240" w:type="dxa"/>
            <w:vMerge w:val="continue"/>
            <w:shd w:val="clear" w:color="auto" w:fill="auto"/>
            <w:vAlign w:val="center"/>
          </w:tcPr>
          <w:p>
            <w:pPr>
              <w:pStyle w:val="134"/>
            </w:pPr>
          </w:p>
        </w:tc>
        <w:tc>
          <w:tcPr>
            <w:tcW w:w="1241" w:type="dxa"/>
            <w:shd w:val="clear" w:color="auto" w:fill="auto"/>
            <w:vAlign w:val="center"/>
          </w:tcPr>
          <w:p>
            <w:pPr>
              <w:pStyle w:val="134"/>
            </w:pPr>
            <w:r>
              <w:t>2023.9.7</w:t>
            </w:r>
          </w:p>
        </w:tc>
        <w:tc>
          <w:tcPr>
            <w:tcW w:w="1241" w:type="dxa"/>
            <w:vMerge w:val="continue"/>
            <w:shd w:val="clear" w:color="auto" w:fill="auto"/>
            <w:vAlign w:val="center"/>
          </w:tcPr>
          <w:p>
            <w:pPr>
              <w:pStyle w:val="134"/>
            </w:pPr>
          </w:p>
        </w:tc>
        <w:tc>
          <w:tcPr>
            <w:tcW w:w="1253" w:type="dxa"/>
            <w:shd w:val="clear" w:color="auto" w:fill="auto"/>
            <w:vAlign w:val="center"/>
          </w:tcPr>
          <w:p>
            <w:pPr>
              <w:pStyle w:val="134"/>
            </w:pPr>
            <w:r>
              <w:t>0.78</w:t>
            </w:r>
          </w:p>
        </w:tc>
        <w:tc>
          <w:tcPr>
            <w:tcW w:w="1253" w:type="dxa"/>
            <w:shd w:val="clear" w:color="auto" w:fill="auto"/>
            <w:vAlign w:val="center"/>
          </w:tcPr>
          <w:p>
            <w:pPr>
              <w:pStyle w:val="134"/>
            </w:pPr>
            <w:r>
              <w:t>0.75</w:t>
            </w:r>
          </w:p>
        </w:tc>
        <w:tc>
          <w:tcPr>
            <w:tcW w:w="1253" w:type="dxa"/>
            <w:shd w:val="clear" w:color="auto" w:fill="auto"/>
            <w:vAlign w:val="center"/>
          </w:tcPr>
          <w:p>
            <w:pPr>
              <w:pStyle w:val="134"/>
            </w:pPr>
            <w:r>
              <w:t>0.88</w:t>
            </w:r>
          </w:p>
        </w:tc>
        <w:tc>
          <w:tcPr>
            <w:tcW w:w="1253" w:type="dxa"/>
            <w:shd w:val="clear" w:color="auto" w:fill="auto"/>
            <w:vAlign w:val="center"/>
          </w:tcPr>
          <w:p>
            <w:pPr>
              <w:pStyle w:val="134"/>
            </w:pPr>
            <w:r>
              <w:t>0.88</w:t>
            </w:r>
          </w:p>
        </w:tc>
      </w:tr>
    </w:tbl>
    <w:p>
      <w:pPr>
        <w:pStyle w:val="39"/>
        <w:rPr>
          <w:rStyle w:val="536"/>
          <w:rFonts w:cs="Times New Roman"/>
          <w:sz w:val="21"/>
        </w:rPr>
      </w:pPr>
      <w:r>
        <w:rPr>
          <w:rStyle w:val="536"/>
          <w:rFonts w:cs="Times New Roman"/>
          <w:sz w:val="21"/>
        </w:rPr>
        <w:t>表5.3-2  环境空气质量现状监测结果 单位：mg/m</w:t>
      </w:r>
      <w:r>
        <w:rPr>
          <w:rStyle w:val="536"/>
          <w:rFonts w:cs="Times New Roman"/>
          <w:sz w:val="21"/>
          <w:vertAlign w:val="superscript"/>
        </w:rPr>
        <w:t>3</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294"/>
        <w:gridCol w:w="1089"/>
        <w:gridCol w:w="1379"/>
        <w:gridCol w:w="1408"/>
        <w:gridCol w:w="1352"/>
        <w:gridCol w:w="1132"/>
        <w:gridCol w:w="108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304" w:type="dxa"/>
            <w:tcBorders>
              <w:top w:val="single" w:color="auto" w:sz="12" w:space="0"/>
              <w:bottom w:val="single" w:color="auto" w:sz="2" w:space="0"/>
              <w:right w:val="single" w:color="auto" w:sz="2" w:space="0"/>
            </w:tcBorders>
            <w:shd w:val="clear" w:color="auto" w:fill="auto"/>
            <w:vAlign w:val="center"/>
          </w:tcPr>
          <w:p>
            <w:pPr>
              <w:pStyle w:val="134"/>
              <w:rPr>
                <w:b/>
                <w:bCs/>
              </w:rPr>
            </w:pPr>
            <w:r>
              <w:rPr>
                <w:b/>
                <w:bCs/>
              </w:rPr>
              <w:t>监测点位</w:t>
            </w:r>
          </w:p>
        </w:tc>
        <w:tc>
          <w:tcPr>
            <w:tcW w:w="1096" w:type="dxa"/>
            <w:tcBorders>
              <w:top w:val="single" w:color="auto" w:sz="12" w:space="0"/>
              <w:left w:val="single" w:color="auto" w:sz="2" w:space="0"/>
              <w:bottom w:val="single" w:color="auto" w:sz="2" w:space="0"/>
              <w:right w:val="single" w:color="auto" w:sz="2" w:space="0"/>
            </w:tcBorders>
            <w:shd w:val="clear" w:color="auto" w:fill="auto"/>
            <w:vAlign w:val="center"/>
          </w:tcPr>
          <w:p>
            <w:pPr>
              <w:pStyle w:val="134"/>
              <w:rPr>
                <w:b/>
                <w:bCs/>
                <w:szCs w:val="21"/>
              </w:rPr>
            </w:pPr>
            <w:r>
              <w:rPr>
                <w:b/>
                <w:bCs/>
                <w:szCs w:val="21"/>
              </w:rPr>
              <w:t>监测日期</w:t>
            </w:r>
          </w:p>
        </w:tc>
        <w:tc>
          <w:tcPr>
            <w:tcW w:w="1389" w:type="dxa"/>
            <w:tcBorders>
              <w:top w:val="single" w:color="auto" w:sz="12" w:space="0"/>
              <w:left w:val="single" w:color="auto" w:sz="2" w:space="0"/>
              <w:bottom w:val="single" w:color="auto" w:sz="2" w:space="0"/>
              <w:right w:val="single" w:color="auto" w:sz="2" w:space="0"/>
            </w:tcBorders>
            <w:shd w:val="clear" w:color="auto" w:fill="auto"/>
            <w:vAlign w:val="center"/>
          </w:tcPr>
          <w:p>
            <w:pPr>
              <w:pStyle w:val="134"/>
              <w:rPr>
                <w:b/>
                <w:bCs/>
                <w:szCs w:val="21"/>
              </w:rPr>
            </w:pPr>
            <w:r>
              <w:rPr>
                <w:b/>
                <w:bCs/>
                <w:szCs w:val="21"/>
              </w:rPr>
              <w:t>项目</w:t>
            </w:r>
          </w:p>
        </w:tc>
        <w:tc>
          <w:tcPr>
            <w:tcW w:w="1418" w:type="dxa"/>
            <w:tcBorders>
              <w:top w:val="single" w:color="auto" w:sz="12" w:space="0"/>
              <w:left w:val="single" w:color="auto" w:sz="2" w:space="0"/>
              <w:bottom w:val="single" w:color="auto" w:sz="2" w:space="0"/>
              <w:right w:val="single" w:color="auto" w:sz="2" w:space="0"/>
            </w:tcBorders>
            <w:shd w:val="clear" w:color="auto" w:fill="auto"/>
            <w:vAlign w:val="center"/>
          </w:tcPr>
          <w:p>
            <w:pPr>
              <w:pStyle w:val="134"/>
              <w:rPr>
                <w:b/>
                <w:bCs/>
              </w:rPr>
            </w:pPr>
            <w:r>
              <w:rPr>
                <w:b/>
                <w:bCs/>
              </w:rPr>
              <w:t>第一次</w:t>
            </w:r>
          </w:p>
        </w:tc>
        <w:tc>
          <w:tcPr>
            <w:tcW w:w="1362" w:type="dxa"/>
            <w:tcBorders>
              <w:top w:val="single" w:color="auto" w:sz="12" w:space="0"/>
              <w:left w:val="single" w:color="auto" w:sz="2" w:space="0"/>
              <w:bottom w:val="single" w:color="auto" w:sz="2" w:space="0"/>
              <w:right w:val="single" w:color="auto" w:sz="2" w:space="0"/>
            </w:tcBorders>
            <w:shd w:val="clear" w:color="auto" w:fill="auto"/>
            <w:vAlign w:val="center"/>
          </w:tcPr>
          <w:p>
            <w:pPr>
              <w:pStyle w:val="134"/>
              <w:rPr>
                <w:b/>
                <w:bCs/>
              </w:rPr>
            </w:pPr>
            <w:r>
              <w:rPr>
                <w:b/>
                <w:bCs/>
              </w:rPr>
              <w:t>第二次</w:t>
            </w:r>
          </w:p>
        </w:tc>
        <w:tc>
          <w:tcPr>
            <w:tcW w:w="1140" w:type="dxa"/>
            <w:tcBorders>
              <w:top w:val="single" w:color="auto" w:sz="12" w:space="0"/>
              <w:left w:val="single" w:color="auto" w:sz="2" w:space="0"/>
              <w:bottom w:val="single" w:color="auto" w:sz="2" w:space="0"/>
              <w:right w:val="single" w:color="auto" w:sz="2" w:space="0"/>
            </w:tcBorders>
            <w:shd w:val="clear" w:color="auto" w:fill="auto"/>
            <w:vAlign w:val="center"/>
          </w:tcPr>
          <w:p>
            <w:pPr>
              <w:pStyle w:val="134"/>
              <w:rPr>
                <w:b/>
                <w:bCs/>
              </w:rPr>
            </w:pPr>
            <w:r>
              <w:rPr>
                <w:b/>
                <w:bCs/>
              </w:rPr>
              <w:t>第三次</w:t>
            </w:r>
          </w:p>
        </w:tc>
        <w:tc>
          <w:tcPr>
            <w:tcW w:w="1087" w:type="dxa"/>
            <w:tcBorders>
              <w:top w:val="single" w:color="auto" w:sz="12" w:space="0"/>
              <w:left w:val="single" w:color="auto" w:sz="2" w:space="0"/>
              <w:bottom w:val="single" w:color="auto" w:sz="2" w:space="0"/>
            </w:tcBorders>
            <w:shd w:val="clear" w:color="auto" w:fill="auto"/>
            <w:vAlign w:val="center"/>
          </w:tcPr>
          <w:p>
            <w:pPr>
              <w:pStyle w:val="134"/>
              <w:rPr>
                <w:b/>
                <w:bCs/>
              </w:rPr>
            </w:pPr>
            <w:r>
              <w:rPr>
                <w:b/>
                <w:bCs/>
              </w:rPr>
              <w:t>第四次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304" w:type="dxa"/>
            <w:vMerge w:val="restart"/>
            <w:tcBorders>
              <w:top w:val="single" w:color="auto" w:sz="2" w:space="0"/>
              <w:bottom w:val="single" w:color="auto" w:sz="2" w:space="0"/>
              <w:right w:val="single" w:color="auto" w:sz="2" w:space="0"/>
            </w:tcBorders>
            <w:shd w:val="clear" w:color="auto" w:fill="auto"/>
            <w:vAlign w:val="center"/>
          </w:tcPr>
          <w:p>
            <w:pPr>
              <w:pStyle w:val="134"/>
            </w:pPr>
            <w:r>
              <w:rPr>
                <w:szCs w:val="21"/>
              </w:rPr>
              <w:t>集气站所在地HG1</w:t>
            </w:r>
            <w:r>
              <w:rPr>
                <w:bCs/>
                <w:szCs w:val="21"/>
              </w:rPr>
              <w:t>（</w:t>
            </w:r>
            <w:r>
              <w:rPr>
                <w:szCs w:val="21"/>
              </w:rPr>
              <w:t>位于本项目站场东北侧2000m</w:t>
            </w:r>
            <w:r>
              <w:rPr>
                <w:bCs/>
                <w:szCs w:val="21"/>
              </w:rPr>
              <w:t>）</w:t>
            </w:r>
          </w:p>
        </w:tc>
        <w:tc>
          <w:tcPr>
            <w:tcW w:w="1096"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4"/>
              <w:rPr>
                <w:szCs w:val="21"/>
                <w:highlight w:val="red"/>
              </w:rPr>
            </w:pPr>
            <w:r>
              <w:t>2023.9.1</w:t>
            </w:r>
          </w:p>
        </w:tc>
        <w:tc>
          <w:tcPr>
            <w:tcW w:w="1389"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pPr>
              <w:pStyle w:val="134"/>
              <w:rPr>
                <w:szCs w:val="21"/>
              </w:rPr>
            </w:pPr>
            <w:r>
              <w:rPr>
                <w:szCs w:val="21"/>
              </w:rPr>
              <w:t>硫化氢</w:t>
            </w: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4"/>
              <w:rPr>
                <w:szCs w:val="18"/>
              </w:rPr>
            </w:pPr>
            <w:r>
              <w:rPr>
                <w:szCs w:val="18"/>
              </w:rPr>
              <w:t>0.006</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4"/>
              <w:rPr>
                <w:szCs w:val="18"/>
              </w:rPr>
            </w:pPr>
            <w:r>
              <w:rPr>
                <w:szCs w:val="18"/>
              </w:rPr>
              <w:t>0.004</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4"/>
              <w:rPr>
                <w:szCs w:val="18"/>
              </w:rPr>
            </w:pPr>
            <w:r>
              <w:rPr>
                <w:szCs w:val="18"/>
              </w:rPr>
              <w:t>0.006</w:t>
            </w:r>
          </w:p>
        </w:tc>
        <w:tc>
          <w:tcPr>
            <w:tcW w:w="1087" w:type="dxa"/>
            <w:tcBorders>
              <w:top w:val="single" w:color="auto" w:sz="2" w:space="0"/>
              <w:left w:val="single" w:color="auto" w:sz="2" w:space="0"/>
              <w:bottom w:val="single" w:color="auto" w:sz="2" w:space="0"/>
            </w:tcBorders>
            <w:shd w:val="clear" w:color="auto" w:fill="auto"/>
            <w:vAlign w:val="center"/>
          </w:tcPr>
          <w:p>
            <w:pPr>
              <w:pStyle w:val="134"/>
              <w:rPr>
                <w:szCs w:val="18"/>
              </w:rPr>
            </w:pPr>
            <w:r>
              <w:rPr>
                <w:szCs w:val="18"/>
              </w:rPr>
              <w:t>0.007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304" w:type="dxa"/>
            <w:vMerge w:val="continue"/>
            <w:tcBorders>
              <w:top w:val="single" w:color="auto" w:sz="2" w:space="0"/>
              <w:bottom w:val="single" w:color="auto" w:sz="2" w:space="0"/>
              <w:right w:val="single" w:color="auto" w:sz="2" w:space="0"/>
            </w:tcBorders>
            <w:shd w:val="clear" w:color="auto" w:fill="auto"/>
            <w:vAlign w:val="center"/>
          </w:tcPr>
          <w:p>
            <w:pPr>
              <w:pStyle w:val="134"/>
            </w:pPr>
          </w:p>
        </w:tc>
        <w:tc>
          <w:tcPr>
            <w:tcW w:w="1096"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4"/>
              <w:rPr>
                <w:highlight w:val="red"/>
              </w:rPr>
            </w:pPr>
            <w:r>
              <w:t>2023.9.2</w:t>
            </w:r>
          </w:p>
        </w:tc>
        <w:tc>
          <w:tcPr>
            <w:tcW w:w="1389"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134"/>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4"/>
              <w:rPr>
                <w:szCs w:val="18"/>
              </w:rPr>
            </w:pPr>
            <w:r>
              <w:rPr>
                <w:szCs w:val="18"/>
              </w:rPr>
              <w:t>0.005</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4"/>
              <w:rPr>
                <w:szCs w:val="18"/>
              </w:rPr>
            </w:pPr>
            <w:r>
              <w:rPr>
                <w:szCs w:val="18"/>
              </w:rPr>
              <w:t>0.005</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4"/>
              <w:rPr>
                <w:szCs w:val="18"/>
              </w:rPr>
            </w:pPr>
            <w:r>
              <w:rPr>
                <w:szCs w:val="18"/>
              </w:rPr>
              <w:t>0.007</w:t>
            </w:r>
          </w:p>
        </w:tc>
        <w:tc>
          <w:tcPr>
            <w:tcW w:w="1087" w:type="dxa"/>
            <w:tcBorders>
              <w:top w:val="single" w:color="auto" w:sz="2" w:space="0"/>
              <w:left w:val="single" w:color="auto" w:sz="2" w:space="0"/>
              <w:bottom w:val="single" w:color="auto" w:sz="2" w:space="0"/>
            </w:tcBorders>
            <w:shd w:val="clear" w:color="auto" w:fill="auto"/>
            <w:vAlign w:val="center"/>
          </w:tcPr>
          <w:p>
            <w:pPr>
              <w:pStyle w:val="134"/>
              <w:rPr>
                <w:szCs w:val="18"/>
              </w:rPr>
            </w:pPr>
            <w:r>
              <w:rPr>
                <w:szCs w:val="18"/>
              </w:rPr>
              <w:t>0.005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304" w:type="dxa"/>
            <w:vMerge w:val="continue"/>
            <w:tcBorders>
              <w:top w:val="single" w:color="auto" w:sz="2" w:space="0"/>
              <w:bottom w:val="single" w:color="auto" w:sz="2" w:space="0"/>
              <w:right w:val="single" w:color="auto" w:sz="2" w:space="0"/>
            </w:tcBorders>
            <w:shd w:val="clear" w:color="auto" w:fill="auto"/>
            <w:vAlign w:val="center"/>
          </w:tcPr>
          <w:p>
            <w:pPr>
              <w:pStyle w:val="134"/>
            </w:pPr>
          </w:p>
        </w:tc>
        <w:tc>
          <w:tcPr>
            <w:tcW w:w="1096"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4"/>
              <w:rPr>
                <w:highlight w:val="red"/>
              </w:rPr>
            </w:pPr>
            <w:r>
              <w:t>2023.9.3</w:t>
            </w:r>
          </w:p>
        </w:tc>
        <w:tc>
          <w:tcPr>
            <w:tcW w:w="1389"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134"/>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4"/>
              <w:rPr>
                <w:szCs w:val="18"/>
              </w:rPr>
            </w:pPr>
            <w:r>
              <w:rPr>
                <w:szCs w:val="18"/>
              </w:rPr>
              <w:t>0.005</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4"/>
              <w:rPr>
                <w:szCs w:val="18"/>
              </w:rPr>
            </w:pPr>
            <w:r>
              <w:rPr>
                <w:szCs w:val="18"/>
              </w:rPr>
              <w:t>0.005</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4"/>
              <w:rPr>
                <w:szCs w:val="18"/>
              </w:rPr>
            </w:pPr>
            <w:r>
              <w:rPr>
                <w:szCs w:val="18"/>
              </w:rPr>
              <w:t>0.007</w:t>
            </w:r>
          </w:p>
        </w:tc>
        <w:tc>
          <w:tcPr>
            <w:tcW w:w="1087" w:type="dxa"/>
            <w:tcBorders>
              <w:top w:val="single" w:color="auto" w:sz="2" w:space="0"/>
              <w:left w:val="single" w:color="auto" w:sz="2" w:space="0"/>
              <w:bottom w:val="single" w:color="auto" w:sz="2" w:space="0"/>
            </w:tcBorders>
            <w:shd w:val="clear" w:color="auto" w:fill="auto"/>
            <w:vAlign w:val="center"/>
          </w:tcPr>
          <w:p>
            <w:pPr>
              <w:pStyle w:val="134"/>
              <w:rPr>
                <w:szCs w:val="18"/>
              </w:rPr>
            </w:pPr>
            <w:r>
              <w:rPr>
                <w:szCs w:val="18"/>
              </w:rPr>
              <w:t>0.006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304" w:type="dxa"/>
            <w:vMerge w:val="continue"/>
            <w:tcBorders>
              <w:top w:val="single" w:color="auto" w:sz="2" w:space="0"/>
              <w:bottom w:val="single" w:color="auto" w:sz="2" w:space="0"/>
              <w:right w:val="single" w:color="auto" w:sz="2" w:space="0"/>
            </w:tcBorders>
            <w:shd w:val="clear" w:color="auto" w:fill="auto"/>
            <w:vAlign w:val="center"/>
          </w:tcPr>
          <w:p>
            <w:pPr>
              <w:pStyle w:val="134"/>
            </w:pPr>
          </w:p>
        </w:tc>
        <w:tc>
          <w:tcPr>
            <w:tcW w:w="1096"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4"/>
              <w:rPr>
                <w:highlight w:val="red"/>
              </w:rPr>
            </w:pPr>
            <w:r>
              <w:t>2023.9.4</w:t>
            </w:r>
          </w:p>
        </w:tc>
        <w:tc>
          <w:tcPr>
            <w:tcW w:w="1389"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134"/>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4"/>
              <w:rPr>
                <w:szCs w:val="18"/>
              </w:rPr>
            </w:pPr>
            <w:r>
              <w:rPr>
                <w:szCs w:val="18"/>
              </w:rPr>
              <w:t>0.005</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4"/>
              <w:rPr>
                <w:szCs w:val="18"/>
              </w:rPr>
            </w:pPr>
            <w:r>
              <w:rPr>
                <w:szCs w:val="18"/>
              </w:rPr>
              <w:t>0.006</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4"/>
              <w:rPr>
                <w:szCs w:val="18"/>
              </w:rPr>
            </w:pPr>
            <w:r>
              <w:rPr>
                <w:szCs w:val="18"/>
              </w:rPr>
              <w:t>0.004</w:t>
            </w:r>
          </w:p>
        </w:tc>
        <w:tc>
          <w:tcPr>
            <w:tcW w:w="1087" w:type="dxa"/>
            <w:tcBorders>
              <w:top w:val="single" w:color="auto" w:sz="2" w:space="0"/>
              <w:left w:val="single" w:color="auto" w:sz="2" w:space="0"/>
              <w:bottom w:val="single" w:color="auto" w:sz="2" w:space="0"/>
            </w:tcBorders>
            <w:shd w:val="clear" w:color="auto" w:fill="auto"/>
            <w:vAlign w:val="center"/>
          </w:tcPr>
          <w:p>
            <w:pPr>
              <w:pStyle w:val="134"/>
              <w:rPr>
                <w:szCs w:val="18"/>
              </w:rPr>
            </w:pPr>
            <w:r>
              <w:rPr>
                <w:szCs w:val="18"/>
              </w:rPr>
              <w:t>0.005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304" w:type="dxa"/>
            <w:vMerge w:val="continue"/>
            <w:tcBorders>
              <w:top w:val="single" w:color="auto" w:sz="2" w:space="0"/>
              <w:bottom w:val="single" w:color="auto" w:sz="2" w:space="0"/>
              <w:right w:val="single" w:color="auto" w:sz="2" w:space="0"/>
            </w:tcBorders>
            <w:shd w:val="clear" w:color="auto" w:fill="auto"/>
            <w:vAlign w:val="center"/>
          </w:tcPr>
          <w:p>
            <w:pPr>
              <w:pStyle w:val="134"/>
            </w:pPr>
          </w:p>
        </w:tc>
        <w:tc>
          <w:tcPr>
            <w:tcW w:w="1096"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4"/>
              <w:rPr>
                <w:highlight w:val="red"/>
              </w:rPr>
            </w:pPr>
            <w:r>
              <w:t>2023.9.5</w:t>
            </w:r>
          </w:p>
        </w:tc>
        <w:tc>
          <w:tcPr>
            <w:tcW w:w="1389"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134"/>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4"/>
              <w:rPr>
                <w:szCs w:val="18"/>
              </w:rPr>
            </w:pPr>
            <w:r>
              <w:rPr>
                <w:szCs w:val="18"/>
              </w:rPr>
              <w:t>0.005</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4"/>
              <w:rPr>
                <w:szCs w:val="18"/>
              </w:rPr>
            </w:pPr>
            <w:r>
              <w:rPr>
                <w:szCs w:val="18"/>
              </w:rPr>
              <w:t>0.006</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4"/>
              <w:rPr>
                <w:szCs w:val="18"/>
              </w:rPr>
            </w:pPr>
            <w:r>
              <w:rPr>
                <w:szCs w:val="18"/>
              </w:rPr>
              <w:t>0.005</w:t>
            </w:r>
          </w:p>
        </w:tc>
        <w:tc>
          <w:tcPr>
            <w:tcW w:w="1087" w:type="dxa"/>
            <w:tcBorders>
              <w:top w:val="single" w:color="auto" w:sz="2" w:space="0"/>
              <w:left w:val="single" w:color="auto" w:sz="2" w:space="0"/>
              <w:bottom w:val="single" w:color="auto" w:sz="2" w:space="0"/>
            </w:tcBorders>
            <w:shd w:val="clear" w:color="auto" w:fill="auto"/>
            <w:vAlign w:val="center"/>
          </w:tcPr>
          <w:p>
            <w:pPr>
              <w:pStyle w:val="134"/>
              <w:rPr>
                <w:szCs w:val="18"/>
              </w:rPr>
            </w:pPr>
            <w:r>
              <w:rPr>
                <w:szCs w:val="18"/>
              </w:rPr>
              <w:t>0.006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304" w:type="dxa"/>
            <w:vMerge w:val="continue"/>
            <w:tcBorders>
              <w:top w:val="single" w:color="auto" w:sz="2" w:space="0"/>
              <w:bottom w:val="single" w:color="auto" w:sz="2" w:space="0"/>
              <w:right w:val="single" w:color="auto" w:sz="2" w:space="0"/>
            </w:tcBorders>
            <w:shd w:val="clear" w:color="auto" w:fill="auto"/>
            <w:vAlign w:val="center"/>
          </w:tcPr>
          <w:p>
            <w:pPr>
              <w:pStyle w:val="134"/>
            </w:pPr>
          </w:p>
        </w:tc>
        <w:tc>
          <w:tcPr>
            <w:tcW w:w="1096"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4"/>
              <w:rPr>
                <w:highlight w:val="red"/>
              </w:rPr>
            </w:pPr>
            <w:r>
              <w:t>2023.9.6</w:t>
            </w:r>
          </w:p>
        </w:tc>
        <w:tc>
          <w:tcPr>
            <w:tcW w:w="1389"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134"/>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4"/>
              <w:rPr>
                <w:szCs w:val="18"/>
              </w:rPr>
            </w:pPr>
            <w:r>
              <w:rPr>
                <w:szCs w:val="18"/>
              </w:rPr>
              <w:t>0.003</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4"/>
              <w:rPr>
                <w:szCs w:val="18"/>
              </w:rPr>
            </w:pPr>
            <w:r>
              <w:rPr>
                <w:szCs w:val="18"/>
              </w:rPr>
              <w:t>0.004</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4"/>
              <w:rPr>
                <w:szCs w:val="18"/>
              </w:rPr>
            </w:pPr>
            <w:r>
              <w:rPr>
                <w:szCs w:val="18"/>
              </w:rPr>
              <w:t>0.006</w:t>
            </w:r>
          </w:p>
        </w:tc>
        <w:tc>
          <w:tcPr>
            <w:tcW w:w="1087" w:type="dxa"/>
            <w:tcBorders>
              <w:top w:val="single" w:color="auto" w:sz="2" w:space="0"/>
              <w:left w:val="single" w:color="auto" w:sz="2" w:space="0"/>
              <w:bottom w:val="single" w:color="auto" w:sz="2" w:space="0"/>
            </w:tcBorders>
            <w:shd w:val="clear" w:color="auto" w:fill="auto"/>
            <w:vAlign w:val="center"/>
          </w:tcPr>
          <w:p>
            <w:pPr>
              <w:pStyle w:val="134"/>
              <w:rPr>
                <w:szCs w:val="18"/>
              </w:rPr>
            </w:pPr>
            <w:r>
              <w:rPr>
                <w:szCs w:val="18"/>
              </w:rPr>
              <w:t>0.005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304" w:type="dxa"/>
            <w:vMerge w:val="continue"/>
            <w:tcBorders>
              <w:top w:val="single" w:color="auto" w:sz="2" w:space="0"/>
              <w:bottom w:val="single" w:color="auto" w:sz="2" w:space="0"/>
              <w:right w:val="single" w:color="auto" w:sz="2" w:space="0"/>
            </w:tcBorders>
            <w:shd w:val="clear" w:color="auto" w:fill="auto"/>
            <w:vAlign w:val="center"/>
          </w:tcPr>
          <w:p>
            <w:pPr>
              <w:pStyle w:val="134"/>
            </w:pPr>
          </w:p>
        </w:tc>
        <w:tc>
          <w:tcPr>
            <w:tcW w:w="1096"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4"/>
              <w:rPr>
                <w:highlight w:val="red"/>
              </w:rPr>
            </w:pPr>
            <w:r>
              <w:t>2023.9.7</w:t>
            </w:r>
          </w:p>
        </w:tc>
        <w:tc>
          <w:tcPr>
            <w:tcW w:w="1389"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134"/>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4"/>
              <w:rPr>
                <w:szCs w:val="18"/>
              </w:rPr>
            </w:pPr>
            <w:r>
              <w:rPr>
                <w:szCs w:val="18"/>
              </w:rPr>
              <w:t>0.005</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4"/>
              <w:rPr>
                <w:szCs w:val="18"/>
              </w:rPr>
            </w:pPr>
            <w:r>
              <w:rPr>
                <w:szCs w:val="18"/>
              </w:rPr>
              <w:t>0.006</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4"/>
              <w:rPr>
                <w:szCs w:val="18"/>
              </w:rPr>
            </w:pPr>
            <w:r>
              <w:rPr>
                <w:szCs w:val="18"/>
              </w:rPr>
              <w:t>0.005</w:t>
            </w:r>
          </w:p>
        </w:tc>
        <w:tc>
          <w:tcPr>
            <w:tcW w:w="1087" w:type="dxa"/>
            <w:tcBorders>
              <w:top w:val="single" w:color="auto" w:sz="2" w:space="0"/>
              <w:left w:val="single" w:color="auto" w:sz="2" w:space="0"/>
              <w:bottom w:val="single" w:color="auto" w:sz="2" w:space="0"/>
            </w:tcBorders>
            <w:shd w:val="clear" w:color="auto" w:fill="auto"/>
            <w:vAlign w:val="center"/>
          </w:tcPr>
          <w:p>
            <w:pPr>
              <w:pStyle w:val="134"/>
              <w:rPr>
                <w:szCs w:val="18"/>
              </w:rPr>
            </w:pPr>
            <w:r>
              <w:rPr>
                <w:szCs w:val="18"/>
              </w:rPr>
              <w:t>0.007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8796" w:type="dxa"/>
            <w:gridSpan w:val="7"/>
            <w:tcBorders>
              <w:top w:val="single" w:color="auto" w:sz="2" w:space="0"/>
              <w:bottom w:val="single" w:color="auto" w:sz="12" w:space="0"/>
            </w:tcBorders>
            <w:shd w:val="clear" w:color="auto" w:fill="auto"/>
            <w:vAlign w:val="center"/>
          </w:tcPr>
          <w:p>
            <w:pPr>
              <w:pStyle w:val="134"/>
              <w:jc w:val="both"/>
              <w:rPr>
                <w:szCs w:val="18"/>
              </w:rPr>
            </w:pPr>
            <w:r>
              <w:rPr>
                <w:szCs w:val="18"/>
              </w:rPr>
              <w:t>备注：</w:t>
            </w:r>
            <w:r>
              <w:rPr>
                <w:szCs w:val="21"/>
              </w:rPr>
              <w:t>ND表示检测结果低于方法检出限或未检出</w:t>
            </w:r>
            <w:r>
              <w:rPr>
                <w:szCs w:val="18"/>
              </w:rPr>
              <w:t>。</w:t>
            </w:r>
          </w:p>
        </w:tc>
      </w:tr>
    </w:tbl>
    <w:p>
      <w:pPr>
        <w:pStyle w:val="39"/>
        <w:rPr>
          <w:rFonts w:cs="Times New Roman"/>
          <w:vertAlign w:val="superscript"/>
        </w:rPr>
      </w:pPr>
      <w:r>
        <w:rPr>
          <w:rFonts w:cs="Times New Roman"/>
        </w:rPr>
        <w:t>表5.3-3  环境空气质量现状及评价  单位：mg/m</w:t>
      </w:r>
      <w:r>
        <w:rPr>
          <w:rFonts w:cs="Times New Roman"/>
          <w:vertAlign w:val="superscript"/>
        </w:rPr>
        <w:t>3</w:t>
      </w:r>
    </w:p>
    <w:tbl>
      <w:tblPr>
        <w:tblStyle w:val="59"/>
        <w:tblW w:w="8791"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661"/>
        <w:gridCol w:w="735"/>
        <w:gridCol w:w="1290"/>
        <w:gridCol w:w="709"/>
        <w:gridCol w:w="1826"/>
        <w:gridCol w:w="1149"/>
        <w:gridCol w:w="700"/>
        <w:gridCol w:w="72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88" w:hRule="atLeast"/>
          <w:jc w:val="center"/>
        </w:trPr>
        <w:tc>
          <w:tcPr>
            <w:tcW w:w="1661" w:type="dxa"/>
            <w:vAlign w:val="center"/>
          </w:tcPr>
          <w:p>
            <w:pPr>
              <w:pStyle w:val="134"/>
              <w:rPr>
                <w:b/>
                <w:bCs/>
              </w:rPr>
            </w:pPr>
            <w:r>
              <w:rPr>
                <w:b/>
                <w:bCs/>
              </w:rPr>
              <w:t>监测点位</w:t>
            </w:r>
          </w:p>
        </w:tc>
        <w:tc>
          <w:tcPr>
            <w:tcW w:w="735" w:type="dxa"/>
            <w:vAlign w:val="center"/>
          </w:tcPr>
          <w:p>
            <w:pPr>
              <w:pStyle w:val="134"/>
              <w:rPr>
                <w:b/>
                <w:bCs/>
              </w:rPr>
            </w:pPr>
            <w:r>
              <w:rPr>
                <w:b/>
                <w:bCs/>
              </w:rPr>
              <w:t>采样时间</w:t>
            </w:r>
          </w:p>
        </w:tc>
        <w:tc>
          <w:tcPr>
            <w:tcW w:w="1290" w:type="dxa"/>
            <w:vAlign w:val="center"/>
          </w:tcPr>
          <w:p>
            <w:pPr>
              <w:pStyle w:val="134"/>
              <w:rPr>
                <w:b/>
                <w:bCs/>
              </w:rPr>
            </w:pPr>
            <w:r>
              <w:rPr>
                <w:b/>
                <w:bCs/>
              </w:rPr>
              <w:t>监测项目</w:t>
            </w:r>
          </w:p>
        </w:tc>
        <w:tc>
          <w:tcPr>
            <w:tcW w:w="709" w:type="dxa"/>
            <w:tcBorders>
              <w:left w:val="single" w:color="auto" w:sz="4" w:space="0"/>
            </w:tcBorders>
            <w:vAlign w:val="center"/>
          </w:tcPr>
          <w:p>
            <w:pPr>
              <w:pStyle w:val="134"/>
              <w:rPr>
                <w:b/>
                <w:bCs/>
              </w:rPr>
            </w:pPr>
            <w:r>
              <w:rPr>
                <w:b/>
                <w:bCs/>
              </w:rPr>
              <w:t>采样个数</w:t>
            </w:r>
          </w:p>
        </w:tc>
        <w:tc>
          <w:tcPr>
            <w:tcW w:w="1826" w:type="dxa"/>
            <w:tcBorders>
              <w:left w:val="single" w:color="auto" w:sz="4" w:space="0"/>
            </w:tcBorders>
            <w:vAlign w:val="center"/>
          </w:tcPr>
          <w:p>
            <w:pPr>
              <w:pStyle w:val="134"/>
              <w:rPr>
                <w:b/>
                <w:bCs/>
              </w:rPr>
            </w:pPr>
            <w:r>
              <w:rPr>
                <w:b/>
                <w:bCs/>
              </w:rPr>
              <w:t>浓度范围</w:t>
            </w:r>
          </w:p>
          <w:p>
            <w:pPr>
              <w:pStyle w:val="134"/>
              <w:rPr>
                <w:b/>
                <w:bCs/>
              </w:rPr>
            </w:pPr>
            <w:r>
              <w:rPr>
                <w:b/>
                <w:bCs/>
              </w:rPr>
              <w:t>m</w:t>
            </w:r>
            <w:r>
              <w:rPr>
                <w:b/>
                <w:bCs/>
                <w:lang w:val="zh-CN"/>
              </w:rPr>
              <w:t>g</w:t>
            </w:r>
            <w:r>
              <w:rPr>
                <w:b/>
                <w:bCs/>
              </w:rPr>
              <w:t>/m</w:t>
            </w:r>
            <w:r>
              <w:rPr>
                <w:b/>
                <w:bCs/>
                <w:vertAlign w:val="superscript"/>
              </w:rPr>
              <w:t>3</w:t>
            </w:r>
          </w:p>
        </w:tc>
        <w:tc>
          <w:tcPr>
            <w:tcW w:w="1149" w:type="dxa"/>
            <w:vAlign w:val="center"/>
          </w:tcPr>
          <w:p>
            <w:pPr>
              <w:pStyle w:val="134"/>
              <w:rPr>
                <w:b/>
                <w:bCs/>
              </w:rPr>
            </w:pPr>
            <w:r>
              <w:rPr>
                <w:b/>
                <w:bCs/>
              </w:rPr>
              <w:t>最大浓度占标率P</w:t>
            </w:r>
            <w:r>
              <w:rPr>
                <w:b/>
                <w:bCs/>
                <w:vertAlign w:val="subscript"/>
              </w:rPr>
              <w:t>i</w:t>
            </w:r>
          </w:p>
        </w:tc>
        <w:tc>
          <w:tcPr>
            <w:tcW w:w="700" w:type="dxa"/>
            <w:tcBorders>
              <w:left w:val="single" w:color="auto" w:sz="4" w:space="0"/>
            </w:tcBorders>
            <w:vAlign w:val="center"/>
          </w:tcPr>
          <w:p>
            <w:pPr>
              <w:pStyle w:val="134"/>
              <w:rPr>
                <w:b/>
                <w:bCs/>
              </w:rPr>
            </w:pPr>
            <w:r>
              <w:rPr>
                <w:b/>
                <w:bCs/>
              </w:rPr>
              <w:t>超标率</w:t>
            </w:r>
          </w:p>
        </w:tc>
        <w:tc>
          <w:tcPr>
            <w:tcW w:w="721" w:type="dxa"/>
            <w:tcBorders>
              <w:left w:val="single" w:color="auto" w:sz="4" w:space="0"/>
            </w:tcBorders>
            <w:vAlign w:val="center"/>
          </w:tcPr>
          <w:p>
            <w:pPr>
              <w:pStyle w:val="134"/>
              <w:rPr>
                <w:b/>
                <w:bCs/>
              </w:rPr>
            </w:pPr>
            <w:r>
              <w:rPr>
                <w:b/>
                <w:bCs/>
              </w:rPr>
              <w:t>达标</w:t>
            </w:r>
          </w:p>
          <w:p>
            <w:pPr>
              <w:pStyle w:val="134"/>
              <w:rPr>
                <w:b/>
                <w:bCs/>
              </w:rPr>
            </w:pPr>
            <w:r>
              <w:rPr>
                <w:b/>
                <w:bCs/>
              </w:rPr>
              <w:t>情况</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82" w:hRule="atLeast"/>
          <w:jc w:val="center"/>
        </w:trPr>
        <w:tc>
          <w:tcPr>
            <w:tcW w:w="1661" w:type="dxa"/>
            <w:vMerge w:val="restart"/>
            <w:vAlign w:val="center"/>
          </w:tcPr>
          <w:p>
            <w:pPr>
              <w:pStyle w:val="134"/>
            </w:pPr>
            <w:r>
              <w:rPr>
                <w:szCs w:val="21"/>
              </w:rPr>
              <w:t>集气站所在地HG1</w:t>
            </w:r>
            <w:r>
              <w:rPr>
                <w:bCs/>
                <w:szCs w:val="21"/>
              </w:rPr>
              <w:t>（</w:t>
            </w:r>
            <w:r>
              <w:rPr>
                <w:szCs w:val="21"/>
              </w:rPr>
              <w:t>位于本项目站场东北侧2000m</w:t>
            </w:r>
            <w:r>
              <w:rPr>
                <w:bCs/>
                <w:szCs w:val="21"/>
              </w:rPr>
              <w:t>）</w:t>
            </w:r>
          </w:p>
        </w:tc>
        <w:tc>
          <w:tcPr>
            <w:tcW w:w="735" w:type="dxa"/>
            <w:vMerge w:val="restart"/>
            <w:vAlign w:val="center"/>
          </w:tcPr>
          <w:p>
            <w:pPr>
              <w:pStyle w:val="134"/>
            </w:pPr>
            <w:r>
              <w:t>2023.91~9.7</w:t>
            </w:r>
          </w:p>
        </w:tc>
        <w:tc>
          <w:tcPr>
            <w:tcW w:w="1290" w:type="dxa"/>
            <w:vAlign w:val="center"/>
          </w:tcPr>
          <w:p>
            <w:pPr>
              <w:pStyle w:val="134"/>
            </w:pPr>
            <w:r>
              <w:t>非甲烷总烃</w:t>
            </w:r>
          </w:p>
        </w:tc>
        <w:tc>
          <w:tcPr>
            <w:tcW w:w="709" w:type="dxa"/>
            <w:tcBorders>
              <w:left w:val="single" w:color="auto" w:sz="4" w:space="0"/>
            </w:tcBorders>
            <w:vAlign w:val="center"/>
          </w:tcPr>
          <w:p>
            <w:pPr>
              <w:pStyle w:val="134"/>
            </w:pPr>
            <w:r>
              <w:t>28</w:t>
            </w:r>
          </w:p>
        </w:tc>
        <w:tc>
          <w:tcPr>
            <w:tcW w:w="1826" w:type="dxa"/>
            <w:tcBorders>
              <w:left w:val="single" w:color="auto" w:sz="4" w:space="0"/>
            </w:tcBorders>
            <w:vAlign w:val="center"/>
          </w:tcPr>
          <w:p>
            <w:pPr>
              <w:pStyle w:val="134"/>
            </w:pPr>
            <w:r>
              <w:t>0.64~1.08</w:t>
            </w:r>
          </w:p>
        </w:tc>
        <w:tc>
          <w:tcPr>
            <w:tcW w:w="1149" w:type="dxa"/>
            <w:vAlign w:val="center"/>
          </w:tcPr>
          <w:p>
            <w:pPr>
              <w:pStyle w:val="134"/>
            </w:pPr>
            <w:r>
              <w:t>54%</w:t>
            </w:r>
          </w:p>
        </w:tc>
        <w:tc>
          <w:tcPr>
            <w:tcW w:w="700" w:type="dxa"/>
            <w:tcBorders>
              <w:left w:val="single" w:color="auto" w:sz="4" w:space="0"/>
            </w:tcBorders>
            <w:vAlign w:val="center"/>
          </w:tcPr>
          <w:p>
            <w:pPr>
              <w:pStyle w:val="134"/>
            </w:pPr>
            <w:r>
              <w:t>0</w:t>
            </w:r>
          </w:p>
        </w:tc>
        <w:tc>
          <w:tcPr>
            <w:tcW w:w="721" w:type="dxa"/>
            <w:tcBorders>
              <w:left w:val="single" w:color="auto" w:sz="4" w:space="0"/>
            </w:tcBorders>
            <w:vAlign w:val="center"/>
          </w:tcPr>
          <w:p>
            <w:pPr>
              <w:pStyle w:val="134"/>
            </w:pPr>
            <w:r>
              <w:rPr>
                <w:bCs/>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88" w:hRule="atLeast"/>
          <w:jc w:val="center"/>
        </w:trPr>
        <w:tc>
          <w:tcPr>
            <w:tcW w:w="1661" w:type="dxa"/>
            <w:vMerge w:val="continue"/>
            <w:vAlign w:val="center"/>
          </w:tcPr>
          <w:p>
            <w:pPr>
              <w:pStyle w:val="134"/>
            </w:pPr>
          </w:p>
        </w:tc>
        <w:tc>
          <w:tcPr>
            <w:tcW w:w="735" w:type="dxa"/>
            <w:vMerge w:val="continue"/>
            <w:vAlign w:val="center"/>
          </w:tcPr>
          <w:p>
            <w:pPr>
              <w:pStyle w:val="134"/>
            </w:pPr>
          </w:p>
        </w:tc>
        <w:tc>
          <w:tcPr>
            <w:tcW w:w="1290" w:type="dxa"/>
            <w:vAlign w:val="center"/>
          </w:tcPr>
          <w:p>
            <w:pPr>
              <w:pStyle w:val="134"/>
            </w:pPr>
            <w:r>
              <w:t>硫化氢</w:t>
            </w:r>
          </w:p>
        </w:tc>
        <w:tc>
          <w:tcPr>
            <w:tcW w:w="709" w:type="dxa"/>
            <w:tcBorders>
              <w:left w:val="single" w:color="auto" w:sz="4" w:space="0"/>
            </w:tcBorders>
            <w:vAlign w:val="center"/>
          </w:tcPr>
          <w:p>
            <w:pPr>
              <w:pStyle w:val="134"/>
            </w:pPr>
            <w:r>
              <w:t>28</w:t>
            </w:r>
          </w:p>
        </w:tc>
        <w:tc>
          <w:tcPr>
            <w:tcW w:w="1826" w:type="dxa"/>
            <w:tcBorders>
              <w:left w:val="single" w:color="auto" w:sz="4" w:space="0"/>
            </w:tcBorders>
            <w:vAlign w:val="center"/>
          </w:tcPr>
          <w:p>
            <w:pPr>
              <w:pStyle w:val="134"/>
            </w:pPr>
            <w:r>
              <w:t>0.005~~0.007</w:t>
            </w:r>
          </w:p>
        </w:tc>
        <w:tc>
          <w:tcPr>
            <w:tcW w:w="1149" w:type="dxa"/>
            <w:vAlign w:val="center"/>
          </w:tcPr>
          <w:p>
            <w:pPr>
              <w:pStyle w:val="134"/>
            </w:pPr>
            <w:r>
              <w:rPr>
                <w:szCs w:val="21"/>
              </w:rPr>
              <w:t>70%</w:t>
            </w:r>
          </w:p>
        </w:tc>
        <w:tc>
          <w:tcPr>
            <w:tcW w:w="700" w:type="dxa"/>
            <w:tcBorders>
              <w:left w:val="single" w:color="auto" w:sz="4" w:space="0"/>
            </w:tcBorders>
            <w:vAlign w:val="center"/>
          </w:tcPr>
          <w:p>
            <w:pPr>
              <w:pStyle w:val="134"/>
            </w:pPr>
            <w:r>
              <w:t>0</w:t>
            </w:r>
          </w:p>
        </w:tc>
        <w:tc>
          <w:tcPr>
            <w:tcW w:w="721" w:type="dxa"/>
            <w:tcBorders>
              <w:left w:val="single" w:color="auto" w:sz="4" w:space="0"/>
            </w:tcBorders>
            <w:vAlign w:val="center"/>
          </w:tcPr>
          <w:p>
            <w:pPr>
              <w:pStyle w:val="134"/>
              <w:rPr>
                <w:bCs/>
              </w:rPr>
            </w:pPr>
            <w:r>
              <w:rPr>
                <w:bCs/>
              </w:rPr>
              <w:t>达标</w:t>
            </w:r>
          </w:p>
        </w:tc>
      </w:tr>
    </w:tbl>
    <w:p>
      <w:pPr>
        <w:pStyle w:val="114"/>
        <w:ind w:firstLine="480"/>
        <w:rPr>
          <w:lang w:val="zh-TW"/>
        </w:rPr>
      </w:pPr>
      <w:r>
        <w:rPr>
          <w:lang w:val="zh-TW"/>
        </w:rPr>
        <w:t>评价结论：本项目拟建地环境空气中特征污染物</w:t>
      </w:r>
      <w:r>
        <w:t>非甲烷总烃满足《大气污染物综合排放标准详解》浓度限值，</w:t>
      </w:r>
      <w:r>
        <w:rPr>
          <w:lang w:val="zh-TW"/>
        </w:rPr>
        <w:t>硫化氢现状监测值均低于《环境影响评价技术导则</w:t>
      </w:r>
      <w:r>
        <w:rPr>
          <w:rFonts w:hint="eastAsia"/>
        </w:rPr>
        <w:t xml:space="preserve"> </w:t>
      </w:r>
      <w:r>
        <w:rPr>
          <w:lang w:val="zh-TW"/>
        </w:rPr>
        <w:t>大气环境》（HJ2.2-2018）中附录D标准限值。</w:t>
      </w:r>
    </w:p>
    <w:p>
      <w:pPr>
        <w:pStyle w:val="3"/>
        <w:spacing w:before="120"/>
        <w:rPr>
          <w:rFonts w:cs="Times New Roman"/>
        </w:rPr>
      </w:pPr>
      <w:bookmarkStart w:id="416" w:name="_Toc12288562"/>
      <w:bookmarkStart w:id="417" w:name="_Toc18315"/>
      <w:bookmarkStart w:id="418" w:name="_Toc19816015"/>
      <w:r>
        <w:rPr>
          <w:rFonts w:cs="Times New Roman"/>
        </w:rPr>
        <w:t>5.4 地表水环境质量现状与评价</w:t>
      </w:r>
      <w:bookmarkEnd w:id="416"/>
      <w:bookmarkEnd w:id="417"/>
      <w:bookmarkEnd w:id="418"/>
    </w:p>
    <w:p>
      <w:pPr>
        <w:pStyle w:val="6"/>
        <w:ind w:firstLine="480"/>
        <w:rPr>
          <w:rFonts w:ascii="Times New Roman" w:cs="Times New Roman"/>
        </w:rPr>
      </w:pPr>
      <w:r>
        <w:rPr>
          <w:rFonts w:ascii="Times New Roman" w:cs="Times New Roman"/>
        </w:rPr>
        <w:t>根据《环境影响评价技术导则 地表水环境》（HJ2.3-2018）要求，水环境质量现状调查应优先采用生态环境保护主管部门统一发布的水环境质量状况信息。2023年7月达州市35个河流断面中，优（Ⅰ～Ⅱ类）良（Ⅲ类）水质断面35个，占比100%，其中优（Ⅰ～Ⅱ类）水质断面占比 45.7%。本次区域地表水质量现状引用达州市生态环境局发布的《2023年7月达州市地表水水质月报》，详见下表。</w:t>
      </w:r>
    </w:p>
    <w:p>
      <w:pPr>
        <w:pStyle w:val="39"/>
        <w:rPr>
          <w:rFonts w:cs="Times New Roman"/>
        </w:rPr>
      </w:pPr>
      <w:r>
        <w:rPr>
          <w:rFonts w:cs="Times New Roman"/>
        </w:rPr>
        <w:t>表5.4-1   2023年7月达州市</w:t>
      </w:r>
      <w:r>
        <w:rPr>
          <w:rFonts w:hint="eastAsia" w:cs="Times New Roman"/>
          <w:lang w:val="en-US" w:eastAsia="zh-CN"/>
        </w:rPr>
        <w:t>州河</w:t>
      </w:r>
      <w:r>
        <w:rPr>
          <w:rFonts w:cs="Times New Roman"/>
        </w:rPr>
        <w:t>水系地表水水质评价结果表</w:t>
      </w:r>
    </w:p>
    <w:tbl>
      <w:tblPr>
        <w:tblStyle w:val="60"/>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485"/>
        <w:gridCol w:w="485"/>
        <w:gridCol w:w="970"/>
        <w:gridCol w:w="970"/>
        <w:gridCol w:w="970"/>
        <w:gridCol w:w="970"/>
        <w:gridCol w:w="971"/>
        <w:gridCol w:w="971"/>
        <w:gridCol w:w="9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70" w:type="dxa"/>
            <w:tcBorders>
              <w:tl2br w:val="nil"/>
              <w:tr2bl w:val="nil"/>
            </w:tcBorders>
            <w:vAlign w:val="center"/>
          </w:tcPr>
          <w:p>
            <w:pPr>
              <w:pStyle w:val="134"/>
            </w:pPr>
            <w:r>
              <w:t>序号</w:t>
            </w:r>
          </w:p>
        </w:tc>
        <w:tc>
          <w:tcPr>
            <w:tcW w:w="970" w:type="dxa"/>
            <w:gridSpan w:val="2"/>
            <w:tcBorders>
              <w:tl2br w:val="nil"/>
              <w:tr2bl w:val="nil"/>
            </w:tcBorders>
            <w:vAlign w:val="center"/>
          </w:tcPr>
          <w:p>
            <w:pPr>
              <w:pStyle w:val="134"/>
            </w:pPr>
            <w:r>
              <w:t>河流名称</w:t>
            </w:r>
          </w:p>
        </w:tc>
        <w:tc>
          <w:tcPr>
            <w:tcW w:w="970" w:type="dxa"/>
            <w:tcBorders>
              <w:tl2br w:val="nil"/>
              <w:tr2bl w:val="nil"/>
            </w:tcBorders>
            <w:vAlign w:val="center"/>
          </w:tcPr>
          <w:p>
            <w:pPr>
              <w:pStyle w:val="134"/>
            </w:pPr>
            <w:r>
              <w:t>监测断面</w:t>
            </w:r>
          </w:p>
        </w:tc>
        <w:tc>
          <w:tcPr>
            <w:tcW w:w="970" w:type="dxa"/>
            <w:tcBorders>
              <w:tl2br w:val="nil"/>
              <w:tr2bl w:val="nil"/>
            </w:tcBorders>
            <w:vAlign w:val="center"/>
          </w:tcPr>
          <w:p>
            <w:pPr>
              <w:pStyle w:val="134"/>
            </w:pPr>
            <w:r>
              <w:t>交界情况</w:t>
            </w:r>
          </w:p>
        </w:tc>
        <w:tc>
          <w:tcPr>
            <w:tcW w:w="970" w:type="dxa"/>
            <w:tcBorders>
              <w:tl2br w:val="nil"/>
              <w:tr2bl w:val="nil"/>
            </w:tcBorders>
            <w:vAlign w:val="center"/>
          </w:tcPr>
          <w:p>
            <w:pPr>
              <w:pStyle w:val="134"/>
            </w:pPr>
            <w:r>
              <w:t>断面性质</w:t>
            </w:r>
          </w:p>
        </w:tc>
        <w:tc>
          <w:tcPr>
            <w:tcW w:w="970" w:type="dxa"/>
            <w:tcBorders>
              <w:tl2br w:val="nil"/>
              <w:tr2bl w:val="nil"/>
            </w:tcBorders>
            <w:vAlign w:val="center"/>
          </w:tcPr>
          <w:p>
            <w:pPr>
              <w:pStyle w:val="134"/>
            </w:pPr>
            <w:r>
              <w:t>上年同期</w:t>
            </w:r>
          </w:p>
        </w:tc>
        <w:tc>
          <w:tcPr>
            <w:tcW w:w="971" w:type="dxa"/>
            <w:tcBorders>
              <w:tl2br w:val="nil"/>
              <w:tr2bl w:val="nil"/>
            </w:tcBorders>
            <w:vAlign w:val="center"/>
          </w:tcPr>
          <w:p>
            <w:pPr>
              <w:pStyle w:val="134"/>
            </w:pPr>
            <w:r>
              <w:t>上月类别</w:t>
            </w:r>
          </w:p>
        </w:tc>
        <w:tc>
          <w:tcPr>
            <w:tcW w:w="971" w:type="dxa"/>
            <w:tcBorders>
              <w:tl2br w:val="nil"/>
              <w:tr2bl w:val="nil"/>
            </w:tcBorders>
            <w:vAlign w:val="center"/>
          </w:tcPr>
          <w:p>
            <w:pPr>
              <w:pStyle w:val="134"/>
            </w:pPr>
            <w:r>
              <w:t>本月类别</w:t>
            </w:r>
          </w:p>
        </w:tc>
        <w:tc>
          <w:tcPr>
            <w:tcW w:w="972" w:type="dxa"/>
            <w:tcBorders>
              <w:tl2br w:val="nil"/>
              <w:tr2bl w:val="nil"/>
            </w:tcBorders>
            <w:vAlign w:val="center"/>
          </w:tcPr>
          <w:p>
            <w:pPr>
              <w:pStyle w:val="134"/>
            </w:pPr>
            <w:r>
              <w:t>本月主要污染指标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70" w:type="dxa"/>
            <w:tcBorders>
              <w:tl2br w:val="nil"/>
              <w:tr2bl w:val="nil"/>
            </w:tcBorders>
            <w:vAlign w:val="center"/>
          </w:tcPr>
          <w:p>
            <w:pPr>
              <w:pStyle w:val="134"/>
            </w:pPr>
            <w:r>
              <w:t>1</w:t>
            </w:r>
          </w:p>
        </w:tc>
        <w:tc>
          <w:tcPr>
            <w:tcW w:w="485" w:type="dxa"/>
            <w:tcBorders>
              <w:tl2br w:val="nil"/>
              <w:tr2bl w:val="nil"/>
            </w:tcBorders>
            <w:vAlign w:val="center"/>
          </w:tcPr>
          <w:p>
            <w:pPr>
              <w:pStyle w:val="134"/>
            </w:pPr>
            <w:r>
              <w:t>州河水系</w:t>
            </w:r>
          </w:p>
        </w:tc>
        <w:tc>
          <w:tcPr>
            <w:tcW w:w="485" w:type="dxa"/>
            <w:tcBorders>
              <w:tl2br w:val="nil"/>
              <w:tr2bl w:val="nil"/>
            </w:tcBorders>
            <w:vAlign w:val="center"/>
          </w:tcPr>
          <w:p>
            <w:pPr>
              <w:pStyle w:val="134"/>
            </w:pPr>
            <w:r>
              <w:t>中河</w:t>
            </w:r>
          </w:p>
        </w:tc>
        <w:tc>
          <w:tcPr>
            <w:tcW w:w="970" w:type="dxa"/>
            <w:tcBorders>
              <w:tl2br w:val="nil"/>
              <w:tr2bl w:val="nil"/>
            </w:tcBorders>
            <w:vAlign w:val="center"/>
          </w:tcPr>
          <w:p>
            <w:pPr>
              <w:pStyle w:val="134"/>
            </w:pPr>
            <w:r>
              <w:t>普光</w:t>
            </w:r>
          </w:p>
        </w:tc>
        <w:tc>
          <w:tcPr>
            <w:tcW w:w="970" w:type="dxa"/>
            <w:tcBorders>
              <w:tl2br w:val="nil"/>
              <w:tr2bl w:val="nil"/>
            </w:tcBorders>
            <w:vAlign w:val="center"/>
          </w:tcPr>
          <w:p>
            <w:pPr>
              <w:pStyle w:val="134"/>
            </w:pPr>
            <w:r>
              <w:t>入河口（入后河）</w:t>
            </w:r>
          </w:p>
        </w:tc>
        <w:tc>
          <w:tcPr>
            <w:tcW w:w="970" w:type="dxa"/>
            <w:tcBorders>
              <w:tl2br w:val="nil"/>
              <w:tr2bl w:val="nil"/>
            </w:tcBorders>
            <w:vAlign w:val="center"/>
          </w:tcPr>
          <w:p>
            <w:pPr>
              <w:pStyle w:val="134"/>
            </w:pPr>
            <w:r>
              <w:t>省控趋 势科研</w:t>
            </w:r>
          </w:p>
        </w:tc>
        <w:tc>
          <w:tcPr>
            <w:tcW w:w="970" w:type="dxa"/>
            <w:tcBorders>
              <w:tl2br w:val="nil"/>
              <w:tr2bl w:val="nil"/>
            </w:tcBorders>
            <w:vAlign w:val="center"/>
          </w:tcPr>
          <w:p>
            <w:pPr>
              <w:pStyle w:val="134"/>
            </w:pPr>
            <w:r>
              <w:t>Ⅱ</w:t>
            </w:r>
          </w:p>
        </w:tc>
        <w:tc>
          <w:tcPr>
            <w:tcW w:w="971" w:type="dxa"/>
            <w:tcBorders>
              <w:tl2br w:val="nil"/>
              <w:tr2bl w:val="nil"/>
            </w:tcBorders>
            <w:vAlign w:val="center"/>
          </w:tcPr>
          <w:p>
            <w:pPr>
              <w:pStyle w:val="134"/>
            </w:pPr>
            <w:r>
              <w:t>Ⅲ</w:t>
            </w:r>
          </w:p>
        </w:tc>
        <w:tc>
          <w:tcPr>
            <w:tcW w:w="971" w:type="dxa"/>
            <w:tcBorders>
              <w:tl2br w:val="nil"/>
              <w:tr2bl w:val="nil"/>
            </w:tcBorders>
            <w:vAlign w:val="center"/>
          </w:tcPr>
          <w:p>
            <w:pPr>
              <w:pStyle w:val="134"/>
            </w:pPr>
            <w:r>
              <w:t>Ⅱ</w:t>
            </w:r>
          </w:p>
        </w:tc>
        <w:tc>
          <w:tcPr>
            <w:tcW w:w="972" w:type="dxa"/>
            <w:tcBorders>
              <w:tl2br w:val="nil"/>
              <w:tr2bl w:val="nil"/>
            </w:tcBorders>
            <w:vAlign w:val="center"/>
          </w:tcPr>
          <w:p>
            <w:pPr>
              <w:pStyle w:val="134"/>
            </w:pPr>
          </w:p>
        </w:tc>
      </w:tr>
    </w:tbl>
    <w:p>
      <w:pPr>
        <w:pStyle w:val="6"/>
        <w:ind w:firstLine="480"/>
        <w:rPr>
          <w:rFonts w:ascii="Times New Roman" w:cs="Times New Roman"/>
        </w:rPr>
      </w:pPr>
      <w:r>
        <w:rPr>
          <w:rFonts w:ascii="Times New Roman" w:cs="Times New Roman"/>
        </w:rPr>
        <w:t>根据现状调查，本项目所在地地表水为后河，属于Ⅲ类水域。由州市生态环境局发布的《2023年7月达州市地表水水质月报》可知，本项目所在区域普光检测断面满足Ⅲ类水质标准，项目所在区域水环境质量较好</w:t>
      </w:r>
    </w:p>
    <w:p>
      <w:pPr>
        <w:pStyle w:val="3"/>
        <w:spacing w:before="120"/>
        <w:rPr>
          <w:rFonts w:cs="Times New Roman"/>
        </w:rPr>
      </w:pPr>
      <w:bookmarkStart w:id="419" w:name="_Toc13022"/>
      <w:bookmarkStart w:id="420" w:name="_Toc12288568"/>
      <w:bookmarkStart w:id="421" w:name="_Toc19816016"/>
      <w:r>
        <w:rPr>
          <w:rFonts w:cs="Times New Roman"/>
        </w:rPr>
        <w:t>5.5 地下水环境质量现状与评价</w:t>
      </w:r>
      <w:bookmarkEnd w:id="419"/>
      <w:bookmarkEnd w:id="420"/>
      <w:bookmarkEnd w:id="421"/>
    </w:p>
    <w:p>
      <w:pPr>
        <w:topLinePunct w:val="0"/>
        <w:adjustRightInd/>
        <w:ind w:firstLine="0" w:firstLineChars="0"/>
        <w:outlineLvl w:val="2"/>
        <w:rPr>
          <w:rFonts w:ascii="Times New Roman" w:cs="Times New Roman"/>
          <w:b/>
          <w:bCs/>
          <w:color w:val="000000"/>
          <w:kern w:val="2"/>
          <w:szCs w:val="28"/>
        </w:rPr>
      </w:pPr>
      <w:r>
        <w:rPr>
          <w:rFonts w:ascii="Times New Roman" w:cs="Times New Roman"/>
          <w:b/>
          <w:bCs/>
          <w:color w:val="000000"/>
          <w:kern w:val="2"/>
          <w:szCs w:val="28"/>
        </w:rPr>
        <w:t>5.5.1常规检测</w:t>
      </w:r>
    </w:p>
    <w:p>
      <w:pPr>
        <w:pStyle w:val="6"/>
        <w:ind w:firstLine="480"/>
        <w:rPr>
          <w:rFonts w:ascii="Times New Roman" w:cs="Times New Roman"/>
        </w:rPr>
      </w:pPr>
      <w:r>
        <w:rPr>
          <w:rFonts w:ascii="Times New Roman" w:cs="Times New Roman"/>
        </w:rPr>
        <w:t>本次地下水环境质量现状委托四川省允诺信检测技术有限公司对周边地下水进行了现状监测。</w:t>
      </w:r>
    </w:p>
    <w:p>
      <w:pPr>
        <w:pStyle w:val="6"/>
        <w:ind w:firstLine="482"/>
        <w:rPr>
          <w:rFonts w:ascii="Times New Roman" w:cs="Times New Roman"/>
          <w:b/>
        </w:rPr>
      </w:pPr>
      <w:bookmarkStart w:id="422" w:name="_Toc12288569"/>
      <w:r>
        <w:rPr>
          <w:rFonts w:ascii="Times New Roman" w:cs="Times New Roman"/>
          <w:b/>
        </w:rPr>
        <w:t>1、监测断面布设</w:t>
      </w:r>
      <w:bookmarkEnd w:id="422"/>
    </w:p>
    <w:p>
      <w:pPr>
        <w:pStyle w:val="6"/>
        <w:ind w:firstLine="480"/>
        <w:rPr>
          <w:rFonts w:ascii="Times New Roman" w:cs="Times New Roman"/>
        </w:rPr>
      </w:pPr>
      <w:r>
        <w:rPr>
          <w:rFonts w:ascii="Times New Roman" w:cs="Times New Roman"/>
        </w:rPr>
        <w:t>根据工程情况，本次评价对项目所在地周边10个地下水监测点位进行了现在监测，具体位置见监测布点图。</w:t>
      </w:r>
    </w:p>
    <w:p>
      <w:pPr>
        <w:pStyle w:val="6"/>
        <w:ind w:firstLine="480"/>
        <w:rPr>
          <w:rFonts w:ascii="Times New Roman" w:cs="Times New Roman"/>
          <w:bCs/>
        </w:rPr>
      </w:pPr>
      <w:bookmarkStart w:id="423" w:name="_Hlk80556080"/>
      <w:r>
        <w:rPr>
          <w:rFonts w:ascii="Times New Roman" w:cs="Times New Roman"/>
          <w:bCs/>
        </w:rPr>
        <w:t>1#地下水监测点位于项目</w:t>
      </w:r>
      <w:r>
        <w:rPr>
          <w:rFonts w:hint="eastAsia" w:ascii="Times New Roman" w:cs="Times New Roman"/>
          <w:bCs/>
        </w:rPr>
        <w:t>北侧</w:t>
      </w:r>
      <w:r>
        <w:rPr>
          <w:rFonts w:ascii="Times New Roman" w:cs="Times New Roman"/>
          <w:bCs/>
        </w:rPr>
        <w:t>200m处</w:t>
      </w:r>
      <w:r>
        <w:rPr>
          <w:rFonts w:hint="eastAsia" w:ascii="Times New Roman" w:cs="Times New Roman"/>
          <w:bCs/>
        </w:rPr>
        <w:t>（上游）</w:t>
      </w:r>
      <w:r>
        <w:rPr>
          <w:rFonts w:ascii="Times New Roman" w:cs="Times New Roman"/>
          <w:bCs/>
        </w:rPr>
        <w:t>；</w:t>
      </w:r>
    </w:p>
    <w:p>
      <w:pPr>
        <w:pStyle w:val="6"/>
        <w:ind w:firstLine="480"/>
        <w:rPr>
          <w:rFonts w:ascii="Times New Roman" w:cs="Times New Roman"/>
          <w:bCs/>
        </w:rPr>
      </w:pPr>
      <w:r>
        <w:rPr>
          <w:rFonts w:ascii="Times New Roman" w:cs="Times New Roman"/>
          <w:bCs/>
        </w:rPr>
        <w:t>2#地下水监测点位于项目西北侧居民水井</w:t>
      </w:r>
      <w:r>
        <w:rPr>
          <w:rFonts w:hint="eastAsia" w:ascii="Times New Roman" w:cs="Times New Roman"/>
          <w:bCs/>
        </w:rPr>
        <w:t>（两侧）</w:t>
      </w:r>
      <w:r>
        <w:rPr>
          <w:rFonts w:ascii="Times New Roman" w:cs="Times New Roman"/>
          <w:bCs/>
        </w:rPr>
        <w:t>；</w:t>
      </w:r>
    </w:p>
    <w:p>
      <w:pPr>
        <w:pStyle w:val="6"/>
        <w:ind w:firstLine="480"/>
        <w:rPr>
          <w:rFonts w:ascii="Times New Roman" w:cs="Times New Roman"/>
          <w:bCs/>
        </w:rPr>
      </w:pPr>
      <w:r>
        <w:rPr>
          <w:rFonts w:ascii="Times New Roman" w:cs="Times New Roman"/>
          <w:bCs/>
        </w:rPr>
        <w:t>3#地下水监测点位于项目东侧约150m处</w:t>
      </w:r>
      <w:r>
        <w:rPr>
          <w:rFonts w:hint="eastAsia" w:ascii="Times New Roman" w:cs="Times New Roman"/>
          <w:bCs/>
        </w:rPr>
        <w:t>（两侧）</w:t>
      </w:r>
      <w:r>
        <w:rPr>
          <w:rFonts w:ascii="Times New Roman" w:cs="Times New Roman"/>
          <w:bCs/>
        </w:rPr>
        <w:t>；</w:t>
      </w:r>
    </w:p>
    <w:p>
      <w:pPr>
        <w:pStyle w:val="6"/>
        <w:ind w:firstLine="480"/>
        <w:rPr>
          <w:rFonts w:ascii="Times New Roman" w:cs="Times New Roman"/>
          <w:bCs/>
        </w:rPr>
      </w:pPr>
      <w:r>
        <w:rPr>
          <w:rFonts w:ascii="Times New Roman" w:cs="Times New Roman"/>
          <w:bCs/>
        </w:rPr>
        <w:t>4#地下水监测点位于项目东南侧居民水井</w:t>
      </w:r>
      <w:r>
        <w:rPr>
          <w:rFonts w:hint="eastAsia" w:ascii="Times New Roman" w:cs="Times New Roman"/>
          <w:bCs/>
        </w:rPr>
        <w:t>（下游）</w:t>
      </w:r>
      <w:r>
        <w:rPr>
          <w:rFonts w:ascii="Times New Roman" w:cs="Times New Roman"/>
          <w:bCs/>
        </w:rPr>
        <w:t>；</w:t>
      </w:r>
    </w:p>
    <w:p>
      <w:pPr>
        <w:pStyle w:val="6"/>
        <w:ind w:firstLine="480"/>
        <w:rPr>
          <w:rFonts w:ascii="Times New Roman" w:cs="Times New Roman"/>
        </w:rPr>
      </w:pPr>
      <w:r>
        <w:rPr>
          <w:rFonts w:ascii="Times New Roman" w:cs="Times New Roman"/>
          <w:bCs/>
        </w:rPr>
        <w:t>5#地下水监测点位于项目东南侧居民水井</w:t>
      </w:r>
      <w:r>
        <w:rPr>
          <w:rFonts w:hint="eastAsia" w:ascii="Times New Roman" w:cs="Times New Roman"/>
          <w:bCs/>
        </w:rPr>
        <w:t>（下游）</w:t>
      </w:r>
      <w:r>
        <w:rPr>
          <w:rFonts w:ascii="Times New Roman" w:cs="Times New Roman"/>
          <w:bCs/>
        </w:rPr>
        <w:t>；</w:t>
      </w:r>
    </w:p>
    <w:bookmarkEnd w:id="423"/>
    <w:p>
      <w:pPr>
        <w:pStyle w:val="6"/>
        <w:ind w:firstLine="482"/>
        <w:rPr>
          <w:rFonts w:ascii="Times New Roman" w:cs="Times New Roman"/>
          <w:b/>
          <w:bCs/>
        </w:rPr>
      </w:pPr>
      <w:r>
        <w:rPr>
          <w:rFonts w:ascii="Times New Roman" w:cs="Times New Roman"/>
          <w:b/>
          <w:bCs/>
        </w:rPr>
        <w:t>1#~5#为水质监测点；1#~10#为水位监测点。</w:t>
      </w:r>
    </w:p>
    <w:p>
      <w:pPr>
        <w:pStyle w:val="6"/>
        <w:ind w:firstLine="482"/>
        <w:rPr>
          <w:rFonts w:ascii="Times New Roman" w:cs="Times New Roman"/>
          <w:b/>
          <w:bCs/>
        </w:rPr>
      </w:pPr>
      <w:r>
        <w:rPr>
          <w:rFonts w:ascii="Times New Roman" w:cs="Times New Roman"/>
          <w:b/>
          <w:bCs/>
        </w:rPr>
        <w:t>2、监测项目</w:t>
      </w:r>
    </w:p>
    <w:p>
      <w:pPr>
        <w:pStyle w:val="114"/>
        <w:ind w:firstLine="480"/>
      </w:pPr>
      <w:r>
        <w:t>K</w:t>
      </w:r>
      <w:r>
        <w:rPr>
          <w:vertAlign w:val="superscript"/>
        </w:rPr>
        <w:t>+</w:t>
      </w:r>
      <w:r>
        <w:t>、Na</w:t>
      </w:r>
      <w:r>
        <w:rPr>
          <w:vertAlign w:val="superscript"/>
        </w:rPr>
        <w:t>+</w:t>
      </w:r>
      <w:r>
        <w:t>、Ca</w:t>
      </w:r>
      <w:r>
        <w:rPr>
          <w:vertAlign w:val="superscript"/>
        </w:rPr>
        <w:t>2+</w:t>
      </w:r>
      <w:r>
        <w:t>、Mg</w:t>
      </w:r>
      <w:r>
        <w:rPr>
          <w:vertAlign w:val="superscript"/>
        </w:rPr>
        <w:t>2+</w:t>
      </w:r>
      <w:r>
        <w:t>、CO</w:t>
      </w:r>
      <w:r>
        <w:rPr>
          <w:vertAlign w:val="subscript"/>
        </w:rPr>
        <w:t>3</w:t>
      </w:r>
      <w:r>
        <w:rPr>
          <w:vertAlign w:val="superscript"/>
        </w:rPr>
        <w:t>2-</w:t>
      </w:r>
      <w:r>
        <w:t>、HCO</w:t>
      </w:r>
      <w:r>
        <w:rPr>
          <w:vertAlign w:val="subscript"/>
        </w:rPr>
        <w:t>3</w:t>
      </w:r>
      <w:r>
        <w:rPr>
          <w:vertAlign w:val="superscript"/>
        </w:rPr>
        <w:t>-</w:t>
      </w:r>
      <w:r>
        <w:t>、Cl</w:t>
      </w:r>
      <w:r>
        <w:rPr>
          <w:vertAlign w:val="superscript"/>
        </w:rPr>
        <w:t>-</w:t>
      </w:r>
      <w:r>
        <w:t>、SO</w:t>
      </w:r>
      <w:r>
        <w:rPr>
          <w:vertAlign w:val="subscript"/>
        </w:rPr>
        <w:t>4</w:t>
      </w:r>
      <w:r>
        <w:rPr>
          <w:vertAlign w:val="superscript"/>
        </w:rPr>
        <w:t>2-</w:t>
      </w:r>
      <w:r>
        <w:t>；pH、氨氮、硝酸盐、亚硝酸盐、挥发性酚类、氰化物、砷、汞、铬（六价）、总硬度、铅、镉、铁、锰、溶解性总固体、耗氧量、硫酸盐、氯化物、菌落总数、氟化物、总大肠菌群、石油类、硫化物。</w:t>
      </w:r>
    </w:p>
    <w:p>
      <w:pPr>
        <w:pStyle w:val="114"/>
        <w:ind w:firstLine="482"/>
        <w:rPr>
          <w:b/>
          <w:bCs/>
        </w:rPr>
      </w:pPr>
      <w:r>
        <w:rPr>
          <w:b/>
          <w:bCs/>
        </w:rPr>
        <w:t>3、监测频次</w:t>
      </w:r>
    </w:p>
    <w:p>
      <w:pPr>
        <w:pStyle w:val="114"/>
        <w:ind w:firstLine="480"/>
      </w:pPr>
      <w:r>
        <w:t>监测1天，每天采样1次。</w:t>
      </w:r>
    </w:p>
    <w:p>
      <w:pPr>
        <w:pStyle w:val="114"/>
        <w:ind w:firstLine="482"/>
        <w:rPr>
          <w:b/>
          <w:bCs/>
        </w:rPr>
      </w:pPr>
      <w:bookmarkStart w:id="424" w:name="_Toc12288570"/>
      <w:r>
        <w:rPr>
          <w:b/>
          <w:bCs/>
        </w:rPr>
        <w:t>4、采样及分析方法</w:t>
      </w:r>
      <w:bookmarkEnd w:id="424"/>
    </w:p>
    <w:p>
      <w:pPr>
        <w:pStyle w:val="114"/>
        <w:ind w:firstLine="480"/>
      </w:pPr>
      <w:r>
        <w:t>采样及分析方法按国家有关规定进行。</w:t>
      </w:r>
    </w:p>
    <w:p>
      <w:pPr>
        <w:pStyle w:val="114"/>
        <w:ind w:firstLine="482"/>
        <w:rPr>
          <w:b/>
          <w:bCs/>
        </w:rPr>
      </w:pPr>
      <w:bookmarkStart w:id="425" w:name="_Toc12288571"/>
      <w:r>
        <w:rPr>
          <w:b/>
          <w:bCs/>
        </w:rPr>
        <w:t>5、评价标准</w:t>
      </w:r>
      <w:bookmarkEnd w:id="425"/>
    </w:p>
    <w:p>
      <w:pPr>
        <w:pStyle w:val="114"/>
        <w:ind w:firstLine="480"/>
      </w:pPr>
      <w:r>
        <w:t>地下水环境质量执行《地下水质量标准》（GB/T14848-2017）中Ⅲ类标准，其中石油类执行《地表水环境质量标准》（GB3838-2002）Ⅲ类标准要求。</w:t>
      </w:r>
      <w:bookmarkStart w:id="426" w:name="_Toc12288572"/>
    </w:p>
    <w:p>
      <w:pPr>
        <w:pStyle w:val="114"/>
        <w:ind w:firstLine="482"/>
        <w:rPr>
          <w:b/>
          <w:bCs/>
        </w:rPr>
      </w:pPr>
      <w:r>
        <w:rPr>
          <w:b/>
          <w:bCs/>
        </w:rPr>
        <w:t>6、评价方法</w:t>
      </w:r>
      <w:bookmarkEnd w:id="426"/>
    </w:p>
    <w:p>
      <w:pPr>
        <w:pStyle w:val="6"/>
        <w:ind w:firstLine="480"/>
        <w:rPr>
          <w:rFonts w:ascii="Times New Roman" w:cs="Times New Roman"/>
        </w:rPr>
      </w:pPr>
      <w:r>
        <w:rPr>
          <w:rFonts w:ascii="Times New Roman" w:cs="Times New Roman"/>
        </w:rPr>
        <w:t>根据《环境影响评价技术导则 地下水环境》（HJ610-2016），地下水环境质量现状评价方法采用标准指数法，除pH值外，其它水质参数的单项标准指数S</w:t>
      </w:r>
      <w:r>
        <w:rPr>
          <w:rFonts w:ascii="Times New Roman" w:cs="Times New Roman"/>
          <w:sz w:val="16"/>
          <w:szCs w:val="16"/>
        </w:rPr>
        <w:t>i</w:t>
      </w:r>
      <w:r>
        <w:rPr>
          <w:rFonts w:ascii="Times New Roman" w:cs="Times New Roman"/>
        </w:rPr>
        <w:t>为：</w:t>
      </w:r>
    </w:p>
    <w:p>
      <w:pPr>
        <w:pStyle w:val="6"/>
        <w:ind w:firstLine="0" w:firstLineChars="0"/>
        <w:jc w:val="center"/>
        <w:rPr>
          <w:rFonts w:ascii="Times New Roman" w:cs="Times New Roman"/>
          <w:sz w:val="16"/>
          <w:szCs w:val="16"/>
        </w:rPr>
      </w:pPr>
      <w:r>
        <w:rPr>
          <w:rFonts w:ascii="Times New Roman" w:cs="Times New Roman"/>
        </w:rPr>
        <w:t>S</w:t>
      </w:r>
      <w:r>
        <w:rPr>
          <w:rFonts w:ascii="Times New Roman" w:cs="Times New Roman"/>
          <w:sz w:val="16"/>
          <w:szCs w:val="16"/>
        </w:rPr>
        <w:t>i</w:t>
      </w:r>
      <w:r>
        <w:rPr>
          <w:rFonts w:ascii="Times New Roman" w:cs="Times New Roman"/>
        </w:rPr>
        <w:t>=C</w:t>
      </w:r>
      <w:r>
        <w:rPr>
          <w:rFonts w:ascii="Times New Roman" w:cs="Times New Roman"/>
          <w:sz w:val="16"/>
          <w:szCs w:val="16"/>
        </w:rPr>
        <w:t>i</w:t>
      </w:r>
      <w:r>
        <w:rPr>
          <w:rFonts w:ascii="Times New Roman" w:cs="Times New Roman"/>
        </w:rPr>
        <w:t>/C</w:t>
      </w:r>
      <w:r>
        <w:rPr>
          <w:rFonts w:ascii="Times New Roman" w:cs="Times New Roman"/>
          <w:sz w:val="16"/>
          <w:szCs w:val="16"/>
        </w:rPr>
        <w:t>0i</w:t>
      </w:r>
    </w:p>
    <w:p>
      <w:pPr>
        <w:pStyle w:val="6"/>
        <w:ind w:firstLine="480"/>
        <w:rPr>
          <w:rFonts w:ascii="Times New Roman" w:cs="Times New Roman"/>
        </w:rPr>
      </w:pPr>
      <w:r>
        <w:rPr>
          <w:rFonts w:ascii="Times New Roman" w:cs="Times New Roman"/>
        </w:rPr>
        <w:t>式中：C</w:t>
      </w:r>
      <w:r>
        <w:rPr>
          <w:rFonts w:ascii="Times New Roman" w:cs="Times New Roman"/>
          <w:sz w:val="16"/>
          <w:szCs w:val="16"/>
        </w:rPr>
        <w:t>i</w:t>
      </w:r>
      <w:r>
        <w:rPr>
          <w:rFonts w:ascii="Times New Roman" w:cs="Times New Roman"/>
        </w:rPr>
        <w:t>——第i种污染物实测浓度值，mg/L；</w:t>
      </w:r>
    </w:p>
    <w:p>
      <w:pPr>
        <w:pStyle w:val="6"/>
        <w:ind w:firstLine="1200" w:firstLineChars="500"/>
        <w:rPr>
          <w:rFonts w:ascii="Times New Roman" w:cs="Times New Roman"/>
        </w:rPr>
      </w:pPr>
      <w:r>
        <w:rPr>
          <w:rFonts w:ascii="Times New Roman" w:cs="Times New Roman"/>
        </w:rPr>
        <w:t>C</w:t>
      </w:r>
      <w:r>
        <w:rPr>
          <w:rFonts w:ascii="Times New Roman" w:cs="Times New Roman"/>
          <w:sz w:val="16"/>
          <w:szCs w:val="16"/>
        </w:rPr>
        <w:t>0i</w:t>
      </w:r>
      <w:r>
        <w:rPr>
          <w:rFonts w:ascii="Times New Roman" w:cs="Times New Roman"/>
        </w:rPr>
        <w:t>——第i种污染物在GB/T14848-2017中III类分类指标值，mg/L；</w:t>
      </w:r>
    </w:p>
    <w:p>
      <w:pPr>
        <w:pStyle w:val="6"/>
        <w:ind w:firstLine="1200" w:firstLineChars="500"/>
        <w:rPr>
          <w:rFonts w:ascii="Times New Roman" w:cs="Times New Roman"/>
        </w:rPr>
      </w:pPr>
      <w:r>
        <w:rPr>
          <w:rFonts w:ascii="Times New Roman" w:cs="Times New Roman"/>
        </w:rPr>
        <w:t>pH的标准指数S</w:t>
      </w:r>
      <w:r>
        <w:rPr>
          <w:rFonts w:ascii="Times New Roman" w:cs="Times New Roman"/>
          <w:sz w:val="16"/>
          <w:szCs w:val="16"/>
        </w:rPr>
        <w:t>pH</w:t>
      </w:r>
      <w:r>
        <w:rPr>
          <w:rFonts w:ascii="Times New Roman" w:cs="Times New Roman"/>
        </w:rPr>
        <w:t>为：</w:t>
      </w:r>
    </w:p>
    <w:p>
      <w:pPr>
        <w:pStyle w:val="6"/>
        <w:ind w:firstLine="480"/>
        <w:rPr>
          <w:rFonts w:ascii="Times New Roman" w:cs="Times New Roman"/>
        </w:rPr>
      </w:pPr>
      <w:r>
        <w:rPr>
          <w:rFonts w:ascii="Times New Roman" w:cs="Times New Roman"/>
        </w:rPr>
        <w:t>当pH≤7.0</w:t>
      </w:r>
    </w:p>
    <w:p>
      <w:pPr>
        <w:pStyle w:val="6"/>
        <w:ind w:firstLine="199" w:firstLineChars="83"/>
        <w:jc w:val="center"/>
        <w:rPr>
          <w:rFonts w:ascii="Times New Roman" w:cs="Times New Roman"/>
        </w:rPr>
      </w:pPr>
      <w:r>
        <w:rPr>
          <w:rFonts w:ascii="Times New Roman" w:cs="Times New Roman"/>
        </w:rPr>
        <w:t>S</w:t>
      </w:r>
      <w:r>
        <w:rPr>
          <w:rFonts w:ascii="Times New Roman" w:cs="Times New Roman"/>
          <w:sz w:val="16"/>
          <w:szCs w:val="16"/>
        </w:rPr>
        <w:t>pH</w:t>
      </w:r>
      <w:r>
        <w:rPr>
          <w:rFonts w:ascii="Times New Roman" w:cs="Times New Roman"/>
        </w:rPr>
        <w:t>=（7.0-pH）/（7.0-pH</w:t>
      </w:r>
      <w:r>
        <w:rPr>
          <w:rFonts w:ascii="Times New Roman" w:cs="Times New Roman"/>
          <w:sz w:val="16"/>
          <w:szCs w:val="16"/>
        </w:rPr>
        <w:t>sd</w:t>
      </w:r>
      <w:r>
        <w:rPr>
          <w:rFonts w:ascii="Times New Roman" w:cs="Times New Roman"/>
        </w:rPr>
        <w:t>）</w:t>
      </w:r>
    </w:p>
    <w:p>
      <w:pPr>
        <w:pStyle w:val="6"/>
        <w:ind w:firstLine="480"/>
        <w:rPr>
          <w:rFonts w:ascii="Times New Roman" w:cs="Times New Roman"/>
        </w:rPr>
      </w:pPr>
      <w:r>
        <w:rPr>
          <w:rFonts w:ascii="Times New Roman" w:cs="Times New Roman"/>
        </w:rPr>
        <w:t>当pH≥7.0</w:t>
      </w:r>
    </w:p>
    <w:p>
      <w:pPr>
        <w:pStyle w:val="6"/>
        <w:ind w:firstLine="199" w:firstLineChars="83"/>
        <w:jc w:val="center"/>
        <w:rPr>
          <w:rFonts w:ascii="Times New Roman" w:cs="Times New Roman"/>
        </w:rPr>
      </w:pPr>
      <w:r>
        <w:rPr>
          <w:rFonts w:ascii="Times New Roman" w:cs="Times New Roman"/>
        </w:rPr>
        <w:t>S</w:t>
      </w:r>
      <w:r>
        <w:rPr>
          <w:rFonts w:ascii="Times New Roman" w:cs="Times New Roman"/>
          <w:sz w:val="16"/>
          <w:szCs w:val="16"/>
        </w:rPr>
        <w:t>pH</w:t>
      </w:r>
      <w:r>
        <w:rPr>
          <w:rFonts w:ascii="Times New Roman" w:cs="Times New Roman"/>
        </w:rPr>
        <w:t>=（pH-7.0）/（pH</w:t>
      </w:r>
      <w:r>
        <w:rPr>
          <w:rFonts w:ascii="Times New Roman" w:cs="Times New Roman"/>
          <w:sz w:val="16"/>
          <w:szCs w:val="16"/>
        </w:rPr>
        <w:t>sw</w:t>
      </w:r>
      <w:r>
        <w:rPr>
          <w:rFonts w:ascii="Times New Roman" w:cs="Times New Roman"/>
        </w:rPr>
        <w:t>-7.0）</w:t>
      </w:r>
    </w:p>
    <w:p>
      <w:pPr>
        <w:pStyle w:val="6"/>
        <w:ind w:firstLine="480"/>
        <w:rPr>
          <w:rFonts w:ascii="Times New Roman" w:cs="Times New Roman"/>
        </w:rPr>
      </w:pPr>
      <w:r>
        <w:rPr>
          <w:rFonts w:ascii="Times New Roman" w:cs="Times New Roman"/>
        </w:rPr>
        <w:t>式中：pH——实测的pH值；</w:t>
      </w:r>
    </w:p>
    <w:p>
      <w:pPr>
        <w:pStyle w:val="6"/>
        <w:ind w:firstLine="1200" w:firstLineChars="500"/>
        <w:rPr>
          <w:rFonts w:ascii="Times New Roman" w:cs="Times New Roman"/>
        </w:rPr>
      </w:pPr>
      <w:r>
        <w:rPr>
          <w:rFonts w:ascii="Times New Roman" w:cs="Times New Roman"/>
        </w:rPr>
        <w:t>pH</w:t>
      </w:r>
      <w:r>
        <w:rPr>
          <w:rFonts w:ascii="Times New Roman" w:cs="Times New Roman"/>
          <w:sz w:val="16"/>
          <w:szCs w:val="16"/>
        </w:rPr>
        <w:t>sd</w:t>
      </w:r>
      <w:r>
        <w:rPr>
          <w:rFonts w:ascii="Times New Roman" w:cs="Times New Roman"/>
        </w:rPr>
        <w:t>——地表水质量标准中规定的pH值下限；</w:t>
      </w:r>
    </w:p>
    <w:p>
      <w:pPr>
        <w:pStyle w:val="6"/>
        <w:ind w:firstLine="1200" w:firstLineChars="500"/>
        <w:rPr>
          <w:rFonts w:ascii="Times New Roman" w:cs="Times New Roman"/>
        </w:rPr>
      </w:pPr>
      <w:r>
        <w:rPr>
          <w:rFonts w:ascii="Times New Roman" w:cs="Times New Roman"/>
        </w:rPr>
        <w:t>pH</w:t>
      </w:r>
      <w:r>
        <w:rPr>
          <w:rFonts w:ascii="Times New Roman" w:cs="Times New Roman"/>
          <w:sz w:val="16"/>
          <w:szCs w:val="16"/>
        </w:rPr>
        <w:t>sw</w:t>
      </w:r>
      <w:r>
        <w:rPr>
          <w:rFonts w:ascii="Times New Roman" w:cs="Times New Roman"/>
        </w:rPr>
        <w:t>——地表水质量标准中规定的pH值上限。</w:t>
      </w:r>
    </w:p>
    <w:p>
      <w:pPr>
        <w:pStyle w:val="6"/>
        <w:ind w:firstLine="482"/>
        <w:rPr>
          <w:rFonts w:ascii="Times New Roman" w:cs="Times New Roman"/>
          <w:b/>
        </w:rPr>
      </w:pPr>
      <w:bookmarkStart w:id="427" w:name="_Toc12288573"/>
      <w:r>
        <w:rPr>
          <w:rFonts w:ascii="Times New Roman" w:cs="Times New Roman"/>
          <w:b/>
        </w:rPr>
        <w:t>7、监测结果及评价结论</w:t>
      </w:r>
      <w:bookmarkEnd w:id="427"/>
    </w:p>
    <w:p>
      <w:pPr>
        <w:pStyle w:val="6"/>
        <w:ind w:firstLine="480"/>
        <w:rPr>
          <w:rFonts w:ascii="Times New Roman" w:cs="Times New Roman"/>
        </w:rPr>
      </w:pPr>
      <w:r>
        <w:rPr>
          <w:rFonts w:ascii="Times New Roman" w:cs="Times New Roman"/>
        </w:rPr>
        <w:t>地下水质量现状监测与评价结果见表5.5-1~表5.5-3。</w:t>
      </w:r>
    </w:p>
    <w:p>
      <w:pPr>
        <w:widowControl/>
        <w:topLinePunct w:val="0"/>
        <w:adjustRightInd/>
        <w:spacing w:line="240" w:lineRule="auto"/>
        <w:ind w:firstLine="0" w:firstLineChars="0"/>
        <w:jc w:val="center"/>
        <w:rPr>
          <w:rFonts w:ascii="Times New Roman" w:cs="Times New Roman"/>
          <w:b/>
          <w:sz w:val="21"/>
        </w:rPr>
      </w:pPr>
      <w:r>
        <w:rPr>
          <w:rFonts w:ascii="Times New Roman" w:cs="Times New Roman"/>
          <w:b/>
        </w:rPr>
        <w:t>表5.5-1</w:t>
      </w:r>
      <w:r>
        <w:rPr>
          <w:rFonts w:ascii="Times New Roman" w:cs="Times New Roman"/>
          <w:b/>
          <w:sz w:val="21"/>
        </w:rPr>
        <w:t xml:space="preserve">  水样水化学常量组分监测结果（单位：mg/L，HCO</w:t>
      </w:r>
      <w:r>
        <w:rPr>
          <w:rFonts w:ascii="Times New Roman" w:cs="Times New Roman"/>
          <w:b/>
          <w:sz w:val="21"/>
          <w:vertAlign w:val="subscript"/>
        </w:rPr>
        <w:t>3</w:t>
      </w:r>
      <w:r>
        <w:rPr>
          <w:rFonts w:ascii="Times New Roman" w:cs="Times New Roman"/>
          <w:b/>
          <w:sz w:val="21"/>
          <w:vertAlign w:val="superscript"/>
        </w:rPr>
        <w:t>-</w:t>
      </w:r>
      <w:r>
        <w:rPr>
          <w:rFonts w:ascii="Times New Roman" w:cs="Times New Roman"/>
          <w:b/>
          <w:sz w:val="21"/>
        </w:rPr>
        <w:t>：mmol/L）</w:t>
      </w:r>
    </w:p>
    <w:tbl>
      <w:tblPr>
        <w:tblStyle w:val="59"/>
        <w:tblW w:w="4850" w:type="pct"/>
        <w:jc w:val="center"/>
        <w:tblLayout w:type="fixed"/>
        <w:tblCellMar>
          <w:top w:w="0" w:type="dxa"/>
          <w:left w:w="108" w:type="dxa"/>
          <w:bottom w:w="0" w:type="dxa"/>
          <w:right w:w="108" w:type="dxa"/>
        </w:tblCellMar>
      </w:tblPr>
      <w:tblGrid>
        <w:gridCol w:w="837"/>
        <w:gridCol w:w="1016"/>
        <w:gridCol w:w="524"/>
        <w:gridCol w:w="669"/>
        <w:gridCol w:w="538"/>
        <w:gridCol w:w="669"/>
        <w:gridCol w:w="672"/>
        <w:gridCol w:w="669"/>
        <w:gridCol w:w="672"/>
        <w:gridCol w:w="672"/>
        <w:gridCol w:w="552"/>
        <w:gridCol w:w="1244"/>
      </w:tblGrid>
      <w:tr>
        <w:tblPrEx>
          <w:tblCellMar>
            <w:top w:w="0" w:type="dxa"/>
            <w:left w:w="108" w:type="dxa"/>
            <w:bottom w:w="0" w:type="dxa"/>
            <w:right w:w="108" w:type="dxa"/>
          </w:tblCellMar>
        </w:tblPrEx>
        <w:trPr>
          <w:trHeight w:val="369" w:hRule="atLeast"/>
          <w:jc w:val="center"/>
        </w:trPr>
        <w:tc>
          <w:tcPr>
            <w:tcW w:w="816" w:type="dxa"/>
            <w:tcBorders>
              <w:top w:val="single" w:color="auto" w:sz="12" w:space="0"/>
              <w:bottom w:val="single" w:color="auto" w:sz="4" w:space="0"/>
              <w:right w:val="single" w:color="auto" w:sz="4" w:space="0"/>
              <w:tl2br w:val="single" w:color="000000" w:sz="8" w:space="0"/>
            </w:tcBorders>
            <w:vAlign w:val="center"/>
          </w:tcPr>
          <w:p>
            <w:pPr>
              <w:widowControl/>
              <w:topLinePunct w:val="0"/>
              <w:adjustRightInd/>
              <w:spacing w:line="240" w:lineRule="auto"/>
              <w:ind w:left="-120" w:leftChars="-50" w:right="-120" w:rightChars="-50" w:firstLine="211" w:firstLineChars="100"/>
              <w:jc w:val="left"/>
              <w:rPr>
                <w:rFonts w:ascii="Times New Roman" w:cs="Times New Roman"/>
                <w:b/>
                <w:kern w:val="2"/>
                <w:sz w:val="21"/>
              </w:rPr>
            </w:pPr>
            <w:r>
              <w:rPr>
                <w:rFonts w:ascii="Times New Roman" w:cs="Times New Roman"/>
                <w:b/>
                <w:kern w:val="2"/>
                <w:sz w:val="21"/>
              </w:rPr>
              <w:t>指标                                          编号</w:t>
            </w:r>
          </w:p>
        </w:tc>
        <w:tc>
          <w:tcPr>
            <w:tcW w:w="990" w:type="dxa"/>
            <w:tcBorders>
              <w:top w:val="single" w:color="auto" w:sz="12"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b/>
                <w:kern w:val="2"/>
                <w:sz w:val="21"/>
              </w:rPr>
            </w:pPr>
            <w:r>
              <w:rPr>
                <w:rFonts w:ascii="Times New Roman" w:cs="Times New Roman"/>
                <w:b/>
                <w:kern w:val="2"/>
                <w:sz w:val="21"/>
              </w:rPr>
              <w:t>监测点</w:t>
            </w:r>
          </w:p>
          <w:p>
            <w:pPr>
              <w:widowControl/>
              <w:topLinePunct w:val="0"/>
              <w:adjustRightInd/>
              <w:spacing w:line="240" w:lineRule="auto"/>
              <w:ind w:left="-120" w:leftChars="-50" w:right="-120" w:rightChars="-50" w:firstLine="0" w:firstLineChars="0"/>
              <w:jc w:val="center"/>
              <w:rPr>
                <w:rFonts w:ascii="Times New Roman" w:cs="Times New Roman"/>
                <w:b/>
                <w:kern w:val="2"/>
                <w:sz w:val="21"/>
              </w:rPr>
            </w:pPr>
            <w:r>
              <w:rPr>
                <w:rFonts w:ascii="Times New Roman" w:cs="Times New Roman"/>
                <w:b/>
                <w:kern w:val="2"/>
                <w:sz w:val="21"/>
              </w:rPr>
              <w:t>类型</w:t>
            </w:r>
          </w:p>
        </w:tc>
        <w:tc>
          <w:tcPr>
            <w:tcW w:w="511" w:type="dxa"/>
            <w:tcBorders>
              <w:top w:val="single" w:color="auto" w:sz="12"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b/>
                <w:kern w:val="2"/>
                <w:sz w:val="21"/>
              </w:rPr>
            </w:pPr>
            <w:r>
              <w:rPr>
                <w:rFonts w:ascii="Times New Roman" w:cs="Times New Roman"/>
                <w:b/>
                <w:kern w:val="2"/>
                <w:sz w:val="21"/>
              </w:rPr>
              <w:t>pH</w:t>
            </w:r>
          </w:p>
        </w:tc>
        <w:tc>
          <w:tcPr>
            <w:tcW w:w="653" w:type="dxa"/>
            <w:tcBorders>
              <w:top w:val="single" w:color="auto" w:sz="12"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b/>
                <w:kern w:val="2"/>
                <w:sz w:val="21"/>
              </w:rPr>
            </w:pPr>
            <w:r>
              <w:rPr>
                <w:rFonts w:ascii="Times New Roman" w:cs="Times New Roman"/>
                <w:b/>
                <w:kern w:val="2"/>
                <w:sz w:val="21"/>
              </w:rPr>
              <w:t>K</w:t>
            </w:r>
            <w:r>
              <w:rPr>
                <w:rFonts w:ascii="Times New Roman" w:cs="Times New Roman"/>
                <w:b/>
                <w:kern w:val="2"/>
                <w:sz w:val="21"/>
                <w:vertAlign w:val="superscript"/>
              </w:rPr>
              <w:t>+</w:t>
            </w:r>
          </w:p>
        </w:tc>
        <w:tc>
          <w:tcPr>
            <w:tcW w:w="525" w:type="dxa"/>
            <w:tcBorders>
              <w:top w:val="single" w:color="auto" w:sz="12"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b/>
                <w:kern w:val="2"/>
                <w:sz w:val="21"/>
              </w:rPr>
            </w:pPr>
            <w:r>
              <w:rPr>
                <w:rFonts w:ascii="Times New Roman" w:cs="Times New Roman"/>
                <w:b/>
                <w:kern w:val="2"/>
                <w:sz w:val="21"/>
              </w:rPr>
              <w:t>Na</w:t>
            </w:r>
            <w:r>
              <w:rPr>
                <w:rFonts w:ascii="Times New Roman" w:cs="Times New Roman"/>
                <w:b/>
                <w:kern w:val="2"/>
                <w:sz w:val="21"/>
                <w:vertAlign w:val="superscript"/>
              </w:rPr>
              <w:t>+</w:t>
            </w:r>
          </w:p>
        </w:tc>
        <w:tc>
          <w:tcPr>
            <w:tcW w:w="653" w:type="dxa"/>
            <w:tcBorders>
              <w:top w:val="single" w:color="auto" w:sz="12"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b/>
                <w:kern w:val="2"/>
                <w:sz w:val="21"/>
              </w:rPr>
            </w:pPr>
            <w:r>
              <w:rPr>
                <w:rFonts w:ascii="Times New Roman" w:cs="Times New Roman"/>
                <w:b/>
                <w:kern w:val="2"/>
                <w:sz w:val="21"/>
              </w:rPr>
              <w:t>Ca</w:t>
            </w:r>
            <w:r>
              <w:rPr>
                <w:rFonts w:ascii="Times New Roman" w:cs="Times New Roman"/>
                <w:b/>
                <w:kern w:val="2"/>
                <w:sz w:val="21"/>
                <w:vertAlign w:val="superscript"/>
              </w:rPr>
              <w:t>2+</w:t>
            </w:r>
          </w:p>
        </w:tc>
        <w:tc>
          <w:tcPr>
            <w:tcW w:w="656" w:type="dxa"/>
            <w:tcBorders>
              <w:top w:val="single" w:color="auto" w:sz="12"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b/>
                <w:kern w:val="2"/>
                <w:sz w:val="21"/>
              </w:rPr>
            </w:pPr>
            <w:r>
              <w:rPr>
                <w:rFonts w:ascii="Times New Roman" w:cs="Times New Roman"/>
                <w:b/>
                <w:kern w:val="2"/>
                <w:sz w:val="21"/>
              </w:rPr>
              <w:t>Mg</w:t>
            </w:r>
            <w:r>
              <w:rPr>
                <w:rFonts w:ascii="Times New Roman" w:cs="Times New Roman"/>
                <w:b/>
                <w:kern w:val="2"/>
                <w:sz w:val="21"/>
                <w:vertAlign w:val="superscript"/>
              </w:rPr>
              <w:t>2+</w:t>
            </w:r>
          </w:p>
        </w:tc>
        <w:tc>
          <w:tcPr>
            <w:tcW w:w="653" w:type="dxa"/>
            <w:tcBorders>
              <w:top w:val="single" w:color="auto" w:sz="12"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b/>
                <w:kern w:val="2"/>
                <w:sz w:val="21"/>
              </w:rPr>
            </w:pPr>
            <w:r>
              <w:rPr>
                <w:rFonts w:ascii="Times New Roman" w:cs="Times New Roman"/>
                <w:b/>
                <w:kern w:val="2"/>
                <w:sz w:val="21"/>
              </w:rPr>
              <w:t>Cl</w:t>
            </w:r>
            <w:r>
              <w:rPr>
                <w:rFonts w:ascii="Times New Roman" w:cs="Times New Roman"/>
                <w:b/>
                <w:kern w:val="2"/>
                <w:sz w:val="21"/>
                <w:vertAlign w:val="superscript"/>
              </w:rPr>
              <w:t>-</w:t>
            </w:r>
          </w:p>
        </w:tc>
        <w:tc>
          <w:tcPr>
            <w:tcW w:w="656" w:type="dxa"/>
            <w:tcBorders>
              <w:top w:val="single" w:color="auto" w:sz="12"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b/>
                <w:kern w:val="2"/>
                <w:sz w:val="21"/>
              </w:rPr>
            </w:pPr>
            <w:r>
              <w:rPr>
                <w:rFonts w:ascii="Times New Roman" w:cs="Times New Roman"/>
                <w:b/>
                <w:kern w:val="2"/>
                <w:sz w:val="21"/>
              </w:rPr>
              <w:t>SO</w:t>
            </w:r>
            <w:r>
              <w:rPr>
                <w:rFonts w:ascii="Times New Roman" w:cs="Times New Roman"/>
                <w:b/>
                <w:kern w:val="2"/>
                <w:sz w:val="21"/>
                <w:vertAlign w:val="subscript"/>
              </w:rPr>
              <w:t>4</w:t>
            </w:r>
            <w:r>
              <w:rPr>
                <w:rFonts w:ascii="Times New Roman" w:cs="Times New Roman"/>
                <w:b/>
                <w:kern w:val="2"/>
                <w:sz w:val="21"/>
                <w:vertAlign w:val="superscript"/>
              </w:rPr>
              <w:t>2-</w:t>
            </w:r>
          </w:p>
        </w:tc>
        <w:tc>
          <w:tcPr>
            <w:tcW w:w="656" w:type="dxa"/>
            <w:tcBorders>
              <w:top w:val="single" w:color="auto" w:sz="12"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b/>
                <w:kern w:val="2"/>
                <w:sz w:val="21"/>
              </w:rPr>
            </w:pPr>
            <w:r>
              <w:rPr>
                <w:rFonts w:ascii="Times New Roman" w:cs="Times New Roman"/>
                <w:b/>
                <w:kern w:val="2"/>
                <w:sz w:val="21"/>
              </w:rPr>
              <w:t>重碳酸根</w:t>
            </w:r>
          </w:p>
        </w:tc>
        <w:tc>
          <w:tcPr>
            <w:tcW w:w="539" w:type="dxa"/>
            <w:tcBorders>
              <w:top w:val="single" w:color="auto" w:sz="12"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sz w:val="21"/>
                <w:szCs w:val="21"/>
              </w:rPr>
            </w:pPr>
            <w:r>
              <w:rPr>
                <w:rFonts w:ascii="Times New Roman" w:cs="Times New Roman"/>
                <w:b/>
                <w:kern w:val="2"/>
                <w:sz w:val="21"/>
              </w:rPr>
              <w:t>HCO</w:t>
            </w:r>
            <w:r>
              <w:rPr>
                <w:rFonts w:ascii="Times New Roman" w:cs="Times New Roman"/>
                <w:b/>
                <w:kern w:val="2"/>
                <w:sz w:val="21"/>
                <w:vertAlign w:val="subscript"/>
              </w:rPr>
              <w:t>3</w:t>
            </w:r>
            <w:r>
              <w:rPr>
                <w:rFonts w:ascii="Times New Roman" w:cs="Times New Roman"/>
                <w:b/>
                <w:kern w:val="2"/>
                <w:sz w:val="21"/>
                <w:vertAlign w:val="superscript"/>
              </w:rPr>
              <w:t>-</w:t>
            </w:r>
          </w:p>
        </w:tc>
        <w:tc>
          <w:tcPr>
            <w:tcW w:w="1214" w:type="dxa"/>
            <w:tcBorders>
              <w:top w:val="single" w:color="auto" w:sz="12" w:space="0"/>
              <w:left w:val="single" w:color="auto" w:sz="4" w:space="0"/>
              <w:bottom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b/>
                <w:kern w:val="2"/>
                <w:sz w:val="21"/>
              </w:rPr>
            </w:pPr>
            <w:r>
              <w:rPr>
                <w:rFonts w:ascii="Times New Roman" w:cs="Times New Roman"/>
                <w:b/>
                <w:kern w:val="2"/>
                <w:sz w:val="21"/>
              </w:rPr>
              <w:t>水化学类型</w:t>
            </w:r>
          </w:p>
        </w:tc>
      </w:tr>
      <w:tr>
        <w:tblPrEx>
          <w:tblCellMar>
            <w:top w:w="0" w:type="dxa"/>
            <w:left w:w="108" w:type="dxa"/>
            <w:bottom w:w="0" w:type="dxa"/>
            <w:right w:w="108" w:type="dxa"/>
          </w:tblCellMar>
        </w:tblPrEx>
        <w:trPr>
          <w:trHeight w:val="369" w:hRule="atLeast"/>
          <w:jc w:val="center"/>
        </w:trPr>
        <w:tc>
          <w:tcPr>
            <w:tcW w:w="816" w:type="dxa"/>
            <w:tcBorders>
              <w:top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kern w:val="2"/>
                <w:sz w:val="21"/>
              </w:rPr>
              <w:t>1#</w:t>
            </w:r>
          </w:p>
        </w:tc>
        <w:tc>
          <w:tcPr>
            <w:tcW w:w="990"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kern w:val="2"/>
                <w:sz w:val="21"/>
              </w:rPr>
              <w:t>井水</w:t>
            </w:r>
          </w:p>
        </w:tc>
        <w:tc>
          <w:tcPr>
            <w:tcW w:w="511"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kern w:val="2"/>
                <w:sz w:val="21"/>
              </w:rPr>
              <w:t>7.6</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1.3</w:t>
            </w:r>
          </w:p>
        </w:tc>
        <w:tc>
          <w:tcPr>
            <w:tcW w:w="525"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9.3</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32.8</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39.6</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2.19</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7.26</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0</w:t>
            </w:r>
          </w:p>
        </w:tc>
        <w:tc>
          <w:tcPr>
            <w:tcW w:w="539"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5.49</w:t>
            </w:r>
          </w:p>
        </w:tc>
        <w:tc>
          <w:tcPr>
            <w:tcW w:w="1214" w:type="dxa"/>
            <w:tcBorders>
              <w:top w:val="single" w:color="auto" w:sz="4" w:space="0"/>
              <w:left w:val="single" w:color="auto" w:sz="4" w:space="0"/>
              <w:bottom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kern w:val="2"/>
                <w:sz w:val="21"/>
              </w:rPr>
              <w:t>HCO</w:t>
            </w:r>
            <w:r>
              <w:rPr>
                <w:rFonts w:ascii="Times New Roman" w:cs="Times New Roman"/>
                <w:kern w:val="2"/>
                <w:sz w:val="21"/>
                <w:vertAlign w:val="subscript"/>
              </w:rPr>
              <w:t>3</w:t>
            </w:r>
            <w:r>
              <w:rPr>
                <w:rFonts w:ascii="Times New Roman" w:cs="Times New Roman"/>
                <w:kern w:val="2"/>
                <w:sz w:val="21"/>
              </w:rPr>
              <w:t>-Mg-Ca</w:t>
            </w:r>
          </w:p>
        </w:tc>
      </w:tr>
      <w:tr>
        <w:tblPrEx>
          <w:tblCellMar>
            <w:top w:w="0" w:type="dxa"/>
            <w:left w:w="108" w:type="dxa"/>
            <w:bottom w:w="0" w:type="dxa"/>
            <w:right w:w="108" w:type="dxa"/>
          </w:tblCellMar>
        </w:tblPrEx>
        <w:trPr>
          <w:trHeight w:val="369" w:hRule="atLeast"/>
          <w:jc w:val="center"/>
        </w:trPr>
        <w:tc>
          <w:tcPr>
            <w:tcW w:w="816" w:type="dxa"/>
            <w:tcBorders>
              <w:top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kern w:val="2"/>
                <w:sz w:val="21"/>
              </w:rPr>
              <w:t>2#</w:t>
            </w:r>
          </w:p>
        </w:tc>
        <w:tc>
          <w:tcPr>
            <w:tcW w:w="990"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kern w:val="2"/>
                <w:sz w:val="21"/>
              </w:rPr>
              <w:t>井水</w:t>
            </w:r>
          </w:p>
        </w:tc>
        <w:tc>
          <w:tcPr>
            <w:tcW w:w="511"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kern w:val="2"/>
                <w:sz w:val="21"/>
              </w:rPr>
              <w:t>7.6</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1.24</w:t>
            </w:r>
          </w:p>
        </w:tc>
        <w:tc>
          <w:tcPr>
            <w:tcW w:w="525"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9.13</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32.4</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40</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3.06</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7.08</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0</w:t>
            </w:r>
          </w:p>
        </w:tc>
        <w:tc>
          <w:tcPr>
            <w:tcW w:w="539"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6.2</w:t>
            </w:r>
          </w:p>
        </w:tc>
        <w:tc>
          <w:tcPr>
            <w:tcW w:w="1214" w:type="dxa"/>
            <w:tcBorders>
              <w:top w:val="single" w:color="auto" w:sz="4" w:space="0"/>
              <w:left w:val="single" w:color="auto" w:sz="4" w:space="0"/>
              <w:bottom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kern w:val="2"/>
                <w:sz w:val="21"/>
              </w:rPr>
              <w:t>HCO</w:t>
            </w:r>
            <w:r>
              <w:rPr>
                <w:rFonts w:ascii="Times New Roman" w:cs="Times New Roman"/>
                <w:kern w:val="2"/>
                <w:sz w:val="21"/>
                <w:vertAlign w:val="subscript"/>
              </w:rPr>
              <w:t>3</w:t>
            </w:r>
            <w:r>
              <w:rPr>
                <w:rFonts w:ascii="Times New Roman" w:cs="Times New Roman"/>
                <w:kern w:val="2"/>
                <w:sz w:val="21"/>
              </w:rPr>
              <w:t>-Mg-Ca</w:t>
            </w:r>
          </w:p>
        </w:tc>
      </w:tr>
      <w:tr>
        <w:tblPrEx>
          <w:tblCellMar>
            <w:top w:w="0" w:type="dxa"/>
            <w:left w:w="108" w:type="dxa"/>
            <w:bottom w:w="0" w:type="dxa"/>
            <w:right w:w="108" w:type="dxa"/>
          </w:tblCellMar>
        </w:tblPrEx>
        <w:trPr>
          <w:trHeight w:val="369" w:hRule="atLeast"/>
          <w:jc w:val="center"/>
        </w:trPr>
        <w:tc>
          <w:tcPr>
            <w:tcW w:w="816" w:type="dxa"/>
            <w:tcBorders>
              <w:top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kern w:val="2"/>
                <w:sz w:val="21"/>
              </w:rPr>
              <w:t>3#</w:t>
            </w:r>
          </w:p>
        </w:tc>
        <w:tc>
          <w:tcPr>
            <w:tcW w:w="990"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kern w:val="2"/>
                <w:sz w:val="21"/>
              </w:rPr>
              <w:t>井水</w:t>
            </w:r>
          </w:p>
        </w:tc>
        <w:tc>
          <w:tcPr>
            <w:tcW w:w="511"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kern w:val="2"/>
                <w:sz w:val="21"/>
              </w:rPr>
              <w:t>7.4</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1.5</w:t>
            </w:r>
          </w:p>
        </w:tc>
        <w:tc>
          <w:tcPr>
            <w:tcW w:w="525"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8.92</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33</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40.3</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2.25</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7.26</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0</w:t>
            </w:r>
          </w:p>
        </w:tc>
        <w:tc>
          <w:tcPr>
            <w:tcW w:w="539"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5.32</w:t>
            </w:r>
          </w:p>
        </w:tc>
        <w:tc>
          <w:tcPr>
            <w:tcW w:w="1214" w:type="dxa"/>
            <w:tcBorders>
              <w:top w:val="single" w:color="auto" w:sz="4" w:space="0"/>
              <w:left w:val="single" w:color="auto" w:sz="4" w:space="0"/>
              <w:bottom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kern w:val="2"/>
                <w:sz w:val="21"/>
              </w:rPr>
              <w:t>HCO</w:t>
            </w:r>
            <w:r>
              <w:rPr>
                <w:rFonts w:ascii="Times New Roman" w:cs="Times New Roman"/>
                <w:kern w:val="2"/>
                <w:sz w:val="21"/>
                <w:vertAlign w:val="subscript"/>
              </w:rPr>
              <w:t>3</w:t>
            </w:r>
            <w:r>
              <w:rPr>
                <w:rFonts w:ascii="Times New Roman" w:cs="Times New Roman"/>
                <w:kern w:val="2"/>
                <w:sz w:val="21"/>
              </w:rPr>
              <w:t>-Mg-Ca</w:t>
            </w:r>
          </w:p>
        </w:tc>
      </w:tr>
      <w:tr>
        <w:tblPrEx>
          <w:tblCellMar>
            <w:top w:w="0" w:type="dxa"/>
            <w:left w:w="108" w:type="dxa"/>
            <w:bottom w:w="0" w:type="dxa"/>
            <w:right w:w="108" w:type="dxa"/>
          </w:tblCellMar>
        </w:tblPrEx>
        <w:trPr>
          <w:trHeight w:val="369" w:hRule="atLeast"/>
          <w:jc w:val="center"/>
        </w:trPr>
        <w:tc>
          <w:tcPr>
            <w:tcW w:w="816" w:type="dxa"/>
            <w:tcBorders>
              <w:top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kern w:val="2"/>
                <w:sz w:val="21"/>
              </w:rPr>
              <w:t>4#</w:t>
            </w:r>
          </w:p>
        </w:tc>
        <w:tc>
          <w:tcPr>
            <w:tcW w:w="990"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kern w:val="2"/>
                <w:sz w:val="21"/>
              </w:rPr>
              <w:t>井水</w:t>
            </w:r>
          </w:p>
        </w:tc>
        <w:tc>
          <w:tcPr>
            <w:tcW w:w="511"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kern w:val="2"/>
                <w:sz w:val="21"/>
              </w:rPr>
              <w:t>7.7</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1.6</w:t>
            </w:r>
          </w:p>
        </w:tc>
        <w:tc>
          <w:tcPr>
            <w:tcW w:w="525"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8.7</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32.5</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39.5</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1.88</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9.26</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0</w:t>
            </w:r>
          </w:p>
        </w:tc>
        <w:tc>
          <w:tcPr>
            <w:tcW w:w="539"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6.15</w:t>
            </w:r>
          </w:p>
        </w:tc>
        <w:tc>
          <w:tcPr>
            <w:tcW w:w="1214" w:type="dxa"/>
            <w:tcBorders>
              <w:top w:val="single" w:color="auto" w:sz="4" w:space="0"/>
              <w:left w:val="single" w:color="auto" w:sz="4" w:space="0"/>
              <w:bottom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kern w:val="2"/>
                <w:sz w:val="21"/>
              </w:rPr>
              <w:t>HCO</w:t>
            </w:r>
            <w:r>
              <w:rPr>
                <w:rFonts w:ascii="Times New Roman" w:cs="Times New Roman"/>
                <w:kern w:val="2"/>
                <w:sz w:val="21"/>
                <w:vertAlign w:val="subscript"/>
              </w:rPr>
              <w:t>3</w:t>
            </w:r>
            <w:r>
              <w:rPr>
                <w:rFonts w:ascii="Times New Roman" w:cs="Times New Roman"/>
                <w:kern w:val="2"/>
                <w:sz w:val="21"/>
              </w:rPr>
              <w:t>-Mg-Ca</w:t>
            </w:r>
          </w:p>
        </w:tc>
      </w:tr>
      <w:tr>
        <w:tblPrEx>
          <w:tblCellMar>
            <w:top w:w="0" w:type="dxa"/>
            <w:left w:w="108" w:type="dxa"/>
            <w:bottom w:w="0" w:type="dxa"/>
            <w:right w:w="108" w:type="dxa"/>
          </w:tblCellMar>
        </w:tblPrEx>
        <w:trPr>
          <w:trHeight w:val="369" w:hRule="atLeast"/>
          <w:jc w:val="center"/>
        </w:trPr>
        <w:tc>
          <w:tcPr>
            <w:tcW w:w="816" w:type="dxa"/>
            <w:tcBorders>
              <w:top w:val="single" w:color="auto" w:sz="4" w:space="0"/>
              <w:bottom w:val="single" w:color="auto" w:sz="12"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kern w:val="2"/>
                <w:sz w:val="21"/>
              </w:rPr>
              <w:t>5#</w:t>
            </w:r>
          </w:p>
        </w:tc>
        <w:tc>
          <w:tcPr>
            <w:tcW w:w="990" w:type="dxa"/>
            <w:tcBorders>
              <w:top w:val="single" w:color="auto" w:sz="4" w:space="0"/>
              <w:left w:val="single" w:color="auto" w:sz="4" w:space="0"/>
              <w:bottom w:val="single" w:color="auto" w:sz="12"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kern w:val="2"/>
                <w:sz w:val="21"/>
              </w:rPr>
              <w:t>井水</w:t>
            </w:r>
          </w:p>
        </w:tc>
        <w:tc>
          <w:tcPr>
            <w:tcW w:w="511" w:type="dxa"/>
            <w:tcBorders>
              <w:top w:val="single" w:color="auto" w:sz="4" w:space="0"/>
              <w:left w:val="single" w:color="auto" w:sz="4" w:space="0"/>
              <w:bottom w:val="single" w:color="auto" w:sz="12"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kern w:val="2"/>
                <w:sz w:val="21"/>
              </w:rPr>
              <w:t>7.3</w:t>
            </w:r>
          </w:p>
        </w:tc>
        <w:tc>
          <w:tcPr>
            <w:tcW w:w="653" w:type="dxa"/>
            <w:tcBorders>
              <w:top w:val="single" w:color="auto" w:sz="4" w:space="0"/>
              <w:left w:val="single" w:color="auto" w:sz="4" w:space="0"/>
              <w:bottom w:val="single" w:color="auto" w:sz="12"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1.36</w:t>
            </w:r>
          </w:p>
        </w:tc>
        <w:tc>
          <w:tcPr>
            <w:tcW w:w="525" w:type="dxa"/>
            <w:tcBorders>
              <w:top w:val="single" w:color="auto" w:sz="4" w:space="0"/>
              <w:left w:val="single" w:color="auto" w:sz="4" w:space="0"/>
              <w:bottom w:val="single" w:color="auto" w:sz="12"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8.92</w:t>
            </w:r>
          </w:p>
        </w:tc>
        <w:tc>
          <w:tcPr>
            <w:tcW w:w="653" w:type="dxa"/>
            <w:tcBorders>
              <w:top w:val="single" w:color="auto" w:sz="4" w:space="0"/>
              <w:left w:val="single" w:color="auto" w:sz="4" w:space="0"/>
              <w:bottom w:val="single" w:color="auto" w:sz="12"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34.1</w:t>
            </w:r>
          </w:p>
        </w:tc>
        <w:tc>
          <w:tcPr>
            <w:tcW w:w="656" w:type="dxa"/>
            <w:tcBorders>
              <w:top w:val="single" w:color="auto" w:sz="4" w:space="0"/>
              <w:left w:val="single" w:color="auto" w:sz="4" w:space="0"/>
              <w:bottom w:val="single" w:color="auto" w:sz="12"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39.6</w:t>
            </w:r>
          </w:p>
        </w:tc>
        <w:tc>
          <w:tcPr>
            <w:tcW w:w="653" w:type="dxa"/>
            <w:tcBorders>
              <w:top w:val="single" w:color="auto" w:sz="4" w:space="0"/>
              <w:left w:val="single" w:color="auto" w:sz="4" w:space="0"/>
              <w:bottom w:val="single" w:color="auto" w:sz="12"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8.67</w:t>
            </w:r>
          </w:p>
        </w:tc>
        <w:tc>
          <w:tcPr>
            <w:tcW w:w="656" w:type="dxa"/>
            <w:tcBorders>
              <w:top w:val="single" w:color="auto" w:sz="4" w:space="0"/>
              <w:left w:val="single" w:color="auto" w:sz="4" w:space="0"/>
              <w:bottom w:val="single" w:color="auto" w:sz="12"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12.7</w:t>
            </w:r>
          </w:p>
        </w:tc>
        <w:tc>
          <w:tcPr>
            <w:tcW w:w="656" w:type="dxa"/>
            <w:tcBorders>
              <w:top w:val="single" w:color="auto" w:sz="4" w:space="0"/>
              <w:left w:val="single" w:color="auto" w:sz="4" w:space="0"/>
              <w:bottom w:val="single" w:color="auto" w:sz="12"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0</w:t>
            </w:r>
          </w:p>
        </w:tc>
        <w:tc>
          <w:tcPr>
            <w:tcW w:w="539" w:type="dxa"/>
            <w:tcBorders>
              <w:top w:val="single" w:color="auto" w:sz="4" w:space="0"/>
              <w:left w:val="single" w:color="auto" w:sz="4" w:space="0"/>
              <w:bottom w:val="single" w:color="auto" w:sz="12"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bCs/>
                <w:kern w:val="2"/>
                <w:sz w:val="21"/>
                <w:szCs w:val="21"/>
              </w:rPr>
              <w:t>4.9</w:t>
            </w:r>
          </w:p>
        </w:tc>
        <w:tc>
          <w:tcPr>
            <w:tcW w:w="1214" w:type="dxa"/>
            <w:tcBorders>
              <w:top w:val="single" w:color="auto" w:sz="4" w:space="0"/>
              <w:left w:val="single" w:color="auto" w:sz="4" w:space="0"/>
              <w:bottom w:val="single" w:color="auto" w:sz="12" w:space="0"/>
            </w:tcBorders>
            <w:vAlign w:val="center"/>
          </w:tcPr>
          <w:p>
            <w:pPr>
              <w:widowControl/>
              <w:topLinePunct w:val="0"/>
              <w:adjustRightInd/>
              <w:spacing w:line="240" w:lineRule="auto"/>
              <w:ind w:left="-120" w:leftChars="-50" w:right="-120" w:rightChars="-50" w:firstLine="0" w:firstLineChars="0"/>
              <w:jc w:val="center"/>
              <w:rPr>
                <w:rFonts w:ascii="Times New Roman" w:cs="Times New Roman"/>
                <w:kern w:val="2"/>
                <w:sz w:val="21"/>
              </w:rPr>
            </w:pPr>
            <w:r>
              <w:rPr>
                <w:rFonts w:ascii="Times New Roman" w:cs="Times New Roman"/>
                <w:kern w:val="2"/>
                <w:sz w:val="21"/>
              </w:rPr>
              <w:t>HCO</w:t>
            </w:r>
            <w:r>
              <w:rPr>
                <w:rFonts w:ascii="Times New Roman" w:cs="Times New Roman"/>
                <w:kern w:val="2"/>
                <w:sz w:val="21"/>
                <w:vertAlign w:val="subscript"/>
              </w:rPr>
              <w:t>3</w:t>
            </w:r>
            <w:r>
              <w:rPr>
                <w:rFonts w:ascii="Times New Roman" w:cs="Times New Roman"/>
                <w:kern w:val="2"/>
                <w:sz w:val="21"/>
              </w:rPr>
              <w:t>-Mg-Ca</w:t>
            </w:r>
          </w:p>
        </w:tc>
      </w:tr>
    </w:tbl>
    <w:p>
      <w:pPr>
        <w:pStyle w:val="39"/>
        <w:ind w:firstLine="470" w:firstLineChars="196"/>
        <w:jc w:val="both"/>
        <w:rPr>
          <w:rFonts w:cs="Times New Roman"/>
          <w:b w:val="0"/>
          <w:sz w:val="24"/>
        </w:rPr>
      </w:pPr>
      <w:r>
        <w:rPr>
          <w:rFonts w:cs="Times New Roman"/>
          <w:b w:val="0"/>
          <w:sz w:val="24"/>
        </w:rPr>
        <w:t>根据各水样水化学宏量组分监测结果（表5.5-1），评价区地下水矿化度≤1g/L，总硬度248～268mg/L，属于极软～中硬的低矿化度淡水，pH介于7.3～7.5，呈弱碱性。地下水主要阳离子为Na</w:t>
      </w:r>
      <w:r>
        <w:rPr>
          <w:rFonts w:cs="Times New Roman"/>
          <w:b w:val="0"/>
          <w:sz w:val="24"/>
          <w:vertAlign w:val="superscript"/>
        </w:rPr>
        <w:t>+</w:t>
      </w:r>
      <w:r>
        <w:rPr>
          <w:rFonts w:cs="Times New Roman"/>
          <w:b w:val="0"/>
          <w:sz w:val="24"/>
        </w:rPr>
        <w:t>、Ca</w:t>
      </w:r>
      <w:r>
        <w:rPr>
          <w:rFonts w:cs="Times New Roman"/>
          <w:b w:val="0"/>
          <w:sz w:val="24"/>
          <w:vertAlign w:val="superscript"/>
        </w:rPr>
        <w:t>2+</w:t>
      </w:r>
      <w:r>
        <w:rPr>
          <w:rFonts w:cs="Times New Roman"/>
          <w:b w:val="0"/>
          <w:sz w:val="24"/>
        </w:rPr>
        <w:t>和Mg</w:t>
      </w:r>
      <w:r>
        <w:rPr>
          <w:rFonts w:cs="Times New Roman"/>
          <w:b w:val="0"/>
          <w:sz w:val="24"/>
          <w:vertAlign w:val="superscript"/>
        </w:rPr>
        <w:t>2+</w:t>
      </w:r>
      <w:r>
        <w:rPr>
          <w:rFonts w:cs="Times New Roman"/>
          <w:b w:val="0"/>
          <w:sz w:val="24"/>
        </w:rPr>
        <w:t>，主要阴离子为HCO</w:t>
      </w:r>
      <w:r>
        <w:rPr>
          <w:rFonts w:cs="Times New Roman"/>
          <w:b w:val="0"/>
          <w:sz w:val="24"/>
          <w:vertAlign w:val="subscript"/>
        </w:rPr>
        <w:t>3</w:t>
      </w:r>
      <w:r>
        <w:rPr>
          <w:rFonts w:cs="Times New Roman"/>
          <w:b w:val="0"/>
          <w:sz w:val="24"/>
          <w:vertAlign w:val="superscript"/>
        </w:rPr>
        <w:t>-</w:t>
      </w:r>
      <w:r>
        <w:rPr>
          <w:rFonts w:cs="Times New Roman"/>
          <w:b w:val="0"/>
          <w:sz w:val="24"/>
        </w:rPr>
        <w:t>，水化学类型以HCO</w:t>
      </w:r>
      <w:r>
        <w:rPr>
          <w:rFonts w:cs="Times New Roman"/>
          <w:b w:val="0"/>
          <w:sz w:val="24"/>
          <w:vertAlign w:val="subscript"/>
        </w:rPr>
        <w:t>3</w:t>
      </w:r>
      <w:r>
        <w:rPr>
          <w:rFonts w:cs="Times New Roman"/>
          <w:b w:val="0"/>
          <w:sz w:val="24"/>
        </w:rPr>
        <w:t>-Mg-Ca为主。</w:t>
      </w:r>
    </w:p>
    <w:p>
      <w:pPr>
        <w:pStyle w:val="39"/>
        <w:rPr>
          <w:rFonts w:cs="Times New Roman"/>
        </w:rPr>
      </w:pPr>
      <w:r>
        <w:rPr>
          <w:rFonts w:cs="Times New Roman"/>
        </w:rPr>
        <w:t>表5.5-1  地下水环境质量现状监测结果</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97"/>
        <w:gridCol w:w="1124"/>
        <w:gridCol w:w="1036"/>
        <w:gridCol w:w="967"/>
        <w:gridCol w:w="977"/>
        <w:gridCol w:w="870"/>
        <w:gridCol w:w="874"/>
        <w:gridCol w:w="8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97" w:type="dxa"/>
            <w:vMerge w:val="restart"/>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项目</w:t>
            </w:r>
          </w:p>
        </w:tc>
        <w:tc>
          <w:tcPr>
            <w:tcW w:w="1124" w:type="dxa"/>
            <w:vMerge w:val="restart"/>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单位</w:t>
            </w:r>
          </w:p>
        </w:tc>
        <w:tc>
          <w:tcPr>
            <w:tcW w:w="4724" w:type="dxa"/>
            <w:gridSpan w:val="5"/>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监测值</w:t>
            </w:r>
          </w:p>
        </w:tc>
        <w:tc>
          <w:tcPr>
            <w:tcW w:w="889" w:type="dxa"/>
            <w:vMerge w:val="restart"/>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97" w:type="dxa"/>
            <w:vMerge w:val="continue"/>
            <w:vAlign w:val="center"/>
          </w:tcPr>
          <w:p>
            <w:pPr>
              <w:widowControl/>
              <w:topLinePunct w:val="0"/>
              <w:adjustRightInd/>
              <w:spacing w:line="240" w:lineRule="auto"/>
              <w:ind w:firstLine="0" w:firstLineChars="0"/>
              <w:jc w:val="center"/>
              <w:rPr>
                <w:rFonts w:ascii="Times New Roman" w:cs="Times New Roman"/>
                <w:kern w:val="2"/>
                <w:sz w:val="21"/>
              </w:rPr>
            </w:pPr>
          </w:p>
        </w:tc>
        <w:tc>
          <w:tcPr>
            <w:tcW w:w="1124" w:type="dxa"/>
            <w:vMerge w:val="continue"/>
            <w:vAlign w:val="center"/>
          </w:tcPr>
          <w:p>
            <w:pPr>
              <w:widowControl/>
              <w:topLinePunct w:val="0"/>
              <w:adjustRightInd/>
              <w:spacing w:line="240" w:lineRule="auto"/>
              <w:ind w:firstLine="0" w:firstLineChars="0"/>
              <w:jc w:val="center"/>
              <w:rPr>
                <w:rFonts w:ascii="Times New Roman" w:cs="Times New Roman"/>
                <w:kern w:val="2"/>
                <w:sz w:val="21"/>
              </w:rPr>
            </w:pPr>
          </w:p>
        </w:tc>
        <w:tc>
          <w:tcPr>
            <w:tcW w:w="103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1#</w:t>
            </w:r>
          </w:p>
        </w:tc>
        <w:tc>
          <w:tcPr>
            <w:tcW w:w="96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2#</w:t>
            </w:r>
          </w:p>
        </w:tc>
        <w:tc>
          <w:tcPr>
            <w:tcW w:w="97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3#</w:t>
            </w:r>
          </w:p>
        </w:tc>
        <w:tc>
          <w:tcPr>
            <w:tcW w:w="87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4#</w:t>
            </w:r>
          </w:p>
        </w:tc>
        <w:tc>
          <w:tcPr>
            <w:tcW w:w="87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w:t>
            </w:r>
          </w:p>
        </w:tc>
        <w:tc>
          <w:tcPr>
            <w:tcW w:w="889" w:type="dxa"/>
            <w:vMerge w:val="continue"/>
            <w:vAlign w:val="center"/>
          </w:tcPr>
          <w:p>
            <w:pPr>
              <w:widowControl/>
              <w:topLinePunct w:val="0"/>
              <w:adjustRightInd/>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9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pH</w:t>
            </w:r>
          </w:p>
        </w:tc>
        <w:tc>
          <w:tcPr>
            <w:tcW w:w="112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无量纲</w:t>
            </w:r>
          </w:p>
        </w:tc>
        <w:tc>
          <w:tcPr>
            <w:tcW w:w="103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7.6</w:t>
            </w:r>
          </w:p>
        </w:tc>
        <w:tc>
          <w:tcPr>
            <w:tcW w:w="96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7.6</w:t>
            </w:r>
          </w:p>
        </w:tc>
        <w:tc>
          <w:tcPr>
            <w:tcW w:w="97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7.4</w:t>
            </w:r>
          </w:p>
        </w:tc>
        <w:tc>
          <w:tcPr>
            <w:tcW w:w="87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7.7</w:t>
            </w:r>
          </w:p>
        </w:tc>
        <w:tc>
          <w:tcPr>
            <w:tcW w:w="87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7.3</w:t>
            </w:r>
          </w:p>
        </w:tc>
        <w:tc>
          <w:tcPr>
            <w:tcW w:w="889"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6.5-8.5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9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总硬度（以CaCO</w:t>
            </w:r>
            <w:r>
              <w:rPr>
                <w:rFonts w:ascii="Times New Roman" w:cs="Times New Roman"/>
                <w:kern w:val="2"/>
                <w:sz w:val="21"/>
                <w:vertAlign w:val="subscript"/>
              </w:rPr>
              <w:t>3</w:t>
            </w:r>
            <w:r>
              <w:rPr>
                <w:rFonts w:ascii="Times New Roman" w:cs="Times New Roman"/>
                <w:kern w:val="2"/>
                <w:sz w:val="21"/>
              </w:rPr>
              <w:t>计）</w:t>
            </w:r>
          </w:p>
        </w:tc>
        <w:tc>
          <w:tcPr>
            <w:tcW w:w="112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（mg/L）</w:t>
            </w:r>
          </w:p>
        </w:tc>
        <w:tc>
          <w:tcPr>
            <w:tcW w:w="103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255</w:t>
            </w:r>
          </w:p>
        </w:tc>
        <w:tc>
          <w:tcPr>
            <w:tcW w:w="96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268</w:t>
            </w:r>
          </w:p>
        </w:tc>
        <w:tc>
          <w:tcPr>
            <w:tcW w:w="97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266</w:t>
            </w:r>
          </w:p>
        </w:tc>
        <w:tc>
          <w:tcPr>
            <w:tcW w:w="87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248</w:t>
            </w:r>
          </w:p>
        </w:tc>
        <w:tc>
          <w:tcPr>
            <w:tcW w:w="87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258</w:t>
            </w:r>
          </w:p>
        </w:tc>
        <w:tc>
          <w:tcPr>
            <w:tcW w:w="889"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9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溶解性总固体</w:t>
            </w:r>
          </w:p>
        </w:tc>
        <w:tc>
          <w:tcPr>
            <w:tcW w:w="112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（mg/L）</w:t>
            </w:r>
          </w:p>
        </w:tc>
        <w:tc>
          <w:tcPr>
            <w:tcW w:w="103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285</w:t>
            </w:r>
          </w:p>
        </w:tc>
        <w:tc>
          <w:tcPr>
            <w:tcW w:w="96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280</w:t>
            </w:r>
          </w:p>
        </w:tc>
        <w:tc>
          <w:tcPr>
            <w:tcW w:w="97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276</w:t>
            </w:r>
          </w:p>
        </w:tc>
        <w:tc>
          <w:tcPr>
            <w:tcW w:w="87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291</w:t>
            </w:r>
          </w:p>
        </w:tc>
        <w:tc>
          <w:tcPr>
            <w:tcW w:w="87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276</w:t>
            </w:r>
          </w:p>
        </w:tc>
        <w:tc>
          <w:tcPr>
            <w:tcW w:w="889"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9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氯化物</w:t>
            </w:r>
          </w:p>
        </w:tc>
        <w:tc>
          <w:tcPr>
            <w:tcW w:w="112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（mg/L）</w:t>
            </w:r>
          </w:p>
        </w:tc>
        <w:tc>
          <w:tcPr>
            <w:tcW w:w="103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2.19</w:t>
            </w:r>
          </w:p>
        </w:tc>
        <w:tc>
          <w:tcPr>
            <w:tcW w:w="96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3.06</w:t>
            </w:r>
          </w:p>
        </w:tc>
        <w:tc>
          <w:tcPr>
            <w:tcW w:w="97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2.25</w:t>
            </w:r>
          </w:p>
        </w:tc>
        <w:tc>
          <w:tcPr>
            <w:tcW w:w="87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1.88</w:t>
            </w:r>
          </w:p>
        </w:tc>
        <w:tc>
          <w:tcPr>
            <w:tcW w:w="87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8.67</w:t>
            </w:r>
          </w:p>
        </w:tc>
        <w:tc>
          <w:tcPr>
            <w:tcW w:w="889"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9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铁（Fe）</w:t>
            </w:r>
          </w:p>
        </w:tc>
        <w:tc>
          <w:tcPr>
            <w:tcW w:w="112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（mg/L）</w:t>
            </w:r>
          </w:p>
        </w:tc>
        <w:tc>
          <w:tcPr>
            <w:tcW w:w="103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96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97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87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87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889"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9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锰（Mn）</w:t>
            </w:r>
          </w:p>
        </w:tc>
        <w:tc>
          <w:tcPr>
            <w:tcW w:w="112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（mg/L）</w:t>
            </w:r>
          </w:p>
        </w:tc>
        <w:tc>
          <w:tcPr>
            <w:tcW w:w="103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96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97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87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87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889"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9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挥发酚</w:t>
            </w:r>
          </w:p>
        </w:tc>
        <w:tc>
          <w:tcPr>
            <w:tcW w:w="112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（mg/L）</w:t>
            </w:r>
          </w:p>
        </w:tc>
        <w:tc>
          <w:tcPr>
            <w:tcW w:w="103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96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97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87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87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889"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9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耗氧量</w:t>
            </w:r>
          </w:p>
        </w:tc>
        <w:tc>
          <w:tcPr>
            <w:tcW w:w="112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（mg/L）</w:t>
            </w:r>
          </w:p>
        </w:tc>
        <w:tc>
          <w:tcPr>
            <w:tcW w:w="103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2.3</w:t>
            </w:r>
          </w:p>
        </w:tc>
        <w:tc>
          <w:tcPr>
            <w:tcW w:w="96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2.8</w:t>
            </w:r>
          </w:p>
        </w:tc>
        <w:tc>
          <w:tcPr>
            <w:tcW w:w="97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2.7</w:t>
            </w:r>
          </w:p>
        </w:tc>
        <w:tc>
          <w:tcPr>
            <w:tcW w:w="87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3.0</w:t>
            </w:r>
          </w:p>
        </w:tc>
        <w:tc>
          <w:tcPr>
            <w:tcW w:w="87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2.6</w:t>
            </w:r>
          </w:p>
        </w:tc>
        <w:tc>
          <w:tcPr>
            <w:tcW w:w="889"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9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硝酸盐（以N计）</w:t>
            </w:r>
          </w:p>
        </w:tc>
        <w:tc>
          <w:tcPr>
            <w:tcW w:w="112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（mg/L）</w:t>
            </w:r>
          </w:p>
        </w:tc>
        <w:tc>
          <w:tcPr>
            <w:tcW w:w="103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1.01</w:t>
            </w:r>
          </w:p>
        </w:tc>
        <w:tc>
          <w:tcPr>
            <w:tcW w:w="96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0.414</w:t>
            </w:r>
          </w:p>
        </w:tc>
        <w:tc>
          <w:tcPr>
            <w:tcW w:w="97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1.01</w:t>
            </w:r>
          </w:p>
        </w:tc>
        <w:tc>
          <w:tcPr>
            <w:tcW w:w="87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0.531</w:t>
            </w:r>
          </w:p>
        </w:tc>
        <w:tc>
          <w:tcPr>
            <w:tcW w:w="87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1.84</w:t>
            </w:r>
          </w:p>
        </w:tc>
        <w:tc>
          <w:tcPr>
            <w:tcW w:w="889"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9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亚硝酸盐（以N计）</w:t>
            </w:r>
          </w:p>
        </w:tc>
        <w:tc>
          <w:tcPr>
            <w:tcW w:w="112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（mg/L）</w:t>
            </w:r>
          </w:p>
        </w:tc>
        <w:tc>
          <w:tcPr>
            <w:tcW w:w="103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96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97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87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87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889"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9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硫酸盐</w:t>
            </w:r>
          </w:p>
        </w:tc>
        <w:tc>
          <w:tcPr>
            <w:tcW w:w="112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（mg/L）</w:t>
            </w:r>
          </w:p>
        </w:tc>
        <w:tc>
          <w:tcPr>
            <w:tcW w:w="103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7.26</w:t>
            </w:r>
          </w:p>
        </w:tc>
        <w:tc>
          <w:tcPr>
            <w:tcW w:w="96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7.08</w:t>
            </w:r>
          </w:p>
        </w:tc>
        <w:tc>
          <w:tcPr>
            <w:tcW w:w="97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7.26</w:t>
            </w:r>
          </w:p>
        </w:tc>
        <w:tc>
          <w:tcPr>
            <w:tcW w:w="87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9.26</w:t>
            </w:r>
          </w:p>
        </w:tc>
        <w:tc>
          <w:tcPr>
            <w:tcW w:w="87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12.7</w:t>
            </w:r>
          </w:p>
        </w:tc>
        <w:tc>
          <w:tcPr>
            <w:tcW w:w="889"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9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总大肠菌群</w:t>
            </w:r>
          </w:p>
        </w:tc>
        <w:tc>
          <w:tcPr>
            <w:tcW w:w="112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MPN/100ml</w:t>
            </w:r>
          </w:p>
        </w:tc>
        <w:tc>
          <w:tcPr>
            <w:tcW w:w="103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＜2</w:t>
            </w:r>
          </w:p>
        </w:tc>
        <w:tc>
          <w:tcPr>
            <w:tcW w:w="96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＜2</w:t>
            </w:r>
          </w:p>
        </w:tc>
        <w:tc>
          <w:tcPr>
            <w:tcW w:w="97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＜2</w:t>
            </w:r>
          </w:p>
        </w:tc>
        <w:tc>
          <w:tcPr>
            <w:tcW w:w="87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＜2</w:t>
            </w:r>
          </w:p>
        </w:tc>
        <w:tc>
          <w:tcPr>
            <w:tcW w:w="87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＜2</w:t>
            </w:r>
          </w:p>
        </w:tc>
        <w:tc>
          <w:tcPr>
            <w:tcW w:w="889"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9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菌落总数</w:t>
            </w:r>
          </w:p>
        </w:tc>
        <w:tc>
          <w:tcPr>
            <w:tcW w:w="112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CFU/ml</w:t>
            </w:r>
          </w:p>
        </w:tc>
        <w:tc>
          <w:tcPr>
            <w:tcW w:w="103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34</w:t>
            </w:r>
          </w:p>
        </w:tc>
        <w:tc>
          <w:tcPr>
            <w:tcW w:w="96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36</w:t>
            </w:r>
          </w:p>
        </w:tc>
        <w:tc>
          <w:tcPr>
            <w:tcW w:w="97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31</w:t>
            </w:r>
          </w:p>
        </w:tc>
        <w:tc>
          <w:tcPr>
            <w:tcW w:w="87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30</w:t>
            </w:r>
          </w:p>
        </w:tc>
        <w:tc>
          <w:tcPr>
            <w:tcW w:w="87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21</w:t>
            </w:r>
          </w:p>
        </w:tc>
        <w:tc>
          <w:tcPr>
            <w:tcW w:w="889"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9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氨氮</w:t>
            </w:r>
          </w:p>
        </w:tc>
        <w:tc>
          <w:tcPr>
            <w:tcW w:w="112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（mg/L）</w:t>
            </w:r>
          </w:p>
        </w:tc>
        <w:tc>
          <w:tcPr>
            <w:tcW w:w="103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0.184</w:t>
            </w:r>
          </w:p>
        </w:tc>
        <w:tc>
          <w:tcPr>
            <w:tcW w:w="96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0.359</w:t>
            </w:r>
          </w:p>
        </w:tc>
        <w:tc>
          <w:tcPr>
            <w:tcW w:w="97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0.286</w:t>
            </w:r>
          </w:p>
        </w:tc>
        <w:tc>
          <w:tcPr>
            <w:tcW w:w="87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0.302</w:t>
            </w:r>
          </w:p>
        </w:tc>
        <w:tc>
          <w:tcPr>
            <w:tcW w:w="87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0.262</w:t>
            </w:r>
          </w:p>
        </w:tc>
        <w:tc>
          <w:tcPr>
            <w:tcW w:w="889"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9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氟化物</w:t>
            </w:r>
          </w:p>
        </w:tc>
        <w:tc>
          <w:tcPr>
            <w:tcW w:w="112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（mg/L）</w:t>
            </w:r>
          </w:p>
        </w:tc>
        <w:tc>
          <w:tcPr>
            <w:tcW w:w="103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0.108</w:t>
            </w:r>
          </w:p>
        </w:tc>
        <w:tc>
          <w:tcPr>
            <w:tcW w:w="96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0.104</w:t>
            </w:r>
          </w:p>
        </w:tc>
        <w:tc>
          <w:tcPr>
            <w:tcW w:w="97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0.104</w:t>
            </w:r>
          </w:p>
        </w:tc>
        <w:tc>
          <w:tcPr>
            <w:tcW w:w="87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0.125</w:t>
            </w:r>
          </w:p>
        </w:tc>
        <w:tc>
          <w:tcPr>
            <w:tcW w:w="87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0.178</w:t>
            </w:r>
          </w:p>
        </w:tc>
        <w:tc>
          <w:tcPr>
            <w:tcW w:w="889"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9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氰化物</w:t>
            </w:r>
          </w:p>
        </w:tc>
        <w:tc>
          <w:tcPr>
            <w:tcW w:w="112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（mg/L）</w:t>
            </w:r>
          </w:p>
        </w:tc>
        <w:tc>
          <w:tcPr>
            <w:tcW w:w="103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&lt;0.002</w:t>
            </w:r>
          </w:p>
        </w:tc>
        <w:tc>
          <w:tcPr>
            <w:tcW w:w="96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&lt;0.002</w:t>
            </w:r>
          </w:p>
        </w:tc>
        <w:tc>
          <w:tcPr>
            <w:tcW w:w="97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&lt;0.002</w:t>
            </w:r>
          </w:p>
        </w:tc>
        <w:tc>
          <w:tcPr>
            <w:tcW w:w="87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&lt;0.002</w:t>
            </w:r>
          </w:p>
        </w:tc>
        <w:tc>
          <w:tcPr>
            <w:tcW w:w="87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&lt;0.002</w:t>
            </w:r>
          </w:p>
        </w:tc>
        <w:tc>
          <w:tcPr>
            <w:tcW w:w="889"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9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汞（Hg）</w:t>
            </w:r>
          </w:p>
        </w:tc>
        <w:tc>
          <w:tcPr>
            <w:tcW w:w="112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（mg/L）</w:t>
            </w:r>
          </w:p>
        </w:tc>
        <w:tc>
          <w:tcPr>
            <w:tcW w:w="103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96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97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87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87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889"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9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砷（As）</w:t>
            </w:r>
          </w:p>
        </w:tc>
        <w:tc>
          <w:tcPr>
            <w:tcW w:w="112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（mg/L）</w:t>
            </w:r>
          </w:p>
        </w:tc>
        <w:tc>
          <w:tcPr>
            <w:tcW w:w="103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96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97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87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87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889"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9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镉（Cd）</w:t>
            </w:r>
          </w:p>
        </w:tc>
        <w:tc>
          <w:tcPr>
            <w:tcW w:w="112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（mg/L）</w:t>
            </w:r>
          </w:p>
        </w:tc>
        <w:tc>
          <w:tcPr>
            <w:tcW w:w="103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0.1</w:t>
            </w:r>
          </w:p>
        </w:tc>
        <w:tc>
          <w:tcPr>
            <w:tcW w:w="96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0.1</w:t>
            </w:r>
          </w:p>
        </w:tc>
        <w:tc>
          <w:tcPr>
            <w:tcW w:w="97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&lt;0.1</w:t>
            </w:r>
          </w:p>
        </w:tc>
        <w:tc>
          <w:tcPr>
            <w:tcW w:w="87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&lt;0.1</w:t>
            </w:r>
          </w:p>
        </w:tc>
        <w:tc>
          <w:tcPr>
            <w:tcW w:w="87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&lt;0.1</w:t>
            </w:r>
          </w:p>
        </w:tc>
        <w:tc>
          <w:tcPr>
            <w:tcW w:w="889"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9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铬（六价）（Cr</w:t>
            </w:r>
            <w:r>
              <w:rPr>
                <w:rFonts w:ascii="Times New Roman" w:cs="Times New Roman"/>
                <w:kern w:val="2"/>
                <w:sz w:val="21"/>
                <w:vertAlign w:val="superscript"/>
              </w:rPr>
              <w:t>6+</w:t>
            </w:r>
            <w:r>
              <w:rPr>
                <w:rFonts w:ascii="Times New Roman" w:cs="Times New Roman"/>
                <w:kern w:val="2"/>
                <w:sz w:val="21"/>
              </w:rPr>
              <w:t>）</w:t>
            </w:r>
          </w:p>
        </w:tc>
        <w:tc>
          <w:tcPr>
            <w:tcW w:w="112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（mg/L）</w:t>
            </w:r>
          </w:p>
        </w:tc>
        <w:tc>
          <w:tcPr>
            <w:tcW w:w="103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&lt;0.004</w:t>
            </w:r>
          </w:p>
        </w:tc>
        <w:tc>
          <w:tcPr>
            <w:tcW w:w="96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&lt;0.004</w:t>
            </w:r>
          </w:p>
        </w:tc>
        <w:tc>
          <w:tcPr>
            <w:tcW w:w="97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&lt;0.004</w:t>
            </w:r>
          </w:p>
        </w:tc>
        <w:tc>
          <w:tcPr>
            <w:tcW w:w="87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&lt;0.004</w:t>
            </w:r>
          </w:p>
        </w:tc>
        <w:tc>
          <w:tcPr>
            <w:tcW w:w="87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&lt;0.004</w:t>
            </w:r>
          </w:p>
        </w:tc>
        <w:tc>
          <w:tcPr>
            <w:tcW w:w="889"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9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铅（Pb）</w:t>
            </w:r>
          </w:p>
        </w:tc>
        <w:tc>
          <w:tcPr>
            <w:tcW w:w="112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（mg/L）</w:t>
            </w:r>
          </w:p>
        </w:tc>
        <w:tc>
          <w:tcPr>
            <w:tcW w:w="103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&lt;1</w:t>
            </w:r>
          </w:p>
        </w:tc>
        <w:tc>
          <w:tcPr>
            <w:tcW w:w="96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&lt;1</w:t>
            </w:r>
          </w:p>
        </w:tc>
        <w:tc>
          <w:tcPr>
            <w:tcW w:w="97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&lt;1</w:t>
            </w:r>
          </w:p>
        </w:tc>
        <w:tc>
          <w:tcPr>
            <w:tcW w:w="87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&lt;1</w:t>
            </w:r>
          </w:p>
        </w:tc>
        <w:tc>
          <w:tcPr>
            <w:tcW w:w="87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&lt;1</w:t>
            </w:r>
          </w:p>
        </w:tc>
        <w:tc>
          <w:tcPr>
            <w:tcW w:w="889"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9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硫化物</w:t>
            </w:r>
          </w:p>
        </w:tc>
        <w:tc>
          <w:tcPr>
            <w:tcW w:w="112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（mg/L）</w:t>
            </w:r>
          </w:p>
        </w:tc>
        <w:tc>
          <w:tcPr>
            <w:tcW w:w="103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96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97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87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87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889"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9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石油类</w:t>
            </w:r>
          </w:p>
        </w:tc>
        <w:tc>
          <w:tcPr>
            <w:tcW w:w="112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（mg/L）</w:t>
            </w:r>
          </w:p>
        </w:tc>
        <w:tc>
          <w:tcPr>
            <w:tcW w:w="103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96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977"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87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874"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c>
          <w:tcPr>
            <w:tcW w:w="889"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34" w:type="dxa"/>
            <w:gridSpan w:val="8"/>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备注：ND表示检测结果低于方法检出限或未检出。</w:t>
            </w:r>
          </w:p>
        </w:tc>
      </w:tr>
    </w:tbl>
    <w:p>
      <w:pPr>
        <w:ind w:firstLine="0" w:firstLineChars="0"/>
        <w:jc w:val="center"/>
        <w:rPr>
          <w:rFonts w:ascii="Times New Roman" w:cs="Times New Roman"/>
          <w:b/>
        </w:rPr>
      </w:pPr>
      <w:r>
        <w:rPr>
          <w:rFonts w:ascii="Times New Roman" w:cs="Times New Roman"/>
          <w:b/>
        </w:rPr>
        <w:t>表5.5-2  地下水环境质量现状评价结果</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53"/>
        <w:gridCol w:w="1035"/>
        <w:gridCol w:w="1035"/>
        <w:gridCol w:w="1037"/>
        <w:gridCol w:w="1037"/>
        <w:gridCol w:w="10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Merge w:val="restart"/>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项目</w:t>
            </w:r>
          </w:p>
        </w:tc>
        <w:tc>
          <w:tcPr>
            <w:tcW w:w="5056" w:type="dxa"/>
            <w:gridSpan w:val="5"/>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评价值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Merge w:val="continue"/>
            <w:vAlign w:val="center"/>
          </w:tcPr>
          <w:p>
            <w:pPr>
              <w:widowControl/>
              <w:topLinePunct w:val="0"/>
              <w:adjustRightInd/>
              <w:spacing w:line="240" w:lineRule="auto"/>
              <w:ind w:firstLine="0" w:firstLineChars="0"/>
              <w:jc w:val="center"/>
              <w:rPr>
                <w:rFonts w:ascii="Times New Roman" w:cs="Times New Roman"/>
                <w:kern w:val="2"/>
                <w:sz w:val="21"/>
              </w:rPr>
            </w:pP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1#</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2#</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3#</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4#</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pH</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0.4</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0.4</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0.27</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0.47</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总硬度（以CaCO3计）</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0.57 </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0.60 </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0.59 </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0.55 </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0.57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溶解性总固体</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0.29 </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0.28 </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0.28 </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0.29 </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0.28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氯化物</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0.01 </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0.01 </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0.01 </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0.01 </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0.03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铁（Fe）</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锰（Mn）</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挥发酚</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耗氧量</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0.77 </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0.93 </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0.90 </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1.00 </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0.87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硝酸盐（以N计）</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0.05 </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0.02 </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0.05 </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0.03 </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0.09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亚硝酸盐（以N计）</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硫酸盐</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0.03 </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0.03 </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0.03 </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0.04 </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0.05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总大肠菌群</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菌落总数</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0.34 </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0.36 </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0.31 </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0.30 </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0.21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氨氮</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0.04 </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0.07 </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0.06 </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0.06 </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0.05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氟化物</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0.11 </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0.10 </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0.10 </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0.13 </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0.18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氰化物</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汞（Hg）</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砷（As）</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镉（Cd）</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0.02 </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 xml:space="preserve">0.02 </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铬（六价）（Cr</w:t>
            </w:r>
            <w:r>
              <w:rPr>
                <w:rFonts w:ascii="Times New Roman" w:cs="Times New Roman"/>
                <w:kern w:val="2"/>
                <w:sz w:val="21"/>
                <w:vertAlign w:val="superscript"/>
              </w:rPr>
              <w:t>6+</w:t>
            </w:r>
            <w:r>
              <w:rPr>
                <w:rFonts w:ascii="Times New Roman" w:cs="Times New Roman"/>
                <w:kern w:val="2"/>
                <w:sz w:val="21"/>
              </w:rPr>
              <w:t>）</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铅（Pb）</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硫化物</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石油类</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0"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12" w:type="dxa"/>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r>
    </w:tbl>
    <w:p>
      <w:pPr>
        <w:pStyle w:val="39"/>
        <w:rPr>
          <w:rFonts w:cs="Times New Roman"/>
        </w:rPr>
      </w:pPr>
      <w:r>
        <w:rPr>
          <w:rFonts w:cs="Times New Roman"/>
        </w:rPr>
        <w:t>表5.5-3  地下水水位调查结果</w:t>
      </w:r>
    </w:p>
    <w:tbl>
      <w:tblPr>
        <w:tblStyle w:val="59"/>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2861"/>
        <w:gridCol w:w="3065"/>
        <w:gridCol w:w="1095"/>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9" w:type="dxa"/>
            <w:tcBorders>
              <w:top w:val="single" w:color="auto" w:sz="12"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序号</w:t>
            </w:r>
          </w:p>
        </w:tc>
        <w:tc>
          <w:tcPr>
            <w:tcW w:w="2861" w:type="dxa"/>
            <w:tcBorders>
              <w:top w:val="single" w:color="auto" w:sz="12" w:space="0"/>
              <w:left w:val="single" w:color="auto" w:sz="4" w:space="0"/>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检测点位信息</w:t>
            </w:r>
          </w:p>
        </w:tc>
        <w:tc>
          <w:tcPr>
            <w:tcW w:w="3065" w:type="dxa"/>
            <w:tcBorders>
              <w:top w:val="single" w:color="auto" w:sz="12" w:space="0"/>
              <w:left w:val="single" w:color="auto" w:sz="4" w:space="0"/>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坐标</w:t>
            </w:r>
          </w:p>
        </w:tc>
        <w:tc>
          <w:tcPr>
            <w:tcW w:w="1095" w:type="dxa"/>
            <w:tcBorders>
              <w:top w:val="single" w:color="auto" w:sz="12" w:space="0"/>
              <w:left w:val="single" w:color="auto" w:sz="4" w:space="0"/>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水位（m）</w:t>
            </w:r>
          </w:p>
        </w:tc>
        <w:tc>
          <w:tcPr>
            <w:tcW w:w="1044" w:type="dxa"/>
            <w:tcBorders>
              <w:top w:val="single" w:color="auto" w:sz="12" w:space="0"/>
              <w:left w:val="single" w:color="auto" w:sz="4" w:space="0"/>
              <w:bottom w:val="single" w:color="auto" w:sz="4" w:space="0"/>
              <w:right w:val="nil"/>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高程（m）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9" w:type="dxa"/>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1</w:t>
            </w:r>
          </w:p>
        </w:tc>
        <w:tc>
          <w:tcPr>
            <w:tcW w:w="2861"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1#项目西南侧约200m处</w:t>
            </w:r>
          </w:p>
        </w:tc>
        <w:tc>
          <w:tcPr>
            <w:tcW w:w="3065"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东经107.788141，北纬31.537231</w:t>
            </w:r>
          </w:p>
        </w:tc>
        <w:tc>
          <w:tcPr>
            <w:tcW w:w="1095"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0.60</w:t>
            </w:r>
          </w:p>
        </w:tc>
        <w:tc>
          <w:tcPr>
            <w:tcW w:w="1044" w:type="dxa"/>
            <w:tcBorders>
              <w:top w:val="single" w:color="auto" w:sz="4" w:space="0"/>
              <w:left w:val="single" w:color="auto" w:sz="4" w:space="0"/>
              <w:bottom w:val="single" w:color="auto" w:sz="4" w:space="0"/>
              <w:right w:val="nil"/>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9" w:type="dxa"/>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2</w:t>
            </w:r>
          </w:p>
        </w:tc>
        <w:tc>
          <w:tcPr>
            <w:tcW w:w="2861"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2#项目西北侧居民水井</w:t>
            </w:r>
          </w:p>
        </w:tc>
        <w:tc>
          <w:tcPr>
            <w:tcW w:w="3065"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东经107.776798，北纬31.537195</w:t>
            </w:r>
          </w:p>
        </w:tc>
        <w:tc>
          <w:tcPr>
            <w:tcW w:w="1095"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9.42</w:t>
            </w:r>
          </w:p>
        </w:tc>
        <w:tc>
          <w:tcPr>
            <w:tcW w:w="1044" w:type="dxa"/>
            <w:tcBorders>
              <w:top w:val="single" w:color="auto" w:sz="4" w:space="0"/>
              <w:left w:val="single" w:color="auto" w:sz="4" w:space="0"/>
              <w:bottom w:val="single" w:color="auto" w:sz="4" w:space="0"/>
              <w:right w:val="nil"/>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9" w:type="dxa"/>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3</w:t>
            </w:r>
          </w:p>
        </w:tc>
        <w:tc>
          <w:tcPr>
            <w:tcW w:w="2861"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3#项目东侧约150m处</w:t>
            </w:r>
          </w:p>
        </w:tc>
        <w:tc>
          <w:tcPr>
            <w:tcW w:w="3065"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东经107.788141，北纬31.537231</w:t>
            </w:r>
          </w:p>
        </w:tc>
        <w:tc>
          <w:tcPr>
            <w:tcW w:w="1095"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0</w:t>
            </w:r>
          </w:p>
        </w:tc>
        <w:tc>
          <w:tcPr>
            <w:tcW w:w="1044" w:type="dxa"/>
            <w:tcBorders>
              <w:top w:val="single" w:color="auto" w:sz="4" w:space="0"/>
              <w:left w:val="single" w:color="auto" w:sz="4" w:space="0"/>
              <w:bottom w:val="single" w:color="auto" w:sz="4" w:space="0"/>
              <w:right w:val="nil"/>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9" w:type="dxa"/>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4</w:t>
            </w:r>
          </w:p>
        </w:tc>
        <w:tc>
          <w:tcPr>
            <w:tcW w:w="2861"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4#项目东南侧居民水井</w:t>
            </w:r>
          </w:p>
        </w:tc>
        <w:tc>
          <w:tcPr>
            <w:tcW w:w="3065"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东经107.772432，北纬31.525383</w:t>
            </w:r>
          </w:p>
        </w:tc>
        <w:tc>
          <w:tcPr>
            <w:tcW w:w="1095"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12.65</w:t>
            </w:r>
          </w:p>
        </w:tc>
        <w:tc>
          <w:tcPr>
            <w:tcW w:w="1044" w:type="dxa"/>
            <w:tcBorders>
              <w:top w:val="single" w:color="auto" w:sz="4" w:space="0"/>
              <w:left w:val="single" w:color="auto" w:sz="4" w:space="0"/>
              <w:bottom w:val="single" w:color="auto" w:sz="4" w:space="0"/>
              <w:right w:val="nil"/>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932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9" w:type="dxa"/>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5</w:t>
            </w:r>
          </w:p>
        </w:tc>
        <w:tc>
          <w:tcPr>
            <w:tcW w:w="2861"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5#项目东南侧居民水井</w:t>
            </w:r>
          </w:p>
        </w:tc>
        <w:tc>
          <w:tcPr>
            <w:tcW w:w="3065"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东经107.784034，北纬31.530181</w:t>
            </w:r>
          </w:p>
        </w:tc>
        <w:tc>
          <w:tcPr>
            <w:tcW w:w="1095"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10.78</w:t>
            </w:r>
          </w:p>
        </w:tc>
        <w:tc>
          <w:tcPr>
            <w:tcW w:w="1044" w:type="dxa"/>
            <w:tcBorders>
              <w:top w:val="single" w:color="auto" w:sz="4" w:space="0"/>
              <w:left w:val="single" w:color="auto" w:sz="4" w:space="0"/>
              <w:bottom w:val="single" w:color="auto" w:sz="4" w:space="0"/>
              <w:right w:val="nil"/>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9" w:type="dxa"/>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6</w:t>
            </w:r>
          </w:p>
        </w:tc>
        <w:tc>
          <w:tcPr>
            <w:tcW w:w="2861"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6#项目外东北侧居民水井</w:t>
            </w:r>
          </w:p>
        </w:tc>
        <w:tc>
          <w:tcPr>
            <w:tcW w:w="3065"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东经107.790037，北纬31.535244</w:t>
            </w:r>
          </w:p>
        </w:tc>
        <w:tc>
          <w:tcPr>
            <w:tcW w:w="1095"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11.02</w:t>
            </w:r>
          </w:p>
        </w:tc>
        <w:tc>
          <w:tcPr>
            <w:tcW w:w="1044" w:type="dxa"/>
            <w:tcBorders>
              <w:top w:val="single" w:color="auto" w:sz="4" w:space="0"/>
              <w:left w:val="single" w:color="auto" w:sz="4" w:space="0"/>
              <w:bottom w:val="single" w:color="auto" w:sz="4" w:space="0"/>
              <w:right w:val="nil"/>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9" w:type="dxa"/>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7</w:t>
            </w:r>
          </w:p>
        </w:tc>
        <w:tc>
          <w:tcPr>
            <w:tcW w:w="2861"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7#项目外东侧居民点水井</w:t>
            </w:r>
          </w:p>
        </w:tc>
        <w:tc>
          <w:tcPr>
            <w:tcW w:w="3065"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东经107.798348，北纬31.532489</w:t>
            </w:r>
          </w:p>
        </w:tc>
        <w:tc>
          <w:tcPr>
            <w:tcW w:w="1095"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8.47</w:t>
            </w:r>
          </w:p>
        </w:tc>
        <w:tc>
          <w:tcPr>
            <w:tcW w:w="1044" w:type="dxa"/>
            <w:tcBorders>
              <w:top w:val="single" w:color="auto" w:sz="4" w:space="0"/>
              <w:left w:val="single" w:color="auto" w:sz="4" w:space="0"/>
              <w:bottom w:val="single" w:color="auto" w:sz="4" w:space="0"/>
              <w:right w:val="nil"/>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9" w:type="dxa"/>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8</w:t>
            </w:r>
          </w:p>
        </w:tc>
        <w:tc>
          <w:tcPr>
            <w:tcW w:w="2861"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8#项目外东侧居民点水井</w:t>
            </w:r>
          </w:p>
        </w:tc>
        <w:tc>
          <w:tcPr>
            <w:tcW w:w="3065"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东经107.791922，北纬31.532159</w:t>
            </w:r>
          </w:p>
        </w:tc>
        <w:tc>
          <w:tcPr>
            <w:tcW w:w="1095"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5.77</w:t>
            </w:r>
          </w:p>
        </w:tc>
        <w:tc>
          <w:tcPr>
            <w:tcW w:w="1044" w:type="dxa"/>
            <w:tcBorders>
              <w:top w:val="single" w:color="auto" w:sz="4" w:space="0"/>
              <w:left w:val="single" w:color="auto" w:sz="4" w:space="0"/>
              <w:bottom w:val="single" w:color="auto" w:sz="4" w:space="0"/>
              <w:right w:val="nil"/>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9" w:type="dxa"/>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9</w:t>
            </w:r>
          </w:p>
        </w:tc>
        <w:tc>
          <w:tcPr>
            <w:tcW w:w="2861"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9#项目外西北侧居民点水井</w:t>
            </w:r>
          </w:p>
        </w:tc>
        <w:tc>
          <w:tcPr>
            <w:tcW w:w="3065"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东经107.777477，北纬31.536764</w:t>
            </w:r>
          </w:p>
        </w:tc>
        <w:tc>
          <w:tcPr>
            <w:tcW w:w="1095"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7.25</w:t>
            </w:r>
          </w:p>
        </w:tc>
        <w:tc>
          <w:tcPr>
            <w:tcW w:w="1044" w:type="dxa"/>
            <w:tcBorders>
              <w:top w:val="single" w:color="auto" w:sz="4" w:space="0"/>
              <w:left w:val="single" w:color="auto" w:sz="4" w:space="0"/>
              <w:bottom w:val="single" w:color="auto" w:sz="4" w:space="0"/>
              <w:right w:val="nil"/>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9" w:type="dxa"/>
            <w:tcBorders>
              <w:top w:val="single" w:color="auto" w:sz="4" w:space="0"/>
              <w:left w:val="nil"/>
              <w:bottom w:val="single" w:color="auto" w:sz="12"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10</w:t>
            </w:r>
          </w:p>
        </w:tc>
        <w:tc>
          <w:tcPr>
            <w:tcW w:w="2861" w:type="dxa"/>
            <w:tcBorders>
              <w:top w:val="single" w:color="auto" w:sz="4" w:space="0"/>
              <w:left w:val="single" w:color="auto" w:sz="4" w:space="0"/>
              <w:bottom w:val="single" w:color="auto" w:sz="12"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10#项目外东北侧居民点水井</w:t>
            </w:r>
          </w:p>
        </w:tc>
        <w:tc>
          <w:tcPr>
            <w:tcW w:w="3065" w:type="dxa"/>
            <w:tcBorders>
              <w:top w:val="single" w:color="auto" w:sz="4" w:space="0"/>
              <w:left w:val="single" w:color="auto" w:sz="4" w:space="0"/>
              <w:bottom w:val="single" w:color="auto" w:sz="12"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东经107.795877，北纬31.538401</w:t>
            </w:r>
          </w:p>
        </w:tc>
        <w:tc>
          <w:tcPr>
            <w:tcW w:w="1095" w:type="dxa"/>
            <w:tcBorders>
              <w:top w:val="single" w:color="auto" w:sz="4" w:space="0"/>
              <w:left w:val="single" w:color="auto" w:sz="4" w:space="0"/>
              <w:bottom w:val="single" w:color="auto" w:sz="12"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1044" w:type="dxa"/>
            <w:tcBorders>
              <w:top w:val="single" w:color="auto" w:sz="4" w:space="0"/>
              <w:left w:val="single" w:color="auto" w:sz="4" w:space="0"/>
              <w:bottom w:val="single" w:color="auto" w:sz="12" w:space="0"/>
              <w:right w:val="nil"/>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821</w:t>
            </w:r>
          </w:p>
        </w:tc>
      </w:tr>
    </w:tbl>
    <w:p>
      <w:pPr>
        <w:pStyle w:val="114"/>
        <w:ind w:firstLine="480"/>
      </w:pPr>
      <w:r>
        <w:t>根据地下水监测统计结果可知，项目所在地各地下水监测点各监测因子标准指数均小于1，满足《地下水质量标准》（GB/T14848-2017）Ⅲ类标准要求，石油类满足《地表水环境质量标准》（GB3838-2002）Ⅲ类标准要求。</w:t>
      </w:r>
    </w:p>
    <w:p>
      <w:pPr>
        <w:topLinePunct w:val="0"/>
        <w:adjustRightInd/>
        <w:ind w:firstLine="0" w:firstLineChars="0"/>
        <w:outlineLvl w:val="2"/>
        <w:rPr>
          <w:rFonts w:ascii="Times New Roman" w:cs="Times New Roman"/>
          <w:b/>
          <w:bCs/>
          <w:color w:val="000000"/>
          <w:kern w:val="2"/>
          <w:szCs w:val="28"/>
        </w:rPr>
      </w:pPr>
      <w:r>
        <w:rPr>
          <w:rFonts w:ascii="Times New Roman" w:cs="Times New Roman"/>
          <w:b/>
          <w:bCs/>
          <w:color w:val="000000"/>
          <w:kern w:val="2"/>
          <w:szCs w:val="28"/>
        </w:rPr>
        <w:t>5.5.2包气带监测</w:t>
      </w:r>
    </w:p>
    <w:p>
      <w:pPr>
        <w:topLinePunct w:val="0"/>
        <w:adjustRightInd/>
        <w:ind w:firstLine="480"/>
        <w:rPr>
          <w:rFonts w:ascii="Times New Roman" w:cs="Times New Roman"/>
          <w:color w:val="000000"/>
          <w:kern w:val="2"/>
          <w:szCs w:val="22"/>
        </w:rPr>
      </w:pPr>
      <w:r>
        <w:rPr>
          <w:rFonts w:ascii="Times New Roman" w:cs="Times New Roman"/>
          <w:color w:val="000000"/>
          <w:kern w:val="2"/>
          <w:szCs w:val="22"/>
        </w:rPr>
        <w:t>为了解本项目所在区域包气带污染现状，本次评价委对P108集气站包气带现状进行了监测。监测布点见附图5。</w:t>
      </w:r>
    </w:p>
    <w:p>
      <w:pPr>
        <w:topLinePunct w:val="0"/>
        <w:adjustRightInd/>
        <w:ind w:firstLine="480"/>
        <w:rPr>
          <w:rFonts w:ascii="Times New Roman" w:cs="Times New Roman"/>
          <w:color w:val="000000"/>
          <w:kern w:val="2"/>
          <w:szCs w:val="22"/>
        </w:rPr>
      </w:pPr>
      <w:r>
        <w:rPr>
          <w:rFonts w:ascii="Times New Roman" w:cs="Times New Roman"/>
          <w:color w:val="000000"/>
          <w:kern w:val="2"/>
          <w:szCs w:val="22"/>
        </w:rPr>
        <w:fldChar w:fldCharType="begin"/>
      </w:r>
      <w:r>
        <w:rPr>
          <w:rFonts w:ascii="Times New Roman" w:cs="Times New Roman"/>
          <w:color w:val="000000"/>
          <w:kern w:val="2"/>
          <w:szCs w:val="22"/>
        </w:rPr>
        <w:instrText xml:space="preserve"> = 1 \* GB3 </w:instrText>
      </w:r>
      <w:r>
        <w:rPr>
          <w:rFonts w:ascii="Times New Roman" w:cs="Times New Roman"/>
          <w:color w:val="000000"/>
          <w:kern w:val="2"/>
          <w:szCs w:val="22"/>
        </w:rPr>
        <w:fldChar w:fldCharType="separate"/>
      </w:r>
      <w:r>
        <w:rPr>
          <w:rFonts w:ascii="Times New Roman" w:cs="Times New Roman"/>
          <w:color w:val="000000"/>
          <w:kern w:val="2"/>
          <w:szCs w:val="22"/>
        </w:rPr>
        <w:t>①</w:t>
      </w:r>
      <w:r>
        <w:rPr>
          <w:rFonts w:ascii="Times New Roman" w:cs="Times New Roman"/>
          <w:color w:val="000000"/>
          <w:kern w:val="2"/>
          <w:szCs w:val="22"/>
        </w:rPr>
        <w:fldChar w:fldCharType="end"/>
      </w:r>
      <w:r>
        <w:rPr>
          <w:rFonts w:ascii="Times New Roman" w:cs="Times New Roman"/>
          <w:color w:val="000000"/>
          <w:kern w:val="2"/>
          <w:szCs w:val="22"/>
        </w:rPr>
        <w:t>监测布点</w:t>
      </w:r>
    </w:p>
    <w:p>
      <w:pPr>
        <w:topLinePunct w:val="0"/>
        <w:adjustRightInd/>
        <w:ind w:firstLine="480"/>
        <w:rPr>
          <w:rFonts w:ascii="Times New Roman" w:cs="Times New Roman"/>
          <w:color w:val="000000"/>
          <w:kern w:val="2"/>
          <w:szCs w:val="22"/>
        </w:rPr>
      </w:pPr>
      <w:r>
        <w:rPr>
          <w:rFonts w:ascii="Times New Roman" w:cs="Times New Roman"/>
          <w:color w:val="000000"/>
          <w:kern w:val="2"/>
          <w:szCs w:val="22"/>
        </w:rPr>
        <w:t>共布设2个监测点，P108集气站</w:t>
      </w:r>
      <w:r>
        <w:rPr>
          <w:rFonts w:ascii="Times New Roman" w:cs="Times New Roman"/>
          <w:bCs/>
          <w:color w:val="000000"/>
          <w:kern w:val="2"/>
          <w:szCs w:val="22"/>
        </w:rPr>
        <w:t>外上游设1个背景样对照点、平台下游设1个监测点，开展包气带污染现状调查，20cm埋深范围取一个样品</w:t>
      </w:r>
      <w:r>
        <w:rPr>
          <w:rFonts w:ascii="Times New Roman" w:cs="Times New Roman"/>
          <w:color w:val="000000"/>
          <w:kern w:val="2"/>
          <w:szCs w:val="22"/>
        </w:rPr>
        <w:t>，进行浸溶试验，测试分析浸溶液成分。</w:t>
      </w:r>
    </w:p>
    <w:p>
      <w:pPr>
        <w:topLinePunct w:val="0"/>
        <w:adjustRightInd/>
        <w:ind w:firstLine="480"/>
        <w:rPr>
          <w:rFonts w:ascii="Times New Roman" w:cs="Times New Roman"/>
          <w:color w:val="000000"/>
          <w:kern w:val="2"/>
          <w:szCs w:val="22"/>
        </w:rPr>
      </w:pPr>
      <w:r>
        <w:rPr>
          <w:rFonts w:ascii="Times New Roman" w:cs="Times New Roman"/>
          <w:color w:val="000000"/>
          <w:kern w:val="2"/>
          <w:szCs w:val="22"/>
        </w:rPr>
        <w:fldChar w:fldCharType="begin"/>
      </w:r>
      <w:r>
        <w:rPr>
          <w:rFonts w:ascii="Times New Roman" w:cs="Times New Roman"/>
          <w:color w:val="000000"/>
          <w:kern w:val="2"/>
          <w:szCs w:val="22"/>
        </w:rPr>
        <w:instrText xml:space="preserve"> = 2 \* GB3 </w:instrText>
      </w:r>
      <w:r>
        <w:rPr>
          <w:rFonts w:ascii="Times New Roman" w:cs="Times New Roman"/>
          <w:color w:val="000000"/>
          <w:kern w:val="2"/>
          <w:szCs w:val="22"/>
        </w:rPr>
        <w:fldChar w:fldCharType="separate"/>
      </w:r>
      <w:r>
        <w:rPr>
          <w:rFonts w:ascii="Times New Roman" w:cs="Times New Roman"/>
          <w:color w:val="000000"/>
          <w:kern w:val="2"/>
          <w:szCs w:val="22"/>
        </w:rPr>
        <w:t>②</w:t>
      </w:r>
      <w:r>
        <w:rPr>
          <w:rFonts w:ascii="Times New Roman" w:cs="Times New Roman"/>
          <w:color w:val="000000"/>
          <w:kern w:val="2"/>
          <w:szCs w:val="22"/>
        </w:rPr>
        <w:fldChar w:fldCharType="end"/>
      </w:r>
      <w:r>
        <w:rPr>
          <w:rFonts w:ascii="Times New Roman" w:cs="Times New Roman"/>
          <w:color w:val="000000"/>
          <w:kern w:val="2"/>
          <w:szCs w:val="22"/>
        </w:rPr>
        <w:t>监测因子</w:t>
      </w:r>
    </w:p>
    <w:p>
      <w:pPr>
        <w:topLinePunct w:val="0"/>
        <w:adjustRightInd/>
        <w:ind w:firstLine="480"/>
        <w:rPr>
          <w:rFonts w:ascii="Times New Roman" w:cs="Times New Roman"/>
          <w:color w:val="000000"/>
          <w:kern w:val="2"/>
          <w:szCs w:val="22"/>
        </w:rPr>
      </w:pPr>
      <w:r>
        <w:rPr>
          <w:rFonts w:ascii="Times New Roman" w:cs="Times New Roman"/>
          <w:bCs/>
          <w:color w:val="000000"/>
          <w:kern w:val="2"/>
          <w:szCs w:val="22"/>
        </w:rPr>
        <w:t>pH、氯化物、氨氮、挥发酚、石油类、铬（六价）、硫化物。</w:t>
      </w:r>
    </w:p>
    <w:p>
      <w:pPr>
        <w:topLinePunct w:val="0"/>
        <w:adjustRightInd/>
        <w:ind w:firstLine="480"/>
        <w:rPr>
          <w:rFonts w:ascii="Times New Roman" w:cs="Times New Roman"/>
          <w:color w:val="000000"/>
          <w:kern w:val="2"/>
          <w:szCs w:val="22"/>
        </w:rPr>
      </w:pPr>
      <w:r>
        <w:rPr>
          <w:rFonts w:ascii="Times New Roman" w:cs="Times New Roman"/>
          <w:color w:val="000000"/>
          <w:kern w:val="2"/>
          <w:szCs w:val="22"/>
        </w:rPr>
        <w:fldChar w:fldCharType="begin"/>
      </w:r>
      <w:r>
        <w:rPr>
          <w:rFonts w:ascii="Times New Roman" w:cs="Times New Roman"/>
          <w:color w:val="000000"/>
          <w:kern w:val="2"/>
          <w:szCs w:val="22"/>
        </w:rPr>
        <w:instrText xml:space="preserve"> = 3 \* GB3 </w:instrText>
      </w:r>
      <w:r>
        <w:rPr>
          <w:rFonts w:ascii="Times New Roman" w:cs="Times New Roman"/>
          <w:color w:val="000000"/>
          <w:kern w:val="2"/>
          <w:szCs w:val="22"/>
        </w:rPr>
        <w:fldChar w:fldCharType="separate"/>
      </w:r>
      <w:r>
        <w:rPr>
          <w:rFonts w:ascii="Times New Roman" w:cs="Times New Roman"/>
          <w:color w:val="000000"/>
          <w:kern w:val="2"/>
          <w:szCs w:val="22"/>
        </w:rPr>
        <w:t>③</w:t>
      </w:r>
      <w:r>
        <w:rPr>
          <w:rFonts w:ascii="Times New Roman" w:cs="Times New Roman"/>
          <w:color w:val="000000"/>
          <w:kern w:val="2"/>
          <w:szCs w:val="22"/>
        </w:rPr>
        <w:fldChar w:fldCharType="end"/>
      </w:r>
      <w:r>
        <w:rPr>
          <w:rFonts w:ascii="Times New Roman" w:cs="Times New Roman"/>
          <w:color w:val="000000"/>
          <w:kern w:val="2"/>
          <w:szCs w:val="22"/>
        </w:rPr>
        <w:t>监测时间与频率</w:t>
      </w:r>
    </w:p>
    <w:p>
      <w:pPr>
        <w:topLinePunct w:val="0"/>
        <w:adjustRightInd/>
        <w:ind w:firstLine="480"/>
        <w:rPr>
          <w:rFonts w:ascii="Times New Roman" w:cs="Times New Roman"/>
          <w:color w:val="000000"/>
          <w:kern w:val="2"/>
          <w:szCs w:val="22"/>
        </w:rPr>
      </w:pPr>
      <w:r>
        <w:rPr>
          <w:rFonts w:ascii="Times New Roman" w:cs="Times New Roman"/>
          <w:color w:val="000000"/>
          <w:kern w:val="2"/>
          <w:szCs w:val="22"/>
        </w:rPr>
        <w:t>2023年8月24日，监测一次。</w:t>
      </w:r>
    </w:p>
    <w:p>
      <w:pPr>
        <w:topLinePunct w:val="0"/>
        <w:adjustRightInd/>
        <w:ind w:firstLine="480"/>
        <w:rPr>
          <w:rFonts w:ascii="Times New Roman" w:cs="Times New Roman"/>
          <w:color w:val="000000"/>
          <w:kern w:val="2"/>
          <w:szCs w:val="22"/>
        </w:rPr>
      </w:pPr>
      <w:r>
        <w:rPr>
          <w:rFonts w:ascii="Times New Roman" w:cs="Times New Roman"/>
          <w:color w:val="000000"/>
          <w:kern w:val="2"/>
          <w:szCs w:val="22"/>
        </w:rPr>
        <w:fldChar w:fldCharType="begin"/>
      </w:r>
      <w:r>
        <w:rPr>
          <w:rFonts w:ascii="Times New Roman" w:cs="Times New Roman"/>
          <w:color w:val="000000"/>
          <w:kern w:val="2"/>
          <w:szCs w:val="22"/>
        </w:rPr>
        <w:instrText xml:space="preserve"> = 4 \* GB3 </w:instrText>
      </w:r>
      <w:r>
        <w:rPr>
          <w:rFonts w:ascii="Times New Roman" w:cs="Times New Roman"/>
          <w:color w:val="000000"/>
          <w:kern w:val="2"/>
          <w:szCs w:val="22"/>
        </w:rPr>
        <w:fldChar w:fldCharType="separate"/>
      </w:r>
      <w:r>
        <w:rPr>
          <w:rFonts w:ascii="Times New Roman" w:cs="Times New Roman"/>
          <w:color w:val="000000"/>
          <w:kern w:val="2"/>
          <w:szCs w:val="22"/>
        </w:rPr>
        <w:t>④</w:t>
      </w:r>
      <w:r>
        <w:rPr>
          <w:rFonts w:ascii="Times New Roman" w:cs="Times New Roman"/>
          <w:color w:val="000000"/>
          <w:kern w:val="2"/>
          <w:szCs w:val="22"/>
        </w:rPr>
        <w:fldChar w:fldCharType="end"/>
      </w:r>
      <w:r>
        <w:rPr>
          <w:rFonts w:ascii="Times New Roman" w:cs="Times New Roman"/>
          <w:bCs/>
          <w:color w:val="000000"/>
          <w:kern w:val="2"/>
          <w:szCs w:val="22"/>
        </w:rPr>
        <w:t>监测结果及评价</w:t>
      </w:r>
    </w:p>
    <w:p>
      <w:pPr>
        <w:topLinePunct w:val="0"/>
        <w:adjustRightInd/>
        <w:ind w:firstLine="480"/>
        <w:rPr>
          <w:rFonts w:ascii="Times New Roman" w:cs="Times New Roman"/>
          <w:color w:val="000000"/>
          <w:kern w:val="2"/>
          <w:szCs w:val="22"/>
        </w:rPr>
      </w:pPr>
      <w:r>
        <w:rPr>
          <w:rFonts w:ascii="Times New Roman" w:cs="Times New Roman"/>
          <w:color w:val="000000"/>
          <w:kern w:val="2"/>
          <w:szCs w:val="22"/>
        </w:rPr>
        <w:t>本项目所在地周边包气带监测及评价结果见表5.3-12。</w:t>
      </w:r>
    </w:p>
    <w:p>
      <w:pPr>
        <w:keepNext/>
        <w:keepLines/>
        <w:ind w:firstLine="0" w:firstLineChars="0"/>
        <w:jc w:val="center"/>
        <w:rPr>
          <w:rFonts w:ascii="Times New Roman" w:cs="Times New Roman"/>
          <w:b/>
          <w:bCs/>
          <w:color w:val="000000"/>
          <w:kern w:val="2"/>
          <w:sz w:val="21"/>
          <w:szCs w:val="28"/>
        </w:rPr>
      </w:pPr>
      <w:r>
        <w:rPr>
          <w:rFonts w:ascii="Times New Roman" w:cs="Times New Roman"/>
          <w:b/>
          <w:bCs/>
          <w:color w:val="000000"/>
          <w:kern w:val="2"/>
          <w:sz w:val="21"/>
          <w:szCs w:val="28"/>
        </w:rPr>
        <w:t>表5.3-12  包气带现状监测与评价表</w:t>
      </w:r>
    </w:p>
    <w:tbl>
      <w:tblPr>
        <w:tblStyle w:val="59"/>
        <w:tblW w:w="4850" w:type="pct"/>
        <w:jc w:val="center"/>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99"/>
        <w:gridCol w:w="2201"/>
        <w:gridCol w:w="1856"/>
        <w:gridCol w:w="1108"/>
        <w:gridCol w:w="2270"/>
      </w:tblGrid>
      <w:tr>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blHeader/>
          <w:jc w:val="center"/>
        </w:trPr>
        <w:tc>
          <w:tcPr>
            <w:tcW w:w="1299" w:type="dxa"/>
            <w:tcBorders>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序号</w:t>
            </w:r>
          </w:p>
        </w:tc>
        <w:tc>
          <w:tcPr>
            <w:tcW w:w="2201" w:type="dxa"/>
            <w:tcBorders>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检测点位信息</w:t>
            </w:r>
          </w:p>
        </w:tc>
        <w:tc>
          <w:tcPr>
            <w:tcW w:w="1856" w:type="dxa"/>
            <w:tcBorders>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检测项目</w:t>
            </w:r>
          </w:p>
        </w:tc>
        <w:tc>
          <w:tcPr>
            <w:tcW w:w="1108" w:type="dxa"/>
            <w:tcBorders>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单位</w:t>
            </w:r>
          </w:p>
        </w:tc>
        <w:tc>
          <w:tcPr>
            <w:tcW w:w="2270" w:type="dxa"/>
            <w:tcBorders>
              <w:left w:val="single" w:color="000000" w:sz="4" w:space="0"/>
              <w:bottom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检测结果（0~0.5m）</w:t>
            </w:r>
          </w:p>
        </w:tc>
      </w:tr>
      <w:tr>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299" w:type="dxa"/>
            <w:tcBorders>
              <w:top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1</w:t>
            </w:r>
          </w:p>
        </w:tc>
        <w:tc>
          <w:tcPr>
            <w:tcW w:w="2201" w:type="dxa"/>
            <w:vMerge w:val="restart"/>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7#废水池上游距项目地约3m处</w:t>
            </w:r>
          </w:p>
        </w:tc>
        <w:tc>
          <w:tcPr>
            <w:tcW w:w="1856" w:type="dxa"/>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pH</w:t>
            </w:r>
          </w:p>
        </w:tc>
        <w:tc>
          <w:tcPr>
            <w:tcW w:w="1108" w:type="dxa"/>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无量纲</w:t>
            </w:r>
          </w:p>
        </w:tc>
        <w:tc>
          <w:tcPr>
            <w:tcW w:w="2270" w:type="dxa"/>
            <w:tcBorders>
              <w:top w:val="single" w:color="000000" w:sz="4" w:space="0"/>
              <w:left w:val="single" w:color="000000" w:sz="4" w:space="0"/>
              <w:bottom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7.4</w:t>
            </w:r>
          </w:p>
        </w:tc>
      </w:tr>
      <w:tr>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299" w:type="dxa"/>
            <w:tcBorders>
              <w:top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2</w:t>
            </w:r>
          </w:p>
        </w:tc>
        <w:tc>
          <w:tcPr>
            <w:tcW w:w="2201" w:type="dxa"/>
            <w:vMerge w:val="continue"/>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p>
        </w:tc>
        <w:tc>
          <w:tcPr>
            <w:tcW w:w="1856" w:type="dxa"/>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氯化物</w:t>
            </w:r>
          </w:p>
        </w:tc>
        <w:tc>
          <w:tcPr>
            <w:tcW w:w="1108" w:type="dxa"/>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mg/L</w:t>
            </w:r>
          </w:p>
        </w:tc>
        <w:tc>
          <w:tcPr>
            <w:tcW w:w="2270" w:type="dxa"/>
            <w:tcBorders>
              <w:top w:val="single" w:color="000000" w:sz="4" w:space="0"/>
              <w:left w:val="single" w:color="000000" w:sz="4" w:space="0"/>
              <w:bottom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64</w:t>
            </w:r>
          </w:p>
        </w:tc>
      </w:tr>
      <w:tr>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299" w:type="dxa"/>
            <w:tcBorders>
              <w:top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3</w:t>
            </w:r>
          </w:p>
        </w:tc>
        <w:tc>
          <w:tcPr>
            <w:tcW w:w="2201" w:type="dxa"/>
            <w:vMerge w:val="continue"/>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p>
        </w:tc>
        <w:tc>
          <w:tcPr>
            <w:tcW w:w="1856" w:type="dxa"/>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氨氮</w:t>
            </w:r>
          </w:p>
        </w:tc>
        <w:tc>
          <w:tcPr>
            <w:tcW w:w="1108" w:type="dxa"/>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mg/L</w:t>
            </w:r>
          </w:p>
        </w:tc>
        <w:tc>
          <w:tcPr>
            <w:tcW w:w="2270" w:type="dxa"/>
            <w:tcBorders>
              <w:top w:val="single" w:color="000000" w:sz="4" w:space="0"/>
              <w:left w:val="single" w:color="000000" w:sz="4" w:space="0"/>
              <w:bottom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0.284</w:t>
            </w:r>
          </w:p>
        </w:tc>
      </w:tr>
      <w:tr>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299" w:type="dxa"/>
            <w:tcBorders>
              <w:top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4</w:t>
            </w:r>
          </w:p>
        </w:tc>
        <w:tc>
          <w:tcPr>
            <w:tcW w:w="2201" w:type="dxa"/>
            <w:vMerge w:val="continue"/>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p>
        </w:tc>
        <w:tc>
          <w:tcPr>
            <w:tcW w:w="1856" w:type="dxa"/>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挥发酚</w:t>
            </w:r>
          </w:p>
        </w:tc>
        <w:tc>
          <w:tcPr>
            <w:tcW w:w="1108" w:type="dxa"/>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mg/L</w:t>
            </w:r>
          </w:p>
        </w:tc>
        <w:tc>
          <w:tcPr>
            <w:tcW w:w="2270" w:type="dxa"/>
            <w:tcBorders>
              <w:top w:val="single" w:color="000000" w:sz="4" w:space="0"/>
              <w:left w:val="single" w:color="000000" w:sz="4" w:space="0"/>
              <w:bottom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r>
      <w:tr>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299" w:type="dxa"/>
            <w:tcBorders>
              <w:top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5</w:t>
            </w:r>
          </w:p>
        </w:tc>
        <w:tc>
          <w:tcPr>
            <w:tcW w:w="2201" w:type="dxa"/>
            <w:vMerge w:val="continue"/>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p>
        </w:tc>
        <w:tc>
          <w:tcPr>
            <w:tcW w:w="1856" w:type="dxa"/>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石油类</w:t>
            </w:r>
          </w:p>
        </w:tc>
        <w:tc>
          <w:tcPr>
            <w:tcW w:w="1108" w:type="dxa"/>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mg/L</w:t>
            </w:r>
          </w:p>
        </w:tc>
        <w:tc>
          <w:tcPr>
            <w:tcW w:w="2270" w:type="dxa"/>
            <w:tcBorders>
              <w:top w:val="single" w:color="000000" w:sz="4" w:space="0"/>
              <w:left w:val="single" w:color="000000" w:sz="4" w:space="0"/>
              <w:bottom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r>
      <w:tr>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299" w:type="dxa"/>
            <w:tcBorders>
              <w:top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6</w:t>
            </w:r>
          </w:p>
        </w:tc>
        <w:tc>
          <w:tcPr>
            <w:tcW w:w="2201" w:type="dxa"/>
            <w:vMerge w:val="continue"/>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p>
        </w:tc>
        <w:tc>
          <w:tcPr>
            <w:tcW w:w="1856" w:type="dxa"/>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铬（六价）</w:t>
            </w:r>
          </w:p>
        </w:tc>
        <w:tc>
          <w:tcPr>
            <w:tcW w:w="1108" w:type="dxa"/>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mg/L</w:t>
            </w:r>
          </w:p>
        </w:tc>
        <w:tc>
          <w:tcPr>
            <w:tcW w:w="2270" w:type="dxa"/>
            <w:tcBorders>
              <w:top w:val="single" w:color="000000" w:sz="4" w:space="0"/>
              <w:left w:val="single" w:color="000000" w:sz="4" w:space="0"/>
              <w:bottom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&lt;0.004</w:t>
            </w:r>
          </w:p>
        </w:tc>
      </w:tr>
      <w:tr>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299" w:type="dxa"/>
            <w:tcBorders>
              <w:top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7</w:t>
            </w:r>
          </w:p>
        </w:tc>
        <w:tc>
          <w:tcPr>
            <w:tcW w:w="2201" w:type="dxa"/>
            <w:vMerge w:val="continue"/>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p>
        </w:tc>
        <w:tc>
          <w:tcPr>
            <w:tcW w:w="1856" w:type="dxa"/>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硫化物</w:t>
            </w:r>
          </w:p>
        </w:tc>
        <w:tc>
          <w:tcPr>
            <w:tcW w:w="1108" w:type="dxa"/>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mg/L</w:t>
            </w:r>
          </w:p>
        </w:tc>
        <w:tc>
          <w:tcPr>
            <w:tcW w:w="2270" w:type="dxa"/>
            <w:tcBorders>
              <w:top w:val="single" w:color="000000" w:sz="4" w:space="0"/>
              <w:left w:val="single" w:color="000000" w:sz="4" w:space="0"/>
              <w:bottom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r>
      <w:tr>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299" w:type="dxa"/>
            <w:tcBorders>
              <w:top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8</w:t>
            </w:r>
          </w:p>
        </w:tc>
        <w:tc>
          <w:tcPr>
            <w:tcW w:w="2201" w:type="dxa"/>
            <w:vMerge w:val="restart"/>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8#废水池下游距项目地约3m处</w:t>
            </w:r>
          </w:p>
        </w:tc>
        <w:tc>
          <w:tcPr>
            <w:tcW w:w="1856" w:type="dxa"/>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pH</w:t>
            </w:r>
          </w:p>
        </w:tc>
        <w:tc>
          <w:tcPr>
            <w:tcW w:w="1108" w:type="dxa"/>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无量纲</w:t>
            </w:r>
          </w:p>
        </w:tc>
        <w:tc>
          <w:tcPr>
            <w:tcW w:w="2270" w:type="dxa"/>
            <w:tcBorders>
              <w:top w:val="single" w:color="000000" w:sz="4" w:space="0"/>
              <w:left w:val="single" w:color="000000" w:sz="4" w:space="0"/>
              <w:bottom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7.1</w:t>
            </w:r>
          </w:p>
        </w:tc>
      </w:tr>
      <w:tr>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299" w:type="dxa"/>
            <w:tcBorders>
              <w:top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9</w:t>
            </w:r>
          </w:p>
        </w:tc>
        <w:tc>
          <w:tcPr>
            <w:tcW w:w="2201" w:type="dxa"/>
            <w:vMerge w:val="continue"/>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p>
        </w:tc>
        <w:tc>
          <w:tcPr>
            <w:tcW w:w="1856" w:type="dxa"/>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氯化物</w:t>
            </w:r>
          </w:p>
        </w:tc>
        <w:tc>
          <w:tcPr>
            <w:tcW w:w="1108" w:type="dxa"/>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mg/L</w:t>
            </w:r>
          </w:p>
        </w:tc>
        <w:tc>
          <w:tcPr>
            <w:tcW w:w="2270" w:type="dxa"/>
            <w:tcBorders>
              <w:top w:val="single" w:color="000000" w:sz="4" w:space="0"/>
              <w:left w:val="single" w:color="000000" w:sz="4" w:space="0"/>
              <w:bottom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59</w:t>
            </w:r>
          </w:p>
        </w:tc>
      </w:tr>
      <w:tr>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299" w:type="dxa"/>
            <w:tcBorders>
              <w:top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10</w:t>
            </w:r>
          </w:p>
        </w:tc>
        <w:tc>
          <w:tcPr>
            <w:tcW w:w="2201" w:type="dxa"/>
            <w:vMerge w:val="continue"/>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p>
        </w:tc>
        <w:tc>
          <w:tcPr>
            <w:tcW w:w="1856" w:type="dxa"/>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氨氮</w:t>
            </w:r>
          </w:p>
        </w:tc>
        <w:tc>
          <w:tcPr>
            <w:tcW w:w="1108" w:type="dxa"/>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mg/L</w:t>
            </w:r>
          </w:p>
        </w:tc>
        <w:tc>
          <w:tcPr>
            <w:tcW w:w="2270" w:type="dxa"/>
            <w:tcBorders>
              <w:top w:val="single" w:color="000000" w:sz="4" w:space="0"/>
              <w:left w:val="single" w:color="000000" w:sz="4" w:space="0"/>
              <w:bottom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0.347</w:t>
            </w:r>
          </w:p>
        </w:tc>
      </w:tr>
      <w:tr>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299" w:type="dxa"/>
            <w:tcBorders>
              <w:top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11</w:t>
            </w:r>
          </w:p>
        </w:tc>
        <w:tc>
          <w:tcPr>
            <w:tcW w:w="2201" w:type="dxa"/>
            <w:vMerge w:val="continue"/>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p>
        </w:tc>
        <w:tc>
          <w:tcPr>
            <w:tcW w:w="1856" w:type="dxa"/>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挥发酚</w:t>
            </w:r>
          </w:p>
        </w:tc>
        <w:tc>
          <w:tcPr>
            <w:tcW w:w="1108" w:type="dxa"/>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mg/L</w:t>
            </w:r>
          </w:p>
        </w:tc>
        <w:tc>
          <w:tcPr>
            <w:tcW w:w="2270" w:type="dxa"/>
            <w:tcBorders>
              <w:top w:val="single" w:color="000000" w:sz="4" w:space="0"/>
              <w:left w:val="single" w:color="000000" w:sz="4" w:space="0"/>
              <w:bottom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r>
      <w:tr>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299" w:type="dxa"/>
            <w:tcBorders>
              <w:top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12</w:t>
            </w:r>
          </w:p>
        </w:tc>
        <w:tc>
          <w:tcPr>
            <w:tcW w:w="2201" w:type="dxa"/>
            <w:vMerge w:val="continue"/>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p>
        </w:tc>
        <w:tc>
          <w:tcPr>
            <w:tcW w:w="1856" w:type="dxa"/>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石油类</w:t>
            </w:r>
          </w:p>
        </w:tc>
        <w:tc>
          <w:tcPr>
            <w:tcW w:w="1108" w:type="dxa"/>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mg/L</w:t>
            </w:r>
          </w:p>
        </w:tc>
        <w:tc>
          <w:tcPr>
            <w:tcW w:w="2270" w:type="dxa"/>
            <w:tcBorders>
              <w:top w:val="single" w:color="000000" w:sz="4" w:space="0"/>
              <w:left w:val="single" w:color="000000" w:sz="4" w:space="0"/>
              <w:bottom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r>
      <w:tr>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299" w:type="dxa"/>
            <w:tcBorders>
              <w:top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13</w:t>
            </w:r>
          </w:p>
        </w:tc>
        <w:tc>
          <w:tcPr>
            <w:tcW w:w="2201" w:type="dxa"/>
            <w:vMerge w:val="continue"/>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p>
        </w:tc>
        <w:tc>
          <w:tcPr>
            <w:tcW w:w="1856" w:type="dxa"/>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铬（六价）</w:t>
            </w:r>
          </w:p>
        </w:tc>
        <w:tc>
          <w:tcPr>
            <w:tcW w:w="1108" w:type="dxa"/>
            <w:tcBorders>
              <w:top w:val="single" w:color="000000" w:sz="4" w:space="0"/>
              <w:left w:val="single" w:color="000000" w:sz="4" w:space="0"/>
              <w:bottom w:val="single" w:color="000000" w:sz="4"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mg/L</w:t>
            </w:r>
          </w:p>
        </w:tc>
        <w:tc>
          <w:tcPr>
            <w:tcW w:w="2270" w:type="dxa"/>
            <w:tcBorders>
              <w:top w:val="single" w:color="000000" w:sz="4" w:space="0"/>
              <w:left w:val="single" w:color="000000" w:sz="4" w:space="0"/>
              <w:bottom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&lt;0.004</w:t>
            </w:r>
          </w:p>
        </w:tc>
      </w:tr>
      <w:tr>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299" w:type="dxa"/>
            <w:tcBorders>
              <w:top w:val="single" w:color="000000" w:sz="4" w:space="0"/>
              <w:bottom w:val="single" w:color="000000" w:sz="12"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14</w:t>
            </w:r>
          </w:p>
        </w:tc>
        <w:tc>
          <w:tcPr>
            <w:tcW w:w="2201" w:type="dxa"/>
            <w:vMerge w:val="continue"/>
            <w:tcBorders>
              <w:top w:val="single" w:color="000000" w:sz="4" w:space="0"/>
              <w:left w:val="single" w:color="000000" w:sz="4" w:space="0"/>
              <w:bottom w:val="single" w:color="000000" w:sz="12"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p>
        </w:tc>
        <w:tc>
          <w:tcPr>
            <w:tcW w:w="1856" w:type="dxa"/>
            <w:tcBorders>
              <w:top w:val="single" w:color="000000" w:sz="4" w:space="0"/>
              <w:left w:val="single" w:color="000000" w:sz="4" w:space="0"/>
              <w:bottom w:val="single" w:color="000000" w:sz="12"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硫化物</w:t>
            </w:r>
          </w:p>
        </w:tc>
        <w:tc>
          <w:tcPr>
            <w:tcW w:w="1108" w:type="dxa"/>
            <w:tcBorders>
              <w:top w:val="single" w:color="000000" w:sz="4" w:space="0"/>
              <w:left w:val="single" w:color="000000" w:sz="4" w:space="0"/>
              <w:bottom w:val="single" w:color="000000" w:sz="12" w:space="0"/>
              <w:right w:val="single" w:color="000000" w:sz="4"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mg/L</w:t>
            </w:r>
          </w:p>
        </w:tc>
        <w:tc>
          <w:tcPr>
            <w:tcW w:w="2270" w:type="dxa"/>
            <w:tcBorders>
              <w:top w:val="single" w:color="000000" w:sz="4" w:space="0"/>
              <w:left w:val="single" w:color="000000" w:sz="4" w:space="0"/>
              <w:bottom w:val="single" w:color="000000" w:sz="12" w:space="0"/>
            </w:tcBorders>
            <w:vAlign w:val="center"/>
          </w:tcPr>
          <w:p>
            <w:pPr>
              <w:widowControl/>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未检出</w:t>
            </w:r>
          </w:p>
        </w:tc>
      </w:tr>
    </w:tbl>
    <w:p>
      <w:pPr>
        <w:pStyle w:val="114"/>
        <w:ind w:firstLine="480"/>
      </w:pPr>
      <w:bookmarkStart w:id="428" w:name="_Toc16976"/>
      <w:bookmarkStart w:id="429" w:name="_Toc19816017"/>
      <w:bookmarkStart w:id="430" w:name="_Toc12288574"/>
      <w:r>
        <w:rPr>
          <w:rFonts w:hint="eastAsia"/>
        </w:rPr>
        <w:t>由表5.3-12可知，根据平台上下游包气带的监测与评价结果表明，本项目用地内包气带基本无变化，受到污染的影响较小。</w:t>
      </w:r>
    </w:p>
    <w:p>
      <w:pPr>
        <w:pStyle w:val="3"/>
        <w:spacing w:before="0"/>
        <w:rPr>
          <w:rFonts w:cs="Times New Roman"/>
        </w:rPr>
      </w:pPr>
      <w:r>
        <w:rPr>
          <w:rFonts w:cs="Times New Roman"/>
        </w:rPr>
        <w:t>5.6 声环境质量现状与评价</w:t>
      </w:r>
      <w:bookmarkEnd w:id="428"/>
      <w:bookmarkEnd w:id="429"/>
      <w:bookmarkEnd w:id="430"/>
    </w:p>
    <w:p>
      <w:pPr>
        <w:pStyle w:val="114"/>
        <w:ind w:firstLine="480"/>
      </w:pPr>
      <w:r>
        <w:t>根据项目工程特点的具体情况，本次评价对项目场站可能造成声环境影响的附近敏感点及其场界进行声环境质量现状监测。本次评价委托四川省允诺信检测技术有限公司于2023年9月1日~2日，对项目区域声环境质量进行的现状监测进行评价，布设3个点位</w:t>
      </w:r>
      <w:r>
        <w:rPr>
          <w:bCs/>
        </w:rPr>
        <w:t>。</w:t>
      </w:r>
    </w:p>
    <w:p>
      <w:pPr>
        <w:pStyle w:val="114"/>
        <w:ind w:firstLine="482"/>
        <w:rPr>
          <w:b/>
          <w:bCs/>
        </w:rPr>
      </w:pPr>
      <w:bookmarkStart w:id="431" w:name="_Toc12288575"/>
      <w:r>
        <w:rPr>
          <w:b/>
          <w:bCs/>
        </w:rPr>
        <w:t>1、监测布点</w:t>
      </w:r>
      <w:bookmarkEnd w:id="431"/>
    </w:p>
    <w:p>
      <w:pPr>
        <w:pStyle w:val="114"/>
        <w:ind w:firstLine="480"/>
      </w:pPr>
      <w:r>
        <w:t>根据本项目工况、评价范围内环境保护目标分布情况及区域环境状况，对其场站附近敏感点布点监测，共计噪声监测点位3个。</w:t>
      </w:r>
    </w:p>
    <w:p>
      <w:pPr>
        <w:pStyle w:val="114"/>
        <w:ind w:firstLine="480"/>
      </w:pPr>
      <w:r>
        <w:t>1#——项目北侧场界外距场界1m处；</w:t>
      </w:r>
    </w:p>
    <w:p>
      <w:pPr>
        <w:pStyle w:val="114"/>
        <w:ind w:firstLine="480"/>
      </w:pPr>
      <w:r>
        <w:t>2#——项目南侧场界外距场界1m处；</w:t>
      </w:r>
    </w:p>
    <w:p>
      <w:pPr>
        <w:pStyle w:val="114"/>
        <w:ind w:firstLine="480"/>
      </w:pPr>
      <w:r>
        <w:t>3#——项目东侧居民点处距场界1m处。</w:t>
      </w:r>
    </w:p>
    <w:p>
      <w:pPr>
        <w:pStyle w:val="114"/>
        <w:ind w:firstLine="480"/>
        <w:rPr>
          <w:b/>
        </w:rPr>
      </w:pPr>
      <w:r>
        <w:t>2</w:t>
      </w:r>
      <w:r>
        <w:rPr>
          <w:b/>
        </w:rPr>
        <w:t>、监测项目</w:t>
      </w:r>
    </w:p>
    <w:p>
      <w:pPr>
        <w:pStyle w:val="114"/>
        <w:ind w:firstLine="480"/>
      </w:pPr>
      <w:r>
        <w:t>昼夜等效连续A声级。</w:t>
      </w:r>
    </w:p>
    <w:p>
      <w:pPr>
        <w:pStyle w:val="114"/>
        <w:ind w:firstLine="482"/>
        <w:rPr>
          <w:b/>
        </w:rPr>
      </w:pPr>
      <w:r>
        <w:rPr>
          <w:b/>
        </w:rPr>
        <w:t>3、监测频次</w:t>
      </w:r>
    </w:p>
    <w:p>
      <w:pPr>
        <w:pStyle w:val="114"/>
        <w:ind w:firstLine="480"/>
      </w:pPr>
      <w:r>
        <w:t>每个监测点位连续监测2天，监测时间为昼夜各一次。</w:t>
      </w:r>
    </w:p>
    <w:p>
      <w:pPr>
        <w:pStyle w:val="114"/>
        <w:ind w:firstLine="482"/>
        <w:rPr>
          <w:b/>
        </w:rPr>
      </w:pPr>
      <w:r>
        <w:rPr>
          <w:b/>
        </w:rPr>
        <w:t>4、采样及分析方法</w:t>
      </w:r>
    </w:p>
    <w:p>
      <w:pPr>
        <w:pStyle w:val="114"/>
        <w:ind w:firstLine="480"/>
      </w:pPr>
      <w:r>
        <w:t>采样及分析方法按国家有关规定进行。</w:t>
      </w:r>
    </w:p>
    <w:p>
      <w:pPr>
        <w:pStyle w:val="114"/>
        <w:ind w:firstLine="482"/>
        <w:rPr>
          <w:b/>
        </w:rPr>
      </w:pPr>
      <w:bookmarkStart w:id="432" w:name="_Toc12288576"/>
      <w:r>
        <w:rPr>
          <w:b/>
        </w:rPr>
        <w:t>5、评价标准</w:t>
      </w:r>
      <w:bookmarkEnd w:id="432"/>
    </w:p>
    <w:p>
      <w:pPr>
        <w:pStyle w:val="114"/>
        <w:ind w:firstLine="480"/>
      </w:pPr>
      <w:r>
        <w:t>场站声环境执行《声环境质量标准》（GB3096-2008）中的2类标准，即昼间60dB（A），夜间50dB（A）。</w:t>
      </w:r>
      <w:bookmarkStart w:id="433" w:name="_Toc12288577"/>
    </w:p>
    <w:p>
      <w:pPr>
        <w:pStyle w:val="114"/>
        <w:ind w:firstLine="482"/>
        <w:rPr>
          <w:b/>
          <w:bCs/>
        </w:rPr>
      </w:pPr>
      <w:r>
        <w:rPr>
          <w:b/>
          <w:bCs/>
        </w:rPr>
        <w:t>6、监测结果</w:t>
      </w:r>
      <w:bookmarkEnd w:id="433"/>
    </w:p>
    <w:p>
      <w:pPr>
        <w:pStyle w:val="114"/>
        <w:ind w:firstLine="480"/>
      </w:pPr>
      <w:r>
        <w:t>声环境质量现状值监测结果见表5.6-1。</w:t>
      </w:r>
    </w:p>
    <w:p>
      <w:pPr>
        <w:pStyle w:val="39"/>
        <w:rPr>
          <w:rFonts w:cs="Times New Roman"/>
        </w:rPr>
      </w:pPr>
      <w:r>
        <w:rPr>
          <w:rFonts w:cs="Times New Roman"/>
        </w:rPr>
        <w:t>表5.6-1  声环境质量现状监测及评价结果</w:t>
      </w:r>
    </w:p>
    <w:tbl>
      <w:tblPr>
        <w:tblStyle w:val="59"/>
        <w:tblW w:w="4849"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614"/>
        <w:gridCol w:w="3161"/>
        <w:gridCol w:w="1417"/>
        <w:gridCol w:w="1122"/>
        <w:gridCol w:w="1127"/>
        <w:gridCol w:w="1082"/>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tblHeader/>
          <w:jc w:val="center"/>
        </w:trPr>
        <w:tc>
          <w:tcPr>
            <w:tcW w:w="360" w:type="pct"/>
            <w:vAlign w:val="center"/>
          </w:tcPr>
          <w:p>
            <w:pPr>
              <w:pStyle w:val="134"/>
              <w:rPr>
                <w:b/>
                <w:bCs/>
              </w:rPr>
            </w:pPr>
            <w:r>
              <w:rPr>
                <w:b/>
                <w:bCs/>
              </w:rPr>
              <w:t>点位编号</w:t>
            </w:r>
          </w:p>
        </w:tc>
        <w:tc>
          <w:tcPr>
            <w:tcW w:w="1854" w:type="pct"/>
            <w:vAlign w:val="center"/>
          </w:tcPr>
          <w:p>
            <w:pPr>
              <w:pStyle w:val="134"/>
              <w:rPr>
                <w:b/>
                <w:bCs/>
              </w:rPr>
            </w:pPr>
            <w:r>
              <w:rPr>
                <w:b/>
                <w:bCs/>
              </w:rPr>
              <w:t>点位名称</w:t>
            </w:r>
          </w:p>
        </w:tc>
        <w:tc>
          <w:tcPr>
            <w:tcW w:w="831" w:type="pct"/>
            <w:vAlign w:val="center"/>
          </w:tcPr>
          <w:p>
            <w:pPr>
              <w:pStyle w:val="134"/>
              <w:rPr>
                <w:b/>
                <w:bCs/>
              </w:rPr>
            </w:pPr>
            <w:r>
              <w:rPr>
                <w:b/>
                <w:bCs/>
              </w:rPr>
              <w:t>监测时间</w:t>
            </w:r>
          </w:p>
        </w:tc>
        <w:tc>
          <w:tcPr>
            <w:tcW w:w="658" w:type="pct"/>
            <w:vAlign w:val="center"/>
          </w:tcPr>
          <w:p>
            <w:pPr>
              <w:pStyle w:val="134"/>
              <w:rPr>
                <w:b/>
                <w:bCs/>
              </w:rPr>
            </w:pPr>
            <w:r>
              <w:rPr>
                <w:b/>
                <w:bCs/>
              </w:rPr>
              <w:t>昼间</w:t>
            </w:r>
          </w:p>
          <w:p>
            <w:pPr>
              <w:pStyle w:val="134"/>
              <w:rPr>
                <w:b/>
                <w:bCs/>
              </w:rPr>
            </w:pPr>
            <w:r>
              <w:rPr>
                <w:b/>
                <w:bCs/>
              </w:rPr>
              <w:t>dB(A)</w:t>
            </w:r>
          </w:p>
        </w:tc>
        <w:tc>
          <w:tcPr>
            <w:tcW w:w="661" w:type="pct"/>
            <w:vAlign w:val="center"/>
          </w:tcPr>
          <w:p>
            <w:pPr>
              <w:pStyle w:val="134"/>
              <w:rPr>
                <w:b/>
                <w:bCs/>
              </w:rPr>
            </w:pPr>
            <w:r>
              <w:rPr>
                <w:b/>
                <w:bCs/>
              </w:rPr>
              <w:t>夜间</w:t>
            </w:r>
          </w:p>
          <w:p>
            <w:pPr>
              <w:pStyle w:val="134"/>
              <w:rPr>
                <w:b/>
                <w:bCs/>
              </w:rPr>
            </w:pPr>
            <w:r>
              <w:rPr>
                <w:b/>
                <w:bCs/>
              </w:rPr>
              <w:t>dB(A)</w:t>
            </w:r>
          </w:p>
        </w:tc>
        <w:tc>
          <w:tcPr>
            <w:tcW w:w="634" w:type="pct"/>
            <w:vAlign w:val="center"/>
          </w:tcPr>
          <w:p>
            <w:pPr>
              <w:pStyle w:val="134"/>
              <w:rPr>
                <w:b/>
                <w:bCs/>
              </w:rPr>
            </w:pPr>
            <w:r>
              <w:rPr>
                <w:b/>
                <w:bCs/>
              </w:rPr>
              <w:t>达标</w:t>
            </w:r>
          </w:p>
          <w:p>
            <w:pPr>
              <w:pStyle w:val="134"/>
              <w:rPr>
                <w:b/>
                <w:bCs/>
              </w:rPr>
            </w:pPr>
            <w:r>
              <w:rPr>
                <w:b/>
                <w:bCs/>
              </w:rPr>
              <w:t>情况</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360" w:type="pct"/>
            <w:vMerge w:val="restart"/>
            <w:vAlign w:val="center"/>
          </w:tcPr>
          <w:p>
            <w:pPr>
              <w:pStyle w:val="134"/>
            </w:pPr>
            <w:r>
              <w:t>1#</w:t>
            </w:r>
          </w:p>
        </w:tc>
        <w:tc>
          <w:tcPr>
            <w:tcW w:w="1854" w:type="pct"/>
            <w:vMerge w:val="restart"/>
            <w:vAlign w:val="center"/>
          </w:tcPr>
          <w:p>
            <w:pPr>
              <w:spacing w:line="240" w:lineRule="auto"/>
              <w:ind w:firstLine="420"/>
              <w:jc w:val="center"/>
              <w:rPr>
                <w:rFonts w:ascii="Times New Roman" w:cs="Times New Roman"/>
                <w:kern w:val="2"/>
                <w:sz w:val="21"/>
                <w:szCs w:val="21"/>
              </w:rPr>
            </w:pPr>
            <w:r>
              <w:rPr>
                <w:rFonts w:ascii="Times New Roman" w:cs="Times New Roman"/>
                <w:kern w:val="2"/>
                <w:sz w:val="21"/>
                <w:szCs w:val="21"/>
              </w:rPr>
              <w:t>项目北侧场界外距场界1m处</w:t>
            </w:r>
          </w:p>
        </w:tc>
        <w:tc>
          <w:tcPr>
            <w:tcW w:w="831" w:type="pct"/>
            <w:vAlign w:val="center"/>
          </w:tcPr>
          <w:p>
            <w:pPr>
              <w:pStyle w:val="134"/>
            </w:pPr>
            <w:r>
              <w:t>2023.9.1</w:t>
            </w:r>
          </w:p>
        </w:tc>
        <w:tc>
          <w:tcPr>
            <w:tcW w:w="658" w:type="pct"/>
            <w:vAlign w:val="center"/>
          </w:tcPr>
          <w:p>
            <w:pPr>
              <w:pStyle w:val="134"/>
            </w:pPr>
            <w:r>
              <w:t>52</w:t>
            </w:r>
          </w:p>
        </w:tc>
        <w:tc>
          <w:tcPr>
            <w:tcW w:w="661" w:type="pct"/>
            <w:vAlign w:val="center"/>
          </w:tcPr>
          <w:p>
            <w:pPr>
              <w:pStyle w:val="134"/>
            </w:pPr>
            <w:r>
              <w:t>48</w:t>
            </w:r>
          </w:p>
        </w:tc>
        <w:tc>
          <w:tcPr>
            <w:tcW w:w="634" w:type="pct"/>
            <w:vMerge w:val="restart"/>
            <w:vAlign w:val="center"/>
          </w:tcPr>
          <w:p>
            <w:pPr>
              <w:pStyle w:val="134"/>
            </w:pPr>
            <w: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360" w:type="pct"/>
            <w:vMerge w:val="continue"/>
            <w:vAlign w:val="center"/>
          </w:tcPr>
          <w:p>
            <w:pPr>
              <w:pStyle w:val="134"/>
            </w:pPr>
          </w:p>
        </w:tc>
        <w:tc>
          <w:tcPr>
            <w:tcW w:w="1854" w:type="pct"/>
            <w:vMerge w:val="continue"/>
            <w:vAlign w:val="center"/>
          </w:tcPr>
          <w:p>
            <w:pPr>
              <w:pStyle w:val="134"/>
            </w:pPr>
          </w:p>
        </w:tc>
        <w:tc>
          <w:tcPr>
            <w:tcW w:w="831" w:type="pct"/>
            <w:vAlign w:val="center"/>
          </w:tcPr>
          <w:p>
            <w:pPr>
              <w:pStyle w:val="134"/>
            </w:pPr>
            <w:r>
              <w:t>2023.9.2</w:t>
            </w:r>
          </w:p>
        </w:tc>
        <w:tc>
          <w:tcPr>
            <w:tcW w:w="658" w:type="pct"/>
            <w:vAlign w:val="center"/>
          </w:tcPr>
          <w:p>
            <w:pPr>
              <w:pStyle w:val="134"/>
            </w:pPr>
            <w:r>
              <w:t>53</w:t>
            </w:r>
          </w:p>
        </w:tc>
        <w:tc>
          <w:tcPr>
            <w:tcW w:w="661" w:type="pct"/>
            <w:vAlign w:val="center"/>
          </w:tcPr>
          <w:p>
            <w:pPr>
              <w:pStyle w:val="134"/>
            </w:pPr>
            <w:r>
              <w:t>48</w:t>
            </w:r>
          </w:p>
        </w:tc>
        <w:tc>
          <w:tcPr>
            <w:tcW w:w="634" w:type="pct"/>
            <w:vMerge w:val="continue"/>
            <w:vAlign w:val="center"/>
          </w:tcPr>
          <w:p>
            <w:pPr>
              <w:pStyle w:val="134"/>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360" w:type="pct"/>
            <w:vMerge w:val="restart"/>
            <w:vAlign w:val="center"/>
          </w:tcPr>
          <w:p>
            <w:pPr>
              <w:pStyle w:val="134"/>
            </w:pPr>
            <w:r>
              <w:t>2#</w:t>
            </w:r>
          </w:p>
        </w:tc>
        <w:tc>
          <w:tcPr>
            <w:tcW w:w="1854" w:type="pct"/>
            <w:vMerge w:val="restart"/>
            <w:vAlign w:val="center"/>
          </w:tcPr>
          <w:p>
            <w:pPr>
              <w:ind w:firstLine="420"/>
              <w:jc w:val="center"/>
              <w:rPr>
                <w:rFonts w:ascii="Times New Roman" w:cs="Times New Roman"/>
              </w:rPr>
            </w:pPr>
            <w:r>
              <w:rPr>
                <w:rFonts w:ascii="Times New Roman" w:cs="Times New Roman"/>
                <w:kern w:val="2"/>
                <w:sz w:val="21"/>
                <w:szCs w:val="21"/>
              </w:rPr>
              <w:t>项目南侧场界外距场界1m处</w:t>
            </w:r>
          </w:p>
        </w:tc>
        <w:tc>
          <w:tcPr>
            <w:tcW w:w="831" w:type="pct"/>
            <w:vAlign w:val="center"/>
          </w:tcPr>
          <w:p>
            <w:pPr>
              <w:pStyle w:val="134"/>
            </w:pPr>
            <w:r>
              <w:t>2023.9.1</w:t>
            </w:r>
          </w:p>
        </w:tc>
        <w:tc>
          <w:tcPr>
            <w:tcW w:w="658" w:type="pct"/>
            <w:vAlign w:val="center"/>
          </w:tcPr>
          <w:p>
            <w:pPr>
              <w:pStyle w:val="134"/>
            </w:pPr>
            <w:r>
              <w:t>52</w:t>
            </w:r>
          </w:p>
        </w:tc>
        <w:tc>
          <w:tcPr>
            <w:tcW w:w="661" w:type="pct"/>
            <w:vAlign w:val="center"/>
          </w:tcPr>
          <w:p>
            <w:pPr>
              <w:pStyle w:val="134"/>
            </w:pPr>
            <w:r>
              <w:t>48</w:t>
            </w:r>
          </w:p>
        </w:tc>
        <w:tc>
          <w:tcPr>
            <w:tcW w:w="634" w:type="pct"/>
            <w:vMerge w:val="restart"/>
            <w:vAlign w:val="center"/>
          </w:tcPr>
          <w:p>
            <w:pPr>
              <w:pStyle w:val="134"/>
            </w:pPr>
            <w: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360" w:type="pct"/>
            <w:vMerge w:val="continue"/>
            <w:vAlign w:val="center"/>
          </w:tcPr>
          <w:p>
            <w:pPr>
              <w:pStyle w:val="134"/>
            </w:pPr>
          </w:p>
        </w:tc>
        <w:tc>
          <w:tcPr>
            <w:tcW w:w="1854" w:type="pct"/>
            <w:vMerge w:val="continue"/>
            <w:vAlign w:val="center"/>
          </w:tcPr>
          <w:p>
            <w:pPr>
              <w:pStyle w:val="134"/>
            </w:pPr>
          </w:p>
        </w:tc>
        <w:tc>
          <w:tcPr>
            <w:tcW w:w="831" w:type="pct"/>
            <w:vAlign w:val="center"/>
          </w:tcPr>
          <w:p>
            <w:pPr>
              <w:pStyle w:val="134"/>
            </w:pPr>
            <w:r>
              <w:t>2023.9.2</w:t>
            </w:r>
          </w:p>
        </w:tc>
        <w:tc>
          <w:tcPr>
            <w:tcW w:w="658" w:type="pct"/>
            <w:vAlign w:val="center"/>
          </w:tcPr>
          <w:p>
            <w:pPr>
              <w:pStyle w:val="134"/>
            </w:pPr>
            <w:r>
              <w:t>53</w:t>
            </w:r>
          </w:p>
        </w:tc>
        <w:tc>
          <w:tcPr>
            <w:tcW w:w="661" w:type="pct"/>
            <w:vAlign w:val="center"/>
          </w:tcPr>
          <w:p>
            <w:pPr>
              <w:pStyle w:val="134"/>
            </w:pPr>
            <w:r>
              <w:t>48</w:t>
            </w:r>
          </w:p>
        </w:tc>
        <w:tc>
          <w:tcPr>
            <w:tcW w:w="634" w:type="pct"/>
            <w:vMerge w:val="continue"/>
            <w:vAlign w:val="center"/>
          </w:tcPr>
          <w:p>
            <w:pPr>
              <w:pStyle w:val="134"/>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360" w:type="pct"/>
            <w:vMerge w:val="restart"/>
            <w:vAlign w:val="center"/>
          </w:tcPr>
          <w:p>
            <w:pPr>
              <w:pStyle w:val="134"/>
            </w:pPr>
            <w:r>
              <w:t>3#</w:t>
            </w:r>
          </w:p>
        </w:tc>
        <w:tc>
          <w:tcPr>
            <w:tcW w:w="1854" w:type="pct"/>
            <w:vMerge w:val="restart"/>
            <w:vAlign w:val="center"/>
          </w:tcPr>
          <w:p>
            <w:pPr>
              <w:spacing w:line="240" w:lineRule="auto"/>
              <w:ind w:firstLine="420"/>
              <w:jc w:val="center"/>
              <w:rPr>
                <w:rFonts w:ascii="Times New Roman" w:cs="Times New Roman"/>
              </w:rPr>
            </w:pPr>
            <w:r>
              <w:rPr>
                <w:rFonts w:ascii="Times New Roman" w:cs="Times New Roman"/>
                <w:kern w:val="2"/>
                <w:sz w:val="21"/>
                <w:szCs w:val="21"/>
              </w:rPr>
              <w:t>项目东侧场界外距场界1m处</w:t>
            </w:r>
          </w:p>
        </w:tc>
        <w:tc>
          <w:tcPr>
            <w:tcW w:w="831" w:type="pct"/>
            <w:vAlign w:val="center"/>
          </w:tcPr>
          <w:p>
            <w:pPr>
              <w:pStyle w:val="134"/>
            </w:pPr>
            <w:r>
              <w:t>2023.9.1</w:t>
            </w:r>
          </w:p>
        </w:tc>
        <w:tc>
          <w:tcPr>
            <w:tcW w:w="658" w:type="pct"/>
            <w:vAlign w:val="center"/>
          </w:tcPr>
          <w:p>
            <w:pPr>
              <w:pStyle w:val="134"/>
            </w:pPr>
            <w:r>
              <w:t>52</w:t>
            </w:r>
          </w:p>
        </w:tc>
        <w:tc>
          <w:tcPr>
            <w:tcW w:w="661" w:type="pct"/>
            <w:vAlign w:val="center"/>
          </w:tcPr>
          <w:p>
            <w:pPr>
              <w:pStyle w:val="134"/>
            </w:pPr>
            <w:r>
              <w:t>47</w:t>
            </w:r>
          </w:p>
        </w:tc>
        <w:tc>
          <w:tcPr>
            <w:tcW w:w="634" w:type="pct"/>
            <w:vMerge w:val="restart"/>
            <w:vAlign w:val="center"/>
          </w:tcPr>
          <w:p>
            <w:pPr>
              <w:pStyle w:val="134"/>
            </w:pPr>
            <w: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360" w:type="pct"/>
            <w:vMerge w:val="continue"/>
            <w:vAlign w:val="center"/>
          </w:tcPr>
          <w:p>
            <w:pPr>
              <w:pStyle w:val="134"/>
            </w:pPr>
          </w:p>
        </w:tc>
        <w:tc>
          <w:tcPr>
            <w:tcW w:w="1854" w:type="pct"/>
            <w:vMerge w:val="continue"/>
            <w:vAlign w:val="center"/>
          </w:tcPr>
          <w:p>
            <w:pPr>
              <w:pStyle w:val="134"/>
            </w:pPr>
          </w:p>
        </w:tc>
        <w:tc>
          <w:tcPr>
            <w:tcW w:w="831" w:type="pct"/>
            <w:vAlign w:val="center"/>
          </w:tcPr>
          <w:p>
            <w:pPr>
              <w:pStyle w:val="134"/>
            </w:pPr>
            <w:r>
              <w:t>2023.9.2</w:t>
            </w:r>
          </w:p>
        </w:tc>
        <w:tc>
          <w:tcPr>
            <w:tcW w:w="658" w:type="pct"/>
            <w:vAlign w:val="center"/>
          </w:tcPr>
          <w:p>
            <w:pPr>
              <w:pStyle w:val="134"/>
            </w:pPr>
            <w:r>
              <w:t>52</w:t>
            </w:r>
          </w:p>
        </w:tc>
        <w:tc>
          <w:tcPr>
            <w:tcW w:w="661" w:type="pct"/>
            <w:vAlign w:val="center"/>
          </w:tcPr>
          <w:p>
            <w:pPr>
              <w:pStyle w:val="134"/>
            </w:pPr>
            <w:r>
              <w:t>48</w:t>
            </w:r>
          </w:p>
        </w:tc>
        <w:tc>
          <w:tcPr>
            <w:tcW w:w="634" w:type="pct"/>
            <w:vMerge w:val="continue"/>
            <w:vAlign w:val="center"/>
          </w:tcPr>
          <w:p>
            <w:pPr>
              <w:pStyle w:val="134"/>
            </w:pPr>
          </w:p>
        </w:tc>
      </w:tr>
    </w:tbl>
    <w:p>
      <w:pPr>
        <w:pStyle w:val="114"/>
        <w:ind w:firstLine="480"/>
      </w:pPr>
      <w:r>
        <w:t>从监测结果可知，本项目所在地声环境质量良好，监测点位处的昼间和夜间声环境质量现状值均满足《声环境质量标准》（GB3096-2008）中2类环境噪声限值要求。</w:t>
      </w:r>
    </w:p>
    <w:p>
      <w:pPr>
        <w:pStyle w:val="3"/>
        <w:spacing w:before="0"/>
        <w:rPr>
          <w:rFonts w:cs="Times New Roman"/>
        </w:rPr>
      </w:pPr>
      <w:bookmarkStart w:id="434" w:name="_Toc10345"/>
      <w:r>
        <w:rPr>
          <w:rFonts w:cs="Times New Roman"/>
        </w:rPr>
        <w:t>5.7 土壤环境质量现状与评价</w:t>
      </w:r>
      <w:bookmarkEnd w:id="434"/>
    </w:p>
    <w:p>
      <w:pPr>
        <w:pStyle w:val="114"/>
        <w:ind w:firstLine="480"/>
      </w:pPr>
      <w:r>
        <w:t>为了解项目所在地土壤环境质量现状，本次评价委托四川省允诺信检测技术有限公司于2023年8月26日对项目所在地土壤环境质量进行了现状监测。</w:t>
      </w:r>
    </w:p>
    <w:p>
      <w:pPr>
        <w:pStyle w:val="114"/>
        <w:ind w:firstLine="482"/>
        <w:rPr>
          <w:b/>
          <w:bCs/>
        </w:rPr>
      </w:pPr>
      <w:r>
        <w:rPr>
          <w:b/>
          <w:bCs/>
        </w:rPr>
        <w:t>（1）监测方案</w:t>
      </w:r>
    </w:p>
    <w:p>
      <w:pPr>
        <w:pStyle w:val="114"/>
        <w:ind w:firstLine="480"/>
      </w:pPr>
      <w:r>
        <w:t>监测布点：土壤环境监测点设8个，T1~T</w:t>
      </w:r>
      <w:r>
        <w:rPr>
          <w:bCs/>
        </w:rPr>
        <w:t>4位于本项目站场所在地内；</w:t>
      </w:r>
      <w:r>
        <w:t>T5位于</w:t>
      </w:r>
      <w:r>
        <w:rPr>
          <w:bCs/>
        </w:rPr>
        <w:t>本项目站场所在地南侧处</w:t>
      </w:r>
      <w:r>
        <w:t>、T6位于</w:t>
      </w:r>
      <w:r>
        <w:rPr>
          <w:bCs/>
        </w:rPr>
        <w:t>本项目站场所在地东北侧，</w:t>
      </w:r>
      <w:r>
        <w:t>监测布点见附图。T1、T2、T3为柱状样点（</w:t>
      </w:r>
      <w:bookmarkStart w:id="435" w:name="OLE_LINK183"/>
      <w:bookmarkStart w:id="436" w:name="OLE_LINK184"/>
      <w:r>
        <w:t>在</w:t>
      </w:r>
      <w:bookmarkStart w:id="437" w:name="OLE_LINK180"/>
      <w:r>
        <w:t>0~0.5m</w:t>
      </w:r>
      <w:bookmarkEnd w:id="437"/>
      <w:r>
        <w:t>、0.5~1.5m、1.5~3m分别取样</w:t>
      </w:r>
      <w:bookmarkEnd w:id="435"/>
      <w:bookmarkEnd w:id="436"/>
      <w:r>
        <w:t>），T4、T5、T6为表层样点（在0~0.2m取样）。</w:t>
      </w:r>
    </w:p>
    <w:p>
      <w:pPr>
        <w:pStyle w:val="114"/>
        <w:ind w:firstLine="480"/>
        <w:rPr>
          <w:b/>
          <w:bCs/>
          <w:sz w:val="21"/>
          <w:szCs w:val="16"/>
        </w:rPr>
      </w:pPr>
      <w:r>
        <w:t xml:space="preserve">本项目土壤监测布点一览表见表5.7-1。  </w:t>
      </w:r>
    </w:p>
    <w:p>
      <w:pPr>
        <w:pStyle w:val="39"/>
        <w:rPr>
          <w:rFonts w:cs="Times New Roman"/>
        </w:rPr>
      </w:pPr>
      <w:r>
        <w:rPr>
          <w:rFonts w:cs="Times New Roman"/>
        </w:rPr>
        <w:t>表5.7-1  项目土壤监测布点一览表</w:t>
      </w:r>
    </w:p>
    <w:tbl>
      <w:tblPr>
        <w:tblStyle w:val="59"/>
        <w:tblW w:w="5182"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909"/>
        <w:gridCol w:w="2840"/>
        <w:gridCol w:w="1350"/>
        <w:gridCol w:w="2850"/>
        <w:gridCol w:w="1159"/>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tblHeader/>
          <w:jc w:val="center"/>
        </w:trPr>
        <w:tc>
          <w:tcPr>
            <w:tcW w:w="499" w:type="pct"/>
            <w:vAlign w:val="center"/>
          </w:tcPr>
          <w:p>
            <w:pPr>
              <w:pStyle w:val="121"/>
              <w:jc w:val="center"/>
              <w:rPr>
                <w:rFonts w:ascii="Times New Roman" w:hAnsi="Times New Roman" w:cs="Times New Roman"/>
                <w:b/>
                <w:bCs/>
                <w:color w:val="auto"/>
                <w:kern w:val="2"/>
                <w:sz w:val="21"/>
                <w:szCs w:val="21"/>
              </w:rPr>
            </w:pPr>
            <w:r>
              <w:rPr>
                <w:rFonts w:ascii="Times New Roman" w:hAnsi="Times New Roman" w:cs="Times New Roman"/>
                <w:b/>
                <w:bCs/>
                <w:color w:val="auto"/>
                <w:kern w:val="2"/>
                <w:sz w:val="21"/>
                <w:szCs w:val="21"/>
              </w:rPr>
              <w:t>编号</w:t>
            </w:r>
          </w:p>
        </w:tc>
        <w:tc>
          <w:tcPr>
            <w:tcW w:w="1559" w:type="pct"/>
            <w:vAlign w:val="center"/>
          </w:tcPr>
          <w:p>
            <w:pPr>
              <w:pStyle w:val="121"/>
              <w:jc w:val="center"/>
              <w:rPr>
                <w:rFonts w:ascii="Times New Roman" w:hAnsi="Times New Roman" w:cs="Times New Roman"/>
                <w:b/>
                <w:bCs/>
                <w:color w:val="auto"/>
                <w:kern w:val="2"/>
                <w:sz w:val="21"/>
                <w:szCs w:val="21"/>
              </w:rPr>
            </w:pPr>
            <w:r>
              <w:rPr>
                <w:rFonts w:ascii="Times New Roman" w:hAnsi="Times New Roman" w:cs="Times New Roman"/>
                <w:b/>
                <w:bCs/>
                <w:color w:val="auto"/>
                <w:kern w:val="2"/>
                <w:sz w:val="21"/>
                <w:szCs w:val="21"/>
              </w:rPr>
              <w:t>检测点位</w:t>
            </w:r>
          </w:p>
        </w:tc>
        <w:tc>
          <w:tcPr>
            <w:tcW w:w="741" w:type="pct"/>
            <w:vAlign w:val="center"/>
          </w:tcPr>
          <w:p>
            <w:pPr>
              <w:pStyle w:val="121"/>
              <w:jc w:val="center"/>
              <w:rPr>
                <w:rFonts w:ascii="Times New Roman" w:hAnsi="Times New Roman" w:cs="Times New Roman"/>
                <w:b/>
                <w:bCs/>
                <w:color w:val="auto"/>
                <w:kern w:val="2"/>
                <w:sz w:val="21"/>
                <w:szCs w:val="21"/>
              </w:rPr>
            </w:pPr>
            <w:r>
              <w:rPr>
                <w:rFonts w:ascii="Times New Roman" w:hAnsi="Times New Roman" w:cs="Times New Roman"/>
                <w:b/>
                <w:bCs/>
                <w:color w:val="auto"/>
                <w:kern w:val="2"/>
                <w:sz w:val="21"/>
                <w:szCs w:val="21"/>
              </w:rPr>
              <w:t>用地性质</w:t>
            </w:r>
          </w:p>
        </w:tc>
        <w:tc>
          <w:tcPr>
            <w:tcW w:w="1564" w:type="pct"/>
            <w:vAlign w:val="center"/>
          </w:tcPr>
          <w:p>
            <w:pPr>
              <w:pStyle w:val="134"/>
              <w:rPr>
                <w:b/>
                <w:bCs/>
                <w:szCs w:val="21"/>
              </w:rPr>
            </w:pPr>
            <w:r>
              <w:rPr>
                <w:b/>
                <w:bCs/>
                <w:szCs w:val="21"/>
              </w:rPr>
              <w:t>检测项目</w:t>
            </w:r>
          </w:p>
        </w:tc>
        <w:tc>
          <w:tcPr>
            <w:tcW w:w="636" w:type="pct"/>
            <w:vAlign w:val="center"/>
          </w:tcPr>
          <w:p>
            <w:pPr>
              <w:pStyle w:val="121"/>
              <w:jc w:val="center"/>
              <w:rPr>
                <w:rFonts w:ascii="Times New Roman" w:hAnsi="Times New Roman" w:cs="Times New Roman"/>
                <w:b/>
                <w:bCs/>
                <w:color w:val="auto"/>
                <w:kern w:val="2"/>
                <w:sz w:val="21"/>
                <w:szCs w:val="21"/>
              </w:rPr>
            </w:pPr>
            <w:r>
              <w:rPr>
                <w:rFonts w:ascii="Times New Roman" w:hAnsi="Times New Roman" w:cs="Times New Roman"/>
                <w:b/>
                <w:bCs/>
                <w:color w:val="auto"/>
                <w:kern w:val="2"/>
                <w:sz w:val="21"/>
                <w:szCs w:val="21"/>
              </w:rPr>
              <w:t>检测频次</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499" w:type="pct"/>
            <w:vAlign w:val="center"/>
          </w:tcPr>
          <w:p>
            <w:pPr>
              <w:pStyle w:val="134"/>
              <w:rPr>
                <w:szCs w:val="21"/>
              </w:rPr>
            </w:pPr>
            <w:r>
              <w:rPr>
                <w:szCs w:val="21"/>
              </w:rPr>
              <w:t xml:space="preserve">T1、T2、T3 </w:t>
            </w:r>
          </w:p>
        </w:tc>
        <w:tc>
          <w:tcPr>
            <w:tcW w:w="1559" w:type="pct"/>
            <w:vAlign w:val="center"/>
          </w:tcPr>
          <w:p>
            <w:pPr>
              <w:pStyle w:val="134"/>
              <w:rPr>
                <w:szCs w:val="21"/>
              </w:rPr>
            </w:pPr>
            <w:r>
              <w:rPr>
                <w:szCs w:val="21"/>
              </w:rPr>
              <w:t>均位于本项目站场</w:t>
            </w:r>
            <w:r>
              <w:rPr>
                <w:bCs/>
                <w:szCs w:val="21"/>
              </w:rPr>
              <w:t>所在地内</w:t>
            </w:r>
          </w:p>
        </w:tc>
        <w:tc>
          <w:tcPr>
            <w:tcW w:w="741" w:type="pct"/>
            <w:vAlign w:val="center"/>
          </w:tcPr>
          <w:p>
            <w:pPr>
              <w:pStyle w:val="134"/>
              <w:rPr>
                <w:szCs w:val="21"/>
              </w:rPr>
            </w:pPr>
            <w:r>
              <w:rPr>
                <w:szCs w:val="21"/>
              </w:rPr>
              <w:t>建设用地</w:t>
            </w:r>
          </w:p>
        </w:tc>
        <w:tc>
          <w:tcPr>
            <w:tcW w:w="1564" w:type="pct"/>
            <w:vAlign w:val="center"/>
          </w:tcPr>
          <w:p>
            <w:pPr>
              <w:pStyle w:val="134"/>
              <w:rPr>
                <w:szCs w:val="21"/>
              </w:rPr>
            </w:pPr>
            <w:r>
              <w:rPr>
                <w:szCs w:val="21"/>
              </w:rPr>
              <w:t>pH、石油烃、硫化物</w:t>
            </w:r>
          </w:p>
        </w:tc>
        <w:tc>
          <w:tcPr>
            <w:tcW w:w="636" w:type="pct"/>
            <w:vAlign w:val="center"/>
          </w:tcPr>
          <w:p>
            <w:pPr>
              <w:pStyle w:val="121"/>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1次/日，</w:t>
            </w:r>
          </w:p>
          <w:p>
            <w:pPr>
              <w:pStyle w:val="134"/>
              <w:rPr>
                <w:szCs w:val="21"/>
              </w:rPr>
            </w:pPr>
            <w:r>
              <w:rPr>
                <w:szCs w:val="21"/>
              </w:rPr>
              <w:t>检测1日</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499" w:type="pct"/>
            <w:vAlign w:val="center"/>
          </w:tcPr>
          <w:p>
            <w:pPr>
              <w:pStyle w:val="134"/>
              <w:rPr>
                <w:szCs w:val="21"/>
              </w:rPr>
            </w:pPr>
            <w:r>
              <w:rPr>
                <w:szCs w:val="21"/>
              </w:rPr>
              <w:t>T4</w:t>
            </w:r>
          </w:p>
        </w:tc>
        <w:tc>
          <w:tcPr>
            <w:tcW w:w="1559" w:type="pct"/>
            <w:vAlign w:val="center"/>
          </w:tcPr>
          <w:p>
            <w:pPr>
              <w:pStyle w:val="134"/>
              <w:rPr>
                <w:szCs w:val="21"/>
              </w:rPr>
            </w:pPr>
            <w:r>
              <w:rPr>
                <w:szCs w:val="21"/>
              </w:rPr>
              <w:t>均位于本项目站场</w:t>
            </w:r>
            <w:r>
              <w:rPr>
                <w:bCs/>
                <w:szCs w:val="21"/>
              </w:rPr>
              <w:t>所在地内</w:t>
            </w:r>
          </w:p>
        </w:tc>
        <w:tc>
          <w:tcPr>
            <w:tcW w:w="741" w:type="pct"/>
            <w:vAlign w:val="center"/>
          </w:tcPr>
          <w:p>
            <w:pPr>
              <w:pStyle w:val="134"/>
              <w:rPr>
                <w:szCs w:val="21"/>
              </w:rPr>
            </w:pPr>
            <w:r>
              <w:rPr>
                <w:szCs w:val="21"/>
              </w:rPr>
              <w:t>建设用地</w:t>
            </w:r>
          </w:p>
        </w:tc>
        <w:tc>
          <w:tcPr>
            <w:tcW w:w="1564" w:type="pct"/>
            <w:vAlign w:val="center"/>
          </w:tcPr>
          <w:p>
            <w:pPr>
              <w:pStyle w:val="134"/>
              <w:rPr>
                <w:szCs w:val="21"/>
              </w:rPr>
            </w:pPr>
            <w:r>
              <w:rPr>
                <w:szCs w:val="21"/>
              </w:rPr>
              <w:t>《土壤环境质量 建设用地土壤污染风险管控标准（试行）》（GB 36600-2018）中45项基本项目+pH、石油烃、硫化物</w:t>
            </w:r>
          </w:p>
        </w:tc>
        <w:tc>
          <w:tcPr>
            <w:tcW w:w="636" w:type="pct"/>
            <w:vAlign w:val="center"/>
          </w:tcPr>
          <w:p>
            <w:pPr>
              <w:pStyle w:val="134"/>
              <w:rPr>
                <w:szCs w:val="21"/>
              </w:rPr>
            </w:pPr>
            <w:r>
              <w:rPr>
                <w:szCs w:val="21"/>
              </w:rPr>
              <w:t>1次/日，</w:t>
            </w:r>
          </w:p>
          <w:p>
            <w:pPr>
              <w:pStyle w:val="134"/>
              <w:rPr>
                <w:szCs w:val="21"/>
              </w:rPr>
            </w:pPr>
            <w:r>
              <w:rPr>
                <w:szCs w:val="21"/>
              </w:rPr>
              <w:t>检测1日</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499" w:type="pct"/>
            <w:vAlign w:val="center"/>
          </w:tcPr>
          <w:p>
            <w:pPr>
              <w:pStyle w:val="134"/>
              <w:rPr>
                <w:szCs w:val="21"/>
              </w:rPr>
            </w:pPr>
            <w:r>
              <w:rPr>
                <w:szCs w:val="21"/>
              </w:rPr>
              <w:t>T5</w:t>
            </w:r>
          </w:p>
        </w:tc>
        <w:tc>
          <w:tcPr>
            <w:tcW w:w="1559" w:type="pct"/>
            <w:vAlign w:val="center"/>
          </w:tcPr>
          <w:p>
            <w:pPr>
              <w:pStyle w:val="134"/>
              <w:rPr>
                <w:szCs w:val="21"/>
              </w:rPr>
            </w:pPr>
            <w:r>
              <w:rPr>
                <w:szCs w:val="21"/>
              </w:rPr>
              <w:t>位于</w:t>
            </w:r>
            <w:r>
              <w:rPr>
                <w:bCs/>
              </w:rPr>
              <w:t>本项目站场</w:t>
            </w:r>
            <w:r>
              <w:rPr>
                <w:bCs/>
                <w:szCs w:val="21"/>
              </w:rPr>
              <w:t>所在地北侧50m处</w:t>
            </w:r>
          </w:p>
        </w:tc>
        <w:tc>
          <w:tcPr>
            <w:tcW w:w="741" w:type="pct"/>
            <w:vAlign w:val="center"/>
          </w:tcPr>
          <w:p>
            <w:pPr>
              <w:pStyle w:val="134"/>
              <w:rPr>
                <w:szCs w:val="21"/>
              </w:rPr>
            </w:pPr>
            <w:r>
              <w:rPr>
                <w:szCs w:val="21"/>
              </w:rPr>
              <w:t>农用地</w:t>
            </w:r>
          </w:p>
        </w:tc>
        <w:tc>
          <w:tcPr>
            <w:tcW w:w="1564" w:type="pct"/>
            <w:vAlign w:val="center"/>
          </w:tcPr>
          <w:p>
            <w:pPr>
              <w:pStyle w:val="134"/>
              <w:rPr>
                <w:szCs w:val="21"/>
              </w:rPr>
            </w:pPr>
            <w:r>
              <w:rPr>
                <w:szCs w:val="21"/>
              </w:rPr>
              <w:t>pH、石油烃、硫化物</w:t>
            </w:r>
          </w:p>
        </w:tc>
        <w:tc>
          <w:tcPr>
            <w:tcW w:w="636" w:type="pct"/>
            <w:vAlign w:val="center"/>
          </w:tcPr>
          <w:p>
            <w:pPr>
              <w:pStyle w:val="121"/>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1次/日，</w:t>
            </w:r>
          </w:p>
          <w:p>
            <w:pPr>
              <w:pStyle w:val="134"/>
              <w:rPr>
                <w:szCs w:val="21"/>
              </w:rPr>
            </w:pPr>
            <w:r>
              <w:rPr>
                <w:szCs w:val="21"/>
              </w:rPr>
              <w:t>检测1日</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499" w:type="pct"/>
            <w:vAlign w:val="center"/>
          </w:tcPr>
          <w:p>
            <w:pPr>
              <w:pStyle w:val="134"/>
              <w:rPr>
                <w:szCs w:val="21"/>
              </w:rPr>
            </w:pPr>
            <w:r>
              <w:rPr>
                <w:szCs w:val="21"/>
              </w:rPr>
              <w:t>T6</w:t>
            </w:r>
          </w:p>
        </w:tc>
        <w:tc>
          <w:tcPr>
            <w:tcW w:w="1559" w:type="pct"/>
            <w:vAlign w:val="center"/>
          </w:tcPr>
          <w:p>
            <w:pPr>
              <w:pStyle w:val="134"/>
              <w:rPr>
                <w:szCs w:val="21"/>
              </w:rPr>
            </w:pPr>
            <w:r>
              <w:rPr>
                <w:szCs w:val="21"/>
              </w:rPr>
              <w:t>位于</w:t>
            </w:r>
            <w:r>
              <w:rPr>
                <w:bCs/>
              </w:rPr>
              <w:t>本项目站场</w:t>
            </w:r>
            <w:r>
              <w:rPr>
                <w:bCs/>
                <w:szCs w:val="21"/>
              </w:rPr>
              <w:t>所在地南侧50m处</w:t>
            </w:r>
          </w:p>
        </w:tc>
        <w:tc>
          <w:tcPr>
            <w:tcW w:w="741" w:type="pct"/>
            <w:vAlign w:val="center"/>
          </w:tcPr>
          <w:p>
            <w:pPr>
              <w:pStyle w:val="134"/>
              <w:rPr>
                <w:szCs w:val="21"/>
              </w:rPr>
            </w:pPr>
            <w:r>
              <w:rPr>
                <w:szCs w:val="21"/>
              </w:rPr>
              <w:t>农用地</w:t>
            </w:r>
          </w:p>
        </w:tc>
        <w:tc>
          <w:tcPr>
            <w:tcW w:w="1564" w:type="pct"/>
            <w:vAlign w:val="center"/>
          </w:tcPr>
          <w:p>
            <w:pPr>
              <w:pStyle w:val="134"/>
              <w:rPr>
                <w:szCs w:val="21"/>
              </w:rPr>
            </w:pPr>
            <w:r>
              <w:rPr>
                <w:szCs w:val="21"/>
              </w:rPr>
              <w:t>pH、镉、汞、砷、铅、铬、铜、镍、锌</w:t>
            </w:r>
          </w:p>
        </w:tc>
        <w:tc>
          <w:tcPr>
            <w:tcW w:w="636" w:type="pct"/>
            <w:vAlign w:val="center"/>
          </w:tcPr>
          <w:p>
            <w:pPr>
              <w:pStyle w:val="121"/>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1次/日，</w:t>
            </w:r>
          </w:p>
          <w:p>
            <w:pPr>
              <w:pStyle w:val="134"/>
              <w:rPr>
                <w:szCs w:val="21"/>
              </w:rPr>
            </w:pPr>
            <w:r>
              <w:rPr>
                <w:szCs w:val="21"/>
              </w:rPr>
              <w:t>检测1日</w:t>
            </w:r>
          </w:p>
        </w:tc>
      </w:tr>
    </w:tbl>
    <w:p>
      <w:pPr>
        <w:pStyle w:val="114"/>
        <w:ind w:firstLine="482"/>
        <w:rPr>
          <w:b/>
          <w:bCs/>
        </w:rPr>
      </w:pPr>
      <w:r>
        <w:rPr>
          <w:b/>
          <w:bCs/>
        </w:rPr>
        <w:t>（2）评价标准与方法</w:t>
      </w:r>
    </w:p>
    <w:p>
      <w:pPr>
        <w:pStyle w:val="114"/>
        <w:ind w:firstLine="480"/>
      </w:pPr>
      <w:r>
        <w:t>项目站场执行</w:t>
      </w:r>
      <w:bookmarkStart w:id="438" w:name="OLE_LINK212"/>
      <w:bookmarkStart w:id="439" w:name="OLE_LINK211"/>
      <w:r>
        <w:t>《土壤环境质量 建设用地土壤污染风险管控标准（试行）》（GB 36600-2018）</w:t>
      </w:r>
      <w:bookmarkEnd w:id="438"/>
      <w:bookmarkEnd w:id="439"/>
      <w:r>
        <w:t>中风险筛选值；项目站场周边耕地执行</w:t>
      </w:r>
      <w:bookmarkStart w:id="440" w:name="OLE_LINK191"/>
      <w:bookmarkStart w:id="441" w:name="OLE_LINK190"/>
      <w:r>
        <w:t>《土壤环境质量农用地土壤污染风险管控标准（试行）》（GB15618-2018）</w:t>
      </w:r>
      <w:bookmarkEnd w:id="440"/>
      <w:bookmarkEnd w:id="441"/>
      <w:r>
        <w:t>表1中其他标准限值。</w:t>
      </w:r>
    </w:p>
    <w:p>
      <w:pPr>
        <w:pStyle w:val="114"/>
        <w:ind w:firstLine="480"/>
      </w:pPr>
      <w:r>
        <w:t>土壤环境质量现状监测结果统计及评价见表5.7-2~5.7-3。</w:t>
      </w:r>
    </w:p>
    <w:p>
      <w:pPr>
        <w:pStyle w:val="114"/>
        <w:ind w:firstLine="0" w:firstLineChars="0"/>
        <w:jc w:val="center"/>
      </w:pPr>
      <w:r>
        <w:rPr>
          <w:b/>
          <w:sz w:val="21"/>
          <w:szCs w:val="21"/>
        </w:rPr>
        <w:t>表5.7-2  土壤环境质量现状监测统计表（T1~T</w:t>
      </w:r>
      <w:r>
        <w:rPr>
          <w:rFonts w:hint="eastAsia"/>
          <w:b/>
          <w:sz w:val="21"/>
          <w:szCs w:val="21"/>
        </w:rPr>
        <w:t>3</w:t>
      </w:r>
      <w:r>
        <w:rPr>
          <w:b/>
          <w:sz w:val="21"/>
          <w:szCs w:val="21"/>
        </w:rPr>
        <w:t>）</w:t>
      </w:r>
    </w:p>
    <w:tbl>
      <w:tblPr>
        <w:tblStyle w:val="59"/>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109"/>
        <w:gridCol w:w="1377"/>
        <w:gridCol w:w="705"/>
        <w:gridCol w:w="877"/>
        <w:gridCol w:w="1063"/>
        <w:gridCol w:w="1092"/>
        <w:gridCol w:w="813"/>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786" w:type="dxa"/>
            <w:vMerge w:val="restart"/>
            <w:tcBorders>
              <w:top w:val="single" w:color="000000" w:sz="12" w:space="0"/>
              <w:left w:val="nil"/>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序号</w:t>
            </w:r>
          </w:p>
        </w:tc>
        <w:tc>
          <w:tcPr>
            <w:tcW w:w="1109" w:type="dxa"/>
            <w:vMerge w:val="restart"/>
            <w:tcBorders>
              <w:top w:val="single" w:color="000000" w:sz="12"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检测点位信息</w:t>
            </w:r>
          </w:p>
        </w:tc>
        <w:tc>
          <w:tcPr>
            <w:tcW w:w="1377" w:type="dxa"/>
            <w:vMerge w:val="restart"/>
            <w:tcBorders>
              <w:top w:val="single" w:color="000000" w:sz="12"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检测项目</w:t>
            </w:r>
          </w:p>
        </w:tc>
        <w:tc>
          <w:tcPr>
            <w:tcW w:w="705" w:type="dxa"/>
            <w:vMerge w:val="restart"/>
            <w:tcBorders>
              <w:top w:val="single" w:color="000000" w:sz="12"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单位</w:t>
            </w:r>
          </w:p>
        </w:tc>
        <w:tc>
          <w:tcPr>
            <w:tcW w:w="3032" w:type="dxa"/>
            <w:gridSpan w:val="3"/>
            <w:tcBorders>
              <w:top w:val="single" w:color="000000" w:sz="12"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检测结果</w:t>
            </w:r>
          </w:p>
        </w:tc>
        <w:tc>
          <w:tcPr>
            <w:tcW w:w="813" w:type="dxa"/>
            <w:vMerge w:val="restart"/>
            <w:tcBorders>
              <w:top w:val="single" w:color="000000" w:sz="12" w:space="0"/>
              <w:left w:val="single" w:color="000000" w:sz="4" w:space="0"/>
              <w:right w:val="nil"/>
            </w:tcBorders>
            <w:vAlign w:val="center"/>
          </w:tcPr>
          <w:p>
            <w:pPr>
              <w:pStyle w:val="134"/>
              <w:rPr>
                <w:rFonts w:eastAsiaTheme="minorEastAsia"/>
                <w:bCs/>
                <w:szCs w:val="21"/>
              </w:rPr>
            </w:pPr>
            <w:r>
              <w:rPr>
                <w:rFonts w:hint="eastAsia" w:eastAsiaTheme="minorEastAsia"/>
                <w:bCs/>
                <w:szCs w:val="21"/>
              </w:rPr>
              <w:t>标准限值</w:t>
            </w:r>
          </w:p>
        </w:tc>
        <w:tc>
          <w:tcPr>
            <w:tcW w:w="912" w:type="dxa"/>
            <w:vMerge w:val="restart"/>
            <w:tcBorders>
              <w:top w:val="single" w:color="000000" w:sz="12" w:space="0"/>
              <w:left w:val="single" w:color="000000" w:sz="4" w:space="0"/>
              <w:right w:val="nil"/>
            </w:tcBorders>
            <w:vAlign w:val="center"/>
          </w:tcPr>
          <w:p>
            <w:pPr>
              <w:pStyle w:val="134"/>
              <w:rPr>
                <w:rFonts w:eastAsiaTheme="minorEastAsia"/>
                <w:bCs/>
                <w:szCs w:val="21"/>
              </w:rPr>
            </w:pPr>
            <w:r>
              <w:rPr>
                <w:rFonts w:eastAsiaTheme="minorEastAsia"/>
                <w:bCs/>
                <w:szCs w:val="21"/>
              </w:rPr>
              <w:t>S</w:t>
            </w:r>
            <w:r>
              <w:rPr>
                <w:rFonts w:eastAsiaTheme="minorEastAsia"/>
                <w:bCs/>
                <w:szCs w:val="21"/>
                <w:vertAlign w:val="subscript"/>
              </w:rPr>
              <w:t>i，j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786" w:type="dxa"/>
            <w:vMerge w:val="continue"/>
            <w:tcBorders>
              <w:top w:val="single" w:color="000000" w:sz="4" w:space="0"/>
              <w:left w:val="nil"/>
              <w:bottom w:val="single" w:color="000000" w:sz="4" w:space="0"/>
              <w:right w:val="single" w:color="000000" w:sz="4" w:space="0"/>
            </w:tcBorders>
            <w:vAlign w:val="center"/>
          </w:tcPr>
          <w:p>
            <w:pPr>
              <w:pStyle w:val="134"/>
              <w:rPr>
                <w:rFonts w:eastAsiaTheme="minorEastAsia"/>
                <w:bCs/>
                <w:szCs w:val="21"/>
              </w:rPr>
            </w:pPr>
          </w:p>
        </w:tc>
        <w:tc>
          <w:tcPr>
            <w:tcW w:w="1109" w:type="dxa"/>
            <w:vMerge w:val="continue"/>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p>
        </w:tc>
        <w:tc>
          <w:tcPr>
            <w:tcW w:w="1377" w:type="dxa"/>
            <w:vMerge w:val="continue"/>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p>
        </w:tc>
        <w:tc>
          <w:tcPr>
            <w:tcW w:w="705" w:type="dxa"/>
            <w:vMerge w:val="continue"/>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p>
        </w:tc>
        <w:tc>
          <w:tcPr>
            <w:tcW w:w="877"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0~0.5m</w:t>
            </w:r>
          </w:p>
        </w:tc>
        <w:tc>
          <w:tcPr>
            <w:tcW w:w="1063"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0.5~1.5m</w:t>
            </w:r>
          </w:p>
        </w:tc>
        <w:tc>
          <w:tcPr>
            <w:tcW w:w="1092"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1.5~3.0m</w:t>
            </w:r>
          </w:p>
        </w:tc>
        <w:tc>
          <w:tcPr>
            <w:tcW w:w="813" w:type="dxa"/>
            <w:vMerge w:val="continue"/>
            <w:tcBorders>
              <w:left w:val="single" w:color="000000" w:sz="4" w:space="0"/>
              <w:bottom w:val="single" w:color="000000" w:sz="4" w:space="0"/>
              <w:right w:val="nil"/>
            </w:tcBorders>
            <w:vAlign w:val="center"/>
          </w:tcPr>
          <w:p>
            <w:pPr>
              <w:pStyle w:val="134"/>
              <w:rPr>
                <w:rFonts w:eastAsiaTheme="minorEastAsia"/>
                <w:bCs/>
                <w:szCs w:val="21"/>
              </w:rPr>
            </w:pPr>
          </w:p>
        </w:tc>
        <w:tc>
          <w:tcPr>
            <w:tcW w:w="912" w:type="dxa"/>
            <w:vMerge w:val="continue"/>
            <w:tcBorders>
              <w:left w:val="single" w:color="000000" w:sz="4" w:space="0"/>
              <w:bottom w:val="single" w:color="000000" w:sz="4" w:space="0"/>
              <w:right w:val="nil"/>
            </w:tcBorders>
            <w:vAlign w:val="center"/>
          </w:tcPr>
          <w:p>
            <w:pPr>
              <w:pStyle w:val="134"/>
              <w:rPr>
                <w:rFonts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6" w:type="dxa"/>
            <w:tcBorders>
              <w:top w:val="single" w:color="000000" w:sz="4" w:space="0"/>
              <w:left w:val="nil"/>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1</w:t>
            </w:r>
          </w:p>
        </w:tc>
        <w:tc>
          <w:tcPr>
            <w:tcW w:w="1109" w:type="dxa"/>
            <w:vMerge w:val="restart"/>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1#项目占地范围场界南侧距场界约6m处</w:t>
            </w:r>
          </w:p>
        </w:tc>
        <w:tc>
          <w:tcPr>
            <w:tcW w:w="1377"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pH</w:t>
            </w:r>
          </w:p>
        </w:tc>
        <w:tc>
          <w:tcPr>
            <w:tcW w:w="705"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无量纲</w:t>
            </w:r>
          </w:p>
        </w:tc>
        <w:tc>
          <w:tcPr>
            <w:tcW w:w="877"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7.81</w:t>
            </w:r>
          </w:p>
        </w:tc>
        <w:tc>
          <w:tcPr>
            <w:tcW w:w="1063"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7.78</w:t>
            </w:r>
          </w:p>
        </w:tc>
        <w:tc>
          <w:tcPr>
            <w:tcW w:w="1092"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7.65</w:t>
            </w:r>
          </w:p>
        </w:tc>
        <w:tc>
          <w:tcPr>
            <w:tcW w:w="813" w:type="dxa"/>
            <w:tcBorders>
              <w:top w:val="single" w:color="000000" w:sz="4" w:space="0"/>
              <w:left w:val="single" w:color="000000" w:sz="4" w:space="0"/>
              <w:bottom w:val="single" w:color="000000" w:sz="4" w:space="0"/>
              <w:right w:val="nil"/>
            </w:tcBorders>
            <w:vAlign w:val="center"/>
          </w:tcPr>
          <w:p>
            <w:pPr>
              <w:pStyle w:val="134"/>
              <w:rPr>
                <w:rFonts w:eastAsiaTheme="minorEastAsia"/>
                <w:bCs/>
                <w:szCs w:val="21"/>
              </w:rPr>
            </w:pPr>
          </w:p>
        </w:tc>
        <w:tc>
          <w:tcPr>
            <w:tcW w:w="912" w:type="dxa"/>
            <w:tcBorders>
              <w:top w:val="single" w:color="000000" w:sz="4" w:space="0"/>
              <w:left w:val="single" w:color="000000" w:sz="4" w:space="0"/>
              <w:bottom w:val="single" w:color="000000" w:sz="4" w:space="0"/>
              <w:right w:val="nil"/>
            </w:tcBorders>
            <w:vAlign w:val="center"/>
          </w:tcPr>
          <w:p>
            <w:pPr>
              <w:pStyle w:val="134"/>
              <w:rPr>
                <w:rFonts w:eastAsiaTheme="minorEastAsia"/>
                <w:bCs/>
                <w:szCs w:val="21"/>
              </w:rPr>
            </w:pPr>
            <w:r>
              <w:rPr>
                <w:rFonts w:eastAsiaTheme="minor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6" w:type="dxa"/>
            <w:tcBorders>
              <w:top w:val="single" w:color="000000" w:sz="4" w:space="0"/>
              <w:left w:val="nil"/>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2</w:t>
            </w:r>
          </w:p>
        </w:tc>
        <w:tc>
          <w:tcPr>
            <w:tcW w:w="1109" w:type="dxa"/>
            <w:vMerge w:val="continue"/>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p>
        </w:tc>
        <w:tc>
          <w:tcPr>
            <w:tcW w:w="1377"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硫化物</w:t>
            </w:r>
          </w:p>
        </w:tc>
        <w:tc>
          <w:tcPr>
            <w:tcW w:w="705"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mg/kg</w:t>
            </w:r>
          </w:p>
        </w:tc>
        <w:tc>
          <w:tcPr>
            <w:tcW w:w="877"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0.92</w:t>
            </w:r>
          </w:p>
        </w:tc>
        <w:tc>
          <w:tcPr>
            <w:tcW w:w="1063"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0.88</w:t>
            </w:r>
          </w:p>
        </w:tc>
        <w:tc>
          <w:tcPr>
            <w:tcW w:w="1092"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0.62</w:t>
            </w:r>
          </w:p>
        </w:tc>
        <w:tc>
          <w:tcPr>
            <w:tcW w:w="813" w:type="dxa"/>
            <w:tcBorders>
              <w:top w:val="single" w:color="000000" w:sz="4" w:space="0"/>
              <w:left w:val="single" w:color="000000" w:sz="4" w:space="0"/>
              <w:bottom w:val="single" w:color="000000" w:sz="4" w:space="0"/>
              <w:right w:val="nil"/>
            </w:tcBorders>
            <w:vAlign w:val="center"/>
          </w:tcPr>
          <w:p>
            <w:pPr>
              <w:pStyle w:val="134"/>
              <w:rPr>
                <w:rFonts w:eastAsiaTheme="minorEastAsia"/>
                <w:bCs/>
                <w:szCs w:val="21"/>
              </w:rPr>
            </w:pPr>
          </w:p>
        </w:tc>
        <w:tc>
          <w:tcPr>
            <w:tcW w:w="912" w:type="dxa"/>
            <w:tcBorders>
              <w:top w:val="single" w:color="000000" w:sz="4" w:space="0"/>
              <w:left w:val="single" w:color="000000" w:sz="4" w:space="0"/>
              <w:bottom w:val="single" w:color="000000" w:sz="4" w:space="0"/>
              <w:right w:val="nil"/>
            </w:tcBorders>
            <w:vAlign w:val="center"/>
          </w:tcPr>
          <w:p>
            <w:pPr>
              <w:pStyle w:val="134"/>
              <w:rPr>
                <w:rFonts w:eastAsiaTheme="minorEastAsia"/>
                <w:bCs/>
                <w:szCs w:val="21"/>
              </w:rPr>
            </w:pPr>
            <w:r>
              <w:rPr>
                <w:rFonts w:eastAsiaTheme="minor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6" w:type="dxa"/>
            <w:tcBorders>
              <w:top w:val="single" w:color="000000" w:sz="4" w:space="0"/>
              <w:left w:val="nil"/>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3</w:t>
            </w:r>
          </w:p>
        </w:tc>
        <w:tc>
          <w:tcPr>
            <w:tcW w:w="1109" w:type="dxa"/>
            <w:vMerge w:val="continue"/>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p>
        </w:tc>
        <w:tc>
          <w:tcPr>
            <w:tcW w:w="1377"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石油烃（C10-C40）</w:t>
            </w:r>
          </w:p>
        </w:tc>
        <w:tc>
          <w:tcPr>
            <w:tcW w:w="705"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mg/kg</w:t>
            </w:r>
          </w:p>
        </w:tc>
        <w:tc>
          <w:tcPr>
            <w:tcW w:w="877"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45</w:t>
            </w:r>
          </w:p>
        </w:tc>
        <w:tc>
          <w:tcPr>
            <w:tcW w:w="1063"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71</w:t>
            </w:r>
          </w:p>
        </w:tc>
        <w:tc>
          <w:tcPr>
            <w:tcW w:w="1092"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29</w:t>
            </w:r>
          </w:p>
        </w:tc>
        <w:tc>
          <w:tcPr>
            <w:tcW w:w="813" w:type="dxa"/>
            <w:tcBorders>
              <w:top w:val="single" w:color="000000" w:sz="4" w:space="0"/>
              <w:left w:val="single" w:color="000000" w:sz="4" w:space="0"/>
              <w:bottom w:val="single" w:color="000000" w:sz="4" w:space="0"/>
              <w:right w:val="nil"/>
            </w:tcBorders>
            <w:vAlign w:val="center"/>
          </w:tcPr>
          <w:p>
            <w:pPr>
              <w:pStyle w:val="134"/>
              <w:rPr>
                <w:rFonts w:eastAsiaTheme="minorEastAsia"/>
                <w:bCs/>
                <w:szCs w:val="21"/>
              </w:rPr>
            </w:pPr>
          </w:p>
        </w:tc>
        <w:tc>
          <w:tcPr>
            <w:tcW w:w="912" w:type="dxa"/>
            <w:tcBorders>
              <w:top w:val="single" w:color="000000" w:sz="4" w:space="0"/>
              <w:left w:val="single" w:color="000000" w:sz="4" w:space="0"/>
              <w:bottom w:val="single" w:color="000000" w:sz="4" w:space="0"/>
              <w:right w:val="nil"/>
            </w:tcBorders>
            <w:vAlign w:val="center"/>
          </w:tcPr>
          <w:p>
            <w:pPr>
              <w:pStyle w:val="134"/>
              <w:rPr>
                <w:rFonts w:eastAsiaTheme="minorEastAsia"/>
                <w:bCs/>
                <w:szCs w:val="21"/>
              </w:rPr>
            </w:pPr>
            <w:r>
              <w:rPr>
                <w:rFonts w:eastAsiaTheme="minorEastAsia"/>
                <w:bCs/>
                <w:szCs w:val="21"/>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6" w:type="dxa"/>
            <w:tcBorders>
              <w:top w:val="single" w:color="000000" w:sz="4" w:space="0"/>
              <w:left w:val="nil"/>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4</w:t>
            </w:r>
          </w:p>
        </w:tc>
        <w:tc>
          <w:tcPr>
            <w:tcW w:w="1109" w:type="dxa"/>
            <w:vMerge w:val="restart"/>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2#项目占地范围场界南侧距场界约8m处</w:t>
            </w:r>
          </w:p>
        </w:tc>
        <w:tc>
          <w:tcPr>
            <w:tcW w:w="1377"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pH</w:t>
            </w:r>
          </w:p>
        </w:tc>
        <w:tc>
          <w:tcPr>
            <w:tcW w:w="705"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无量纲</w:t>
            </w:r>
          </w:p>
        </w:tc>
        <w:tc>
          <w:tcPr>
            <w:tcW w:w="877"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8.02</w:t>
            </w:r>
          </w:p>
        </w:tc>
        <w:tc>
          <w:tcPr>
            <w:tcW w:w="1063"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8.08</w:t>
            </w:r>
          </w:p>
        </w:tc>
        <w:tc>
          <w:tcPr>
            <w:tcW w:w="1092"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8.13</w:t>
            </w:r>
          </w:p>
        </w:tc>
        <w:tc>
          <w:tcPr>
            <w:tcW w:w="813" w:type="dxa"/>
            <w:tcBorders>
              <w:top w:val="single" w:color="000000" w:sz="4" w:space="0"/>
              <w:left w:val="single" w:color="000000" w:sz="4" w:space="0"/>
              <w:bottom w:val="single" w:color="000000" w:sz="4" w:space="0"/>
              <w:right w:val="nil"/>
            </w:tcBorders>
            <w:vAlign w:val="center"/>
          </w:tcPr>
          <w:p>
            <w:pPr>
              <w:pStyle w:val="134"/>
              <w:rPr>
                <w:rFonts w:eastAsiaTheme="minorEastAsia"/>
                <w:bCs/>
                <w:szCs w:val="21"/>
              </w:rPr>
            </w:pPr>
          </w:p>
        </w:tc>
        <w:tc>
          <w:tcPr>
            <w:tcW w:w="912" w:type="dxa"/>
            <w:tcBorders>
              <w:top w:val="single" w:color="000000" w:sz="4" w:space="0"/>
              <w:left w:val="single" w:color="000000" w:sz="4" w:space="0"/>
              <w:bottom w:val="single" w:color="000000" w:sz="4" w:space="0"/>
              <w:right w:val="nil"/>
            </w:tcBorders>
            <w:vAlign w:val="center"/>
          </w:tcPr>
          <w:p>
            <w:pPr>
              <w:pStyle w:val="134"/>
              <w:rPr>
                <w:rFonts w:eastAsiaTheme="minorEastAsia"/>
                <w:bCs/>
                <w:szCs w:val="21"/>
              </w:rPr>
            </w:pPr>
            <w:r>
              <w:rPr>
                <w:rFonts w:eastAsiaTheme="minor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6" w:type="dxa"/>
            <w:tcBorders>
              <w:top w:val="single" w:color="000000" w:sz="4" w:space="0"/>
              <w:left w:val="nil"/>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5</w:t>
            </w:r>
          </w:p>
        </w:tc>
        <w:tc>
          <w:tcPr>
            <w:tcW w:w="1109" w:type="dxa"/>
            <w:vMerge w:val="continue"/>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p>
        </w:tc>
        <w:tc>
          <w:tcPr>
            <w:tcW w:w="1377"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硫化物</w:t>
            </w:r>
          </w:p>
        </w:tc>
        <w:tc>
          <w:tcPr>
            <w:tcW w:w="705"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mg/kg</w:t>
            </w:r>
          </w:p>
        </w:tc>
        <w:tc>
          <w:tcPr>
            <w:tcW w:w="877"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0.72</w:t>
            </w:r>
          </w:p>
        </w:tc>
        <w:tc>
          <w:tcPr>
            <w:tcW w:w="1063"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0.66</w:t>
            </w:r>
          </w:p>
        </w:tc>
        <w:tc>
          <w:tcPr>
            <w:tcW w:w="1092"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0.74</w:t>
            </w:r>
          </w:p>
        </w:tc>
        <w:tc>
          <w:tcPr>
            <w:tcW w:w="813" w:type="dxa"/>
            <w:tcBorders>
              <w:top w:val="single" w:color="000000" w:sz="4" w:space="0"/>
              <w:left w:val="single" w:color="000000" w:sz="4" w:space="0"/>
              <w:bottom w:val="single" w:color="000000" w:sz="4" w:space="0"/>
              <w:right w:val="nil"/>
            </w:tcBorders>
            <w:vAlign w:val="center"/>
          </w:tcPr>
          <w:p>
            <w:pPr>
              <w:pStyle w:val="134"/>
              <w:rPr>
                <w:rFonts w:eastAsiaTheme="minorEastAsia"/>
                <w:bCs/>
                <w:szCs w:val="21"/>
              </w:rPr>
            </w:pPr>
          </w:p>
        </w:tc>
        <w:tc>
          <w:tcPr>
            <w:tcW w:w="912" w:type="dxa"/>
            <w:tcBorders>
              <w:top w:val="single" w:color="000000" w:sz="4" w:space="0"/>
              <w:left w:val="single" w:color="000000" w:sz="4" w:space="0"/>
              <w:bottom w:val="single" w:color="000000" w:sz="4" w:space="0"/>
              <w:right w:val="nil"/>
            </w:tcBorders>
            <w:vAlign w:val="center"/>
          </w:tcPr>
          <w:p>
            <w:pPr>
              <w:pStyle w:val="134"/>
              <w:rPr>
                <w:rFonts w:eastAsiaTheme="minorEastAsia"/>
                <w:bCs/>
                <w:szCs w:val="21"/>
              </w:rPr>
            </w:pPr>
            <w:r>
              <w:rPr>
                <w:rFonts w:eastAsiaTheme="minor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6" w:type="dxa"/>
            <w:tcBorders>
              <w:top w:val="single" w:color="000000" w:sz="4" w:space="0"/>
              <w:left w:val="nil"/>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6</w:t>
            </w:r>
          </w:p>
        </w:tc>
        <w:tc>
          <w:tcPr>
            <w:tcW w:w="1109" w:type="dxa"/>
            <w:vMerge w:val="continue"/>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p>
        </w:tc>
        <w:tc>
          <w:tcPr>
            <w:tcW w:w="1377"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石油烃（C10-C40）</w:t>
            </w:r>
          </w:p>
        </w:tc>
        <w:tc>
          <w:tcPr>
            <w:tcW w:w="705"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mg/kg</w:t>
            </w:r>
          </w:p>
        </w:tc>
        <w:tc>
          <w:tcPr>
            <w:tcW w:w="877"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23</w:t>
            </w:r>
          </w:p>
        </w:tc>
        <w:tc>
          <w:tcPr>
            <w:tcW w:w="1063"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20</w:t>
            </w:r>
          </w:p>
        </w:tc>
        <w:tc>
          <w:tcPr>
            <w:tcW w:w="1092"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24</w:t>
            </w:r>
          </w:p>
        </w:tc>
        <w:tc>
          <w:tcPr>
            <w:tcW w:w="813" w:type="dxa"/>
            <w:tcBorders>
              <w:top w:val="single" w:color="000000" w:sz="4" w:space="0"/>
              <w:left w:val="single" w:color="000000" w:sz="4" w:space="0"/>
              <w:bottom w:val="single" w:color="000000" w:sz="4" w:space="0"/>
              <w:right w:val="nil"/>
            </w:tcBorders>
            <w:vAlign w:val="center"/>
          </w:tcPr>
          <w:p>
            <w:pPr>
              <w:pStyle w:val="134"/>
              <w:rPr>
                <w:rFonts w:eastAsiaTheme="minorEastAsia"/>
                <w:bCs/>
                <w:szCs w:val="21"/>
              </w:rPr>
            </w:pPr>
          </w:p>
        </w:tc>
        <w:tc>
          <w:tcPr>
            <w:tcW w:w="912" w:type="dxa"/>
            <w:tcBorders>
              <w:top w:val="single" w:color="000000" w:sz="4" w:space="0"/>
              <w:left w:val="single" w:color="000000" w:sz="4" w:space="0"/>
              <w:bottom w:val="single" w:color="000000" w:sz="4" w:space="0"/>
              <w:right w:val="nil"/>
            </w:tcBorders>
            <w:vAlign w:val="center"/>
          </w:tcPr>
          <w:p>
            <w:pPr>
              <w:pStyle w:val="134"/>
              <w:rPr>
                <w:rFonts w:eastAsiaTheme="minorEastAsia"/>
                <w:bCs/>
                <w:szCs w:val="21"/>
              </w:rPr>
            </w:pPr>
            <w:r>
              <w:rPr>
                <w:rFonts w:eastAsiaTheme="minorEastAsia"/>
                <w:bCs/>
                <w:szCs w:val="21"/>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6" w:type="dxa"/>
            <w:tcBorders>
              <w:top w:val="single" w:color="000000" w:sz="4" w:space="0"/>
              <w:left w:val="nil"/>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7</w:t>
            </w:r>
          </w:p>
        </w:tc>
        <w:tc>
          <w:tcPr>
            <w:tcW w:w="1109" w:type="dxa"/>
            <w:vMerge w:val="restart"/>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3#清洁生产操作平台占地范围距场界约13m处</w:t>
            </w:r>
          </w:p>
        </w:tc>
        <w:tc>
          <w:tcPr>
            <w:tcW w:w="1377"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pH</w:t>
            </w:r>
          </w:p>
        </w:tc>
        <w:tc>
          <w:tcPr>
            <w:tcW w:w="705"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无量纲</w:t>
            </w:r>
          </w:p>
        </w:tc>
        <w:tc>
          <w:tcPr>
            <w:tcW w:w="877"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8.07</w:t>
            </w:r>
          </w:p>
        </w:tc>
        <w:tc>
          <w:tcPr>
            <w:tcW w:w="1063"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8.11</w:t>
            </w:r>
          </w:p>
        </w:tc>
        <w:tc>
          <w:tcPr>
            <w:tcW w:w="1092"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7.94</w:t>
            </w:r>
          </w:p>
        </w:tc>
        <w:tc>
          <w:tcPr>
            <w:tcW w:w="813" w:type="dxa"/>
            <w:tcBorders>
              <w:top w:val="single" w:color="000000" w:sz="4" w:space="0"/>
              <w:left w:val="single" w:color="000000" w:sz="4" w:space="0"/>
              <w:bottom w:val="single" w:color="000000" w:sz="4" w:space="0"/>
              <w:right w:val="nil"/>
            </w:tcBorders>
            <w:vAlign w:val="center"/>
          </w:tcPr>
          <w:p>
            <w:pPr>
              <w:pStyle w:val="134"/>
              <w:rPr>
                <w:rFonts w:eastAsiaTheme="minorEastAsia"/>
                <w:bCs/>
                <w:szCs w:val="21"/>
              </w:rPr>
            </w:pPr>
          </w:p>
        </w:tc>
        <w:tc>
          <w:tcPr>
            <w:tcW w:w="912" w:type="dxa"/>
            <w:tcBorders>
              <w:top w:val="single" w:color="000000" w:sz="4" w:space="0"/>
              <w:left w:val="single" w:color="000000" w:sz="4" w:space="0"/>
              <w:bottom w:val="single" w:color="000000" w:sz="4" w:space="0"/>
              <w:right w:val="nil"/>
            </w:tcBorders>
            <w:vAlign w:val="center"/>
          </w:tcPr>
          <w:p>
            <w:pPr>
              <w:pStyle w:val="134"/>
              <w:rPr>
                <w:rFonts w:eastAsiaTheme="minorEastAsia"/>
                <w:bCs/>
                <w:szCs w:val="21"/>
              </w:rPr>
            </w:pPr>
            <w:r>
              <w:rPr>
                <w:rFonts w:eastAsiaTheme="minor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6" w:type="dxa"/>
            <w:tcBorders>
              <w:top w:val="single" w:color="000000" w:sz="4" w:space="0"/>
              <w:left w:val="nil"/>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8</w:t>
            </w:r>
          </w:p>
        </w:tc>
        <w:tc>
          <w:tcPr>
            <w:tcW w:w="1109" w:type="dxa"/>
            <w:vMerge w:val="continue"/>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p>
        </w:tc>
        <w:tc>
          <w:tcPr>
            <w:tcW w:w="1377"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硫化物</w:t>
            </w:r>
          </w:p>
        </w:tc>
        <w:tc>
          <w:tcPr>
            <w:tcW w:w="705"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mg/kg</w:t>
            </w:r>
          </w:p>
        </w:tc>
        <w:tc>
          <w:tcPr>
            <w:tcW w:w="877"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0.84</w:t>
            </w:r>
          </w:p>
        </w:tc>
        <w:tc>
          <w:tcPr>
            <w:tcW w:w="1063"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0.89</w:t>
            </w:r>
          </w:p>
        </w:tc>
        <w:tc>
          <w:tcPr>
            <w:tcW w:w="1092" w:type="dxa"/>
            <w:tcBorders>
              <w:top w:val="single" w:color="000000" w:sz="4" w:space="0"/>
              <w:left w:val="single" w:color="000000" w:sz="4" w:space="0"/>
              <w:bottom w:val="single" w:color="000000" w:sz="4" w:space="0"/>
              <w:right w:val="single" w:color="000000" w:sz="4" w:space="0"/>
            </w:tcBorders>
            <w:vAlign w:val="center"/>
          </w:tcPr>
          <w:p>
            <w:pPr>
              <w:pStyle w:val="134"/>
              <w:rPr>
                <w:rFonts w:eastAsiaTheme="minorEastAsia"/>
                <w:bCs/>
                <w:szCs w:val="21"/>
              </w:rPr>
            </w:pPr>
            <w:r>
              <w:rPr>
                <w:rFonts w:eastAsiaTheme="minorEastAsia"/>
                <w:bCs/>
                <w:szCs w:val="21"/>
              </w:rPr>
              <w:t>0.83</w:t>
            </w:r>
          </w:p>
        </w:tc>
        <w:tc>
          <w:tcPr>
            <w:tcW w:w="813" w:type="dxa"/>
            <w:tcBorders>
              <w:top w:val="single" w:color="000000" w:sz="4" w:space="0"/>
              <w:left w:val="single" w:color="000000" w:sz="4" w:space="0"/>
              <w:bottom w:val="single" w:color="000000" w:sz="4" w:space="0"/>
              <w:right w:val="nil"/>
            </w:tcBorders>
            <w:vAlign w:val="center"/>
          </w:tcPr>
          <w:p>
            <w:pPr>
              <w:pStyle w:val="134"/>
              <w:rPr>
                <w:rFonts w:eastAsiaTheme="minorEastAsia"/>
                <w:bCs/>
                <w:szCs w:val="21"/>
              </w:rPr>
            </w:pPr>
          </w:p>
        </w:tc>
        <w:tc>
          <w:tcPr>
            <w:tcW w:w="912" w:type="dxa"/>
            <w:tcBorders>
              <w:top w:val="single" w:color="000000" w:sz="4" w:space="0"/>
              <w:left w:val="single" w:color="000000" w:sz="4" w:space="0"/>
              <w:bottom w:val="single" w:color="000000" w:sz="4" w:space="0"/>
              <w:right w:val="nil"/>
            </w:tcBorders>
            <w:vAlign w:val="center"/>
          </w:tcPr>
          <w:p>
            <w:pPr>
              <w:pStyle w:val="134"/>
              <w:rPr>
                <w:rFonts w:eastAsiaTheme="minorEastAsia"/>
                <w:bCs/>
                <w:szCs w:val="21"/>
              </w:rPr>
            </w:pPr>
            <w:r>
              <w:rPr>
                <w:rFonts w:eastAsiaTheme="minor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6" w:type="dxa"/>
            <w:tcBorders>
              <w:top w:val="single" w:color="000000" w:sz="4" w:space="0"/>
              <w:left w:val="nil"/>
              <w:bottom w:val="single" w:color="000000" w:sz="12" w:space="0"/>
              <w:right w:val="single" w:color="000000" w:sz="4" w:space="0"/>
            </w:tcBorders>
            <w:vAlign w:val="center"/>
          </w:tcPr>
          <w:p>
            <w:pPr>
              <w:pStyle w:val="134"/>
              <w:rPr>
                <w:rFonts w:eastAsiaTheme="minorEastAsia"/>
                <w:bCs/>
                <w:szCs w:val="21"/>
              </w:rPr>
            </w:pPr>
            <w:r>
              <w:rPr>
                <w:rFonts w:eastAsiaTheme="minorEastAsia"/>
                <w:bCs/>
                <w:szCs w:val="21"/>
              </w:rPr>
              <w:t>9</w:t>
            </w:r>
          </w:p>
        </w:tc>
        <w:tc>
          <w:tcPr>
            <w:tcW w:w="1109" w:type="dxa"/>
            <w:vMerge w:val="continue"/>
            <w:tcBorders>
              <w:top w:val="single" w:color="000000" w:sz="4" w:space="0"/>
              <w:left w:val="single" w:color="000000" w:sz="4" w:space="0"/>
              <w:bottom w:val="single" w:color="000000" w:sz="12" w:space="0"/>
              <w:right w:val="single" w:color="000000" w:sz="4" w:space="0"/>
            </w:tcBorders>
            <w:vAlign w:val="center"/>
          </w:tcPr>
          <w:p>
            <w:pPr>
              <w:pStyle w:val="134"/>
              <w:rPr>
                <w:rFonts w:eastAsiaTheme="minorEastAsia"/>
                <w:bCs/>
                <w:szCs w:val="21"/>
              </w:rPr>
            </w:pPr>
          </w:p>
        </w:tc>
        <w:tc>
          <w:tcPr>
            <w:tcW w:w="1377" w:type="dxa"/>
            <w:tcBorders>
              <w:top w:val="single" w:color="000000" w:sz="4" w:space="0"/>
              <w:left w:val="single" w:color="000000" w:sz="4" w:space="0"/>
              <w:bottom w:val="single" w:color="000000" w:sz="12" w:space="0"/>
              <w:right w:val="single" w:color="000000" w:sz="4" w:space="0"/>
            </w:tcBorders>
            <w:vAlign w:val="center"/>
          </w:tcPr>
          <w:p>
            <w:pPr>
              <w:pStyle w:val="134"/>
              <w:rPr>
                <w:rFonts w:eastAsiaTheme="minorEastAsia"/>
                <w:bCs/>
                <w:szCs w:val="21"/>
              </w:rPr>
            </w:pPr>
            <w:r>
              <w:rPr>
                <w:rFonts w:eastAsiaTheme="minorEastAsia"/>
                <w:bCs/>
                <w:szCs w:val="21"/>
              </w:rPr>
              <w:t>石油烃（C10-C40）</w:t>
            </w:r>
          </w:p>
        </w:tc>
        <w:tc>
          <w:tcPr>
            <w:tcW w:w="705" w:type="dxa"/>
            <w:tcBorders>
              <w:top w:val="single" w:color="000000" w:sz="4" w:space="0"/>
              <w:left w:val="single" w:color="000000" w:sz="4" w:space="0"/>
              <w:bottom w:val="single" w:color="000000" w:sz="12" w:space="0"/>
              <w:right w:val="single" w:color="000000" w:sz="4" w:space="0"/>
            </w:tcBorders>
            <w:vAlign w:val="center"/>
          </w:tcPr>
          <w:p>
            <w:pPr>
              <w:pStyle w:val="134"/>
              <w:rPr>
                <w:rFonts w:eastAsiaTheme="minorEastAsia"/>
                <w:bCs/>
                <w:szCs w:val="21"/>
              </w:rPr>
            </w:pPr>
            <w:r>
              <w:rPr>
                <w:rFonts w:eastAsiaTheme="minorEastAsia"/>
                <w:bCs/>
                <w:szCs w:val="21"/>
              </w:rPr>
              <w:t>mg/kg</w:t>
            </w:r>
          </w:p>
        </w:tc>
        <w:tc>
          <w:tcPr>
            <w:tcW w:w="877" w:type="dxa"/>
            <w:tcBorders>
              <w:top w:val="single" w:color="000000" w:sz="4" w:space="0"/>
              <w:left w:val="single" w:color="000000" w:sz="4" w:space="0"/>
              <w:bottom w:val="single" w:color="000000" w:sz="12" w:space="0"/>
              <w:right w:val="single" w:color="000000" w:sz="4" w:space="0"/>
            </w:tcBorders>
            <w:vAlign w:val="center"/>
          </w:tcPr>
          <w:p>
            <w:pPr>
              <w:pStyle w:val="134"/>
              <w:rPr>
                <w:rFonts w:eastAsiaTheme="minorEastAsia"/>
                <w:bCs/>
                <w:szCs w:val="21"/>
              </w:rPr>
            </w:pPr>
            <w:r>
              <w:rPr>
                <w:rFonts w:eastAsiaTheme="minorEastAsia"/>
                <w:bCs/>
                <w:szCs w:val="21"/>
              </w:rPr>
              <w:t>9</w:t>
            </w:r>
          </w:p>
        </w:tc>
        <w:tc>
          <w:tcPr>
            <w:tcW w:w="1063" w:type="dxa"/>
            <w:tcBorders>
              <w:top w:val="single" w:color="000000" w:sz="4" w:space="0"/>
              <w:left w:val="single" w:color="000000" w:sz="4" w:space="0"/>
              <w:bottom w:val="single" w:color="000000" w:sz="12" w:space="0"/>
              <w:right w:val="single" w:color="000000" w:sz="4" w:space="0"/>
            </w:tcBorders>
            <w:vAlign w:val="center"/>
          </w:tcPr>
          <w:p>
            <w:pPr>
              <w:pStyle w:val="134"/>
              <w:rPr>
                <w:rFonts w:eastAsiaTheme="minorEastAsia"/>
                <w:bCs/>
                <w:szCs w:val="21"/>
              </w:rPr>
            </w:pPr>
            <w:r>
              <w:rPr>
                <w:rFonts w:eastAsiaTheme="minorEastAsia"/>
                <w:bCs/>
                <w:szCs w:val="21"/>
              </w:rPr>
              <w:t>9</w:t>
            </w:r>
          </w:p>
        </w:tc>
        <w:tc>
          <w:tcPr>
            <w:tcW w:w="1092" w:type="dxa"/>
            <w:tcBorders>
              <w:top w:val="single" w:color="000000" w:sz="4" w:space="0"/>
              <w:left w:val="single" w:color="000000" w:sz="4" w:space="0"/>
              <w:bottom w:val="single" w:color="000000" w:sz="12" w:space="0"/>
              <w:right w:val="single" w:color="000000" w:sz="4" w:space="0"/>
            </w:tcBorders>
            <w:vAlign w:val="center"/>
          </w:tcPr>
          <w:p>
            <w:pPr>
              <w:pStyle w:val="134"/>
              <w:rPr>
                <w:rFonts w:eastAsiaTheme="minorEastAsia"/>
                <w:bCs/>
                <w:szCs w:val="21"/>
              </w:rPr>
            </w:pPr>
            <w:r>
              <w:rPr>
                <w:rFonts w:eastAsiaTheme="minorEastAsia"/>
                <w:bCs/>
                <w:szCs w:val="21"/>
              </w:rPr>
              <w:t>108</w:t>
            </w:r>
          </w:p>
        </w:tc>
        <w:tc>
          <w:tcPr>
            <w:tcW w:w="813" w:type="dxa"/>
            <w:tcBorders>
              <w:top w:val="single" w:color="000000" w:sz="4" w:space="0"/>
              <w:left w:val="single" w:color="000000" w:sz="4" w:space="0"/>
              <w:bottom w:val="single" w:color="000000" w:sz="12" w:space="0"/>
              <w:right w:val="nil"/>
            </w:tcBorders>
            <w:vAlign w:val="center"/>
          </w:tcPr>
          <w:p>
            <w:pPr>
              <w:pStyle w:val="134"/>
              <w:rPr>
                <w:rFonts w:eastAsiaTheme="minorEastAsia"/>
                <w:bCs/>
                <w:szCs w:val="21"/>
              </w:rPr>
            </w:pPr>
          </w:p>
        </w:tc>
        <w:tc>
          <w:tcPr>
            <w:tcW w:w="912" w:type="dxa"/>
            <w:tcBorders>
              <w:top w:val="single" w:color="000000" w:sz="4" w:space="0"/>
              <w:left w:val="single" w:color="000000" w:sz="4" w:space="0"/>
              <w:bottom w:val="single" w:color="000000" w:sz="12" w:space="0"/>
              <w:right w:val="nil"/>
            </w:tcBorders>
            <w:vAlign w:val="center"/>
          </w:tcPr>
          <w:p>
            <w:pPr>
              <w:pStyle w:val="134"/>
              <w:rPr>
                <w:rFonts w:eastAsiaTheme="minorEastAsia"/>
                <w:bCs/>
                <w:szCs w:val="21"/>
              </w:rPr>
            </w:pPr>
            <w:r>
              <w:rPr>
                <w:rFonts w:eastAsiaTheme="minorEastAsia"/>
                <w:bCs/>
                <w:szCs w:val="21"/>
              </w:rPr>
              <w:t>0.0001</w:t>
            </w:r>
          </w:p>
        </w:tc>
      </w:tr>
    </w:tbl>
    <w:p>
      <w:pPr>
        <w:pStyle w:val="39"/>
        <w:ind w:firstLine="480"/>
        <w:rPr>
          <w:rFonts w:cs="Times New Roman"/>
        </w:rPr>
      </w:pPr>
      <w:r>
        <w:rPr>
          <w:rFonts w:cs="Times New Roman"/>
        </w:rPr>
        <w:t>表5.7-3  土壤环境质量现状监测统计表（T</w:t>
      </w:r>
      <w:r>
        <w:rPr>
          <w:rFonts w:hint="eastAsia" w:cs="Times New Roman"/>
        </w:rPr>
        <w:t>4</w:t>
      </w:r>
      <w:r>
        <w:rPr>
          <w:rFonts w:cs="Times New Roman"/>
        </w:rPr>
        <w:t>~T</w:t>
      </w:r>
      <w:r>
        <w:rPr>
          <w:rFonts w:hint="eastAsia" w:cs="Times New Roman"/>
        </w:rPr>
        <w:t>6</w:t>
      </w:r>
      <w:r>
        <w:rPr>
          <w:rFonts w:cs="Times New Roman"/>
        </w:rPr>
        <w:t>）  单位：mg/kg</w:t>
      </w:r>
    </w:p>
    <w:tbl>
      <w:tblPr>
        <w:tblStyle w:val="59"/>
        <w:tblW w:w="485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24"/>
        <w:gridCol w:w="1169"/>
        <w:gridCol w:w="2071"/>
        <w:gridCol w:w="1480"/>
        <w:gridCol w:w="1340"/>
        <w:gridCol w:w="925"/>
        <w:gridCol w:w="92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blHeader/>
          <w:jc w:val="center"/>
        </w:trPr>
        <w:tc>
          <w:tcPr>
            <w:tcW w:w="824" w:type="dxa"/>
            <w:vMerge w:val="restart"/>
            <w:vAlign w:val="center"/>
          </w:tcPr>
          <w:p>
            <w:pPr>
              <w:pStyle w:val="134"/>
              <w:rPr>
                <w:rFonts w:eastAsiaTheme="minorEastAsia"/>
                <w:bCs/>
                <w:szCs w:val="21"/>
              </w:rPr>
            </w:pPr>
            <w:r>
              <w:rPr>
                <w:rFonts w:eastAsiaTheme="minorEastAsia"/>
                <w:bCs/>
                <w:szCs w:val="21"/>
              </w:rPr>
              <w:t>序号</w:t>
            </w:r>
          </w:p>
        </w:tc>
        <w:tc>
          <w:tcPr>
            <w:tcW w:w="1169" w:type="dxa"/>
            <w:vMerge w:val="restart"/>
            <w:vAlign w:val="center"/>
          </w:tcPr>
          <w:p>
            <w:pPr>
              <w:pStyle w:val="134"/>
              <w:rPr>
                <w:rFonts w:eastAsiaTheme="minorEastAsia"/>
                <w:bCs/>
                <w:szCs w:val="21"/>
              </w:rPr>
            </w:pPr>
            <w:r>
              <w:rPr>
                <w:rFonts w:eastAsiaTheme="minorEastAsia"/>
                <w:bCs/>
                <w:szCs w:val="21"/>
              </w:rPr>
              <w:t>检测点位信息</w:t>
            </w:r>
          </w:p>
        </w:tc>
        <w:tc>
          <w:tcPr>
            <w:tcW w:w="2071" w:type="dxa"/>
            <w:vMerge w:val="restart"/>
            <w:vAlign w:val="center"/>
          </w:tcPr>
          <w:p>
            <w:pPr>
              <w:pStyle w:val="134"/>
              <w:rPr>
                <w:rFonts w:eastAsiaTheme="minorEastAsia"/>
                <w:bCs/>
                <w:szCs w:val="21"/>
              </w:rPr>
            </w:pPr>
            <w:r>
              <w:rPr>
                <w:rFonts w:eastAsiaTheme="minorEastAsia"/>
                <w:bCs/>
                <w:szCs w:val="21"/>
              </w:rPr>
              <w:t>检测项目</w:t>
            </w:r>
          </w:p>
        </w:tc>
        <w:tc>
          <w:tcPr>
            <w:tcW w:w="1480" w:type="dxa"/>
            <w:vMerge w:val="restart"/>
            <w:vAlign w:val="center"/>
          </w:tcPr>
          <w:p>
            <w:pPr>
              <w:pStyle w:val="134"/>
              <w:rPr>
                <w:rFonts w:eastAsiaTheme="minorEastAsia"/>
                <w:bCs/>
                <w:szCs w:val="21"/>
              </w:rPr>
            </w:pPr>
            <w:r>
              <w:rPr>
                <w:rFonts w:eastAsiaTheme="minorEastAsia"/>
                <w:bCs/>
                <w:szCs w:val="21"/>
              </w:rPr>
              <w:t>单位</w:t>
            </w:r>
          </w:p>
        </w:tc>
        <w:tc>
          <w:tcPr>
            <w:tcW w:w="1340" w:type="dxa"/>
            <w:vAlign w:val="center"/>
          </w:tcPr>
          <w:p>
            <w:pPr>
              <w:pStyle w:val="134"/>
              <w:rPr>
                <w:rFonts w:eastAsiaTheme="minorEastAsia"/>
                <w:bCs/>
                <w:szCs w:val="21"/>
              </w:rPr>
            </w:pPr>
            <w:r>
              <w:rPr>
                <w:rFonts w:eastAsiaTheme="minorEastAsia"/>
                <w:bCs/>
                <w:szCs w:val="21"/>
              </w:rPr>
              <w:t>检测结果</w:t>
            </w:r>
          </w:p>
        </w:tc>
        <w:tc>
          <w:tcPr>
            <w:tcW w:w="925" w:type="dxa"/>
            <w:vMerge w:val="restart"/>
            <w:vAlign w:val="center"/>
          </w:tcPr>
          <w:p>
            <w:pPr>
              <w:pStyle w:val="134"/>
              <w:rPr>
                <w:rFonts w:eastAsiaTheme="minorEastAsia"/>
                <w:bCs/>
                <w:szCs w:val="21"/>
              </w:rPr>
            </w:pPr>
            <w:r>
              <w:rPr>
                <w:rFonts w:eastAsiaTheme="minorEastAsia"/>
                <w:bCs/>
                <w:szCs w:val="21"/>
              </w:rPr>
              <w:t>标准限值</w:t>
            </w:r>
          </w:p>
        </w:tc>
        <w:tc>
          <w:tcPr>
            <w:tcW w:w="925" w:type="dxa"/>
            <w:vMerge w:val="restart"/>
            <w:vAlign w:val="center"/>
          </w:tcPr>
          <w:p>
            <w:pPr>
              <w:pStyle w:val="134"/>
              <w:rPr>
                <w:rFonts w:eastAsiaTheme="minorEastAsia"/>
                <w:bCs/>
                <w:szCs w:val="21"/>
              </w:rPr>
            </w:pPr>
            <w:r>
              <w:rPr>
                <w:rFonts w:eastAsiaTheme="minorEastAsia"/>
                <w:bCs/>
                <w:szCs w:val="21"/>
              </w:rPr>
              <w:t>S</w:t>
            </w:r>
            <w:r>
              <w:rPr>
                <w:rFonts w:eastAsiaTheme="minorEastAsia"/>
                <w:bCs/>
                <w:szCs w:val="21"/>
                <w:vertAlign w:val="subscript"/>
              </w:rPr>
              <w:t>i，j</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blHeader/>
          <w:jc w:val="center"/>
        </w:trPr>
        <w:tc>
          <w:tcPr>
            <w:tcW w:w="824" w:type="dxa"/>
            <w:vMerge w:val="continue"/>
            <w:vAlign w:val="center"/>
          </w:tcPr>
          <w:p>
            <w:pPr>
              <w:pStyle w:val="134"/>
              <w:rPr>
                <w:rFonts w:eastAsiaTheme="minorEastAsia"/>
                <w:bCs/>
                <w:szCs w:val="21"/>
              </w:rPr>
            </w:pPr>
          </w:p>
        </w:tc>
        <w:tc>
          <w:tcPr>
            <w:tcW w:w="1169" w:type="dxa"/>
            <w:vMerge w:val="continue"/>
            <w:vAlign w:val="center"/>
          </w:tcPr>
          <w:p>
            <w:pPr>
              <w:pStyle w:val="134"/>
              <w:rPr>
                <w:rFonts w:eastAsiaTheme="minorEastAsia"/>
                <w:bCs/>
                <w:szCs w:val="21"/>
              </w:rPr>
            </w:pPr>
          </w:p>
        </w:tc>
        <w:tc>
          <w:tcPr>
            <w:tcW w:w="2071" w:type="dxa"/>
            <w:vMerge w:val="continue"/>
            <w:vAlign w:val="center"/>
          </w:tcPr>
          <w:p>
            <w:pPr>
              <w:pStyle w:val="134"/>
              <w:rPr>
                <w:rFonts w:eastAsiaTheme="minorEastAsia"/>
                <w:bCs/>
                <w:szCs w:val="21"/>
              </w:rPr>
            </w:pPr>
          </w:p>
        </w:tc>
        <w:tc>
          <w:tcPr>
            <w:tcW w:w="1480" w:type="dxa"/>
            <w:vMerge w:val="continue"/>
            <w:vAlign w:val="center"/>
          </w:tcPr>
          <w:p>
            <w:pPr>
              <w:pStyle w:val="134"/>
              <w:rPr>
                <w:rFonts w:eastAsiaTheme="minorEastAsia"/>
                <w:bCs/>
                <w:szCs w:val="21"/>
              </w:rPr>
            </w:pPr>
          </w:p>
        </w:tc>
        <w:tc>
          <w:tcPr>
            <w:tcW w:w="1340" w:type="dxa"/>
            <w:vAlign w:val="center"/>
          </w:tcPr>
          <w:p>
            <w:pPr>
              <w:pStyle w:val="134"/>
              <w:rPr>
                <w:rFonts w:eastAsiaTheme="minorEastAsia"/>
                <w:bCs/>
                <w:szCs w:val="21"/>
              </w:rPr>
            </w:pPr>
            <w:r>
              <w:rPr>
                <w:rFonts w:eastAsiaTheme="minorEastAsia"/>
                <w:bCs/>
                <w:szCs w:val="21"/>
              </w:rPr>
              <w:t>0~0.2m</w:t>
            </w:r>
          </w:p>
        </w:tc>
        <w:tc>
          <w:tcPr>
            <w:tcW w:w="925" w:type="dxa"/>
            <w:vMerge w:val="continue"/>
            <w:vAlign w:val="center"/>
          </w:tcPr>
          <w:p>
            <w:pPr>
              <w:pStyle w:val="134"/>
              <w:rPr>
                <w:rFonts w:eastAsiaTheme="minorEastAsia"/>
                <w:bCs/>
                <w:szCs w:val="21"/>
              </w:rPr>
            </w:pPr>
          </w:p>
        </w:tc>
        <w:tc>
          <w:tcPr>
            <w:tcW w:w="925" w:type="dxa"/>
            <w:vMerge w:val="continue"/>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1</w:t>
            </w:r>
          </w:p>
        </w:tc>
        <w:tc>
          <w:tcPr>
            <w:tcW w:w="1169" w:type="dxa"/>
            <w:vMerge w:val="restart"/>
            <w:vAlign w:val="center"/>
          </w:tcPr>
          <w:p>
            <w:pPr>
              <w:pStyle w:val="134"/>
              <w:rPr>
                <w:rFonts w:eastAsiaTheme="minorEastAsia"/>
                <w:bCs/>
                <w:szCs w:val="21"/>
              </w:rPr>
            </w:pPr>
            <w:r>
              <w:rPr>
                <w:rFonts w:eastAsiaTheme="minorEastAsia"/>
                <w:bCs/>
                <w:szCs w:val="21"/>
              </w:rPr>
              <w:t>4#泥浆储备罐占地范围内距场界约10m处</w:t>
            </w:r>
          </w:p>
        </w:tc>
        <w:tc>
          <w:tcPr>
            <w:tcW w:w="2071" w:type="dxa"/>
            <w:vAlign w:val="center"/>
          </w:tcPr>
          <w:p>
            <w:pPr>
              <w:pStyle w:val="134"/>
              <w:rPr>
                <w:rFonts w:eastAsiaTheme="minorEastAsia"/>
                <w:bCs/>
                <w:szCs w:val="21"/>
              </w:rPr>
            </w:pPr>
            <w:r>
              <w:rPr>
                <w:rFonts w:eastAsiaTheme="minorEastAsia"/>
                <w:bCs/>
                <w:szCs w:val="21"/>
              </w:rPr>
              <w:t>pH</w:t>
            </w:r>
          </w:p>
        </w:tc>
        <w:tc>
          <w:tcPr>
            <w:tcW w:w="1480" w:type="dxa"/>
            <w:vAlign w:val="center"/>
          </w:tcPr>
          <w:p>
            <w:pPr>
              <w:pStyle w:val="134"/>
              <w:rPr>
                <w:rFonts w:eastAsiaTheme="minorEastAsia"/>
                <w:bCs/>
                <w:szCs w:val="21"/>
              </w:rPr>
            </w:pPr>
            <w:r>
              <w:rPr>
                <w:rFonts w:eastAsiaTheme="minorEastAsia"/>
                <w:bCs/>
                <w:szCs w:val="21"/>
              </w:rPr>
              <w:t>无量纲</w:t>
            </w:r>
          </w:p>
        </w:tc>
        <w:tc>
          <w:tcPr>
            <w:tcW w:w="1340" w:type="dxa"/>
            <w:vAlign w:val="center"/>
          </w:tcPr>
          <w:p>
            <w:pPr>
              <w:pStyle w:val="134"/>
              <w:rPr>
                <w:rFonts w:eastAsiaTheme="minorEastAsia"/>
                <w:bCs/>
                <w:szCs w:val="21"/>
              </w:rPr>
            </w:pPr>
            <w:r>
              <w:rPr>
                <w:rFonts w:eastAsiaTheme="minorEastAsia"/>
                <w:bCs/>
                <w:szCs w:val="21"/>
              </w:rPr>
              <w:t>8.00</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2</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硫化物</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0.93</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3</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石油烃（C10-C40）</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17</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4</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六价铬</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5</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砷</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4.90</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6</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汞</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1.30</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7</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镉</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0.64</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8</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br w:type="page"/>
            </w:r>
            <w:r>
              <w:rPr>
                <w:rFonts w:eastAsiaTheme="minorEastAsia"/>
                <w:bCs/>
                <w:szCs w:val="21"/>
              </w:rPr>
              <w:t>铅</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42</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9</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铜</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42</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10</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镍</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54</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11</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四氯化碳</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12</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氯仿</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13</w:t>
            </w:r>
          </w:p>
        </w:tc>
        <w:tc>
          <w:tcPr>
            <w:tcW w:w="1169" w:type="dxa"/>
            <w:vMerge w:val="restart"/>
            <w:vAlign w:val="center"/>
          </w:tcPr>
          <w:p>
            <w:pPr>
              <w:pStyle w:val="134"/>
              <w:rPr>
                <w:rFonts w:eastAsiaTheme="minorEastAsia"/>
                <w:bCs/>
                <w:szCs w:val="21"/>
              </w:rPr>
            </w:pPr>
            <w:r>
              <w:rPr>
                <w:rFonts w:eastAsiaTheme="minorEastAsia"/>
                <w:bCs/>
                <w:szCs w:val="21"/>
              </w:rPr>
              <w:t>4#泥浆储备罐占地范围内距场界约10m处</w:t>
            </w:r>
          </w:p>
        </w:tc>
        <w:tc>
          <w:tcPr>
            <w:tcW w:w="2071" w:type="dxa"/>
            <w:vAlign w:val="center"/>
          </w:tcPr>
          <w:p>
            <w:pPr>
              <w:pStyle w:val="134"/>
              <w:rPr>
                <w:rFonts w:eastAsiaTheme="minorEastAsia"/>
                <w:bCs/>
                <w:szCs w:val="21"/>
              </w:rPr>
            </w:pPr>
            <w:r>
              <w:rPr>
                <w:rFonts w:eastAsiaTheme="minorEastAsia"/>
                <w:bCs/>
                <w:szCs w:val="21"/>
              </w:rPr>
              <w:t>氯甲烷</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14</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1,1-二氯乙烷</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15</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1,2-二氯乙烷</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16</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1,1-二氯乙烯</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17</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顺式-1,2-二氯乙烯</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18</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反式-1,2-二氯乙烯</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19</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二氯甲烷</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20</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1,2-二氯丙烷</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21</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1,1,1,2-四氯乙烷</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22</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1,1,2,2-四氯乙烷</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23</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四氯乙烯</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24</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1,1,1-三氯乙烷</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25</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1,1,2-三氯乙烷</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26</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三氯乙烯</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27</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1,2,3,-三氯丙烷</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28</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氯乙烯</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29</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苯</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30</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氯苯</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31</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1,2-二氯苯</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32</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1,4-二氯苯</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33</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乙苯</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34</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苯乙烯</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35</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甲苯</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36</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间，对-二甲苯</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37</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邻二甲苯</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38</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苯胺</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39</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硝基苯</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40</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2-氯苯酚</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41</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苯并[a]蒽</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42</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苯并[a]芘</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43</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苯并[b]荧蒽</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44</w:t>
            </w:r>
          </w:p>
        </w:tc>
        <w:tc>
          <w:tcPr>
            <w:tcW w:w="1169" w:type="dxa"/>
            <w:vMerge w:val="restart"/>
            <w:vAlign w:val="center"/>
          </w:tcPr>
          <w:p>
            <w:pPr>
              <w:pStyle w:val="134"/>
              <w:rPr>
                <w:rFonts w:eastAsiaTheme="minorEastAsia"/>
                <w:bCs/>
                <w:szCs w:val="21"/>
              </w:rPr>
            </w:pPr>
            <w:r>
              <w:rPr>
                <w:rFonts w:eastAsiaTheme="minorEastAsia"/>
                <w:bCs/>
                <w:szCs w:val="21"/>
              </w:rPr>
              <w:t>4#泥浆储备罐占地范围内距场界约10m处</w:t>
            </w:r>
          </w:p>
        </w:tc>
        <w:tc>
          <w:tcPr>
            <w:tcW w:w="2071" w:type="dxa"/>
            <w:vAlign w:val="center"/>
          </w:tcPr>
          <w:p>
            <w:pPr>
              <w:pStyle w:val="134"/>
              <w:rPr>
                <w:rFonts w:eastAsiaTheme="minorEastAsia"/>
                <w:bCs/>
                <w:szCs w:val="21"/>
              </w:rPr>
            </w:pPr>
            <w:r>
              <w:rPr>
                <w:rFonts w:eastAsiaTheme="minorEastAsia"/>
                <w:bCs/>
                <w:szCs w:val="21"/>
              </w:rPr>
              <w:t>苯并[k]荧蒽</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45</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䓛</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46</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二苯并[a,h]蒽</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47</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茚并[1,2,3-cd]芘</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48</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萘</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未检出</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49</w:t>
            </w:r>
          </w:p>
        </w:tc>
        <w:tc>
          <w:tcPr>
            <w:tcW w:w="1169" w:type="dxa"/>
            <w:vMerge w:val="restart"/>
            <w:vAlign w:val="center"/>
          </w:tcPr>
          <w:p>
            <w:pPr>
              <w:pStyle w:val="134"/>
              <w:rPr>
                <w:rFonts w:eastAsiaTheme="minorEastAsia"/>
                <w:bCs/>
                <w:szCs w:val="21"/>
              </w:rPr>
            </w:pPr>
            <w:r>
              <w:rPr>
                <w:rFonts w:eastAsiaTheme="minorEastAsia"/>
                <w:bCs/>
                <w:szCs w:val="21"/>
              </w:rPr>
              <w:t>5#井场占地范围外东南侧距项目地约10m处</w:t>
            </w:r>
          </w:p>
        </w:tc>
        <w:tc>
          <w:tcPr>
            <w:tcW w:w="2071" w:type="dxa"/>
            <w:vAlign w:val="center"/>
          </w:tcPr>
          <w:p>
            <w:pPr>
              <w:pStyle w:val="134"/>
              <w:rPr>
                <w:rFonts w:eastAsiaTheme="minorEastAsia"/>
                <w:bCs/>
                <w:szCs w:val="21"/>
              </w:rPr>
            </w:pPr>
            <w:r>
              <w:rPr>
                <w:rFonts w:eastAsiaTheme="minorEastAsia"/>
                <w:bCs/>
                <w:szCs w:val="21"/>
              </w:rPr>
              <w:t>pH</w:t>
            </w:r>
          </w:p>
        </w:tc>
        <w:tc>
          <w:tcPr>
            <w:tcW w:w="1480" w:type="dxa"/>
            <w:vAlign w:val="center"/>
          </w:tcPr>
          <w:p>
            <w:pPr>
              <w:pStyle w:val="134"/>
              <w:rPr>
                <w:rFonts w:eastAsiaTheme="minorEastAsia"/>
                <w:bCs/>
                <w:szCs w:val="21"/>
              </w:rPr>
            </w:pPr>
            <w:r>
              <w:rPr>
                <w:rFonts w:eastAsiaTheme="minorEastAsia"/>
                <w:bCs/>
                <w:szCs w:val="21"/>
              </w:rPr>
              <w:t>无量纲</w:t>
            </w:r>
          </w:p>
        </w:tc>
        <w:tc>
          <w:tcPr>
            <w:tcW w:w="1340" w:type="dxa"/>
            <w:vAlign w:val="center"/>
          </w:tcPr>
          <w:p>
            <w:pPr>
              <w:pStyle w:val="134"/>
              <w:rPr>
                <w:rFonts w:eastAsiaTheme="minorEastAsia"/>
                <w:bCs/>
                <w:szCs w:val="21"/>
              </w:rPr>
            </w:pPr>
            <w:r>
              <w:rPr>
                <w:rFonts w:eastAsiaTheme="minorEastAsia"/>
                <w:bCs/>
                <w:szCs w:val="21"/>
              </w:rPr>
              <w:t>8.04</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50</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硫化物</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0.82</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51</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石油烃（C10-C40）</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45</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52</w:t>
            </w:r>
          </w:p>
        </w:tc>
        <w:tc>
          <w:tcPr>
            <w:tcW w:w="1169" w:type="dxa"/>
            <w:vMerge w:val="restart"/>
            <w:vAlign w:val="center"/>
          </w:tcPr>
          <w:p>
            <w:pPr>
              <w:pStyle w:val="134"/>
              <w:rPr>
                <w:rFonts w:eastAsiaTheme="minorEastAsia"/>
                <w:bCs/>
                <w:szCs w:val="21"/>
              </w:rPr>
            </w:pPr>
            <w:r>
              <w:rPr>
                <w:rFonts w:eastAsiaTheme="minorEastAsia"/>
                <w:bCs/>
                <w:szCs w:val="21"/>
              </w:rPr>
              <w:t>6#井场占地范围外东侧距项目地约12m处</w:t>
            </w:r>
          </w:p>
        </w:tc>
        <w:tc>
          <w:tcPr>
            <w:tcW w:w="2071" w:type="dxa"/>
            <w:vAlign w:val="center"/>
          </w:tcPr>
          <w:p>
            <w:pPr>
              <w:pStyle w:val="134"/>
              <w:rPr>
                <w:rFonts w:eastAsiaTheme="minorEastAsia"/>
                <w:bCs/>
                <w:szCs w:val="21"/>
              </w:rPr>
            </w:pPr>
            <w:r>
              <w:rPr>
                <w:rFonts w:eastAsiaTheme="minorEastAsia"/>
                <w:bCs/>
                <w:szCs w:val="21"/>
              </w:rPr>
              <w:t>pH</w:t>
            </w:r>
          </w:p>
        </w:tc>
        <w:tc>
          <w:tcPr>
            <w:tcW w:w="1480" w:type="dxa"/>
            <w:vAlign w:val="center"/>
          </w:tcPr>
          <w:p>
            <w:pPr>
              <w:pStyle w:val="134"/>
              <w:rPr>
                <w:rFonts w:eastAsiaTheme="minorEastAsia"/>
                <w:bCs/>
                <w:szCs w:val="21"/>
              </w:rPr>
            </w:pPr>
            <w:r>
              <w:rPr>
                <w:rFonts w:eastAsiaTheme="minorEastAsia"/>
                <w:bCs/>
                <w:szCs w:val="21"/>
              </w:rPr>
              <w:t>无量纲</w:t>
            </w:r>
          </w:p>
        </w:tc>
        <w:tc>
          <w:tcPr>
            <w:tcW w:w="1340" w:type="dxa"/>
            <w:vAlign w:val="center"/>
          </w:tcPr>
          <w:p>
            <w:pPr>
              <w:pStyle w:val="134"/>
              <w:rPr>
                <w:rFonts w:eastAsiaTheme="minorEastAsia"/>
                <w:bCs/>
                <w:szCs w:val="21"/>
              </w:rPr>
            </w:pPr>
            <w:r>
              <w:rPr>
                <w:rFonts w:eastAsiaTheme="minorEastAsia"/>
                <w:bCs/>
                <w:szCs w:val="21"/>
              </w:rPr>
              <w:t>7.88</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53</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硫化物</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0.78</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54</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石油烃（C10-C40）</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66</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55</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砷</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2.30</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56</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汞</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1.58</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57</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镉</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0.64</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58</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铅</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70</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59</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铬</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22</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60</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铜</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42</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61</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镍</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58</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24" w:type="dxa"/>
            <w:vAlign w:val="center"/>
          </w:tcPr>
          <w:p>
            <w:pPr>
              <w:pStyle w:val="134"/>
              <w:rPr>
                <w:rFonts w:eastAsiaTheme="minorEastAsia"/>
                <w:bCs/>
                <w:szCs w:val="21"/>
              </w:rPr>
            </w:pPr>
            <w:r>
              <w:rPr>
                <w:rFonts w:hint="eastAsia" w:eastAsiaTheme="minorEastAsia"/>
                <w:bCs/>
                <w:szCs w:val="21"/>
              </w:rPr>
              <w:t>62</w:t>
            </w:r>
          </w:p>
        </w:tc>
        <w:tc>
          <w:tcPr>
            <w:tcW w:w="1169" w:type="dxa"/>
            <w:vMerge w:val="continue"/>
            <w:vAlign w:val="center"/>
          </w:tcPr>
          <w:p>
            <w:pPr>
              <w:pStyle w:val="134"/>
              <w:rPr>
                <w:rFonts w:eastAsiaTheme="minorEastAsia"/>
                <w:bCs/>
                <w:szCs w:val="21"/>
              </w:rPr>
            </w:pPr>
          </w:p>
        </w:tc>
        <w:tc>
          <w:tcPr>
            <w:tcW w:w="2071" w:type="dxa"/>
            <w:vAlign w:val="center"/>
          </w:tcPr>
          <w:p>
            <w:pPr>
              <w:pStyle w:val="134"/>
              <w:rPr>
                <w:rFonts w:eastAsiaTheme="minorEastAsia"/>
                <w:bCs/>
                <w:szCs w:val="21"/>
              </w:rPr>
            </w:pPr>
            <w:r>
              <w:rPr>
                <w:rFonts w:eastAsiaTheme="minorEastAsia"/>
                <w:bCs/>
                <w:szCs w:val="21"/>
              </w:rPr>
              <w:t>锌</w:t>
            </w:r>
          </w:p>
        </w:tc>
        <w:tc>
          <w:tcPr>
            <w:tcW w:w="1480" w:type="dxa"/>
            <w:vAlign w:val="center"/>
          </w:tcPr>
          <w:p>
            <w:pPr>
              <w:pStyle w:val="134"/>
              <w:rPr>
                <w:rFonts w:eastAsiaTheme="minorEastAsia"/>
                <w:bCs/>
                <w:szCs w:val="21"/>
              </w:rPr>
            </w:pPr>
            <w:r>
              <w:rPr>
                <w:rFonts w:eastAsiaTheme="minorEastAsia"/>
                <w:bCs/>
                <w:szCs w:val="21"/>
              </w:rPr>
              <w:t>mg/kg</w:t>
            </w:r>
          </w:p>
        </w:tc>
        <w:tc>
          <w:tcPr>
            <w:tcW w:w="1340" w:type="dxa"/>
            <w:vAlign w:val="center"/>
          </w:tcPr>
          <w:p>
            <w:pPr>
              <w:pStyle w:val="134"/>
              <w:rPr>
                <w:rFonts w:eastAsiaTheme="minorEastAsia"/>
                <w:bCs/>
                <w:szCs w:val="21"/>
              </w:rPr>
            </w:pPr>
            <w:r>
              <w:rPr>
                <w:rFonts w:eastAsiaTheme="minorEastAsia"/>
                <w:bCs/>
                <w:szCs w:val="21"/>
              </w:rPr>
              <w:t>156</w:t>
            </w:r>
          </w:p>
        </w:tc>
        <w:tc>
          <w:tcPr>
            <w:tcW w:w="925" w:type="dxa"/>
            <w:vAlign w:val="center"/>
          </w:tcPr>
          <w:p>
            <w:pPr>
              <w:pStyle w:val="134"/>
              <w:rPr>
                <w:rFonts w:eastAsiaTheme="minorEastAsia"/>
                <w:bCs/>
                <w:szCs w:val="21"/>
              </w:rPr>
            </w:pPr>
          </w:p>
        </w:tc>
        <w:tc>
          <w:tcPr>
            <w:tcW w:w="925" w:type="dxa"/>
            <w:vAlign w:val="center"/>
          </w:tcPr>
          <w:p>
            <w:pPr>
              <w:pStyle w:val="134"/>
              <w:rPr>
                <w:rFonts w:eastAsiaTheme="minorEastAsia"/>
                <w:bCs/>
                <w:szCs w:val="21"/>
              </w:rPr>
            </w:pPr>
          </w:p>
        </w:tc>
      </w:tr>
    </w:tbl>
    <w:p>
      <w:pPr>
        <w:pStyle w:val="114"/>
        <w:ind w:firstLine="480"/>
      </w:pPr>
      <w:r>
        <w:t>监测结果表明：项目站场内土壤中各项监测指标均符合《土壤环境质量 建设用地土壤污染风险管控标准（试行）》（GB 36600-2018）中风险筛选值；站场周边耕地土壤环境质量良好，各因子均满足《土壤环境质量 农用地土壤污染风险管控标准（试行）》（GB-15618-2018）中农用地土壤污染风险筛选值。土壤环境质量良好。</w:t>
      </w:r>
    </w:p>
    <w:p>
      <w:pPr>
        <w:pStyle w:val="114"/>
        <w:ind w:firstLine="480"/>
        <w:sectPr>
          <w:headerReference r:id="rId28" w:type="first"/>
          <w:footerReference r:id="rId31" w:type="first"/>
          <w:headerReference r:id="rId26" w:type="default"/>
          <w:footerReference r:id="rId29" w:type="default"/>
          <w:headerReference r:id="rId27" w:type="even"/>
          <w:footerReference r:id="rId30" w:type="even"/>
          <w:pgSz w:w="11906" w:h="16838"/>
          <w:pgMar w:top="1417" w:right="1417" w:bottom="1417" w:left="1701" w:header="851" w:footer="992" w:gutter="0"/>
          <w:pgBorders>
            <w:top w:val="none" w:sz="0" w:space="0"/>
            <w:left w:val="none" w:sz="0" w:space="0"/>
            <w:bottom w:val="none" w:sz="0" w:space="0"/>
            <w:right w:val="none" w:sz="0" w:space="0"/>
          </w:pgBorders>
          <w:cols w:space="425" w:num="1"/>
          <w:docGrid w:type="lines" w:linePitch="312" w:charSpace="0"/>
        </w:sectPr>
      </w:pPr>
    </w:p>
    <w:p>
      <w:pPr>
        <w:pStyle w:val="2"/>
        <w:spacing w:before="0" w:beforeAutospacing="0" w:after="0" w:afterAutospacing="0"/>
        <w:rPr>
          <w:rFonts w:eastAsia="宋体"/>
        </w:rPr>
      </w:pPr>
      <w:bookmarkStart w:id="442" w:name="_Toc24252"/>
      <w:bookmarkStart w:id="443" w:name="_Toc19816043"/>
      <w:bookmarkStart w:id="444" w:name="_Toc12288617"/>
      <w:r>
        <w:rPr>
          <w:rFonts w:eastAsia="宋体"/>
        </w:rPr>
        <w:t>6 环境影响预测与评价</w:t>
      </w:r>
      <w:bookmarkEnd w:id="442"/>
      <w:bookmarkEnd w:id="443"/>
      <w:bookmarkEnd w:id="444"/>
    </w:p>
    <w:p>
      <w:pPr>
        <w:pStyle w:val="114"/>
        <w:ind w:firstLine="480"/>
      </w:pPr>
      <w:bookmarkStart w:id="445" w:name="bookmark40"/>
      <w:bookmarkEnd w:id="445"/>
      <w:bookmarkStart w:id="446" w:name="_Toc19816044"/>
      <w:bookmarkStart w:id="447" w:name="_Toc12288618"/>
      <w:r>
        <w:rPr>
          <w:rFonts w:hint="eastAsia"/>
        </w:rPr>
        <w:t>本次评价</w:t>
      </w:r>
      <w:r>
        <w:t>生态环境调查采用资料复用及现场调查相结合的方法，主要通过收集项目所在行政区域已有的林、水、渔、国土等有关的陆地野生动植物资源、重要水生物资源、生态功能区划、敏感生态保护目标、土地资源利用等可以反映生态现状或背景的资料并对项目通过区域实际踏勘、核实收集资料的准确性。</w:t>
      </w:r>
    </w:p>
    <w:p>
      <w:pPr>
        <w:pStyle w:val="3"/>
        <w:spacing w:before="120"/>
        <w:rPr>
          <w:rFonts w:cs="Times New Roman"/>
        </w:rPr>
      </w:pPr>
      <w:bookmarkStart w:id="448" w:name="_Toc20507"/>
      <w:r>
        <w:rPr>
          <w:rFonts w:cs="Times New Roman"/>
        </w:rPr>
        <w:t>6.1 施工期环境影响预测及评价</w:t>
      </w:r>
      <w:bookmarkEnd w:id="448"/>
    </w:p>
    <w:p>
      <w:pPr>
        <w:pStyle w:val="4"/>
        <w:rPr>
          <w:rFonts w:eastAsia="宋体"/>
        </w:rPr>
      </w:pPr>
      <w:r>
        <w:rPr>
          <w:rFonts w:eastAsia="宋体"/>
        </w:rPr>
        <w:t>6.1.1 施工期生态影响分析</w:t>
      </w:r>
    </w:p>
    <w:p>
      <w:pPr>
        <w:pStyle w:val="114"/>
        <w:ind w:firstLine="480"/>
        <w:rPr>
          <w:rStyle w:val="63"/>
          <w:b w:val="0"/>
          <w:bCs w:val="0"/>
          <w:spacing w:val="0"/>
          <w:position w:val="0"/>
          <w:sz w:val="24"/>
        </w:rPr>
      </w:pPr>
      <w:r>
        <w:t>本项目对生态环境的影响主要表现为</w:t>
      </w:r>
      <w:r>
        <w:rPr>
          <w:rFonts w:hint="eastAsia"/>
        </w:rPr>
        <w:t>储备罐基础</w:t>
      </w:r>
      <w:r>
        <w:t>施工等工程活动占用土地导致临时改变土地利用性质、对地表植被的破坏、对土壤环境的破坏等，即打破了地表的原有平衡状态。若恢复治理措施不当，土壤的每一个新剖面，都可能形成新的侵蚀起点，从而加重当地的水土流失，并影响农业生产，使当地农民的收入受到一定的损失。</w:t>
      </w:r>
    </w:p>
    <w:p>
      <w:pPr>
        <w:pStyle w:val="114"/>
        <w:ind w:firstLine="482"/>
        <w:rPr>
          <w:rStyle w:val="63"/>
          <w:spacing w:val="0"/>
          <w:position w:val="0"/>
          <w:sz w:val="24"/>
        </w:rPr>
      </w:pPr>
      <w:r>
        <w:rPr>
          <w:rStyle w:val="63"/>
          <w:spacing w:val="0"/>
          <w:position w:val="0"/>
          <w:sz w:val="24"/>
        </w:rPr>
        <w:t>1、</w:t>
      </w:r>
      <w:bookmarkEnd w:id="446"/>
      <w:bookmarkEnd w:id="447"/>
      <w:bookmarkStart w:id="449" w:name="_Toc12288641"/>
      <w:bookmarkStart w:id="450" w:name="_Toc19816048"/>
      <w:r>
        <w:rPr>
          <w:rStyle w:val="63"/>
          <w:spacing w:val="0"/>
          <w:position w:val="0"/>
          <w:sz w:val="24"/>
        </w:rPr>
        <w:t>工程占地影响分析</w:t>
      </w:r>
    </w:p>
    <w:p>
      <w:pPr>
        <w:pStyle w:val="114"/>
        <w:ind w:firstLine="480"/>
      </w:pPr>
      <w:r>
        <w:t>①临时占地情况</w:t>
      </w:r>
    </w:p>
    <w:p>
      <w:pPr>
        <w:pStyle w:val="114"/>
        <w:ind w:firstLine="480"/>
      </w:pPr>
      <w:r>
        <w:t>本项目</w:t>
      </w:r>
      <w:r>
        <w:rPr>
          <w:rFonts w:hint="eastAsia"/>
        </w:rPr>
        <w:t>主要</w:t>
      </w:r>
      <w:r>
        <w:t>依托P108集气站已建场地，</w:t>
      </w:r>
      <w:r>
        <w:rPr>
          <w:rFonts w:hint="eastAsia"/>
        </w:rPr>
        <w:t>原P108-1T</w:t>
      </w:r>
      <w:r>
        <w:t>井</w:t>
      </w:r>
      <w:r>
        <w:rPr>
          <w:rFonts w:hint="eastAsia"/>
        </w:rPr>
        <w:t>占地</w:t>
      </w:r>
      <w:r>
        <w:t>面积为</w:t>
      </w:r>
      <w:r>
        <w:rPr>
          <w:rFonts w:hint="eastAsia"/>
        </w:rPr>
        <w:t>18475</w:t>
      </w:r>
      <w:r>
        <w:rPr>
          <w:bCs/>
        </w:rPr>
        <w:t>m</w:t>
      </w:r>
      <w:r>
        <w:rPr>
          <w:bCs/>
          <w:vertAlign w:val="superscript"/>
        </w:rPr>
        <w:t>2</w:t>
      </w:r>
      <w:r>
        <w:t>，</w:t>
      </w:r>
      <w:r>
        <w:rPr>
          <w:rFonts w:hint="eastAsia"/>
        </w:rPr>
        <w:t>本项目</w:t>
      </w:r>
      <w:r>
        <w:t>临时占地</w:t>
      </w:r>
      <w:r>
        <w:rPr>
          <w:rFonts w:hint="eastAsia"/>
        </w:rPr>
        <w:t>部分将</w:t>
      </w:r>
      <w:r>
        <w:t>占用永久基本农田，</w:t>
      </w:r>
      <w:r>
        <w:rPr>
          <w:rFonts w:hint="eastAsia"/>
        </w:rPr>
        <w:t>建设单位按照相关要求办理临时用地手续，</w:t>
      </w:r>
      <w:r>
        <w:t>符合基本农田保护相关规范及要求。</w:t>
      </w:r>
    </w:p>
    <w:p>
      <w:pPr>
        <w:pStyle w:val="6"/>
        <w:ind w:firstLine="480"/>
        <w:rPr>
          <w:rFonts w:ascii="Times New Roman" w:cs="Times New Roman"/>
          <w:bCs/>
        </w:rPr>
      </w:pPr>
      <w:r>
        <w:rPr>
          <w:rFonts w:ascii="Times New Roman" w:cs="Times New Roman"/>
          <w:bCs/>
        </w:rPr>
        <w:t>②占地影响分析</w:t>
      </w:r>
    </w:p>
    <w:p>
      <w:pPr>
        <w:pStyle w:val="6"/>
        <w:ind w:firstLine="480"/>
        <w:rPr>
          <w:rFonts w:ascii="Times New Roman" w:cs="Times New Roman"/>
          <w:bCs/>
        </w:rPr>
      </w:pPr>
      <w:r>
        <w:rPr>
          <w:rFonts w:ascii="Times New Roman" w:cs="Times New Roman"/>
          <w:bCs/>
        </w:rPr>
        <w:t>由于本项目临时占用土地类型的面积很小，不会对当地土地利用产生较大影响。项目建设前，建设单位应向项目所在地区的国土部门提出工程用地申请，得到主管部门的批复后方可动工；建设单位要与地方政府及有关职能部门积极协调，在施工前认真落实地方有关征地补偿手续及其费用，配合地方政府解决工程项目所在扰动区域内的土地占补平衡问题；同时在施工和运行期间要落实本报告书中的有关环境保护措施，将工程占地对项目所在地区土地利用的影响到最小。</w:t>
      </w:r>
    </w:p>
    <w:p>
      <w:pPr>
        <w:pStyle w:val="114"/>
        <w:ind w:firstLine="482"/>
        <w:rPr>
          <w:b/>
        </w:rPr>
      </w:pPr>
      <w:r>
        <w:rPr>
          <w:b/>
        </w:rPr>
        <w:t>2、主要工程活动对生态环境的影响分析</w:t>
      </w:r>
    </w:p>
    <w:p>
      <w:pPr>
        <w:pStyle w:val="114"/>
        <w:ind w:firstLine="480"/>
      </w:pPr>
      <w:r>
        <w:t>项目</w:t>
      </w:r>
      <w:r>
        <w:rPr>
          <w:rFonts w:hint="eastAsia"/>
        </w:rPr>
        <w:t>储备罐基础建设</w:t>
      </w:r>
      <w:r>
        <w:t>要挖填土石方，必将破坏地表植被，改变土壤结构，取土及弃土施工方式或措施选用不当，易引发水土流失、滑坡、塌陷、泥石流等自然灾害。</w:t>
      </w:r>
    </w:p>
    <w:p>
      <w:pPr>
        <w:pStyle w:val="114"/>
        <w:ind w:firstLine="482"/>
        <w:rPr>
          <w:b/>
          <w:bCs/>
        </w:rPr>
      </w:pPr>
      <w:r>
        <w:rPr>
          <w:b/>
          <w:bCs/>
        </w:rPr>
        <w:t>3、对陆生植物的影响分析</w:t>
      </w:r>
    </w:p>
    <w:p>
      <w:pPr>
        <w:pStyle w:val="114"/>
        <w:ind w:firstLine="480"/>
      </w:pPr>
      <w:r>
        <w:t>评价区内的植物都是区域内分布广泛的常见种和广布种。工程施工会消除施工区内的植物个体，使相关种类的个体数量减少，但受影响的个体数量非常有限，工程建设不会造成相关区域植物种群数量的明显改变，不会造成植物种类的减少和植物区系的改变。工程运行期间，不会对植物资源造成任何影响。本项目土壤影响范围内（200m范围）分布有公益林，建议施工期对本项目200m范围的公益林进行保护</w:t>
      </w:r>
      <w:r>
        <w:rPr>
          <w:bCs/>
          <w:szCs w:val="24"/>
        </w:rPr>
        <w:t>（如：封山育林、人工造林等）</w:t>
      </w:r>
      <w:r>
        <w:t>，防止施工期对公益林的扰动。</w:t>
      </w:r>
    </w:p>
    <w:p>
      <w:pPr>
        <w:pStyle w:val="114"/>
        <w:ind w:firstLine="480"/>
      </w:pPr>
      <w:r>
        <w:rPr>
          <w:rFonts w:hint="eastAsia"/>
        </w:rPr>
        <w:t>储备罐基础</w:t>
      </w:r>
      <w:r>
        <w:t>施工期间一次性的干扰和破坏将影响植物的生长和物种多样性。土石回填后，周围植物渐次侵入，植被开始恢复。根据生态学观点</w:t>
      </w:r>
      <w:r>
        <w:rPr>
          <w:rFonts w:hint="eastAsia"/>
        </w:rPr>
        <w:t>，</w:t>
      </w:r>
      <w:r>
        <w:t>施工过程是对植被及其生态系统的一次性扰动，这种扰动一旦结束，则由施工形成的次生裸地便开始向顶级植物群落方向演替。</w:t>
      </w:r>
    </w:p>
    <w:p>
      <w:pPr>
        <w:pStyle w:val="114"/>
        <w:ind w:firstLine="480"/>
      </w:pPr>
      <w:r>
        <w:t>按照生态学理论，站场周围的植被破坏具有暂时性，一般将随施工完成而终止。根据站场所经地区的土壤、气候等自然条件分析，施工结束后，周围植物渐次侵入，开始恢复演替过程。要恢复植被覆盖，草本最先进入，可能需要1～2年，灌木侵入需要5～10年。采用人工植树种草的措施，可以加快恢复进程，2～3年恢复草本植被，3～5年恢复灌木植被，10～15年恢复乔木植被。但是，恢复的含义并非是完全恢复原施工前的植被种类组成和相对数量比例，而只是恢复至种类组成近似，物种多样性指数值近似的状态，但仍有所降低。</w:t>
      </w:r>
    </w:p>
    <w:p>
      <w:pPr>
        <w:pStyle w:val="114"/>
        <w:ind w:firstLine="480"/>
      </w:pPr>
      <w:r>
        <w:rPr>
          <w:rFonts w:hint="eastAsia"/>
        </w:rPr>
        <w:t>储备罐基础</w:t>
      </w:r>
      <w:r>
        <w:t>施工确实对该区域植被造成一定的影响，但总体上不会使评价区内植物群落的种类组成发生变化，也不会造成某一植物种的消失，对区域植被稳定性的破坏较小。首先，本项目站场周围所在地林区的整体生态功能的影响相对较小，被破坏的灌丛和乔木，估计至少需要5年（灌丛）或更长（乔木）的时可以逐渐恢复。其次，从植物种类来看，在施工期作业场地范围内被破坏或影响的植物均为广布种和常见种，且分布也较均匀。施工结束后，通过复垦、恢复植被、补偿等措施，评价范围内被破坏的人工植被可以得到有效的恢复。</w:t>
      </w:r>
    </w:p>
    <w:p>
      <w:pPr>
        <w:pStyle w:val="114"/>
        <w:ind w:firstLine="480"/>
      </w:pPr>
      <w:r>
        <w:t>同时，本次环评提出，在施工过程中一旦发现保护植物，需立即告知当地林业部门，并在林业部门的指导下采取合理的保护措施。</w:t>
      </w:r>
    </w:p>
    <w:p>
      <w:pPr>
        <w:pStyle w:val="114"/>
        <w:ind w:firstLine="482"/>
        <w:rPr>
          <w:b/>
          <w:bCs/>
        </w:rPr>
      </w:pPr>
      <w:r>
        <w:rPr>
          <w:b/>
          <w:bCs/>
        </w:rPr>
        <w:t>4、对野生动物的影响分析</w:t>
      </w:r>
    </w:p>
    <w:p>
      <w:pPr>
        <w:pStyle w:val="114"/>
        <w:ind w:firstLine="480"/>
      </w:pPr>
      <w:bookmarkStart w:id="451" w:name="_Toc12288621"/>
      <w:r>
        <w:t>（1）对两栖爬行类动物的影响</w:t>
      </w:r>
    </w:p>
    <w:p>
      <w:pPr>
        <w:pStyle w:val="114"/>
        <w:ind w:firstLine="480"/>
      </w:pPr>
      <w:r>
        <w:t>两栖爬行动物一般在冬季冬眠，或经历一段休眠期，在物种的出现和行为方面表现出季节性。在冬季施工时，遇到两栖爬行动物的几率较小，对其直接造成的损害几乎没有，只要注意施工时减少对鱼塘等生境的破坏，就能降低对两栖爬行动物的影响范围。由于两栖爬行类在评价区范围内种类不多，分布数量较少，</w:t>
      </w:r>
      <w:r>
        <w:rPr>
          <w:rFonts w:hint="eastAsia"/>
        </w:rPr>
        <w:t>且项目储备罐基础施工面积较小，</w:t>
      </w:r>
      <w:r>
        <w:t>工程施工对其影响较小。</w:t>
      </w:r>
    </w:p>
    <w:p>
      <w:pPr>
        <w:pStyle w:val="114"/>
        <w:ind w:firstLine="480"/>
      </w:pPr>
      <w:r>
        <w:t>（2）对鸟类动物的影响</w:t>
      </w:r>
    </w:p>
    <w:p>
      <w:pPr>
        <w:pStyle w:val="114"/>
        <w:ind w:firstLine="480"/>
      </w:pPr>
      <w:r>
        <w:t>①在施工过程中，施工场地将影响到野生动物的迁移与觅食，施工的噪音影响野生动物的栖息，如在夜晚施工，灯光也会影响到鸟类的栖息，甚至影响到候鸟的迁移等；堆放的生活垃圾以及废弃物也对野生鸟类的生存产生影响。</w:t>
      </w:r>
    </w:p>
    <w:p>
      <w:pPr>
        <w:pStyle w:val="114"/>
        <w:ind w:firstLine="480"/>
      </w:pPr>
      <w:r>
        <w:t>②工程施工时，施工人员对野生鸟类可能的捕杀会影响到鸟类的种类与数量，甚至会影响珍稀野生动物种类的存在。</w:t>
      </w:r>
    </w:p>
    <w:p>
      <w:pPr>
        <w:pStyle w:val="114"/>
        <w:ind w:firstLine="480"/>
      </w:pPr>
      <w:r>
        <w:t>③施工期如处在野生鸟类的繁殖季节，则会影响到野生鸟类的生殖繁衍。但施工期一般只有2～4个月，只要加强管理，工程对鸟类的影响是可控的。</w:t>
      </w:r>
    </w:p>
    <w:p>
      <w:pPr>
        <w:pStyle w:val="114"/>
        <w:ind w:firstLine="480"/>
      </w:pPr>
      <w:r>
        <w:t>（3）对陆生脊椎动物的影响</w:t>
      </w:r>
    </w:p>
    <w:p>
      <w:pPr>
        <w:pStyle w:val="114"/>
        <w:ind w:firstLine="480"/>
      </w:pPr>
      <w:r>
        <w:t>本项目在施工期间由于车辆机具的运行及施工人员的活动等，会对</w:t>
      </w:r>
      <w:r>
        <w:rPr>
          <w:rFonts w:hint="eastAsia"/>
        </w:rPr>
        <w:t>井场</w:t>
      </w:r>
      <w:r>
        <w:t>所在地区的野生动物特别是第一类适应顶极群落的动物产生惊扰而使其躲避或暂时迁移。因此第一类适应顶级群落的动物可以避开施工干扰区，从而减小对其的影响。</w:t>
      </w:r>
    </w:p>
    <w:p>
      <w:pPr>
        <w:pStyle w:val="114"/>
        <w:ind w:firstLine="480"/>
      </w:pPr>
      <w:r>
        <w:t>施工地段的阻隔也可能使一些陆行动物暂时失去迁移行走的通道，但通过调查，未发现横穿站场的重要动物通道；同时，本项目施工期为只有1个月，施工完毕即可恢复正常，不会影响动物存活及种群数量；施工过程中，人为干扰如施工人员滥捕乱猎等现象的出现，将直接影响到这一地区的某些野生动物种群数量。这种影响可通过加强对施工人员的宣传教育和管理得到消除；施工活动将对动物的生境造成一定破坏，施工区域内自然植被的破坏，会使一些野生动物失去小量觅食地、栖息场所和活动区域，但由于工程建设区域的主要植被类型为农田、受人类活动干扰的林地，且施工影响的面积占林地区域面积很小，所以生境破坏不会对动物的生存和繁殖造成明显影响；同时，工程影响是短期的，施工结束后将进行土地复垦和植被恢复，多数动物有重返原有生存环境的条件和可能。另一方面，由于在森林景观制造的这一施工廊道，在其植被恢复后产生的边缘效应，会导致廊道内生物多样性的增加，甚至会对野生动物的生存环境产生有利影响。</w:t>
      </w:r>
    </w:p>
    <w:p>
      <w:pPr>
        <w:pStyle w:val="114"/>
        <w:ind w:firstLine="480"/>
      </w:pPr>
      <w:r>
        <w:t>站场周围的林地区分布较多的有蹄动物是狍和野猪，站场施工期间可能对其造成影响，但它们可以通过短距离迁移适应生境变化，站场试采期对这两种动物基本没有影响。小型食肉兽狐、黄鼬也适应于多种交错生境，管道建成后对其没有影响。站场所在的南部平原兽类物种组成更为简单，其中大型动物很少分布，小型食肉兽和啮齿类是兽类动物的主体。</w:t>
      </w:r>
    </w:p>
    <w:p>
      <w:pPr>
        <w:pStyle w:val="114"/>
        <w:ind w:firstLine="480"/>
      </w:pPr>
      <w:r>
        <w:t>总之，项目建设不会使站场周围地区野生动物物种数发生变化，其种群数量也不会发生变化。</w:t>
      </w:r>
    </w:p>
    <w:p>
      <w:pPr>
        <w:pStyle w:val="114"/>
        <w:ind w:firstLine="480"/>
      </w:pPr>
      <w:r>
        <w:t>（4）对水生生物的影响</w:t>
      </w:r>
    </w:p>
    <w:p>
      <w:pPr>
        <w:pStyle w:val="114"/>
        <w:ind w:firstLine="480"/>
      </w:pPr>
      <w:r>
        <w:t>本项目不涉及对河流、沟渠、溪流的穿跨越。因此本项目施工对水生生物无影响。本次环评要求</w:t>
      </w:r>
      <w:r>
        <w:rPr>
          <w:spacing w:val="-8"/>
          <w:szCs w:val="21"/>
        </w:rPr>
        <w:t>施工期井场施工</w:t>
      </w:r>
      <w:r>
        <w:rPr>
          <w:rFonts w:hint="eastAsia"/>
          <w:spacing w:val="-8"/>
          <w:szCs w:val="21"/>
          <w:lang w:eastAsia="zh-CN"/>
        </w:rPr>
        <w:t>人员</w:t>
      </w:r>
      <w:r>
        <w:rPr>
          <w:spacing w:val="-8"/>
          <w:szCs w:val="21"/>
        </w:rPr>
        <w:t>生活污水依托经</w:t>
      </w:r>
      <w:r>
        <w:rPr>
          <w:bCs/>
          <w:spacing w:val="-8"/>
          <w:szCs w:val="21"/>
        </w:rPr>
        <w:t>生态环保厕所收集处理</w:t>
      </w:r>
      <w:r>
        <w:t>后，用作周边农肥，不外排；员工洗澡、食堂废水经单独收集后拉运至普光镇场镇污水处理厂处理。施工废水经处理后回用，固体废物及时清运、妥善处置，禁止将生活污水、施工废水、固体废物排入或倾倒至附近沟渠、溪流中，采取上述措施后，施工对水生生物产生的影响很小。</w:t>
      </w:r>
    </w:p>
    <w:bookmarkEnd w:id="451"/>
    <w:p>
      <w:pPr>
        <w:pStyle w:val="114"/>
        <w:ind w:firstLine="482"/>
        <w:rPr>
          <w:b/>
          <w:bCs/>
        </w:rPr>
      </w:pPr>
      <w:r>
        <w:rPr>
          <w:b/>
          <w:bCs/>
        </w:rPr>
        <w:t>5、土壤侵蚀和水土流失的影响</w:t>
      </w:r>
    </w:p>
    <w:p>
      <w:pPr>
        <w:pStyle w:val="114"/>
        <w:ind w:firstLine="480"/>
      </w:pPr>
      <w:r>
        <w:t>拟建站场工程水土流失主要发生在施工期。</w:t>
      </w:r>
      <w:r>
        <w:rPr>
          <w:rFonts w:hint="eastAsia"/>
        </w:rPr>
        <w:t>储备罐基础施工</w:t>
      </w:r>
      <w:r>
        <w:t>等建设将破坏原有相对稳定的地貌，使土壤结构疏松，作业区地表植被丧失，产生一定面积的裸露地面，诱发或加剧土壤侵蚀危害。</w:t>
      </w:r>
    </w:p>
    <w:p>
      <w:pPr>
        <w:pStyle w:val="114"/>
        <w:ind w:firstLine="480"/>
      </w:pPr>
      <w:r>
        <w:t>主要影响：</w:t>
      </w:r>
    </w:p>
    <w:p>
      <w:pPr>
        <w:pStyle w:val="114"/>
        <w:ind w:firstLine="480"/>
      </w:pPr>
      <w:r>
        <w:t>（1）原地表耕作层遭到破坏，土地肥力和生产力下降</w:t>
      </w:r>
    </w:p>
    <w:p>
      <w:pPr>
        <w:pStyle w:val="114"/>
        <w:ind w:firstLine="480"/>
      </w:pPr>
      <w:r>
        <w:t>工程建设施工与运行维护将占用和破坏部分旱地，对原地表土壤结构构成破坏，使土壤养分流失、土地生产力下降。</w:t>
      </w:r>
    </w:p>
    <w:p>
      <w:pPr>
        <w:pStyle w:val="114"/>
        <w:ind w:firstLine="480"/>
      </w:pPr>
      <w:r>
        <w:t>（2）危害工程安全：开挖回填形成的裸露坡地，如不采取护坡、护脚、拦挡等有效工程措施加以防护，将可能造成局部的崩塌和滑坡等现象，影响工程建筑物安全和整个项目的正常运行。</w:t>
      </w:r>
    </w:p>
    <w:p>
      <w:pPr>
        <w:pStyle w:val="114"/>
        <w:ind w:firstLine="480"/>
      </w:pPr>
      <w:r>
        <w:t>（3）损坏水土保持设施，破坏植被，加速了土壤侵蚀</w:t>
      </w:r>
    </w:p>
    <w:p>
      <w:pPr>
        <w:pStyle w:val="114"/>
        <w:ind w:firstLine="480"/>
      </w:pPr>
      <w:r>
        <w:t>本项目建设时不同程度的占压和扰动耕地、林草地，导致土壤结构改变，植被覆盖度降低，形成裸露面，降低了原地表的水土保持功能，加大该区生态环境人工修复的成本和难度。工程竣工后，原临时占用土地的植被遭到破坏，如果不及时采取措施，随着水土流失的发生，土壤中的肥力流失，进而导致土地贫瘠，加大绿化工作难度。</w:t>
      </w:r>
    </w:p>
    <w:p>
      <w:pPr>
        <w:pStyle w:val="114"/>
        <w:ind w:firstLine="480"/>
      </w:pPr>
      <w:r>
        <w:t>一般而言，施工期土壤侵蚀的影响待施工结束后基本消除；试采期地表复原后，只要严格实施相应的水土保持措施，不会造成新的土壤侵蚀。本项目施工期短，且遵循边开挖边回填的作业工序要求。本项目水土流失时段划分为施工期和运行期，其中站场建设水土流失主要集中在施工期。因此，本次评价水土流失预测时段按不同施工项目扰动持续时间各异，</w:t>
      </w:r>
      <w:r>
        <w:rPr>
          <w:rFonts w:hint="eastAsia"/>
        </w:rPr>
        <w:t>本项目储备罐基础施工等施工活动</w:t>
      </w:r>
      <w:r>
        <w:t>拟定为约1个月。</w:t>
      </w:r>
    </w:p>
    <w:p>
      <w:pPr>
        <w:pStyle w:val="114"/>
        <w:ind w:firstLine="480"/>
      </w:pPr>
      <w:r>
        <w:t>综上，水土流失量主要发生在站场工程扰动区内，对局部地区而言，新增土壤侵蚀量不大。</w:t>
      </w:r>
    </w:p>
    <w:p>
      <w:pPr>
        <w:pStyle w:val="114"/>
        <w:ind w:firstLine="482"/>
        <w:rPr>
          <w:b/>
        </w:rPr>
      </w:pPr>
      <w:r>
        <w:rPr>
          <w:b/>
        </w:rPr>
        <w:t>6、施工期主要生态环境影响分析</w:t>
      </w:r>
    </w:p>
    <w:p>
      <w:pPr>
        <w:pStyle w:val="114"/>
        <w:ind w:firstLine="480"/>
      </w:pPr>
      <w:r>
        <w:t>本项目的建设将改变项目地区部分土地的利用性质；造成生物量的减少；站场施工开挖土方引起土壤结构、土壤紧实度、土壤养分变化；同时，防腐材料和施工废弃物也会对土壤的理化性质产生影响；站场评价范围内无珍稀野生动物分布，也没有涉及野生动物的通道、栖息地等敏感场所；工程建成后不会对整个评价区的生态完整性产生影响，生物多样性的影响也很小，属可接受范围；工程的建设不会造成物种缺失，不会影响生物</w:t>
      </w:r>
      <w:r>
        <w:rPr>
          <w:rFonts w:hint="eastAsia"/>
          <w:lang w:eastAsia="zh-CN"/>
        </w:rPr>
        <w:t>迁徙</w:t>
      </w:r>
      <w:r>
        <w:t>和物质能量流，也无须预留通道；该项目涉及的生态系统的结构和功能没有受到影响，在干扰之后可以较好的恢复，没有显著的生态问题。</w:t>
      </w:r>
    </w:p>
    <w:bookmarkEnd w:id="449"/>
    <w:bookmarkEnd w:id="450"/>
    <w:p>
      <w:pPr>
        <w:pStyle w:val="4"/>
        <w:rPr>
          <w:rFonts w:eastAsia="宋体"/>
        </w:rPr>
      </w:pPr>
      <w:bookmarkStart w:id="452" w:name="_Toc19816049"/>
      <w:bookmarkStart w:id="453" w:name="_Toc12288642"/>
      <w:r>
        <w:rPr>
          <w:rFonts w:eastAsia="宋体"/>
        </w:rPr>
        <w:t>6.1.2 施工期地表水影响分析</w:t>
      </w:r>
      <w:bookmarkEnd w:id="452"/>
      <w:bookmarkEnd w:id="453"/>
    </w:p>
    <w:p>
      <w:pPr>
        <w:pStyle w:val="6"/>
        <w:ind w:firstLine="482"/>
        <w:rPr>
          <w:rFonts w:ascii="Times New Roman" w:cs="Times New Roman"/>
          <w:b/>
        </w:rPr>
      </w:pPr>
      <w:bookmarkStart w:id="454" w:name="_Toc12288643"/>
      <w:r>
        <w:rPr>
          <w:rFonts w:ascii="Times New Roman" w:cs="Times New Roman"/>
          <w:b/>
        </w:rPr>
        <w:t>1、施工方式对地表水的影响分析</w:t>
      </w:r>
      <w:bookmarkEnd w:id="454"/>
    </w:p>
    <w:p>
      <w:pPr>
        <w:pStyle w:val="6"/>
        <w:ind w:firstLine="480"/>
        <w:rPr>
          <w:rFonts w:ascii="Times New Roman" w:cs="Times New Roman"/>
        </w:rPr>
      </w:pPr>
      <w:r>
        <w:rPr>
          <w:rFonts w:ascii="Times New Roman" w:cs="Times New Roman"/>
        </w:rPr>
        <w:t>站场施工期废水主要来自施工人员在施工作业中产生的生活污水、井场施工废水、初期雨水、钻井废水、压裂、洗井废水。</w:t>
      </w:r>
    </w:p>
    <w:p>
      <w:pPr>
        <w:pStyle w:val="114"/>
        <w:ind w:firstLine="480"/>
      </w:pPr>
      <w:bookmarkStart w:id="455" w:name="_Hlk53087303"/>
      <w:r>
        <w:t>根据以往施工经验，施工是分段分期进行，具有较大的分散性，局部排放量很小，</w:t>
      </w:r>
      <w:r>
        <w:rPr>
          <w:spacing w:val="-8"/>
          <w:szCs w:val="21"/>
        </w:rPr>
        <w:t>井场施工</w:t>
      </w:r>
      <w:r>
        <w:rPr>
          <w:rFonts w:hint="eastAsia"/>
          <w:spacing w:val="-8"/>
          <w:szCs w:val="21"/>
          <w:lang w:eastAsia="zh-CN"/>
        </w:rPr>
        <w:t>人员</w:t>
      </w:r>
      <w:r>
        <w:rPr>
          <w:spacing w:val="-8"/>
          <w:szCs w:val="21"/>
        </w:rPr>
        <w:t>生活污水依托经</w:t>
      </w:r>
      <w:r>
        <w:rPr>
          <w:bCs/>
          <w:spacing w:val="-8"/>
          <w:szCs w:val="21"/>
        </w:rPr>
        <w:t>生态环保厕所收集处理</w:t>
      </w:r>
      <w:r>
        <w:t>后，用作周边农肥，不外排；员工洗澡、食堂废水经单独收集后拉运至普光镇场镇污水处理厂处理。因此，只要控制不让生活污水进入河道，一般不会造成水体污染。</w:t>
      </w:r>
    </w:p>
    <w:p>
      <w:pPr>
        <w:pStyle w:val="114"/>
        <w:ind w:firstLine="480"/>
        <w:rPr>
          <w:bCs/>
        </w:rPr>
      </w:pPr>
      <w:r>
        <w:rPr>
          <w:bCs/>
        </w:rPr>
        <w:t>钻井阶段通过喷淋的方式降低气体钻（空气或氮气）的过程中产生的粉尘，喷淋所产生的废水全部回用，对地表水环境影响不大。钻井作业的配浆过程中会根据泥浆的不同要求加入不等量的水，这些水随钻井液进入井底协助钻井作业，在钻井液返回地面后，大部分水随泥浆进入泥浆净化系统，小部分水随钻屑进入</w:t>
      </w:r>
      <w:r>
        <w:rPr>
          <w:spacing w:val="-8"/>
          <w:szCs w:val="21"/>
        </w:rPr>
        <w:t>清洁化操作平台</w:t>
      </w:r>
      <w:r>
        <w:rPr>
          <w:bCs/>
        </w:rPr>
        <w:t>，经固液分离后，回收上清液用于泥浆配置（回用率90%以上），剩余废水委托由罐车拉运至毛开1井回注标准后回注，不外排，对地表水环境不会产生影响。</w:t>
      </w:r>
    </w:p>
    <w:p>
      <w:pPr>
        <w:pStyle w:val="114"/>
        <w:ind w:firstLine="480"/>
        <w:rPr>
          <w:bCs/>
        </w:rPr>
      </w:pPr>
      <w:r>
        <w:rPr>
          <w:bCs/>
        </w:rPr>
        <w:t>井场内四周设排水边沟，井场雨水随四周排水边沟汇至排放口，排放口设监控池，</w:t>
      </w:r>
      <w:r>
        <w:rPr>
          <w:rFonts w:hint="eastAsia"/>
          <w:bCs/>
        </w:rPr>
        <w:t>场内</w:t>
      </w:r>
      <w:r>
        <w:rPr>
          <w:bCs/>
        </w:rPr>
        <w:t>初期雨水收集进入清洁化操作平台，与钻井废水一同</w:t>
      </w:r>
      <w:r>
        <w:rPr>
          <w:spacing w:val="-8"/>
          <w:szCs w:val="21"/>
        </w:rPr>
        <w:t>经清洁化操作平台预处理后装车拉运至毛开1井回注站回注。</w:t>
      </w:r>
    </w:p>
    <w:p>
      <w:pPr>
        <w:pStyle w:val="114"/>
        <w:ind w:firstLine="480"/>
        <w:rPr>
          <w:bCs/>
        </w:rPr>
      </w:pPr>
      <w:r>
        <w:rPr>
          <w:bCs/>
        </w:rPr>
        <w:t>本项目钻井废水于井场进行处理，采取混凝-絮凝-固液分离-氧化降解（或吸附）-过滤的处理工艺。具体流程叙述如下：</w:t>
      </w:r>
    </w:p>
    <w:p>
      <w:pPr>
        <w:pStyle w:val="114"/>
        <w:ind w:firstLine="480"/>
        <w:rPr>
          <w:bCs/>
        </w:rPr>
      </w:pPr>
      <w:r>
        <w:rPr>
          <w:bCs/>
        </w:rPr>
        <w:t>根据钻井废水的水质分析结果，按配方要求加入一定量的混凝剂，充分搅拌。复合混凝剂能够降低污水胶体体系电位，破坏胶体体系稳定性，促使悬浮物析出；</w:t>
      </w:r>
    </w:p>
    <w:p>
      <w:pPr>
        <w:pStyle w:val="114"/>
        <w:ind w:firstLine="480"/>
        <w:rPr>
          <w:bCs/>
        </w:rPr>
      </w:pPr>
      <w:r>
        <w:rPr>
          <w:bCs/>
        </w:rPr>
        <w:t>调整酸碱度，加入适量的助凝剂、絮凝剂搅拌后静置半小时，絮体压滤脱水。脱出水进行进一步氧化处理，压滤产生泥饼与泥浆一起进行固化处理。助凝剂能够调剂污水体系酸碱度，促进悬浮物析出；絮凝剂能够起架桥、连接作用，促使絮体变大，产生网捕、卷扫作用，清除悬浮物。</w:t>
      </w:r>
    </w:p>
    <w:p>
      <w:pPr>
        <w:pStyle w:val="114"/>
        <w:ind w:firstLine="480"/>
        <w:rPr>
          <w:bCs/>
        </w:rPr>
      </w:pPr>
      <w:r>
        <w:rPr>
          <w:bCs/>
        </w:rPr>
        <w:t>混凝出水加入氧化剂深度脱色和去除COD，氧化剂能够进一步氧化降解污水中的有机物，提高COD去除率。</w:t>
      </w:r>
    </w:p>
    <w:p>
      <w:pPr>
        <w:pStyle w:val="114"/>
        <w:ind w:firstLine="480"/>
        <w:rPr>
          <w:bCs/>
        </w:rPr>
      </w:pPr>
      <w:r>
        <w:rPr>
          <w:bCs/>
        </w:rPr>
        <w:t>深度处理出水过滤后拉运至毛开1井回注标准后回注，不外排。</w:t>
      </w:r>
    </w:p>
    <w:p>
      <w:pPr>
        <w:pStyle w:val="114"/>
        <w:ind w:firstLine="480"/>
        <w:rPr>
          <w:bCs/>
        </w:rPr>
      </w:pPr>
      <w:r>
        <w:rPr>
          <w:bCs/>
        </w:rPr>
        <w:t>建设单位针对钻井废水储存采取了以下管理措施：</w:t>
      </w:r>
    </w:p>
    <w:p>
      <w:pPr>
        <w:pStyle w:val="114"/>
        <w:ind w:left="480" w:leftChars="200" w:firstLine="0" w:firstLineChars="0"/>
        <w:rPr>
          <w:bCs/>
        </w:rPr>
      </w:pPr>
      <w:r>
        <w:rPr>
          <w:bCs/>
        </w:rPr>
        <w:t>①不得乱排乱放废水。</w:t>
      </w:r>
    </w:p>
    <w:p>
      <w:pPr>
        <w:pStyle w:val="114"/>
        <w:ind w:firstLine="480"/>
        <w:rPr>
          <w:bCs/>
        </w:rPr>
      </w:pPr>
      <w:r>
        <w:rPr>
          <w:bCs/>
        </w:rPr>
        <w:t>②现场人员应定期对清洁化操作平台渗漏情况进行巡检，发现异常情况立即汇报和整改，并作好记录。</w:t>
      </w:r>
    </w:p>
    <w:p>
      <w:pPr>
        <w:pStyle w:val="114"/>
        <w:ind w:firstLine="480"/>
        <w:rPr>
          <w:bCs/>
        </w:rPr>
      </w:pPr>
      <w:r>
        <w:rPr>
          <w:bCs/>
        </w:rPr>
        <w:t>③暴雨等特殊气象条件下，井场应及时转运废水，以防止暴雨进入放喷池，避免引起废水外溢从而导致环境污染。</w:t>
      </w:r>
    </w:p>
    <w:p>
      <w:pPr>
        <w:pStyle w:val="114"/>
        <w:ind w:firstLine="480"/>
        <w:rPr>
          <w:bCs/>
        </w:rPr>
      </w:pPr>
      <w:r>
        <w:rPr>
          <w:rFonts w:eastAsia="微软雅黑"/>
          <w:bCs/>
        </w:rPr>
        <w:t>④</w:t>
      </w:r>
      <w:r>
        <w:rPr>
          <w:bCs/>
        </w:rPr>
        <w:t>完井期间及时拉运处理作业废水。</w:t>
      </w:r>
    </w:p>
    <w:p>
      <w:pPr>
        <w:pStyle w:val="114"/>
        <w:ind w:firstLine="480"/>
        <w:rPr>
          <w:bCs/>
        </w:rPr>
      </w:pPr>
      <w:r>
        <w:rPr>
          <w:bCs/>
        </w:rPr>
        <w:t>废水转运采取的具体管理措施如下：</w:t>
      </w:r>
    </w:p>
    <w:p>
      <w:pPr>
        <w:pStyle w:val="114"/>
        <w:ind w:left="480" w:leftChars="200" w:firstLine="0" w:firstLineChars="0"/>
        <w:rPr>
          <w:bCs/>
        </w:rPr>
      </w:pPr>
      <w:r>
        <w:rPr>
          <w:rFonts w:eastAsia="微软雅黑"/>
          <w:bCs/>
        </w:rPr>
        <w:t>①</w:t>
      </w:r>
      <w:r>
        <w:rPr>
          <w:bCs/>
        </w:rPr>
        <w:t>制定科学合理的车辆运输路线，根据车辆运输的特性实施相应的管理。</w:t>
      </w:r>
    </w:p>
    <w:p>
      <w:pPr>
        <w:pStyle w:val="114"/>
        <w:ind w:firstLine="480"/>
        <w:rPr>
          <w:bCs/>
        </w:rPr>
      </w:pPr>
      <w:r>
        <w:rPr>
          <w:rFonts w:eastAsia="微软雅黑"/>
          <w:bCs/>
        </w:rPr>
        <w:t>②</w:t>
      </w:r>
      <w:r>
        <w:rPr>
          <w:bCs/>
        </w:rPr>
        <w:t>废水承运单位在开展运输工作之前，应对运输人员进行相关安全环保知识培训，废水运输车辆、装卸工具必须符合安全环保要求，装卸和运输废水过程中不得溢出和渗漏。严禁任意倾倒、排放或向第三方转移废水。</w:t>
      </w:r>
    </w:p>
    <w:p>
      <w:pPr>
        <w:pStyle w:val="114"/>
        <w:ind w:firstLine="480"/>
        <w:rPr>
          <w:bCs/>
        </w:rPr>
      </w:pPr>
      <w:r>
        <w:rPr>
          <w:rFonts w:eastAsia="微软雅黑"/>
          <w:bCs/>
        </w:rPr>
        <w:t>③</w:t>
      </w:r>
      <w:r>
        <w:rPr>
          <w:bCs/>
        </w:rPr>
        <w:t>废水承运人员进入井场装卸废水，必须遵守有关安全环保管理规定，并服从井站值班人员的管理，不得擅自进入生产装置区和操作井场。</w:t>
      </w:r>
    </w:p>
    <w:p>
      <w:pPr>
        <w:pStyle w:val="114"/>
        <w:ind w:firstLine="480"/>
        <w:rPr>
          <w:bCs/>
        </w:rPr>
      </w:pPr>
      <w:r>
        <w:rPr>
          <w:rFonts w:eastAsia="微软雅黑"/>
          <w:bCs/>
        </w:rPr>
        <w:t>④</w:t>
      </w:r>
      <w:r>
        <w:rPr>
          <w:bCs/>
        </w:rPr>
        <w:t>废水转运时采取罐车密闭输送。</w:t>
      </w:r>
    </w:p>
    <w:p>
      <w:pPr>
        <w:pStyle w:val="114"/>
        <w:ind w:firstLine="480"/>
        <w:rPr>
          <w:bCs/>
        </w:rPr>
      </w:pPr>
      <w:r>
        <w:rPr>
          <w:rFonts w:eastAsia="微软雅黑"/>
          <w:bCs/>
        </w:rPr>
        <w:t>⑤</w:t>
      </w:r>
      <w:r>
        <w:rPr>
          <w:bCs/>
        </w:rPr>
        <w:t>尽量避免在雨天和大雾天转运。</w:t>
      </w:r>
    </w:p>
    <w:p>
      <w:pPr>
        <w:pStyle w:val="114"/>
        <w:ind w:firstLine="480"/>
        <w:rPr>
          <w:bCs/>
        </w:rPr>
      </w:pPr>
      <w:r>
        <w:rPr>
          <w:rFonts w:eastAsia="微软雅黑"/>
          <w:bCs/>
        </w:rPr>
        <w:t>⑥</w:t>
      </w:r>
      <w:r>
        <w:rPr>
          <w:bCs/>
        </w:rPr>
        <w:t>建设单位应当加强对废水承运单位的监管和沟通，督促其严格监管废水转运车辆，以防废水承运人员半途随意倾倒废水造成环境污染。</w:t>
      </w:r>
    </w:p>
    <w:p>
      <w:pPr>
        <w:pStyle w:val="114"/>
        <w:ind w:firstLine="480"/>
        <w:rPr>
          <w:bCs/>
        </w:rPr>
      </w:pPr>
      <w:r>
        <w:rPr>
          <w:rFonts w:eastAsia="微软雅黑"/>
          <w:bCs/>
        </w:rPr>
        <w:t>⑦</w:t>
      </w:r>
      <w:r>
        <w:rPr>
          <w:bCs/>
        </w:rPr>
        <w:t>建设单位对承包废水转运的承包商实施车辆登记制度。</w:t>
      </w:r>
    </w:p>
    <w:p>
      <w:pPr>
        <w:pStyle w:val="114"/>
        <w:ind w:firstLine="480"/>
        <w:rPr>
          <w:bCs/>
        </w:rPr>
      </w:pPr>
      <w:r>
        <w:rPr>
          <w:rFonts w:eastAsia="微软雅黑"/>
          <w:bCs/>
        </w:rPr>
        <w:t>⑧</w:t>
      </w:r>
      <w:r>
        <w:rPr>
          <w:bCs/>
        </w:rPr>
        <w:t>过程做好转运台账，严格实施交接清单制度。</w:t>
      </w:r>
    </w:p>
    <w:p>
      <w:pPr>
        <w:pStyle w:val="6"/>
        <w:ind w:firstLine="482"/>
        <w:rPr>
          <w:rFonts w:ascii="Times New Roman" w:cs="Times New Roman"/>
          <w:b/>
        </w:rPr>
      </w:pPr>
      <w:bookmarkStart w:id="456" w:name="_Toc12288646"/>
      <w:r>
        <w:rPr>
          <w:rFonts w:ascii="Times New Roman" w:cs="Times New Roman"/>
          <w:b/>
        </w:rPr>
        <w:t>2、施工期其它因素对地表水环境影响分析</w:t>
      </w:r>
      <w:bookmarkEnd w:id="456"/>
    </w:p>
    <w:p>
      <w:pPr>
        <w:pStyle w:val="6"/>
        <w:ind w:firstLine="480"/>
        <w:rPr>
          <w:rFonts w:ascii="Times New Roman" w:cs="Times New Roman"/>
        </w:rPr>
      </w:pPr>
      <w:r>
        <w:rPr>
          <w:rFonts w:ascii="Times New Roman" w:eastAsia="微软雅黑" w:cs="Times New Roman"/>
        </w:rPr>
        <w:t>①</w:t>
      </w:r>
      <w:r>
        <w:rPr>
          <w:rFonts w:ascii="Times New Roman" w:cs="Times New Roman"/>
        </w:rPr>
        <w:t>站场开挖过程中，挖出的土石如未能及时回填，遇雨水冲刷进入附近水体，影响水域水质。</w:t>
      </w:r>
    </w:p>
    <w:p>
      <w:pPr>
        <w:pStyle w:val="6"/>
        <w:ind w:firstLine="480"/>
        <w:rPr>
          <w:rFonts w:ascii="Times New Roman" w:cs="Times New Roman"/>
        </w:rPr>
      </w:pPr>
      <w:r>
        <w:rPr>
          <w:rFonts w:ascii="Times New Roman" w:eastAsia="微软雅黑" w:cs="Times New Roman"/>
        </w:rPr>
        <w:t>②</w:t>
      </w:r>
      <w:r>
        <w:rPr>
          <w:rFonts w:ascii="Times New Roman" w:cs="Times New Roman"/>
        </w:rPr>
        <w:t>施工物料如堆放管理不严，受雨水冲刷进入附近水体，对水域造成影响。</w:t>
      </w:r>
    </w:p>
    <w:p>
      <w:pPr>
        <w:pStyle w:val="6"/>
        <w:ind w:firstLine="480"/>
        <w:rPr>
          <w:rFonts w:ascii="Times New Roman" w:cs="Times New Roman"/>
        </w:rPr>
      </w:pPr>
      <w:r>
        <w:rPr>
          <w:rFonts w:ascii="Times New Roman" w:eastAsia="微软雅黑" w:cs="Times New Roman"/>
        </w:rPr>
        <w:t>③</w:t>
      </w:r>
      <w:r>
        <w:rPr>
          <w:rFonts w:ascii="Times New Roman" w:cs="Times New Roman"/>
        </w:rPr>
        <w:t>施工弃渣和施工人员的生活垃圾如不妥善处理，随意堆放，受雨水冲刷进入附近水体，将对其水质造成影响。</w:t>
      </w:r>
    </w:p>
    <w:p>
      <w:pPr>
        <w:pStyle w:val="6"/>
        <w:ind w:firstLine="482"/>
        <w:rPr>
          <w:rFonts w:ascii="Times New Roman" w:cs="Times New Roman"/>
          <w:b/>
        </w:rPr>
      </w:pPr>
      <w:bookmarkStart w:id="457" w:name="_Toc12288647"/>
      <w:r>
        <w:rPr>
          <w:rFonts w:ascii="Times New Roman" w:cs="Times New Roman"/>
          <w:b/>
        </w:rPr>
        <w:t>3、施工期地表水环境影响分析小结</w:t>
      </w:r>
      <w:bookmarkEnd w:id="457"/>
    </w:p>
    <w:p>
      <w:pPr>
        <w:pStyle w:val="6"/>
        <w:ind w:firstLine="480"/>
        <w:rPr>
          <w:rFonts w:ascii="Times New Roman" w:cs="Times New Roman"/>
        </w:rPr>
      </w:pPr>
      <w:r>
        <w:rPr>
          <w:rFonts w:ascii="Times New Roman" w:cs="Times New Roman"/>
        </w:rPr>
        <w:t>通过以上分析，通过对施工弃土、施工人员生活垃圾妥善处置；对施工材料堆放严格管理，及时填埋开挖土石。</w:t>
      </w:r>
    </w:p>
    <w:p>
      <w:pPr>
        <w:pStyle w:val="6"/>
        <w:ind w:firstLine="480"/>
        <w:rPr>
          <w:rFonts w:ascii="Times New Roman" w:cs="Times New Roman"/>
        </w:rPr>
      </w:pPr>
      <w:r>
        <w:rPr>
          <w:rFonts w:ascii="Times New Roman" w:cs="Times New Roman"/>
        </w:rPr>
        <w:t>由地表水环境质量现状调查与评价可知，项目所在地地表水环境质量现状较好，如加强施工期间的环境管理，因此，施工期对地表水产生的影响较小。</w:t>
      </w:r>
    </w:p>
    <w:bookmarkEnd w:id="455"/>
    <w:p>
      <w:pPr>
        <w:pStyle w:val="4"/>
        <w:rPr>
          <w:rFonts w:eastAsia="宋体"/>
        </w:rPr>
      </w:pPr>
      <w:bookmarkStart w:id="458" w:name="bookmark42"/>
      <w:bookmarkEnd w:id="458"/>
      <w:bookmarkStart w:id="459" w:name="_Toc12288651"/>
      <w:bookmarkStart w:id="460" w:name="_Toc19816053"/>
      <w:bookmarkStart w:id="461" w:name="_Hlk53087353"/>
      <w:r>
        <w:rPr>
          <w:rFonts w:eastAsia="宋体"/>
        </w:rPr>
        <w:t>6.1.3 施工期地下水环境影响分析</w:t>
      </w:r>
      <w:bookmarkEnd w:id="459"/>
      <w:bookmarkEnd w:id="460"/>
    </w:p>
    <w:p>
      <w:pPr>
        <w:autoSpaceDE w:val="0"/>
        <w:autoSpaceDN w:val="0"/>
        <w:ind w:firstLine="480"/>
        <w:rPr>
          <w:rFonts w:ascii="Times New Roman" w:cs="Times New Roman"/>
          <w:bCs/>
        </w:rPr>
      </w:pPr>
      <w:r>
        <w:rPr>
          <w:rFonts w:ascii="Times New Roman" w:cs="Times New Roman"/>
          <w:bCs/>
        </w:rPr>
        <w:t xml:space="preserve">1、评价工作等级 </w:t>
      </w:r>
    </w:p>
    <w:p>
      <w:pPr>
        <w:autoSpaceDE w:val="0"/>
        <w:autoSpaceDN w:val="0"/>
        <w:ind w:firstLine="480"/>
        <w:rPr>
          <w:rFonts w:ascii="Times New Roman" w:cs="Times New Roman"/>
          <w:bCs/>
        </w:rPr>
      </w:pPr>
      <w:r>
        <w:rPr>
          <w:rFonts w:ascii="Times New Roman" w:cs="Times New Roman"/>
          <w:bCs/>
        </w:rPr>
        <w:t>根据现场调查和资料收集，地下水评价范围内有1</w:t>
      </w:r>
      <w:r>
        <w:rPr>
          <w:rFonts w:hint="eastAsia" w:ascii="Times New Roman" w:cs="Times New Roman"/>
          <w:bCs/>
        </w:rPr>
        <w:t>4</w:t>
      </w:r>
      <w:r>
        <w:rPr>
          <w:rFonts w:ascii="Times New Roman" w:cs="Times New Roman"/>
          <w:bCs/>
        </w:rPr>
        <w:t>口农户水井。因此，评价区地下水环境敏感程度可定为“较敏感”。</w:t>
      </w:r>
    </w:p>
    <w:p>
      <w:pPr>
        <w:autoSpaceDE w:val="0"/>
        <w:autoSpaceDN w:val="0"/>
        <w:ind w:firstLine="480"/>
        <w:rPr>
          <w:rFonts w:ascii="Times New Roman" w:cs="Times New Roman"/>
          <w:bCs/>
        </w:rPr>
      </w:pPr>
      <w:r>
        <w:rPr>
          <w:rFonts w:ascii="Times New Roman" w:cs="Times New Roman"/>
          <w:bCs/>
        </w:rPr>
        <w:t>根据II类建设项目工作等级划分依据，应根据《环境影响评价技术导则 地下水环境》（HJ610-2016）中评价工作等级的划分应根据建设项目行业分类和地下水环境敏感程度分级进行判定，具体情况下见表。</w:t>
      </w:r>
    </w:p>
    <w:p>
      <w:pPr>
        <w:autoSpaceDE w:val="0"/>
        <w:autoSpaceDN w:val="0"/>
        <w:ind w:firstLine="0" w:firstLineChars="0"/>
        <w:jc w:val="center"/>
        <w:rPr>
          <w:rFonts w:ascii="Times New Roman" w:cs="Times New Roman"/>
          <w:b/>
        </w:rPr>
      </w:pPr>
      <w:r>
        <w:rPr>
          <w:rFonts w:ascii="Times New Roman" w:cs="Times New Roman"/>
          <w:b/>
        </w:rPr>
        <w:t>表6.1-1  地下水环境敏感程度分级表</w:t>
      </w:r>
    </w:p>
    <w:tbl>
      <w:tblPr>
        <w:tblStyle w:val="59"/>
        <w:tblW w:w="4850" w:type="pct"/>
        <w:jc w:val="center"/>
        <w:tblLayout w:type="autofit"/>
        <w:tblCellMar>
          <w:top w:w="0" w:type="dxa"/>
          <w:left w:w="0" w:type="dxa"/>
          <w:bottom w:w="0" w:type="dxa"/>
          <w:right w:w="0" w:type="dxa"/>
        </w:tblCellMar>
      </w:tblPr>
      <w:tblGrid>
        <w:gridCol w:w="1260"/>
        <w:gridCol w:w="7264"/>
      </w:tblGrid>
      <w:tr>
        <w:trPr>
          <w:trHeight w:val="19" w:hRule="atLeast"/>
          <w:jc w:val="center"/>
        </w:trPr>
        <w:tc>
          <w:tcPr>
            <w:tcW w:w="739" w:type="pct"/>
            <w:tcBorders>
              <w:top w:val="single" w:color="000000" w:sz="12"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分级</w:t>
            </w:r>
          </w:p>
        </w:tc>
        <w:tc>
          <w:tcPr>
            <w:tcW w:w="4261" w:type="pct"/>
            <w:tcBorders>
              <w:top w:val="single" w:color="000000" w:sz="12"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地下水环境敏感特征</w:t>
            </w:r>
          </w:p>
        </w:tc>
      </w:tr>
      <w:tr>
        <w:tblPrEx>
          <w:tblCellMar>
            <w:top w:w="0" w:type="dxa"/>
            <w:left w:w="0" w:type="dxa"/>
            <w:bottom w:w="0" w:type="dxa"/>
            <w:right w:w="0" w:type="dxa"/>
          </w:tblCellMar>
        </w:tblPrEx>
        <w:trPr>
          <w:trHeight w:val="19" w:hRule="atLeast"/>
          <w:jc w:val="center"/>
        </w:trPr>
        <w:tc>
          <w:tcPr>
            <w:tcW w:w="739" w:type="pct"/>
            <w:tcBorders>
              <w:top w:val="single" w:color="000000" w:sz="4"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敏感</w:t>
            </w:r>
          </w:p>
        </w:tc>
        <w:tc>
          <w:tcPr>
            <w:tcW w:w="4261" w:type="pct"/>
            <w:tcBorders>
              <w:top w:val="single" w:color="000000" w:sz="4" w:space="0"/>
              <w:left w:val="single" w:color="000000" w:sz="4" w:space="0"/>
              <w:bottom w:val="single" w:color="000000" w:sz="4" w:space="0"/>
              <w:right w:val="nil"/>
            </w:tcBorders>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集中式饮用水水源（包括已建成的在用、备用、应急水源地，在建和规划的水源地）准保护区；除集中式饮用水水源地以外的国家或地方政府设定的与地下水环境相关的其它保护区，如热水、矿泉水、温泉等特殊地下水资源保护区。</w:t>
            </w:r>
          </w:p>
        </w:tc>
      </w:tr>
      <w:tr>
        <w:tblPrEx>
          <w:tblCellMar>
            <w:top w:w="0" w:type="dxa"/>
            <w:left w:w="0" w:type="dxa"/>
            <w:bottom w:w="0" w:type="dxa"/>
            <w:right w:w="0" w:type="dxa"/>
          </w:tblCellMar>
        </w:tblPrEx>
        <w:trPr>
          <w:trHeight w:val="19" w:hRule="atLeast"/>
          <w:jc w:val="center"/>
        </w:trPr>
        <w:tc>
          <w:tcPr>
            <w:tcW w:w="739" w:type="pct"/>
            <w:tcBorders>
              <w:top w:val="single" w:color="000000" w:sz="4"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
                <w:sz w:val="21"/>
                <w:szCs w:val="21"/>
              </w:rPr>
              <w:t>较敏感（√）</w:t>
            </w:r>
          </w:p>
        </w:tc>
        <w:tc>
          <w:tcPr>
            <w:tcW w:w="4261" w:type="pct"/>
            <w:tcBorders>
              <w:top w:val="single" w:color="000000" w:sz="4" w:space="0"/>
              <w:left w:val="single" w:color="000000" w:sz="4" w:space="0"/>
              <w:bottom w:val="single" w:color="000000" w:sz="4" w:space="0"/>
              <w:right w:val="nil"/>
            </w:tcBorders>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tblPrEx>
          <w:tblCellMar>
            <w:top w:w="0" w:type="dxa"/>
            <w:left w:w="0" w:type="dxa"/>
            <w:bottom w:w="0" w:type="dxa"/>
            <w:right w:w="0" w:type="dxa"/>
          </w:tblCellMar>
        </w:tblPrEx>
        <w:trPr>
          <w:trHeight w:val="19" w:hRule="atLeast"/>
          <w:jc w:val="center"/>
        </w:trPr>
        <w:tc>
          <w:tcPr>
            <w:tcW w:w="739" w:type="pct"/>
            <w:tcBorders>
              <w:top w:val="single" w:color="000000" w:sz="4" w:space="0"/>
              <w:left w:val="nil"/>
              <w:bottom w:val="single" w:color="000000" w:sz="12" w:space="0"/>
              <w:right w:val="single" w:color="000000" w:sz="4" w:space="0"/>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不敏感</w:t>
            </w:r>
          </w:p>
        </w:tc>
        <w:tc>
          <w:tcPr>
            <w:tcW w:w="4261" w:type="pct"/>
            <w:tcBorders>
              <w:top w:val="single" w:color="000000" w:sz="4" w:space="0"/>
              <w:left w:val="single" w:color="000000" w:sz="4" w:space="0"/>
              <w:bottom w:val="single" w:color="000000" w:sz="12" w:space="0"/>
              <w:right w:val="nil"/>
            </w:tcBorders>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上述地区之外的其它地区。</w:t>
            </w:r>
          </w:p>
        </w:tc>
      </w:tr>
    </w:tbl>
    <w:p>
      <w:pPr>
        <w:autoSpaceDE w:val="0"/>
        <w:autoSpaceDN w:val="0"/>
        <w:ind w:firstLine="480"/>
        <w:rPr>
          <w:rFonts w:ascii="Times New Roman" w:cs="Times New Roman"/>
          <w:bCs/>
        </w:rPr>
      </w:pPr>
      <w:r>
        <w:rPr>
          <w:rFonts w:ascii="Times New Roman" w:cs="Times New Roman"/>
          <w:bCs/>
        </w:rPr>
        <w:t>根据《环境影响评价技术导则地下水环境》（HJ610-2016）建设项目地下水环境影响评价工作等级划分见表6.1-2。</w:t>
      </w:r>
    </w:p>
    <w:p>
      <w:pPr>
        <w:autoSpaceDE w:val="0"/>
        <w:autoSpaceDN w:val="0"/>
        <w:ind w:firstLine="0" w:firstLineChars="0"/>
        <w:jc w:val="center"/>
        <w:rPr>
          <w:rFonts w:ascii="Times New Roman" w:cs="Times New Roman"/>
          <w:b/>
        </w:rPr>
      </w:pPr>
      <w:r>
        <w:rPr>
          <w:rFonts w:ascii="Times New Roman" w:cs="Times New Roman"/>
          <w:b/>
        </w:rPr>
        <w:t>表6.1-2  地下水环境影响评价工作等级分级表</w:t>
      </w:r>
    </w:p>
    <w:tbl>
      <w:tblPr>
        <w:tblStyle w:val="59"/>
        <w:tblW w:w="4850" w:type="pct"/>
        <w:jc w:val="center"/>
        <w:tblLayout w:type="autofit"/>
        <w:tblCellMar>
          <w:top w:w="0" w:type="dxa"/>
          <w:left w:w="0" w:type="dxa"/>
          <w:bottom w:w="0" w:type="dxa"/>
          <w:right w:w="0" w:type="dxa"/>
        </w:tblCellMar>
      </w:tblPr>
      <w:tblGrid>
        <w:gridCol w:w="3111"/>
        <w:gridCol w:w="1826"/>
        <w:gridCol w:w="1831"/>
        <w:gridCol w:w="1756"/>
      </w:tblGrid>
      <w:tr>
        <w:tblPrEx>
          <w:tblCellMar>
            <w:top w:w="0" w:type="dxa"/>
            <w:left w:w="0" w:type="dxa"/>
            <w:bottom w:w="0" w:type="dxa"/>
            <w:right w:w="0" w:type="dxa"/>
          </w:tblCellMar>
        </w:tblPrEx>
        <w:trPr>
          <w:trHeight w:val="19" w:hRule="atLeast"/>
          <w:jc w:val="center"/>
        </w:trPr>
        <w:tc>
          <w:tcPr>
            <w:tcW w:w="1825" w:type="pct"/>
            <w:tcBorders>
              <w:top w:val="single" w:color="000000" w:sz="12" w:space="0"/>
              <w:left w:val="nil"/>
              <w:bottom w:val="single" w:color="000000" w:sz="4" w:space="0"/>
              <w:right w:val="single" w:color="000000" w:sz="4" w:space="0"/>
              <w:tl2br w:val="single" w:color="auto" w:sz="4" w:space="0"/>
            </w:tcBorders>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类别</w:t>
            </w:r>
          </w:p>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环境敏感程度</w:t>
            </w:r>
          </w:p>
        </w:tc>
        <w:tc>
          <w:tcPr>
            <w:tcW w:w="1071" w:type="pct"/>
            <w:tcBorders>
              <w:top w:val="single" w:color="000000" w:sz="12"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Ⅰ类项目</w:t>
            </w:r>
          </w:p>
        </w:tc>
        <w:tc>
          <w:tcPr>
            <w:tcW w:w="1074" w:type="pct"/>
            <w:tcBorders>
              <w:top w:val="single" w:color="000000" w:sz="12"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Ⅱ类项目</w:t>
            </w:r>
          </w:p>
        </w:tc>
        <w:tc>
          <w:tcPr>
            <w:tcW w:w="1030" w:type="pct"/>
            <w:tcBorders>
              <w:top w:val="single" w:color="000000" w:sz="12"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Ⅲ类项目</w:t>
            </w:r>
          </w:p>
        </w:tc>
      </w:tr>
      <w:tr>
        <w:tblPrEx>
          <w:tblCellMar>
            <w:top w:w="0" w:type="dxa"/>
            <w:left w:w="0" w:type="dxa"/>
            <w:bottom w:w="0" w:type="dxa"/>
            <w:right w:w="0" w:type="dxa"/>
          </w:tblCellMar>
        </w:tblPrEx>
        <w:trPr>
          <w:trHeight w:val="19" w:hRule="atLeast"/>
          <w:jc w:val="center"/>
        </w:trPr>
        <w:tc>
          <w:tcPr>
            <w:tcW w:w="1825" w:type="pct"/>
            <w:tcBorders>
              <w:top w:val="single" w:color="000000" w:sz="4"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敏感</w:t>
            </w:r>
          </w:p>
        </w:tc>
        <w:tc>
          <w:tcPr>
            <w:tcW w:w="1071"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一</w:t>
            </w:r>
          </w:p>
        </w:tc>
        <w:tc>
          <w:tcPr>
            <w:tcW w:w="1074"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一</w:t>
            </w:r>
          </w:p>
        </w:tc>
        <w:tc>
          <w:tcPr>
            <w:tcW w:w="1030" w:type="pct"/>
            <w:tcBorders>
              <w:top w:val="single" w:color="000000" w:sz="4"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二</w:t>
            </w:r>
          </w:p>
        </w:tc>
      </w:tr>
      <w:tr>
        <w:tblPrEx>
          <w:tblCellMar>
            <w:top w:w="0" w:type="dxa"/>
            <w:left w:w="0" w:type="dxa"/>
            <w:bottom w:w="0" w:type="dxa"/>
            <w:right w:w="0" w:type="dxa"/>
          </w:tblCellMar>
        </w:tblPrEx>
        <w:trPr>
          <w:trHeight w:val="19" w:hRule="atLeast"/>
          <w:jc w:val="center"/>
        </w:trPr>
        <w:tc>
          <w:tcPr>
            <w:tcW w:w="1825" w:type="pct"/>
            <w:tcBorders>
              <w:top w:val="single" w:color="000000" w:sz="4"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较敏感</w:t>
            </w:r>
          </w:p>
        </w:tc>
        <w:tc>
          <w:tcPr>
            <w:tcW w:w="1071"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一</w:t>
            </w:r>
          </w:p>
        </w:tc>
        <w:tc>
          <w:tcPr>
            <w:tcW w:w="1074"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
                <w:sz w:val="21"/>
                <w:szCs w:val="21"/>
              </w:rPr>
              <w:t>二（√）</w:t>
            </w:r>
          </w:p>
        </w:tc>
        <w:tc>
          <w:tcPr>
            <w:tcW w:w="1030" w:type="pct"/>
            <w:tcBorders>
              <w:top w:val="single" w:color="000000" w:sz="4"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三</w:t>
            </w:r>
          </w:p>
        </w:tc>
      </w:tr>
      <w:tr>
        <w:tblPrEx>
          <w:tblCellMar>
            <w:top w:w="0" w:type="dxa"/>
            <w:left w:w="0" w:type="dxa"/>
            <w:bottom w:w="0" w:type="dxa"/>
            <w:right w:w="0" w:type="dxa"/>
          </w:tblCellMar>
        </w:tblPrEx>
        <w:trPr>
          <w:trHeight w:val="19" w:hRule="atLeast"/>
          <w:jc w:val="center"/>
        </w:trPr>
        <w:tc>
          <w:tcPr>
            <w:tcW w:w="1825" w:type="pct"/>
            <w:tcBorders>
              <w:top w:val="single" w:color="000000" w:sz="4" w:space="0"/>
              <w:left w:val="nil"/>
              <w:bottom w:val="single" w:color="000000" w:sz="12" w:space="0"/>
              <w:right w:val="single" w:color="000000" w:sz="4" w:space="0"/>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不敏感</w:t>
            </w:r>
          </w:p>
        </w:tc>
        <w:tc>
          <w:tcPr>
            <w:tcW w:w="1071" w:type="pct"/>
            <w:tcBorders>
              <w:top w:val="single" w:color="000000" w:sz="4" w:space="0"/>
              <w:left w:val="single" w:color="000000" w:sz="4" w:space="0"/>
              <w:bottom w:val="single" w:color="000000" w:sz="12" w:space="0"/>
              <w:right w:val="single" w:color="000000" w:sz="4" w:space="0"/>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二</w:t>
            </w:r>
          </w:p>
        </w:tc>
        <w:tc>
          <w:tcPr>
            <w:tcW w:w="1074" w:type="pct"/>
            <w:tcBorders>
              <w:top w:val="single" w:color="000000" w:sz="4" w:space="0"/>
              <w:left w:val="single" w:color="000000" w:sz="4" w:space="0"/>
              <w:bottom w:val="single" w:color="000000" w:sz="12" w:space="0"/>
              <w:right w:val="single" w:color="000000" w:sz="4" w:space="0"/>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三</w:t>
            </w:r>
          </w:p>
        </w:tc>
        <w:tc>
          <w:tcPr>
            <w:tcW w:w="1030" w:type="pct"/>
            <w:tcBorders>
              <w:top w:val="single" w:color="000000" w:sz="4" w:space="0"/>
              <w:left w:val="single" w:color="000000" w:sz="4" w:space="0"/>
              <w:bottom w:val="single" w:color="000000" w:sz="12" w:space="0"/>
              <w:right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三</w:t>
            </w:r>
          </w:p>
        </w:tc>
      </w:tr>
    </w:tbl>
    <w:p>
      <w:pPr>
        <w:autoSpaceDE w:val="0"/>
        <w:autoSpaceDN w:val="0"/>
        <w:ind w:firstLine="480"/>
        <w:rPr>
          <w:rFonts w:ascii="Times New Roman" w:cs="Times New Roman"/>
          <w:bCs/>
        </w:rPr>
      </w:pPr>
      <w:r>
        <w:rPr>
          <w:rFonts w:ascii="Times New Roman" w:cs="Times New Roman"/>
          <w:bCs/>
        </w:rPr>
        <w:t>综合以上“项目类别”和“地下水环境敏感程度分级”结果，查询《环境影响评价技术导则 地下水环境》（HJ610-2016）建设项目评价工作等级分级表，确定本项目评价工作等级为“二级”。</w:t>
      </w:r>
    </w:p>
    <w:p>
      <w:pPr>
        <w:autoSpaceDE w:val="0"/>
        <w:autoSpaceDN w:val="0"/>
        <w:ind w:firstLine="480"/>
        <w:rPr>
          <w:rFonts w:ascii="Times New Roman" w:cs="Times New Roman"/>
          <w:bCs/>
        </w:rPr>
      </w:pPr>
      <w:r>
        <w:rPr>
          <w:rFonts w:ascii="Times New Roman" w:cs="Times New Roman"/>
          <w:bCs/>
        </w:rPr>
        <w:t xml:space="preserve">2、项目区水文地质条件 </w:t>
      </w:r>
    </w:p>
    <w:p>
      <w:pPr>
        <w:autoSpaceDE w:val="0"/>
        <w:autoSpaceDN w:val="0"/>
        <w:ind w:firstLine="480"/>
        <w:rPr>
          <w:rFonts w:ascii="Times New Roman" w:cs="Times New Roman"/>
          <w:bCs/>
        </w:rPr>
      </w:pPr>
      <w:r>
        <w:rPr>
          <w:rFonts w:ascii="Times New Roman" w:cs="Times New Roman"/>
          <w:bCs/>
        </w:rPr>
        <w:t>（1）地下水类型及补给、径流和排泄</w:t>
      </w:r>
    </w:p>
    <w:p>
      <w:pPr>
        <w:autoSpaceDE w:val="0"/>
        <w:autoSpaceDN w:val="0"/>
        <w:ind w:firstLine="480"/>
        <w:rPr>
          <w:rFonts w:ascii="Times New Roman" w:cs="Times New Roman"/>
          <w:bCs/>
        </w:rPr>
      </w:pPr>
      <w:r>
        <w:rPr>
          <w:rFonts w:ascii="Times New Roman" w:cs="Times New Roman"/>
          <w:bCs/>
        </w:rPr>
        <w:t>普光气田开发区主要位于北东向的黄金口背斜处，由背斜轴部向翼部，地层由老到新，呈条带状依次展布包括侏罗系中统千佛崖组、沙溪庙组，上统遂宁组、蓬莱镇组及白垩系。普光气田区含有地下水的层位主要有侏罗系蓬莱镇组、遂宁组和上沙溪庙组，地形不同、地表出露地层不同，其主要含有地下水的层位也不同。</w:t>
      </w:r>
    </w:p>
    <w:p>
      <w:pPr>
        <w:autoSpaceDE w:val="0"/>
        <w:autoSpaceDN w:val="0"/>
        <w:ind w:firstLine="480"/>
        <w:rPr>
          <w:rFonts w:ascii="Times New Roman" w:cs="Times New Roman"/>
          <w:bCs/>
        </w:rPr>
      </w:pPr>
      <w:r>
        <w:rPr>
          <w:rFonts w:ascii="Times New Roman" w:cs="Times New Roman"/>
          <w:bCs/>
        </w:rPr>
        <w:t>普光气田开发区内地下水类型包括松散堆积层孔隙水、碎屑岩裂隙孔隙水和基岩裂隙水，其中本项目所在区域以基岩裂隙水为主。沟谷地段为地下水的排泄区。岩性变化地段和结构松散的卸荷岩体具有较强的透水性能，岩体的透水性具有随着深度的增加、卸荷的减弱而递减的一般规律。</w:t>
      </w:r>
    </w:p>
    <w:p>
      <w:pPr>
        <w:autoSpaceDE w:val="0"/>
        <w:autoSpaceDN w:val="0"/>
        <w:ind w:firstLine="480"/>
        <w:rPr>
          <w:rFonts w:ascii="Times New Roman" w:cs="Times New Roman"/>
          <w:bCs/>
        </w:rPr>
      </w:pPr>
      <w:r>
        <w:rPr>
          <w:rFonts w:ascii="Times New Roman" w:cs="Times New Roman"/>
          <w:bCs/>
        </w:rPr>
        <w:t>1）松散堆积层孔隙水松散堆积层孔隙潜水主要赋存于河流阶地的细砂层中，基岩为相对隔水层，零星分布在赵家坝、清溪镇等地，即中河、后河、清溪河宽谷地带，含水层为第四系全新统，以冲积、冲洪积砂质粘土夹砾石为主，次为残坡积和崩坡积之砂质粘土，粘质砂土夹杂碎石块。泉流量一般小于0.1L/s，钻孔涌水量小于50m</w:t>
      </w:r>
      <w:r>
        <w:rPr>
          <w:rFonts w:ascii="Times New Roman" w:cs="Times New Roman"/>
          <w:bCs/>
          <w:vertAlign w:val="superscript"/>
        </w:rPr>
        <w:t>3</w:t>
      </w:r>
      <w:r>
        <w:rPr>
          <w:rFonts w:ascii="Times New Roman" w:cs="Times New Roman"/>
          <w:bCs/>
        </w:rPr>
        <w:t>/d。分布零星，面积窄小，厚度薄（0～20m），地下水较为贫乏，不具有供水意义。一般属HCO</w:t>
      </w:r>
      <w:r>
        <w:rPr>
          <w:rFonts w:ascii="Times New Roman" w:cs="Times New Roman"/>
          <w:bCs/>
          <w:vertAlign w:val="subscript"/>
        </w:rPr>
        <w:t>3</w:t>
      </w:r>
      <w:r>
        <w:rPr>
          <w:rFonts w:ascii="Times New Roman" w:cs="Times New Roman"/>
          <w:bCs/>
        </w:rPr>
        <w:t>-Ca（Na+K）水，矿化度0.356～0.392g/L，总硬度13～15德度，pH值5～6。</w:t>
      </w:r>
    </w:p>
    <w:p>
      <w:pPr>
        <w:autoSpaceDE w:val="0"/>
        <w:autoSpaceDN w:val="0"/>
        <w:ind w:firstLine="480"/>
        <w:rPr>
          <w:rFonts w:ascii="Times New Roman" w:cs="Times New Roman"/>
          <w:bCs/>
        </w:rPr>
      </w:pPr>
      <w:r>
        <w:rPr>
          <w:rFonts w:ascii="Times New Roman" w:cs="Times New Roman"/>
          <w:bCs/>
        </w:rPr>
        <w:t>2）碎屑岩裂隙孔隙水分布于黄金口背斜中段一带，主要由沙溪庙组地层组成，但在其中段核部有两处出露了千佛崖组地层，形成构造窗。其中南面的一处位于普光镇西北，长15km左右，宽1～2km；北面一处位于黄金口边，长10km，宽1～4km。由于该背斜穿插于北西向构造之中，并受到强烈的挤压，因而两翼岩层产状较陡，倾角达20°～50°。但向外围很快变缓，节理裂隙发育。在地貌上形成背斜山，千佛崖组地层裸露于轴部附近山岭一带，补给区位置较高，对于翼部地下水的补给、运移和富集有利，因而黄金口背斜翼部地下水比较丰富，特别是在千佛崖组和沙溪庙组接触带附近，有较丰富的层间承压水，泉水流量大于11m</w:t>
      </w:r>
      <w:r>
        <w:rPr>
          <w:rFonts w:ascii="Times New Roman" w:cs="Times New Roman"/>
          <w:bCs/>
          <w:vertAlign w:val="superscript"/>
        </w:rPr>
        <w:t>3</w:t>
      </w:r>
      <w:r>
        <w:rPr>
          <w:rFonts w:ascii="Times New Roman" w:cs="Times New Roman"/>
          <w:bCs/>
        </w:rPr>
        <w:t>/d，单井涌水量可达100～500m</w:t>
      </w:r>
      <w:r>
        <w:rPr>
          <w:rFonts w:ascii="Times New Roman" w:cs="Times New Roman"/>
          <w:bCs/>
          <w:vertAlign w:val="superscript"/>
        </w:rPr>
        <w:t>3</w:t>
      </w:r>
      <w:r>
        <w:rPr>
          <w:rFonts w:ascii="Times New Roman" w:cs="Times New Roman"/>
          <w:bCs/>
        </w:rPr>
        <w:t>/d，含水层顶板埋深50～100m。由于含水层主要出露于山岭地带，补给区所处位置较高，地下水以接受大气降水的渗入补给为主，补给后地下水主要通过构造裂隙和层间裂隙沿岩层倾斜方向作垂向（倾向）运动。一部分地下水在地表侵蚀基准面之上以下降泉的形式排泄，一部分向深部运移、贮集，并作水平（走向）运动。在含水层被沟谷切割的地段，可以接受地表水的补给，地下水运动的总趋势是由北西向南东方向径流。地下水化学类型为重碳酸钙镁型和重碳酸硫酸钙镁型，矿化度0.2g/L左右，总硬度0.8～6.5德度，pH值6～7。</w:t>
      </w:r>
    </w:p>
    <w:p>
      <w:pPr>
        <w:autoSpaceDE w:val="0"/>
        <w:autoSpaceDN w:val="0"/>
        <w:ind w:firstLine="480"/>
        <w:rPr>
          <w:rFonts w:ascii="Times New Roman" w:cs="Times New Roman"/>
          <w:bCs/>
        </w:rPr>
      </w:pPr>
      <w:r>
        <w:rPr>
          <w:rFonts w:ascii="Times New Roman" w:cs="Times New Roman"/>
          <w:bCs/>
        </w:rPr>
        <w:t>3）基岩裂隙水此类型在气田区广泛分布，本项目区也属于此类型，按裂隙性质，地下水的富存条件可分为构造裂隙水和风化带网状裂隙水两大亚类。</w:t>
      </w:r>
    </w:p>
    <w:p>
      <w:pPr>
        <w:autoSpaceDE w:val="0"/>
        <w:autoSpaceDN w:val="0"/>
        <w:ind w:firstLine="480"/>
        <w:rPr>
          <w:rFonts w:ascii="Times New Roman" w:cs="Times New Roman"/>
          <w:bCs/>
        </w:rPr>
      </w:pPr>
      <w:r>
        <w:rPr>
          <w:rFonts w:ascii="Times New Roman" w:cs="Times New Roman"/>
          <w:bCs/>
        </w:rPr>
        <w:t>A、构造裂隙水主要分布在侏罗系蓬莱镇组（J3p2）、下白垩统苍溪组（K1c）、白龙组（K1b），岩性主要是紫红色泥岩、粉砂质泥岩与厚至块状细粒长石、石英砂岩互层，上侏罗统蓬莱镇组上段和的砂岩和泥岩之不等厚互层组成，一般以砂岩为主要含水层，且为双层结构（即上部以浅层潜水为主，下部以承压水为主）的含水特征，以碎屑岩裂隙孔隙水－层间承压水为主。地下水位埋深一般小于20m，含水层顶板埋深一般小于50m。地下径流模数0.5～1L/（s·km</w:t>
      </w:r>
      <w:r>
        <w:rPr>
          <w:rFonts w:ascii="Times New Roman" w:cs="Times New Roman"/>
          <w:bCs/>
          <w:vertAlign w:val="superscript"/>
        </w:rPr>
        <w:t>2</w:t>
      </w:r>
      <w:r>
        <w:rPr>
          <w:rFonts w:ascii="Times New Roman" w:cs="Times New Roman"/>
          <w:bCs/>
        </w:rPr>
        <w:t>），钻孔涌水量一般可达100～500m</w:t>
      </w:r>
      <w:r>
        <w:rPr>
          <w:rFonts w:ascii="Times New Roman" w:cs="Times New Roman"/>
          <w:bCs/>
          <w:vertAlign w:val="superscript"/>
        </w:rPr>
        <w:t>3</w:t>
      </w:r>
      <w:r>
        <w:rPr>
          <w:rFonts w:ascii="Times New Roman" w:cs="Times New Roman"/>
          <w:bCs/>
        </w:rPr>
        <w:t>/d，属于中等富水地带。</w:t>
      </w:r>
    </w:p>
    <w:p>
      <w:pPr>
        <w:autoSpaceDE w:val="0"/>
        <w:autoSpaceDN w:val="0"/>
        <w:ind w:firstLine="480"/>
        <w:rPr>
          <w:rFonts w:ascii="Times New Roman" w:cs="Times New Roman"/>
          <w:bCs/>
        </w:rPr>
      </w:pPr>
      <w:r>
        <w:rPr>
          <w:rFonts w:ascii="Times New Roman" w:cs="Times New Roman"/>
          <w:bCs/>
        </w:rPr>
        <w:t>水质以重碳酸钠型和重碳酸钙型为主，矿化度0.1～0.5g/L，总硬度为0.5～10德度，pH值为7.5～9。泉流量一般在0.1～1L/s之间。</w:t>
      </w:r>
    </w:p>
    <w:p>
      <w:pPr>
        <w:autoSpaceDE w:val="0"/>
        <w:autoSpaceDN w:val="0"/>
        <w:ind w:firstLine="480"/>
        <w:rPr>
          <w:rFonts w:ascii="Times New Roman" w:cs="Times New Roman"/>
          <w:bCs/>
        </w:rPr>
      </w:pPr>
      <w:r>
        <w:rPr>
          <w:rFonts w:ascii="Times New Roman" w:cs="Times New Roman"/>
          <w:bCs/>
        </w:rPr>
        <w:t>B、风化带网状裂隙水主要分布于普光气田区西部、西南部，地下水为潜水，主要赋存于沙溪庙组和遂宁组地层中浅部风化网状裂隙发育地带。普光气田区西部、西南相对高差较小，故侵蚀作用较弱，对风化带发育比较有利，风化带发育深度一般为0～10m。由于风化带厚度较薄并因发育不均匀呈断续分布，一般不能形成连续分布的统一含水层，其地下水的补给条件和赋存条件比较差，表现为富水性弱和水量一般较为贫乏。泉流量一般在0.01～0.1L/s，地下径流模数0.1～0.5L/（s·km</w:t>
      </w:r>
      <w:r>
        <w:rPr>
          <w:rFonts w:ascii="Times New Roman" w:cs="Times New Roman"/>
          <w:bCs/>
          <w:vertAlign w:val="superscript"/>
        </w:rPr>
        <w:t>2</w:t>
      </w:r>
      <w:r>
        <w:rPr>
          <w:rFonts w:ascii="Times New Roman" w:cs="Times New Roman"/>
          <w:bCs/>
        </w:rPr>
        <w:t>），钻孔涌水量多小于50m</w:t>
      </w:r>
      <w:r>
        <w:rPr>
          <w:rFonts w:ascii="Times New Roman" w:cs="Times New Roman"/>
          <w:bCs/>
          <w:vertAlign w:val="superscript"/>
        </w:rPr>
        <w:t>3</w:t>
      </w:r>
      <w:r>
        <w:rPr>
          <w:rFonts w:ascii="Times New Roman" w:cs="Times New Roman"/>
          <w:bCs/>
        </w:rPr>
        <w:t>/d。因此，虽然通常可供分散的独家小户居民用水之需，但遇干旱季节，则常有枯竭之忧。</w:t>
      </w:r>
    </w:p>
    <w:p>
      <w:pPr>
        <w:autoSpaceDE w:val="0"/>
        <w:autoSpaceDN w:val="0"/>
        <w:ind w:firstLine="480"/>
        <w:rPr>
          <w:rFonts w:ascii="Times New Roman" w:cs="Times New Roman"/>
          <w:bCs/>
        </w:rPr>
      </w:pPr>
      <w:r>
        <w:rPr>
          <w:rFonts w:ascii="Times New Roman" w:cs="Times New Roman"/>
          <w:bCs/>
        </w:rPr>
        <w:t>水质一般为重碳酸钙型或重碳酸钙镁型水，矿化度0.1～0.3g/L，总硬度在8～13德度，pH值6.5～7.5。普光气田区的基岩裂隙水由于地质、地貌条件不利于大气降水渗入补给，故该地区地下水属于就地补给就近排泄的浅层潜水。泉水多出露在砂岩底部与泥岩接触面附近，说明各含水层之间，一般不发生水力联系。</w:t>
      </w:r>
    </w:p>
    <w:p>
      <w:pPr>
        <w:numPr>
          <w:ilvl w:val="0"/>
          <w:numId w:val="4"/>
        </w:numPr>
        <w:autoSpaceDE w:val="0"/>
        <w:autoSpaceDN w:val="0"/>
        <w:ind w:firstLine="480"/>
        <w:rPr>
          <w:rFonts w:ascii="Times New Roman" w:cs="Times New Roman"/>
          <w:bCs/>
        </w:rPr>
      </w:pPr>
      <w:r>
        <w:rPr>
          <w:rFonts w:ascii="Times New Roman" w:cs="Times New Roman"/>
          <w:bCs/>
        </w:rPr>
        <w:t>地下水赋存特征及补径排关系</w:t>
      </w:r>
    </w:p>
    <w:p>
      <w:pPr>
        <w:autoSpaceDE w:val="0"/>
        <w:autoSpaceDN w:val="0"/>
        <w:ind w:firstLine="480"/>
        <w:rPr>
          <w:rFonts w:ascii="Times New Roman" w:cs="Times New Roman"/>
          <w:bCs/>
        </w:rPr>
      </w:pPr>
      <w:r>
        <w:rPr>
          <w:rFonts w:ascii="Times New Roman" w:cs="Times New Roman"/>
          <w:bCs/>
        </w:rPr>
        <w:t>基岩裂隙水广泛分布全区，地表出露普遍，井、泉众多，为当地居民之饮用水源，一般埋深较浅（10～200m），几乎都产出在风化带影响范围之内。含水层的埋藏特点以及补给、径流、排泄条件，决定区内地下水的水质、水量。地下水主要赋存特征如下：</w:t>
      </w:r>
    </w:p>
    <w:p>
      <w:pPr>
        <w:numPr>
          <w:ilvl w:val="0"/>
          <w:numId w:val="5"/>
        </w:numPr>
        <w:autoSpaceDE w:val="0"/>
        <w:autoSpaceDN w:val="0"/>
        <w:ind w:firstLine="480"/>
        <w:rPr>
          <w:rFonts w:ascii="Times New Roman" w:cs="Times New Roman"/>
          <w:bCs/>
        </w:rPr>
      </w:pPr>
      <w:r>
        <w:rPr>
          <w:rFonts w:ascii="Times New Roman" w:cs="Times New Roman"/>
          <w:bCs/>
        </w:rPr>
        <w:t>风化带网状裂隙水分布十分广泛</w:t>
      </w:r>
    </w:p>
    <w:p>
      <w:pPr>
        <w:autoSpaceDE w:val="0"/>
        <w:autoSpaceDN w:val="0"/>
        <w:ind w:firstLine="480"/>
        <w:rPr>
          <w:rFonts w:ascii="Times New Roman" w:cs="Times New Roman"/>
          <w:bCs/>
        </w:rPr>
      </w:pPr>
      <w:r>
        <w:rPr>
          <w:rFonts w:ascii="Times New Roman" w:cs="Times New Roman"/>
          <w:bCs/>
        </w:rPr>
        <w:t>根据地下水储水性质及埋藏条件，本区基岩裂隙水皆埋藏于浅部砂、泥岩之风化带中，以砂岩裂隙和泥岩网状微细裂隙储集为主，孔隙储集次之，局部地区兼有溶蚀孔隙裂隙储水。多属潜水类型，部分微具承压。其分布相当广泛，无论是田边地角、丘陵谷旁，凡有汇水条件的地方均可见及，但主要还是位于河谷与丘间汇水面积较大之洼地，并形成相对富集带。</w:t>
      </w:r>
    </w:p>
    <w:p>
      <w:pPr>
        <w:autoSpaceDE w:val="0"/>
        <w:autoSpaceDN w:val="0"/>
        <w:ind w:firstLine="480"/>
        <w:rPr>
          <w:rFonts w:ascii="Times New Roman" w:cs="Times New Roman"/>
          <w:bCs/>
        </w:rPr>
      </w:pPr>
      <w:r>
        <w:rPr>
          <w:rFonts w:ascii="Times New Roman" w:cs="Times New Roman"/>
          <w:bCs/>
        </w:rPr>
        <w:t>B、各地段富水性一般较差，水量极不均匀</w:t>
      </w:r>
    </w:p>
    <w:p>
      <w:pPr>
        <w:autoSpaceDE w:val="0"/>
        <w:autoSpaceDN w:val="0"/>
        <w:ind w:firstLine="480"/>
        <w:rPr>
          <w:rFonts w:ascii="Times New Roman" w:cs="Times New Roman"/>
          <w:bCs/>
        </w:rPr>
      </w:pPr>
      <w:r>
        <w:rPr>
          <w:rFonts w:ascii="Times New Roman" w:cs="Times New Roman"/>
          <w:bCs/>
        </w:rPr>
        <w:t>据1：20万区域水文地质普查报告统计，在广大红层丘陵区，60%以上的泉水流量在0.05L/s以下，超过0.1L/s的大泉仅占16%，其中最大的只达0.15L/s左右。80%以上的地区单孔涌水量在100t/d以下，其中单孔涌水量小于30t/d的地区30%左右。这种不均匀性在区域上的表现通常是贫中有富，即在广大贫水地区存在着一些相对富水地段。而这些富水地段的泉水流量一般为0.105～0.15L/s，钻孔涌水量100～1000t/d，其面积一般只占基岩裂隙水地区的10%～15%。另外，这种不均匀性还表现在同一局部地区或同一含水层富水性的悬殊上，这大概正是基岩风化裂隙水的特点。由此可见，富水地段并非井井富水，贫水地段并非井井贫水，水量多少实际上与具体井位的选择有很大关系；即使在同一含水层中，由于岩性、裂隙发育程度的变化，其含水性在不同的井、孔中也可能相差十分悬殊。</w:t>
      </w:r>
    </w:p>
    <w:p>
      <w:pPr>
        <w:numPr>
          <w:ilvl w:val="0"/>
          <w:numId w:val="5"/>
        </w:numPr>
        <w:autoSpaceDE w:val="0"/>
        <w:autoSpaceDN w:val="0"/>
        <w:ind w:firstLine="480"/>
        <w:rPr>
          <w:rFonts w:ascii="Times New Roman" w:cs="Times New Roman"/>
          <w:bCs/>
        </w:rPr>
      </w:pPr>
      <w:r>
        <w:rPr>
          <w:rFonts w:ascii="Times New Roman" w:cs="Times New Roman"/>
          <w:bCs/>
        </w:rPr>
        <w:t>地下水位高，埋深浅，淡水带厚度通常较薄本区基岩裂隙水一般为潜水，其埋深80%以上的在0～5m之间，尤以0～3m为多。但在上沙溪庙组分布的丘陵区，也有水位较深者。另外，在裂隙潜水广泛分布的背景下，亦有时可见局部承压水出现。究其原因主要是与覆盖层性质有关，即在以遂宁组泥岩为含水层的宽谷丘陵区，不仅覆盖层以第四系粘性土为主，而且基岩顶部强风化层在地下水作用下也多强烈泥化，而具有隔水性。这种由二者所共同组成沟谷中的隔水层，势必会使浅层地下水具有一定的承压性质。另一种原因则可能与局部构造因素有关，即它们或许正处于背斜倾角由陡变缓的倾末端或转折端。</w:t>
      </w:r>
    </w:p>
    <w:p>
      <w:pPr>
        <w:autoSpaceDE w:val="0"/>
        <w:autoSpaceDN w:val="0"/>
        <w:ind w:firstLine="480"/>
        <w:rPr>
          <w:rFonts w:ascii="Times New Roman" w:cs="Times New Roman"/>
          <w:bCs/>
        </w:rPr>
      </w:pPr>
      <w:r>
        <w:rPr>
          <w:rFonts w:ascii="Times New Roman" w:cs="Times New Roman"/>
          <w:bCs/>
        </w:rPr>
        <w:t>D、地下水补给、径流、排泄条件良好，动态不稳定浅层地下水是可供饮用和灌溉的优良淡矿化水，其淡水带深度一般不大，风化裂隙带发育深度一般在20～30m，地下水位埋深在沟谷地带一般为3～5m，丘坡下部一般6～9m，井深20m左右一般可揭露主要潜水含水层。因向下部多迅速转为微咸水、咸水，以至盐卤水所接替。淡水带深度，即咸、淡水界面埋藏深度，因受地下水径流条件控制，表现出周边深，盆内浅的规律。盆地腹心，以沙溪庙组（J</w:t>
      </w:r>
      <w:r>
        <w:rPr>
          <w:rFonts w:ascii="Times New Roman" w:cs="Times New Roman"/>
          <w:bCs/>
          <w:vertAlign w:val="subscript"/>
        </w:rPr>
        <w:t>2</w:t>
      </w:r>
      <w:r>
        <w:rPr>
          <w:rFonts w:ascii="Times New Roman" w:cs="Times New Roman"/>
          <w:bCs/>
        </w:rPr>
        <w:t>s）、遂宁组（J</w:t>
      </w:r>
      <w:r>
        <w:rPr>
          <w:rFonts w:ascii="Times New Roman" w:cs="Times New Roman"/>
          <w:bCs/>
          <w:vertAlign w:val="subscript"/>
        </w:rPr>
        <w:t>2</w:t>
      </w:r>
      <w:r>
        <w:rPr>
          <w:rFonts w:ascii="Times New Roman" w:cs="Times New Roman"/>
          <w:bCs/>
        </w:rPr>
        <w:t>sn）为主，组成的浅丘区，地下水交替条件差，咸淡水界面埋深一般50m左右，甚或小于50m。向外围低山丘陵区，随着径流条件变化，渐增至50～100m，100～200m。接近盆缘地区，深度大于200m。本项目区可利用地下水淡水深度在</w:t>
      </w:r>
      <w:r>
        <w:rPr>
          <w:rFonts w:hint="eastAsia" w:ascii="Times New Roman" w:cs="Times New Roman"/>
          <w:bCs/>
        </w:rPr>
        <w:t>0~</w:t>
      </w:r>
      <w:r>
        <w:rPr>
          <w:rFonts w:ascii="Times New Roman" w:cs="Times New Roman"/>
          <w:bCs/>
        </w:rPr>
        <w:t>100m。</w:t>
      </w:r>
    </w:p>
    <w:p>
      <w:pPr>
        <w:autoSpaceDE w:val="0"/>
        <w:autoSpaceDN w:val="0"/>
        <w:ind w:firstLine="482"/>
        <w:rPr>
          <w:rFonts w:ascii="Times New Roman" w:cs="Times New Roman"/>
          <w:b/>
        </w:rPr>
      </w:pPr>
      <w:r>
        <w:rPr>
          <w:rFonts w:ascii="Times New Roman" w:cs="Times New Roman"/>
          <w:b/>
        </w:rPr>
        <w:t xml:space="preserve">3、地下水开发利用现状 </w:t>
      </w:r>
    </w:p>
    <w:p>
      <w:pPr>
        <w:autoSpaceDE w:val="0"/>
        <w:autoSpaceDN w:val="0"/>
        <w:ind w:firstLine="480"/>
        <w:rPr>
          <w:rFonts w:ascii="Times New Roman" w:cs="Times New Roman"/>
          <w:bCs/>
        </w:rPr>
      </w:pPr>
      <w:r>
        <w:rPr>
          <w:rFonts w:ascii="Times New Roman" w:cs="Times New Roman"/>
          <w:bCs/>
        </w:rPr>
        <w:t>经调查，评价区内无集中地下水水源地，评价区内有1</w:t>
      </w:r>
      <w:r>
        <w:rPr>
          <w:rFonts w:hint="eastAsia" w:ascii="Times New Roman" w:cs="Times New Roman"/>
          <w:bCs/>
        </w:rPr>
        <w:t>4</w:t>
      </w:r>
      <w:r>
        <w:rPr>
          <w:rFonts w:ascii="Times New Roman" w:cs="Times New Roman"/>
          <w:bCs/>
        </w:rPr>
        <w:t>口</w:t>
      </w:r>
      <w:r>
        <w:rPr>
          <w:rFonts w:hint="eastAsia" w:ascii="Times New Roman" w:cs="Times New Roman"/>
          <w:bCs/>
        </w:rPr>
        <w:t>水井</w:t>
      </w:r>
      <w:r>
        <w:rPr>
          <w:rFonts w:ascii="Times New Roman" w:cs="Times New Roman"/>
          <w:bCs/>
        </w:rPr>
        <w:t>，均为浅层地下水，水井深度在5</w:t>
      </w:r>
      <w:r>
        <w:rPr>
          <w:rFonts w:hint="eastAsia" w:ascii="Times New Roman" w:cs="Times New Roman"/>
          <w:bCs/>
        </w:rPr>
        <w:t>~37</w:t>
      </w:r>
      <w:r>
        <w:rPr>
          <w:rFonts w:ascii="Times New Roman" w:cs="Times New Roman"/>
          <w:bCs/>
        </w:rPr>
        <w:t>m。</w:t>
      </w:r>
    </w:p>
    <w:p>
      <w:pPr>
        <w:autoSpaceDE w:val="0"/>
        <w:autoSpaceDN w:val="0"/>
        <w:ind w:firstLine="482"/>
        <w:rPr>
          <w:rFonts w:ascii="Times New Roman" w:cs="Times New Roman"/>
          <w:b/>
        </w:rPr>
      </w:pPr>
      <w:r>
        <w:rPr>
          <w:rFonts w:ascii="Times New Roman" w:cs="Times New Roman"/>
          <w:b/>
        </w:rPr>
        <w:t xml:space="preserve">4、环境水文地质调查 </w:t>
      </w:r>
    </w:p>
    <w:p>
      <w:pPr>
        <w:autoSpaceDE w:val="0"/>
        <w:autoSpaceDN w:val="0"/>
        <w:ind w:firstLine="480"/>
        <w:rPr>
          <w:rFonts w:ascii="Times New Roman" w:cs="Times New Roman"/>
          <w:bCs/>
        </w:rPr>
      </w:pPr>
      <w:r>
        <w:rPr>
          <w:rFonts w:ascii="Times New Roman" w:cs="Times New Roman"/>
          <w:bCs/>
        </w:rPr>
        <w:t>按照地下水环境影响评价导则，针对本项目特征，本次调查包括：</w:t>
      </w:r>
    </w:p>
    <w:p>
      <w:pPr>
        <w:autoSpaceDE w:val="0"/>
        <w:autoSpaceDN w:val="0"/>
        <w:ind w:firstLine="480"/>
        <w:rPr>
          <w:rFonts w:ascii="Times New Roman" w:cs="Times New Roman"/>
          <w:bCs/>
        </w:rPr>
      </w:pPr>
      <w:r>
        <w:rPr>
          <w:rFonts w:ascii="Times New Roman" w:cs="Times New Roman"/>
          <w:bCs/>
        </w:rPr>
        <w:t>①原生水文地质问题调查；</w:t>
      </w:r>
    </w:p>
    <w:p>
      <w:pPr>
        <w:autoSpaceDE w:val="0"/>
        <w:autoSpaceDN w:val="0"/>
        <w:ind w:firstLine="480"/>
        <w:rPr>
          <w:rFonts w:ascii="Times New Roman" w:cs="Times New Roman"/>
          <w:bCs/>
        </w:rPr>
      </w:pPr>
      <w:r>
        <w:rPr>
          <w:rFonts w:ascii="Times New Roman" w:cs="Times New Roman"/>
          <w:bCs/>
        </w:rPr>
        <w:t>②地下水污染源分布及类型调查。</w:t>
      </w:r>
    </w:p>
    <w:p>
      <w:pPr>
        <w:autoSpaceDE w:val="0"/>
        <w:autoSpaceDN w:val="0"/>
        <w:ind w:firstLine="480"/>
        <w:rPr>
          <w:rFonts w:ascii="Times New Roman" w:cs="Times New Roman"/>
          <w:bCs/>
        </w:rPr>
      </w:pPr>
      <w:r>
        <w:rPr>
          <w:rFonts w:ascii="Times New Roman" w:cs="Times New Roman"/>
          <w:bCs/>
        </w:rPr>
        <w:t>（1）原生水文地质问题调查</w:t>
      </w:r>
    </w:p>
    <w:p>
      <w:pPr>
        <w:autoSpaceDE w:val="0"/>
        <w:autoSpaceDN w:val="0"/>
        <w:ind w:firstLine="480"/>
        <w:rPr>
          <w:rFonts w:ascii="Times New Roman" w:cs="Times New Roman"/>
          <w:bCs/>
        </w:rPr>
      </w:pPr>
      <w:r>
        <w:rPr>
          <w:rFonts w:ascii="Times New Roman" w:cs="Times New Roman"/>
          <w:bCs/>
        </w:rPr>
        <w:t>根据评价区下水水质监测结果，本项目区地下水属于低矿化度淡水，水质情况尚可；根据相关资料及调查访问，评价区未出现地方病等与地下水相关的环境问题。</w:t>
      </w:r>
    </w:p>
    <w:p>
      <w:pPr>
        <w:autoSpaceDE w:val="0"/>
        <w:autoSpaceDN w:val="0"/>
        <w:ind w:firstLine="480"/>
        <w:rPr>
          <w:rFonts w:ascii="Times New Roman" w:cs="Times New Roman"/>
          <w:bCs/>
        </w:rPr>
      </w:pPr>
      <w:r>
        <w:rPr>
          <w:rFonts w:ascii="Times New Roman" w:cs="Times New Roman"/>
          <w:bCs/>
        </w:rPr>
        <w:t>（2）地下水污染源调查</w:t>
      </w:r>
    </w:p>
    <w:p>
      <w:pPr>
        <w:autoSpaceDE w:val="0"/>
        <w:autoSpaceDN w:val="0"/>
        <w:ind w:firstLine="480"/>
        <w:rPr>
          <w:rFonts w:ascii="Times New Roman" w:cs="Times New Roman"/>
          <w:bCs/>
        </w:rPr>
      </w:pPr>
      <w:r>
        <w:rPr>
          <w:rFonts w:ascii="Times New Roman" w:cs="Times New Roman"/>
          <w:bCs/>
        </w:rPr>
        <w:t>根据现场调查，评价范围内主要地下水污染源为：分散居民农业生产及生活污水对地下水水质的扰动。</w:t>
      </w:r>
    </w:p>
    <w:p>
      <w:pPr>
        <w:autoSpaceDE w:val="0"/>
        <w:autoSpaceDN w:val="0"/>
        <w:ind w:firstLine="482"/>
        <w:rPr>
          <w:rFonts w:ascii="Times New Roman" w:cs="Times New Roman"/>
          <w:b/>
        </w:rPr>
      </w:pPr>
      <w:r>
        <w:rPr>
          <w:rFonts w:ascii="Times New Roman" w:cs="Times New Roman"/>
          <w:b/>
        </w:rPr>
        <w:t xml:space="preserve">5、地下水环境功能与环境保护目标 </w:t>
      </w:r>
    </w:p>
    <w:p>
      <w:pPr>
        <w:autoSpaceDE w:val="0"/>
        <w:autoSpaceDN w:val="0"/>
        <w:ind w:firstLine="480"/>
        <w:rPr>
          <w:rFonts w:ascii="Times New Roman" w:cs="Times New Roman"/>
          <w:bCs/>
        </w:rPr>
      </w:pPr>
      <w:r>
        <w:rPr>
          <w:rFonts w:ascii="Times New Roman" w:cs="Times New Roman"/>
          <w:bCs/>
        </w:rPr>
        <w:t xml:space="preserve">（1）地下水功能划分 </w:t>
      </w:r>
    </w:p>
    <w:p>
      <w:pPr>
        <w:autoSpaceDE w:val="0"/>
        <w:autoSpaceDN w:val="0"/>
        <w:ind w:firstLine="480"/>
        <w:rPr>
          <w:rFonts w:ascii="Times New Roman" w:cs="Times New Roman"/>
          <w:bCs/>
        </w:rPr>
      </w:pPr>
      <w:r>
        <w:rPr>
          <w:rFonts w:ascii="Times New Roman" w:cs="Times New Roman"/>
          <w:bCs/>
        </w:rPr>
        <w:t xml:space="preserve">确定评价区地下水环境的主要功能是分析地下水环境影响、布置工作重点的重要工作之一。地下水系统是一个具有综合服务功能的开放系统，是维持社会经济发展的重要供水水源，也是维持生态环境系统稳定的重要因素。本研究确定工程区地下水环境功能从两个方面进行：依据《全国地下水功能区划分技术大纲》的要求和规定、根据实地调查的本项目工程区的地下水环境状况。 </w:t>
      </w:r>
    </w:p>
    <w:p>
      <w:pPr>
        <w:autoSpaceDE w:val="0"/>
        <w:autoSpaceDN w:val="0"/>
        <w:ind w:firstLine="480"/>
        <w:rPr>
          <w:rFonts w:ascii="Times New Roman" w:cs="Times New Roman"/>
          <w:bCs/>
        </w:rPr>
      </w:pPr>
      <w:r>
        <w:rPr>
          <w:rFonts w:ascii="Times New Roman" w:cs="Times New Roman"/>
          <w:bCs/>
        </w:rPr>
        <w:t xml:space="preserve">1）地下水功能及其划分 </w:t>
      </w:r>
    </w:p>
    <w:p>
      <w:pPr>
        <w:autoSpaceDE w:val="0"/>
        <w:autoSpaceDN w:val="0"/>
        <w:ind w:firstLine="480"/>
        <w:rPr>
          <w:rFonts w:ascii="Times New Roman" w:cs="Times New Roman"/>
          <w:bCs/>
        </w:rPr>
      </w:pPr>
      <w:r>
        <w:rPr>
          <w:rFonts w:ascii="Times New Roman" w:cs="Times New Roman"/>
          <w:bCs/>
        </w:rPr>
        <w:t xml:space="preserve">地下水功能是指地下水的水质和水量及其在空间和时间上的变化对人类社会和环境所产生的作用或效应，它由地下水的资源功能、生态环境功能和地质环境功能组成。 </w:t>
      </w:r>
    </w:p>
    <w:p>
      <w:pPr>
        <w:autoSpaceDE w:val="0"/>
        <w:autoSpaceDN w:val="0"/>
        <w:ind w:firstLine="480"/>
        <w:rPr>
          <w:rFonts w:ascii="Times New Roman" w:cs="Times New Roman"/>
          <w:bCs/>
        </w:rPr>
      </w:pPr>
      <w:r>
        <w:rPr>
          <w:rFonts w:ascii="Times New Roman" w:cs="Times New Roman"/>
          <w:bCs/>
        </w:rPr>
        <w:t xml:space="preserve">①地下水的资源功能是指具备一定的补给、储存和更新条件的地下水资源供给保障作用或效应。为了保持地下水的资源供给功能，首先在水量上，地下水要得到可持续的稳定补给，这样才能保障可持续开发。 </w:t>
      </w:r>
    </w:p>
    <w:p>
      <w:pPr>
        <w:autoSpaceDE w:val="0"/>
        <w:autoSpaceDN w:val="0"/>
        <w:ind w:firstLine="480"/>
        <w:rPr>
          <w:rFonts w:ascii="Times New Roman" w:cs="Times New Roman"/>
          <w:bCs/>
        </w:rPr>
      </w:pPr>
      <w:r>
        <w:rPr>
          <w:rFonts w:ascii="Times New Roman" w:cs="Times New Roman"/>
          <w:bCs/>
        </w:rPr>
        <w:t xml:space="preserve">②地下水的生态功能是指地下水系统对陆表植被或湖泊、湿地或土地质量良性维持的作用或效应，如果地下水系统发生变化，则生态环境出现相应的改变。地表水生态系统（河道基流、湿地、泉水等）和陆地非地带性植被都需要地下水的补给和调节。地下水位下降和水质的恶化对地表生态系统会带来严重影响。 </w:t>
      </w:r>
    </w:p>
    <w:p>
      <w:pPr>
        <w:autoSpaceDE w:val="0"/>
        <w:autoSpaceDN w:val="0"/>
        <w:ind w:firstLine="480"/>
        <w:rPr>
          <w:rFonts w:ascii="Times New Roman" w:cs="Times New Roman"/>
          <w:bCs/>
        </w:rPr>
      </w:pPr>
      <w:r>
        <w:rPr>
          <w:rFonts w:ascii="Times New Roman" w:cs="Times New Roman"/>
          <w:bCs/>
        </w:rPr>
        <w:t>③地下水的地质环境功能是指地下水的地质</w:t>
      </w:r>
      <w:r>
        <w:rPr>
          <w:rFonts w:hint="eastAsia" w:ascii="Times New Roman" w:cs="Times New Roman"/>
          <w:bCs/>
          <w:lang w:val="en-US" w:eastAsia="zh-CN"/>
        </w:rPr>
        <w:t xml:space="preserve"> </w:t>
      </w:r>
      <w:r>
        <w:rPr>
          <w:rFonts w:ascii="Times New Roman" w:cs="Times New Roman"/>
          <w:bCs/>
        </w:rPr>
        <w:t xml:space="preserve">安全保障功能，是指地下水系统对其所赋存的地质环境稳定性所具有支撑和保护的作用或效应，如果地下水系统发生变化，则地质环境出现相应的改变。 </w:t>
      </w:r>
    </w:p>
    <w:p>
      <w:pPr>
        <w:autoSpaceDE w:val="0"/>
        <w:autoSpaceDN w:val="0"/>
        <w:ind w:firstLine="480"/>
        <w:rPr>
          <w:rFonts w:ascii="Times New Roman" w:cs="Times New Roman"/>
          <w:bCs/>
        </w:rPr>
      </w:pPr>
      <w:r>
        <w:rPr>
          <w:rFonts w:ascii="Times New Roman" w:cs="Times New Roman"/>
          <w:bCs/>
        </w:rPr>
        <w:t xml:space="preserve">2）地下水环境调查 </w:t>
      </w:r>
    </w:p>
    <w:p>
      <w:pPr>
        <w:autoSpaceDE w:val="0"/>
        <w:autoSpaceDN w:val="0"/>
        <w:ind w:firstLine="480"/>
        <w:rPr>
          <w:rFonts w:ascii="Times New Roman" w:cs="Times New Roman"/>
          <w:bCs/>
        </w:rPr>
      </w:pPr>
      <w:r>
        <w:rPr>
          <w:rFonts w:ascii="Times New Roman" w:cs="Times New Roman"/>
          <w:bCs/>
        </w:rPr>
        <w:t>通过对项目区地下水、地表水、居民用水及环境状况调查，本项目位于宣汉县普光镇</w:t>
      </w:r>
      <w:r>
        <w:rPr>
          <w:rFonts w:hint="eastAsia" w:ascii="Times New Roman" w:cs="Times New Roman"/>
          <w:bCs/>
        </w:rPr>
        <w:t>塔娅村</w:t>
      </w:r>
      <w:r>
        <w:rPr>
          <w:rFonts w:ascii="Times New Roman" w:cs="Times New Roman"/>
          <w:bCs/>
        </w:rPr>
        <w:t>，评价区内分布有1</w:t>
      </w:r>
      <w:r>
        <w:rPr>
          <w:rFonts w:hint="eastAsia" w:ascii="Times New Roman" w:cs="Times New Roman"/>
          <w:bCs/>
        </w:rPr>
        <w:t>4</w:t>
      </w:r>
      <w:r>
        <w:rPr>
          <w:rFonts w:ascii="Times New Roman" w:cs="Times New Roman"/>
          <w:bCs/>
        </w:rPr>
        <w:t>口居民水井。</w:t>
      </w:r>
    </w:p>
    <w:p>
      <w:pPr>
        <w:autoSpaceDE w:val="0"/>
        <w:autoSpaceDN w:val="0"/>
        <w:ind w:firstLine="480"/>
        <w:rPr>
          <w:rFonts w:ascii="Times New Roman" w:cs="Times New Roman"/>
          <w:bCs/>
        </w:rPr>
      </w:pPr>
      <w:r>
        <w:rPr>
          <w:rFonts w:ascii="Times New Roman" w:cs="Times New Roman"/>
          <w:bCs/>
        </w:rPr>
        <w:t>综上，根据《全国地下水功能区划分技术大纲》的要求和实地调查评价区地下水环境状况，本项目评价区地下水功能为供水水源资源功能。</w:t>
      </w:r>
    </w:p>
    <w:p>
      <w:pPr>
        <w:autoSpaceDE w:val="0"/>
        <w:autoSpaceDN w:val="0"/>
        <w:ind w:firstLine="480"/>
        <w:rPr>
          <w:rFonts w:ascii="Times New Roman" w:cs="Times New Roman"/>
          <w:bCs/>
        </w:rPr>
      </w:pPr>
      <w:r>
        <w:rPr>
          <w:rFonts w:ascii="Times New Roman" w:cs="Times New Roman"/>
          <w:bCs/>
        </w:rPr>
        <w:t xml:space="preserve">（2）地下水环境保护目标 </w:t>
      </w:r>
    </w:p>
    <w:p>
      <w:pPr>
        <w:autoSpaceDE w:val="0"/>
        <w:autoSpaceDN w:val="0"/>
        <w:ind w:firstLine="480"/>
        <w:rPr>
          <w:rFonts w:ascii="Times New Roman" w:cs="Times New Roman"/>
          <w:bCs/>
        </w:rPr>
      </w:pPr>
      <w:r>
        <w:rPr>
          <w:rFonts w:ascii="Times New Roman" w:cs="Times New Roman"/>
          <w:bCs/>
        </w:rPr>
        <w:t xml:space="preserve">根据外环境调查，结合项目场地所处水文地质条件，区域地下水总体流向为东至西，排泄至后河。项目施工可能受影响的含水层为基岩裂隙水。本项目地下水环境保护目标见前文“1.9.3 外环境关系”。 </w:t>
      </w:r>
    </w:p>
    <w:p>
      <w:pPr>
        <w:autoSpaceDE w:val="0"/>
        <w:autoSpaceDN w:val="0"/>
        <w:ind w:firstLine="480"/>
        <w:rPr>
          <w:rFonts w:ascii="Times New Roman" w:cs="Times New Roman"/>
          <w:bCs/>
        </w:rPr>
      </w:pPr>
      <w:r>
        <w:rPr>
          <w:rFonts w:ascii="Times New Roman" w:cs="Times New Roman"/>
          <w:bCs/>
        </w:rPr>
        <w:t xml:space="preserve">6、地下水评价因子及识别 </w:t>
      </w:r>
    </w:p>
    <w:p>
      <w:pPr>
        <w:autoSpaceDE w:val="0"/>
        <w:autoSpaceDN w:val="0"/>
        <w:ind w:firstLine="480"/>
        <w:rPr>
          <w:rFonts w:ascii="Times New Roman" w:cs="Times New Roman"/>
          <w:bCs/>
        </w:rPr>
      </w:pPr>
      <w:r>
        <w:rPr>
          <w:rFonts w:ascii="Times New Roman" w:cs="Times New Roman"/>
          <w:bCs/>
        </w:rPr>
        <w:t>（1）地下水环境现状评价因子</w:t>
      </w:r>
    </w:p>
    <w:p>
      <w:pPr>
        <w:autoSpaceDE w:val="0"/>
        <w:autoSpaceDN w:val="0"/>
        <w:ind w:firstLine="480"/>
        <w:rPr>
          <w:rFonts w:ascii="Times New Roman" w:cs="Times New Roman"/>
          <w:bCs/>
        </w:rPr>
      </w:pPr>
      <w:r>
        <w:rPr>
          <w:rFonts w:ascii="Times New Roman" w:cs="Times New Roman"/>
          <w:bCs/>
        </w:rPr>
        <w:t xml:space="preserve">地下水环境：K </w:t>
      </w:r>
      <w:r>
        <w:rPr>
          <w:rFonts w:ascii="Times New Roman" w:cs="Times New Roman"/>
          <w:bCs/>
          <w:vertAlign w:val="superscript"/>
        </w:rPr>
        <w:t>+</w:t>
      </w:r>
      <w:r>
        <w:rPr>
          <w:rFonts w:ascii="Times New Roman" w:cs="Times New Roman"/>
          <w:bCs/>
        </w:rPr>
        <w:t>、Na</w:t>
      </w:r>
      <w:r>
        <w:rPr>
          <w:rFonts w:ascii="Times New Roman" w:cs="Times New Roman"/>
          <w:bCs/>
          <w:vertAlign w:val="superscript"/>
        </w:rPr>
        <w:t>+</w:t>
      </w:r>
      <w:r>
        <w:rPr>
          <w:rFonts w:ascii="Times New Roman" w:cs="Times New Roman"/>
          <w:bCs/>
        </w:rPr>
        <w:t>、Ca</w:t>
      </w:r>
      <w:r>
        <w:rPr>
          <w:rFonts w:ascii="Times New Roman" w:cs="Times New Roman"/>
          <w:bCs/>
          <w:vertAlign w:val="superscript"/>
        </w:rPr>
        <w:t>2+</w:t>
      </w:r>
      <w:r>
        <w:rPr>
          <w:rFonts w:ascii="Times New Roman" w:cs="Times New Roman"/>
          <w:bCs/>
        </w:rPr>
        <w:t>、Mg</w:t>
      </w:r>
      <w:r>
        <w:rPr>
          <w:rFonts w:ascii="Times New Roman" w:cs="Times New Roman"/>
          <w:bCs/>
          <w:vertAlign w:val="superscript"/>
        </w:rPr>
        <w:t>2+</w:t>
      </w:r>
      <w:r>
        <w:rPr>
          <w:rFonts w:ascii="Times New Roman" w:cs="Times New Roman"/>
          <w:bCs/>
        </w:rPr>
        <w:t>、CO</w:t>
      </w:r>
      <w:r>
        <w:rPr>
          <w:rFonts w:ascii="Times New Roman" w:cs="Times New Roman"/>
          <w:bCs/>
          <w:vertAlign w:val="subscript"/>
        </w:rPr>
        <w:t>3</w:t>
      </w:r>
      <w:r>
        <w:rPr>
          <w:rFonts w:ascii="Times New Roman" w:cs="Times New Roman"/>
          <w:bCs/>
        </w:rPr>
        <w:t xml:space="preserve"> </w:t>
      </w:r>
      <w:r>
        <w:rPr>
          <w:rFonts w:ascii="Times New Roman" w:cs="Times New Roman"/>
          <w:bCs/>
          <w:vertAlign w:val="superscript"/>
        </w:rPr>
        <w:t>2-</w:t>
      </w:r>
      <w:r>
        <w:rPr>
          <w:rFonts w:ascii="Times New Roman" w:cs="Times New Roman"/>
          <w:bCs/>
        </w:rPr>
        <w:t>、HCO</w:t>
      </w:r>
      <w:r>
        <w:rPr>
          <w:rFonts w:ascii="Times New Roman" w:cs="Times New Roman"/>
          <w:bCs/>
          <w:vertAlign w:val="subscript"/>
        </w:rPr>
        <w:t>3</w:t>
      </w:r>
      <w:r>
        <w:rPr>
          <w:rFonts w:ascii="Times New Roman" w:cs="Times New Roman"/>
          <w:bCs/>
          <w:vertAlign w:val="superscript"/>
        </w:rPr>
        <w:t>-</w:t>
      </w:r>
      <w:r>
        <w:rPr>
          <w:rFonts w:ascii="Times New Roman" w:cs="Times New Roman"/>
          <w:bCs/>
        </w:rPr>
        <w:t>、Cl</w:t>
      </w:r>
      <w:r>
        <w:rPr>
          <w:rFonts w:ascii="Times New Roman" w:cs="Times New Roman"/>
          <w:bCs/>
          <w:vertAlign w:val="superscript"/>
        </w:rPr>
        <w:t>-</w:t>
      </w:r>
      <w:r>
        <w:rPr>
          <w:rFonts w:ascii="Times New Roman" w:cs="Times New Roman"/>
          <w:bCs/>
        </w:rPr>
        <w:t>、SO</w:t>
      </w:r>
      <w:r>
        <w:rPr>
          <w:rFonts w:ascii="Times New Roman" w:cs="Times New Roman"/>
          <w:bCs/>
          <w:vertAlign w:val="subscript"/>
        </w:rPr>
        <w:t>4</w:t>
      </w:r>
      <w:r>
        <w:rPr>
          <w:rFonts w:ascii="Times New Roman" w:cs="Times New Roman"/>
          <w:bCs/>
        </w:rPr>
        <w:t xml:space="preserve"> </w:t>
      </w:r>
      <w:r>
        <w:rPr>
          <w:rFonts w:ascii="Times New Roman" w:cs="Times New Roman"/>
          <w:bCs/>
          <w:vertAlign w:val="superscript"/>
        </w:rPr>
        <w:t>2-</w:t>
      </w:r>
      <w:r>
        <w:rPr>
          <w:rFonts w:ascii="Times New Roman" w:cs="Times New Roman"/>
          <w:bCs/>
        </w:rPr>
        <w:t xml:space="preserve">、pH、氨氮、 硝酸盐、亚硝酸盐、挥发性酚类、氰化物、砷、汞、铬（六价）、总硬度、铅、氟、镉、铁、锰、溶解性总固体、高锰酸盐指数、硫酸盐。 </w:t>
      </w:r>
    </w:p>
    <w:p>
      <w:pPr>
        <w:autoSpaceDE w:val="0"/>
        <w:autoSpaceDN w:val="0"/>
        <w:ind w:firstLine="480"/>
        <w:rPr>
          <w:rFonts w:ascii="Times New Roman" w:cs="Times New Roman"/>
          <w:bCs/>
        </w:rPr>
      </w:pPr>
      <w:r>
        <w:rPr>
          <w:rFonts w:ascii="Times New Roman" w:cs="Times New Roman"/>
          <w:bCs/>
        </w:rPr>
        <w:t xml:space="preserve">（2）地下水环境影响评价因子 </w:t>
      </w:r>
    </w:p>
    <w:p>
      <w:pPr>
        <w:autoSpaceDE w:val="0"/>
        <w:autoSpaceDN w:val="0"/>
        <w:ind w:firstLine="480"/>
        <w:rPr>
          <w:rFonts w:ascii="Times New Roman" w:cs="Times New Roman"/>
          <w:bCs/>
        </w:rPr>
      </w:pPr>
      <w:r>
        <w:rPr>
          <w:rFonts w:ascii="Times New Roman" w:cs="Times New Roman"/>
          <w:bCs/>
        </w:rPr>
        <w:t xml:space="preserve">鉴于本项目废水具有氯化物、悬浮物含量高，含石油类、有机物，且变化范围大，水质复杂的特点，类比同类项目，本项目产生废水水质主要含有机物、石油类、氯离子、无机盐等。 </w:t>
      </w:r>
    </w:p>
    <w:p>
      <w:pPr>
        <w:autoSpaceDE w:val="0"/>
        <w:autoSpaceDN w:val="0"/>
        <w:ind w:firstLine="480"/>
        <w:rPr>
          <w:rFonts w:ascii="Times New Roman" w:cs="Times New Roman"/>
          <w:bCs/>
        </w:rPr>
      </w:pPr>
      <w:r>
        <w:rPr>
          <w:rFonts w:ascii="Times New Roman" w:cs="Times New Roman"/>
          <w:bCs/>
        </w:rPr>
        <w:t xml:space="preserve">根据《环境影响评价技术导则 地下水环境》（HJ610-2016），预测因子识别应对项目污染物进行分类后（重金属、持久性污染物和其他类别进行分类），对每一类中各项因子采用标准指数法进行排序，分别取标准指数最大的因子作为预测因子；如该项目属于技改项目，将选择技改后继续产生的特征因子，改扩建后新增加的特征因子作为预测因子；污染场地已经查明的主要污染物作为预测因子。 </w:t>
      </w:r>
    </w:p>
    <w:p>
      <w:pPr>
        <w:autoSpaceDE w:val="0"/>
        <w:autoSpaceDN w:val="0"/>
        <w:ind w:firstLine="480"/>
        <w:rPr>
          <w:rFonts w:ascii="Times New Roman" w:cs="Times New Roman"/>
          <w:bCs/>
        </w:rPr>
      </w:pPr>
      <w:r>
        <w:rPr>
          <w:rFonts w:ascii="Times New Roman" w:cs="Times New Roman"/>
          <w:bCs/>
        </w:rPr>
        <w:t xml:space="preserve">根据监测资料，P108集气站附近潜水含水层地下水水质良好，所有指标均未超过《地下水质量标准》（GB/T14848-2017）中的Ⅲ类标准限值要求。基于本项目废水的水质特征，选择无机离子中等标污染负荷最大的氯离子，持久性污染物中等标污染负荷最大的 CODCr，特征污染因子石油类作为本次评价的预测因子。 </w:t>
      </w:r>
    </w:p>
    <w:p>
      <w:pPr>
        <w:autoSpaceDE w:val="0"/>
        <w:autoSpaceDN w:val="0"/>
        <w:ind w:firstLine="482"/>
        <w:rPr>
          <w:rFonts w:ascii="Times New Roman" w:cs="Times New Roman"/>
          <w:b/>
        </w:rPr>
      </w:pPr>
      <w:r>
        <w:rPr>
          <w:rFonts w:ascii="Times New Roman" w:cs="Times New Roman"/>
          <w:b/>
        </w:rPr>
        <w:t xml:space="preserve">7、水文地质参数识别 </w:t>
      </w:r>
    </w:p>
    <w:p>
      <w:pPr>
        <w:autoSpaceDE w:val="0"/>
        <w:autoSpaceDN w:val="0"/>
        <w:ind w:firstLine="480"/>
        <w:rPr>
          <w:rFonts w:ascii="Times New Roman" w:cs="Times New Roman"/>
          <w:bCs/>
        </w:rPr>
      </w:pPr>
      <w:r>
        <w:rPr>
          <w:rFonts w:ascii="Times New Roman" w:cs="Times New Roman"/>
          <w:bCs/>
        </w:rPr>
        <w:t>本次评价参考</w:t>
      </w:r>
      <w:r>
        <w:rPr>
          <w:rFonts w:hint="eastAsia" w:ascii="Times New Roman" w:cs="Times New Roman"/>
          <w:bCs/>
        </w:rPr>
        <w:t>结合《水文地质手册（第二版）》（中国地质调查局，2002年）经验数值</w:t>
      </w:r>
      <w:r>
        <w:rPr>
          <w:rFonts w:ascii="Times New Roman" w:cs="Times New Roman"/>
          <w:bCs/>
        </w:rPr>
        <w:t>。</w:t>
      </w:r>
    </w:p>
    <w:p>
      <w:pPr>
        <w:autoSpaceDE w:val="0"/>
        <w:autoSpaceDN w:val="0"/>
        <w:ind w:firstLine="482"/>
        <w:rPr>
          <w:rFonts w:ascii="Times New Roman" w:cs="Times New Roman"/>
          <w:b/>
        </w:rPr>
      </w:pPr>
      <w:r>
        <w:rPr>
          <w:rFonts w:ascii="Times New Roman" w:cs="Times New Roman"/>
          <w:b/>
        </w:rPr>
        <w:t xml:space="preserve">8、工程建设对地下水的影响 </w:t>
      </w:r>
    </w:p>
    <w:p>
      <w:pPr>
        <w:autoSpaceDE w:val="0"/>
        <w:autoSpaceDN w:val="0"/>
        <w:ind w:firstLine="480"/>
        <w:rPr>
          <w:rFonts w:ascii="Times New Roman" w:cs="Times New Roman"/>
          <w:bCs/>
        </w:rPr>
      </w:pPr>
      <w:r>
        <w:rPr>
          <w:rFonts w:ascii="Times New Roman" w:cs="Times New Roman"/>
          <w:bCs/>
        </w:rPr>
        <w:t xml:space="preserve">（1）正常情况下对地下水的影响分析 </w:t>
      </w:r>
    </w:p>
    <w:p>
      <w:pPr>
        <w:autoSpaceDE w:val="0"/>
        <w:autoSpaceDN w:val="0"/>
        <w:ind w:firstLine="480"/>
        <w:rPr>
          <w:rFonts w:ascii="Times New Roman" w:cs="Times New Roman"/>
          <w:bCs/>
        </w:rPr>
      </w:pPr>
      <w:r>
        <w:rPr>
          <w:rFonts w:ascii="Times New Roman" w:cs="Times New Roman"/>
          <w:bCs/>
        </w:rPr>
        <w:t xml:space="preserve">施工期对地下水污染源主要来自于钻井工程。正常状况下，施工过程中产生的废水等污染物储存于污水池中，在严格的防渗、防溢流、防泄漏、防腐蚀的隔离下，施工过程中产生的废水不会对场地周围的地下水产生很大影响。本项目按照《中国石化油气田钻井和作业污染防治管理规定》（2011年8月9日）采取污染防治措施，正常状况下不会发生污水泄漏渗入地下的情况，不会对浅层地下水造成污染。 </w:t>
      </w:r>
    </w:p>
    <w:p>
      <w:pPr>
        <w:autoSpaceDE w:val="0"/>
        <w:autoSpaceDN w:val="0"/>
        <w:ind w:firstLine="480"/>
        <w:rPr>
          <w:rFonts w:ascii="Times New Roman" w:cs="Times New Roman"/>
          <w:bCs/>
        </w:rPr>
      </w:pPr>
      <w:r>
        <w:rPr>
          <w:rFonts w:ascii="Times New Roman" w:cs="Times New Roman"/>
          <w:bCs/>
        </w:rPr>
        <w:t xml:space="preserve">（2）非正常情况下对地下水的影响分析 </w:t>
      </w:r>
    </w:p>
    <w:p>
      <w:pPr>
        <w:autoSpaceDE w:val="0"/>
        <w:autoSpaceDN w:val="0"/>
        <w:ind w:firstLine="480"/>
        <w:rPr>
          <w:rFonts w:ascii="Times New Roman" w:cs="Times New Roman"/>
          <w:bCs/>
        </w:rPr>
      </w:pPr>
      <w:r>
        <w:rPr>
          <w:rFonts w:ascii="Times New Roman" w:cs="Times New Roman"/>
          <w:bCs/>
        </w:rPr>
        <w:t>1）预测原则</w:t>
      </w:r>
    </w:p>
    <w:p>
      <w:pPr>
        <w:autoSpaceDE w:val="0"/>
        <w:autoSpaceDN w:val="0"/>
        <w:ind w:firstLine="480"/>
        <w:rPr>
          <w:rFonts w:ascii="Times New Roman" w:cs="Times New Roman"/>
          <w:bCs/>
        </w:rPr>
      </w:pPr>
      <w:r>
        <w:rPr>
          <w:rFonts w:ascii="Times New Roman" w:cs="Times New Roman"/>
          <w:bCs/>
        </w:rPr>
        <w:t xml:space="preserve">考虑地下水环境污染的隐蔽性和难恢复性，遵循环境安全性原则，预测评价将为各方案的环境安全和环境保护措施的合理性提供依据。 </w:t>
      </w:r>
    </w:p>
    <w:p>
      <w:pPr>
        <w:autoSpaceDE w:val="0"/>
        <w:autoSpaceDN w:val="0"/>
        <w:ind w:firstLine="480"/>
        <w:rPr>
          <w:rFonts w:ascii="Times New Roman" w:cs="Times New Roman"/>
          <w:bCs/>
        </w:rPr>
      </w:pPr>
      <w:r>
        <w:rPr>
          <w:rFonts w:ascii="Times New Roman" w:cs="Times New Roman"/>
          <w:bCs/>
        </w:rPr>
        <w:t>预测的范围、时段和内容根据评价等级、工程特征与环境特征，结合当地环境功能和环保要求来确定，以应急池渗漏污染地下水水质问题为重点，同时给出渗漏状况的预测结果。</w:t>
      </w:r>
    </w:p>
    <w:p>
      <w:pPr>
        <w:autoSpaceDE w:val="0"/>
        <w:autoSpaceDN w:val="0"/>
        <w:ind w:firstLine="480"/>
        <w:rPr>
          <w:rFonts w:ascii="Times New Roman" w:cs="Times New Roman"/>
          <w:bCs/>
        </w:rPr>
      </w:pPr>
      <w:r>
        <w:rPr>
          <w:rFonts w:ascii="Times New Roman" w:cs="Times New Roman"/>
          <w:bCs/>
        </w:rPr>
        <w:t>2）预测方法及范围</w:t>
      </w:r>
    </w:p>
    <w:p>
      <w:pPr>
        <w:autoSpaceDE w:val="0"/>
        <w:autoSpaceDN w:val="0"/>
        <w:ind w:firstLine="480"/>
        <w:rPr>
          <w:rFonts w:ascii="Times New Roman" w:cs="Times New Roman"/>
          <w:bCs/>
        </w:rPr>
      </w:pPr>
      <w:r>
        <w:rPr>
          <w:rFonts w:ascii="Times New Roman" w:cs="Times New Roman"/>
          <w:bCs/>
        </w:rPr>
        <w:t>该项目地下水预测分析主要进行饱和带污染物迁移预测，评价等级属二级，本次进行预测时，采用解析法计算。污染物在地下水系统中的迁移转化过程十分复杂，本次污染物模拟预测过程不考虑污染物在含水层中的吸附、挥发、生物化学反应，模型中各项参数予以保守性考虑。由于污染物预测主要针对非正常状况下污染物运移情况，因此模型预测不考虑包气带对污染物的截留作用，假设污染物可以直接通过包气带进入地下水体，最大限度地考虑污染物对研究区水体的影响。</w:t>
      </w:r>
    </w:p>
    <w:p>
      <w:pPr>
        <w:autoSpaceDE w:val="0"/>
        <w:autoSpaceDN w:val="0"/>
        <w:ind w:firstLine="480"/>
        <w:rPr>
          <w:rFonts w:ascii="Times New Roman" w:cs="Times New Roman"/>
          <w:bCs/>
        </w:rPr>
      </w:pPr>
      <w:r>
        <w:rPr>
          <w:rFonts w:ascii="Times New Roman" w:cs="Times New Roman"/>
          <w:bCs/>
        </w:rPr>
        <w:t>地下水环境影响预测范围与调查评价范围一致，预测层位为潜水含水层。</w:t>
      </w:r>
    </w:p>
    <w:p>
      <w:pPr>
        <w:autoSpaceDE w:val="0"/>
        <w:autoSpaceDN w:val="0"/>
        <w:ind w:firstLine="480"/>
        <w:rPr>
          <w:rFonts w:ascii="Times New Roman" w:cs="Times New Roman"/>
          <w:bCs/>
        </w:rPr>
      </w:pPr>
      <w:r>
        <w:rPr>
          <w:rFonts w:ascii="Times New Roman" w:cs="Times New Roman"/>
          <w:bCs/>
        </w:rPr>
        <w:t>3）预测时段</w:t>
      </w:r>
    </w:p>
    <w:p>
      <w:pPr>
        <w:autoSpaceDE w:val="0"/>
        <w:autoSpaceDN w:val="0"/>
        <w:ind w:firstLine="480"/>
        <w:rPr>
          <w:rFonts w:ascii="Times New Roman" w:cs="Times New Roman"/>
          <w:bCs/>
        </w:rPr>
      </w:pPr>
      <w:r>
        <w:rPr>
          <w:rFonts w:ascii="Times New Roman" w:cs="Times New Roman"/>
          <w:bCs/>
        </w:rPr>
        <w:t>地下水环境影响预测时段应选取可能产生地下水污染的关键时段，至少包括污染发生后100d、1000d，服务年限或能反应特征因子迁移规律的其他重要时间节点。本项目为油气开发井钻采项目，对地下水的影响主要在项目的施工期，生产运行和服务期满后两个阶段对地下水的影响极小。</w:t>
      </w:r>
    </w:p>
    <w:p>
      <w:pPr>
        <w:autoSpaceDE w:val="0"/>
        <w:autoSpaceDN w:val="0"/>
        <w:ind w:firstLine="480"/>
        <w:rPr>
          <w:rFonts w:ascii="Times New Roman" w:cs="Times New Roman"/>
          <w:bCs/>
        </w:rPr>
      </w:pPr>
      <w:r>
        <w:rPr>
          <w:rFonts w:ascii="Times New Roman" w:cs="Times New Roman"/>
          <w:bCs/>
        </w:rPr>
        <w:t>因此，根据《环境影响评价技术导则 地下水环境》（HJ610-2016）和项目施工期时长，将地下水环境影响预测时限定为100天、365天、1000天。</w:t>
      </w:r>
    </w:p>
    <w:p>
      <w:pPr>
        <w:autoSpaceDE w:val="0"/>
        <w:autoSpaceDN w:val="0"/>
        <w:ind w:firstLine="480"/>
        <w:rPr>
          <w:rFonts w:ascii="Times New Roman" w:cs="Times New Roman"/>
          <w:bCs/>
        </w:rPr>
      </w:pPr>
      <w:r>
        <w:rPr>
          <w:rFonts w:ascii="Times New Roman" w:cs="Times New Roman"/>
          <w:bCs/>
        </w:rPr>
        <w:t xml:space="preserve">4）预测情景设定及源强 </w:t>
      </w:r>
    </w:p>
    <w:p>
      <w:pPr>
        <w:autoSpaceDE w:val="0"/>
        <w:autoSpaceDN w:val="0"/>
        <w:ind w:firstLine="480"/>
        <w:rPr>
          <w:rFonts w:ascii="Times New Roman" w:cs="Times New Roman"/>
          <w:bCs/>
        </w:rPr>
      </w:pPr>
      <w:r>
        <w:rPr>
          <w:rFonts w:ascii="Times New Roman" w:cs="Times New Roman"/>
          <w:bCs/>
        </w:rPr>
        <w:t>根据《环境影响评价技术导则 地下水环境》（HJ610-2016）：一般情况下，建设项目须对正常状况和非正常状况的情景分别进行预测。已依据 GB16889、GB18597、GB18598、GB18599、GB/T50934 设计地下水污染防渗措施的建设项目，可不进行正常状况情景下的预测。</w:t>
      </w:r>
    </w:p>
    <w:p>
      <w:pPr>
        <w:autoSpaceDE w:val="0"/>
        <w:autoSpaceDN w:val="0"/>
        <w:ind w:firstLine="480"/>
        <w:rPr>
          <w:rFonts w:ascii="Times New Roman" w:cs="Times New Roman"/>
          <w:bCs/>
        </w:rPr>
      </w:pPr>
      <w:r>
        <w:rPr>
          <w:rFonts w:ascii="Times New Roman" w:cs="Times New Roman"/>
          <w:bCs/>
        </w:rPr>
        <w:t>本项目已经按照《石油化工工程防渗技术规范》（GB/T50934-2013）对厂区采取“重点污染防治区”、“一般污染防治区”、“非污染防治区”进行了分区防渗措施，因此，本次评价不再考虑正常状况下的情景预测，重点考虑非正常状况下的影响预测。</w:t>
      </w:r>
    </w:p>
    <w:p>
      <w:pPr>
        <w:autoSpaceDE w:val="0"/>
        <w:autoSpaceDN w:val="0"/>
        <w:ind w:firstLine="480"/>
        <w:rPr>
          <w:rFonts w:ascii="Times New Roman" w:cs="Times New Roman"/>
          <w:bCs/>
        </w:rPr>
      </w:pPr>
      <w:r>
        <w:rPr>
          <w:rFonts w:ascii="Times New Roman" w:cs="Times New Roman"/>
          <w:bCs/>
        </w:rPr>
        <w:t>分析本项目的施工工艺及产污环节，非正常状况下对地下水的影响主要包括以下几中情景。</w:t>
      </w:r>
    </w:p>
    <w:p>
      <w:pPr>
        <w:autoSpaceDE w:val="0"/>
        <w:autoSpaceDN w:val="0"/>
        <w:ind w:firstLine="0" w:firstLineChars="0"/>
        <w:jc w:val="center"/>
        <w:rPr>
          <w:rFonts w:ascii="Times New Roman" w:cs="Times New Roman"/>
          <w:bCs/>
        </w:rPr>
      </w:pPr>
      <w:r>
        <w:rPr>
          <w:rFonts w:ascii="Times New Roman" w:cs="Times New Roman"/>
          <w:b/>
        </w:rPr>
        <w:t>表 6.1-3 非正常状况地下水环境影响情景分析</w:t>
      </w:r>
    </w:p>
    <w:tbl>
      <w:tblPr>
        <w:tblStyle w:val="60"/>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0"/>
        <w:gridCol w:w="2088"/>
        <w:gridCol w:w="1012"/>
        <w:gridCol w:w="2488"/>
        <w:gridCol w:w="2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00" w:type="dxa"/>
            <w:tcBorders>
              <w:top w:val="single" w:color="auto" w:sz="12" w:space="0"/>
              <w:left w:val="nil"/>
            </w:tcBorders>
            <w:vAlign w:val="center"/>
          </w:tcPr>
          <w:p>
            <w:pPr>
              <w:topLinePunct w:val="0"/>
              <w:adjustRightInd/>
              <w:spacing w:line="240" w:lineRule="auto"/>
              <w:ind w:firstLine="0" w:firstLineChars="0"/>
              <w:jc w:val="center"/>
              <w:rPr>
                <w:rFonts w:ascii="Times New Roman" w:eastAsia="Times New Roman" w:cs="Times New Roman"/>
                <w:b/>
                <w:sz w:val="21"/>
                <w:szCs w:val="21"/>
              </w:rPr>
            </w:pPr>
            <w:r>
              <w:rPr>
                <w:rFonts w:ascii="Times New Roman" w:eastAsia="Times New Roman" w:cs="Times New Roman"/>
                <w:b/>
                <w:sz w:val="21"/>
                <w:szCs w:val="21"/>
              </w:rPr>
              <w:t>序号</w:t>
            </w:r>
          </w:p>
        </w:tc>
        <w:tc>
          <w:tcPr>
            <w:tcW w:w="2088" w:type="dxa"/>
            <w:tcBorders>
              <w:top w:val="single" w:color="auto" w:sz="12" w:space="0"/>
            </w:tcBorders>
            <w:vAlign w:val="center"/>
          </w:tcPr>
          <w:p>
            <w:pPr>
              <w:topLinePunct w:val="0"/>
              <w:adjustRightInd/>
              <w:spacing w:line="240" w:lineRule="auto"/>
              <w:ind w:firstLine="0" w:firstLineChars="0"/>
              <w:jc w:val="center"/>
              <w:rPr>
                <w:rFonts w:ascii="Times New Roman" w:eastAsia="Times New Roman" w:cs="Times New Roman"/>
                <w:b/>
                <w:sz w:val="21"/>
                <w:szCs w:val="21"/>
              </w:rPr>
            </w:pPr>
            <w:r>
              <w:rPr>
                <w:rFonts w:ascii="Times New Roman" w:eastAsia="Times New Roman" w:cs="Times New Roman"/>
                <w:b/>
                <w:sz w:val="21"/>
                <w:szCs w:val="21"/>
              </w:rPr>
              <w:t>情景设置</w:t>
            </w:r>
          </w:p>
        </w:tc>
        <w:tc>
          <w:tcPr>
            <w:tcW w:w="1012" w:type="dxa"/>
            <w:tcBorders>
              <w:top w:val="single" w:color="auto" w:sz="12" w:space="0"/>
            </w:tcBorders>
            <w:vAlign w:val="center"/>
          </w:tcPr>
          <w:p>
            <w:pPr>
              <w:topLinePunct w:val="0"/>
              <w:adjustRightInd/>
              <w:spacing w:line="240" w:lineRule="auto"/>
              <w:ind w:firstLine="0" w:firstLineChars="0"/>
              <w:jc w:val="center"/>
              <w:rPr>
                <w:rFonts w:ascii="Times New Roman" w:eastAsia="Times New Roman" w:cs="Times New Roman"/>
                <w:b/>
                <w:sz w:val="21"/>
                <w:szCs w:val="21"/>
              </w:rPr>
            </w:pPr>
            <w:r>
              <w:rPr>
                <w:rFonts w:ascii="Times New Roman" w:eastAsia="Times New Roman" w:cs="Times New Roman"/>
                <w:b/>
                <w:sz w:val="21"/>
                <w:szCs w:val="21"/>
              </w:rPr>
              <w:t>污染源</w:t>
            </w:r>
          </w:p>
        </w:tc>
        <w:tc>
          <w:tcPr>
            <w:tcW w:w="2488" w:type="dxa"/>
            <w:tcBorders>
              <w:top w:val="single" w:color="auto" w:sz="12" w:space="0"/>
            </w:tcBorders>
            <w:vAlign w:val="center"/>
          </w:tcPr>
          <w:p>
            <w:pPr>
              <w:topLinePunct w:val="0"/>
              <w:adjustRightInd/>
              <w:spacing w:line="240" w:lineRule="auto"/>
              <w:ind w:firstLine="0" w:firstLineChars="0"/>
              <w:jc w:val="center"/>
              <w:rPr>
                <w:rFonts w:ascii="Times New Roman" w:eastAsia="Times New Roman" w:cs="Times New Roman"/>
                <w:b/>
                <w:sz w:val="21"/>
                <w:szCs w:val="21"/>
              </w:rPr>
            </w:pPr>
            <w:r>
              <w:rPr>
                <w:rFonts w:ascii="Times New Roman" w:eastAsia="Times New Roman" w:cs="Times New Roman"/>
                <w:b/>
                <w:sz w:val="21"/>
                <w:szCs w:val="21"/>
              </w:rPr>
              <w:t>持续时间</w:t>
            </w:r>
          </w:p>
        </w:tc>
        <w:tc>
          <w:tcPr>
            <w:tcW w:w="2146" w:type="dxa"/>
            <w:tcBorders>
              <w:top w:val="single" w:color="auto" w:sz="12" w:space="0"/>
              <w:right w:val="nil"/>
            </w:tcBorders>
            <w:vAlign w:val="center"/>
          </w:tcPr>
          <w:p>
            <w:pPr>
              <w:topLinePunct w:val="0"/>
              <w:adjustRightInd/>
              <w:spacing w:line="240" w:lineRule="auto"/>
              <w:ind w:firstLine="0" w:firstLineChars="0"/>
              <w:jc w:val="center"/>
              <w:rPr>
                <w:rFonts w:ascii="Times New Roman" w:eastAsia="Times New Roman" w:cs="Times New Roman"/>
                <w:b/>
                <w:sz w:val="21"/>
                <w:szCs w:val="21"/>
              </w:rPr>
            </w:pPr>
            <w:r>
              <w:rPr>
                <w:rFonts w:ascii="Times New Roman" w:eastAsia="Times New Roman" w:cs="Times New Roman"/>
                <w:b/>
                <w:sz w:val="21"/>
                <w:szCs w:val="21"/>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00" w:type="dxa"/>
            <w:tcBorders>
              <w:left w:val="nil"/>
            </w:tcBorders>
            <w:vAlign w:val="center"/>
          </w:tcPr>
          <w:p>
            <w:pPr>
              <w:topLinePunct w:val="0"/>
              <w:adjustRightInd/>
              <w:spacing w:line="240" w:lineRule="auto"/>
              <w:ind w:firstLine="0" w:firstLineChars="0"/>
              <w:jc w:val="center"/>
              <w:rPr>
                <w:rFonts w:ascii="Times New Roman" w:eastAsia="Times New Roman" w:cs="Times New Roman"/>
                <w:bCs/>
                <w:sz w:val="21"/>
                <w:szCs w:val="21"/>
              </w:rPr>
            </w:pPr>
            <w:r>
              <w:rPr>
                <w:rFonts w:ascii="Times New Roman" w:eastAsia="Times New Roman" w:cs="Times New Roman"/>
                <w:bCs/>
                <w:sz w:val="21"/>
                <w:szCs w:val="21"/>
              </w:rPr>
              <w:t>情景1</w:t>
            </w:r>
          </w:p>
        </w:tc>
        <w:tc>
          <w:tcPr>
            <w:tcW w:w="2088" w:type="dxa"/>
            <w:vAlign w:val="center"/>
          </w:tcPr>
          <w:p>
            <w:pPr>
              <w:topLinePunct w:val="0"/>
              <w:adjustRightInd/>
              <w:spacing w:line="240" w:lineRule="auto"/>
              <w:ind w:firstLine="0" w:firstLineChars="0"/>
              <w:jc w:val="center"/>
              <w:rPr>
                <w:rFonts w:ascii="Times New Roman" w:eastAsia="Times New Roman" w:cs="Times New Roman"/>
                <w:bCs/>
                <w:sz w:val="21"/>
                <w:szCs w:val="21"/>
              </w:rPr>
            </w:pPr>
            <w:r>
              <w:rPr>
                <w:rFonts w:ascii="Times New Roman" w:eastAsia="Times New Roman" w:cs="Times New Roman"/>
                <w:bCs/>
                <w:sz w:val="21"/>
                <w:szCs w:val="21"/>
              </w:rPr>
              <w:t>钻井过程，井漏、井喷，造成钻井液和钻井泥浆从渗漏进入地下水含水层</w:t>
            </w:r>
          </w:p>
        </w:tc>
        <w:tc>
          <w:tcPr>
            <w:tcW w:w="1012" w:type="dxa"/>
            <w:vAlign w:val="center"/>
          </w:tcPr>
          <w:p>
            <w:pPr>
              <w:topLinePunct w:val="0"/>
              <w:adjustRightInd/>
              <w:spacing w:line="240" w:lineRule="auto"/>
              <w:ind w:firstLine="0" w:firstLineChars="0"/>
              <w:jc w:val="center"/>
              <w:rPr>
                <w:rFonts w:ascii="Times New Roman" w:eastAsia="Times New Roman" w:cs="Times New Roman"/>
                <w:bCs/>
                <w:sz w:val="21"/>
                <w:szCs w:val="21"/>
              </w:rPr>
            </w:pPr>
            <w:r>
              <w:rPr>
                <w:rFonts w:ascii="Times New Roman" w:eastAsia="Times New Roman" w:cs="Times New Roman"/>
                <w:bCs/>
                <w:sz w:val="21"/>
                <w:szCs w:val="21"/>
              </w:rPr>
              <w:t>钻井</w:t>
            </w:r>
          </w:p>
        </w:tc>
        <w:tc>
          <w:tcPr>
            <w:tcW w:w="2488" w:type="dxa"/>
            <w:vAlign w:val="center"/>
          </w:tcPr>
          <w:p>
            <w:pPr>
              <w:topLinePunct w:val="0"/>
              <w:adjustRightInd/>
              <w:spacing w:line="240" w:lineRule="auto"/>
              <w:ind w:firstLine="0" w:firstLineChars="0"/>
              <w:jc w:val="center"/>
              <w:rPr>
                <w:rFonts w:ascii="Times New Roman" w:eastAsia="Times New Roman" w:cs="Times New Roman"/>
                <w:bCs/>
                <w:sz w:val="21"/>
                <w:szCs w:val="21"/>
              </w:rPr>
            </w:pPr>
            <w:r>
              <w:rPr>
                <w:rFonts w:ascii="Times New Roman" w:eastAsia="Times New Roman" w:cs="Times New Roman"/>
                <w:bCs/>
                <w:sz w:val="21"/>
                <w:szCs w:val="21"/>
              </w:rPr>
              <w:t>钻井平台设有泥浆泄漏量监控系统，可以及时发现井漏，并采取堵漏措施，持续时间通常不会超过1d</w:t>
            </w:r>
          </w:p>
        </w:tc>
        <w:tc>
          <w:tcPr>
            <w:tcW w:w="2146" w:type="dxa"/>
            <w:tcBorders>
              <w:right w:val="nil"/>
            </w:tcBorders>
            <w:vAlign w:val="center"/>
          </w:tcPr>
          <w:p>
            <w:pPr>
              <w:topLinePunct w:val="0"/>
              <w:adjustRightInd/>
              <w:spacing w:line="240" w:lineRule="auto"/>
              <w:ind w:firstLine="0" w:firstLineChars="0"/>
              <w:jc w:val="center"/>
              <w:rPr>
                <w:rFonts w:ascii="Times New Roman" w:eastAsia="Times New Roman" w:cs="Times New Roman"/>
                <w:bCs/>
                <w:sz w:val="21"/>
                <w:szCs w:val="21"/>
              </w:rPr>
            </w:pPr>
            <w:r>
              <w:rPr>
                <w:rFonts w:ascii="Times New Roman" w:eastAsia="Times New Roman" w:cs="Times New Roman"/>
                <w:bCs/>
                <w:sz w:val="21"/>
                <w:szCs w:val="21"/>
              </w:rPr>
              <w:t>浅层采用水基泥浆钻井，表层套管下深50m，提高固井质量等措施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00" w:type="dxa"/>
            <w:tcBorders>
              <w:left w:val="nil"/>
            </w:tcBorders>
            <w:vAlign w:val="center"/>
          </w:tcPr>
          <w:p>
            <w:pPr>
              <w:topLinePunct w:val="0"/>
              <w:adjustRightInd/>
              <w:spacing w:line="240" w:lineRule="auto"/>
              <w:ind w:firstLine="0" w:firstLineChars="0"/>
              <w:jc w:val="center"/>
              <w:rPr>
                <w:rFonts w:ascii="Times New Roman" w:eastAsia="Times New Roman" w:cs="Times New Roman"/>
                <w:bCs/>
                <w:sz w:val="21"/>
                <w:szCs w:val="21"/>
              </w:rPr>
            </w:pPr>
            <w:r>
              <w:rPr>
                <w:rFonts w:ascii="Times New Roman" w:eastAsia="Times New Roman" w:cs="Times New Roman"/>
                <w:bCs/>
                <w:sz w:val="21"/>
                <w:szCs w:val="21"/>
              </w:rPr>
              <w:t>情景2</w:t>
            </w:r>
          </w:p>
        </w:tc>
        <w:tc>
          <w:tcPr>
            <w:tcW w:w="2088" w:type="dxa"/>
            <w:vAlign w:val="center"/>
          </w:tcPr>
          <w:p>
            <w:pPr>
              <w:topLinePunct w:val="0"/>
              <w:adjustRightInd/>
              <w:spacing w:line="240" w:lineRule="auto"/>
              <w:ind w:firstLine="0" w:firstLineChars="0"/>
              <w:jc w:val="center"/>
              <w:rPr>
                <w:rFonts w:ascii="Times New Roman" w:eastAsia="Times New Roman" w:cs="Times New Roman"/>
                <w:bCs/>
                <w:sz w:val="21"/>
                <w:szCs w:val="21"/>
              </w:rPr>
            </w:pPr>
            <w:r>
              <w:rPr>
                <w:rFonts w:ascii="Times New Roman" w:eastAsia="Times New Roman" w:cs="Times New Roman"/>
                <w:bCs/>
                <w:sz w:val="21"/>
                <w:szCs w:val="21"/>
              </w:rPr>
              <w:t>钻井废水储存期间，防渗失效发生渗漏进入地下水</w:t>
            </w:r>
          </w:p>
        </w:tc>
        <w:tc>
          <w:tcPr>
            <w:tcW w:w="1012" w:type="dxa"/>
            <w:vAlign w:val="center"/>
          </w:tcPr>
          <w:p>
            <w:pPr>
              <w:topLinePunct w:val="0"/>
              <w:adjustRightInd/>
              <w:spacing w:line="240" w:lineRule="auto"/>
              <w:ind w:firstLine="0" w:firstLineChars="0"/>
              <w:jc w:val="center"/>
              <w:rPr>
                <w:rFonts w:ascii="Times New Roman" w:eastAsia="Times New Roman" w:cs="Times New Roman"/>
                <w:bCs/>
                <w:sz w:val="21"/>
                <w:szCs w:val="21"/>
              </w:rPr>
            </w:pPr>
            <w:r>
              <w:rPr>
                <w:rFonts w:ascii="Times New Roman" w:eastAsia="Times New Roman" w:cs="Times New Roman"/>
                <w:bCs/>
                <w:sz w:val="21"/>
                <w:szCs w:val="21"/>
              </w:rPr>
              <w:t>污水罐</w:t>
            </w:r>
          </w:p>
        </w:tc>
        <w:tc>
          <w:tcPr>
            <w:tcW w:w="2488" w:type="dxa"/>
            <w:vAlign w:val="center"/>
          </w:tcPr>
          <w:p>
            <w:pPr>
              <w:topLinePunct w:val="0"/>
              <w:adjustRightInd/>
              <w:spacing w:line="240" w:lineRule="auto"/>
              <w:ind w:firstLine="0" w:firstLineChars="0"/>
              <w:jc w:val="center"/>
              <w:rPr>
                <w:rFonts w:ascii="Times New Roman" w:eastAsia="Times New Roman" w:cs="Times New Roman"/>
                <w:bCs/>
                <w:sz w:val="21"/>
                <w:szCs w:val="21"/>
              </w:rPr>
            </w:pPr>
            <w:r>
              <w:rPr>
                <w:rFonts w:ascii="Times New Roman" w:eastAsia="Times New Roman" w:cs="Times New Roman"/>
                <w:bCs/>
                <w:sz w:val="21"/>
                <w:szCs w:val="21"/>
              </w:rPr>
              <w:t>污水池设有液位报警仪，可以及时发现渗漏并采取措施，持续时间通常不超过1d</w:t>
            </w:r>
          </w:p>
        </w:tc>
        <w:tc>
          <w:tcPr>
            <w:tcW w:w="2146" w:type="dxa"/>
            <w:tcBorders>
              <w:right w:val="nil"/>
            </w:tcBorders>
            <w:vAlign w:val="center"/>
          </w:tcPr>
          <w:p>
            <w:pPr>
              <w:topLinePunct w:val="0"/>
              <w:adjustRightInd/>
              <w:spacing w:line="240" w:lineRule="auto"/>
              <w:ind w:firstLine="0" w:firstLineChars="0"/>
              <w:jc w:val="center"/>
              <w:rPr>
                <w:rFonts w:ascii="Times New Roman" w:eastAsia="Times New Roman" w:cs="Times New Roman"/>
                <w:bCs/>
                <w:sz w:val="21"/>
                <w:szCs w:val="21"/>
              </w:rPr>
            </w:pPr>
            <w:r>
              <w:rPr>
                <w:rFonts w:ascii="Times New Roman" w:eastAsia="Times New Roman" w:cs="Times New Roman"/>
                <w:bCs/>
                <w:sz w:val="21"/>
                <w:szCs w:val="21"/>
              </w:rPr>
              <w:t>污水灌须设置围堰且按重点污染防治区进行防渗，污水池防渗须满足规范要求，加强液位观测，及时转运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00" w:type="dxa"/>
            <w:tcBorders>
              <w:left w:val="nil"/>
            </w:tcBorders>
            <w:vAlign w:val="center"/>
          </w:tcPr>
          <w:p>
            <w:pPr>
              <w:topLinePunct w:val="0"/>
              <w:adjustRightInd/>
              <w:spacing w:line="240" w:lineRule="auto"/>
              <w:ind w:firstLine="0" w:firstLineChars="0"/>
              <w:jc w:val="center"/>
              <w:rPr>
                <w:rFonts w:ascii="Times New Roman" w:eastAsia="Times New Roman" w:cs="Times New Roman"/>
                <w:bCs/>
                <w:sz w:val="21"/>
                <w:szCs w:val="21"/>
              </w:rPr>
            </w:pPr>
            <w:r>
              <w:rPr>
                <w:rFonts w:ascii="Times New Roman" w:eastAsia="Times New Roman" w:cs="Times New Roman"/>
                <w:bCs/>
                <w:sz w:val="21"/>
                <w:szCs w:val="21"/>
              </w:rPr>
              <w:t>情景3</w:t>
            </w:r>
          </w:p>
        </w:tc>
        <w:tc>
          <w:tcPr>
            <w:tcW w:w="2088" w:type="dxa"/>
            <w:vAlign w:val="center"/>
          </w:tcPr>
          <w:p>
            <w:pPr>
              <w:topLinePunct w:val="0"/>
              <w:adjustRightInd/>
              <w:spacing w:line="240" w:lineRule="auto"/>
              <w:ind w:firstLine="0" w:firstLineChars="0"/>
              <w:jc w:val="center"/>
              <w:rPr>
                <w:rFonts w:ascii="Times New Roman" w:eastAsia="Times New Roman" w:cs="Times New Roman"/>
                <w:bCs/>
                <w:sz w:val="21"/>
                <w:szCs w:val="21"/>
              </w:rPr>
            </w:pPr>
            <w:r>
              <w:rPr>
                <w:rFonts w:ascii="Times New Roman" w:eastAsia="Times New Roman" w:cs="Times New Roman"/>
                <w:bCs/>
                <w:sz w:val="21"/>
                <w:szCs w:val="21"/>
              </w:rPr>
              <w:t>洗井废水储存期间，防渗失效发生渗漏进入地下水</w:t>
            </w:r>
          </w:p>
        </w:tc>
        <w:tc>
          <w:tcPr>
            <w:tcW w:w="1012" w:type="dxa"/>
            <w:vAlign w:val="center"/>
          </w:tcPr>
          <w:p>
            <w:pPr>
              <w:topLinePunct w:val="0"/>
              <w:adjustRightInd/>
              <w:spacing w:line="240" w:lineRule="auto"/>
              <w:ind w:firstLine="0" w:firstLineChars="0"/>
              <w:jc w:val="center"/>
              <w:rPr>
                <w:rFonts w:ascii="Times New Roman" w:eastAsia="Times New Roman" w:cs="Times New Roman"/>
                <w:bCs/>
                <w:sz w:val="21"/>
                <w:szCs w:val="21"/>
              </w:rPr>
            </w:pPr>
            <w:r>
              <w:rPr>
                <w:rFonts w:ascii="Times New Roman" w:eastAsia="Times New Roman" w:cs="Times New Roman"/>
                <w:bCs/>
                <w:sz w:val="21"/>
                <w:szCs w:val="21"/>
              </w:rPr>
              <w:t>放喷池</w:t>
            </w:r>
          </w:p>
        </w:tc>
        <w:tc>
          <w:tcPr>
            <w:tcW w:w="2488" w:type="dxa"/>
            <w:vAlign w:val="center"/>
          </w:tcPr>
          <w:p>
            <w:pPr>
              <w:topLinePunct w:val="0"/>
              <w:adjustRightInd/>
              <w:spacing w:line="240" w:lineRule="auto"/>
              <w:ind w:firstLine="0" w:firstLineChars="0"/>
              <w:jc w:val="center"/>
              <w:rPr>
                <w:rFonts w:ascii="Times New Roman" w:eastAsia="Times New Roman" w:cs="Times New Roman"/>
                <w:bCs/>
                <w:sz w:val="21"/>
                <w:szCs w:val="21"/>
              </w:rPr>
            </w:pPr>
            <w:r>
              <w:rPr>
                <w:rFonts w:ascii="Times New Roman" w:eastAsia="Times New Roman" w:cs="Times New Roman"/>
                <w:bCs/>
                <w:sz w:val="21"/>
                <w:szCs w:val="21"/>
              </w:rPr>
              <w:t>放喷池设有液位报警仪，可以及时发现渗漏并采取措施，持续时间通常不超过1d</w:t>
            </w:r>
          </w:p>
        </w:tc>
        <w:tc>
          <w:tcPr>
            <w:tcW w:w="2146" w:type="dxa"/>
            <w:tcBorders>
              <w:right w:val="nil"/>
            </w:tcBorders>
            <w:vAlign w:val="center"/>
          </w:tcPr>
          <w:p>
            <w:pPr>
              <w:topLinePunct w:val="0"/>
              <w:adjustRightInd/>
              <w:spacing w:line="240" w:lineRule="auto"/>
              <w:ind w:firstLine="0" w:firstLineChars="0"/>
              <w:jc w:val="center"/>
              <w:rPr>
                <w:rFonts w:ascii="Times New Roman" w:eastAsia="Times New Roman" w:cs="Times New Roman"/>
                <w:bCs/>
                <w:sz w:val="21"/>
                <w:szCs w:val="21"/>
              </w:rPr>
            </w:pPr>
            <w:r>
              <w:rPr>
                <w:rFonts w:ascii="Times New Roman" w:eastAsia="Times New Roman" w:cs="Times New Roman"/>
                <w:bCs/>
                <w:sz w:val="21"/>
                <w:szCs w:val="21"/>
              </w:rPr>
              <w:t>放喷池按照重点污染防治区进行防渗处理，加强液位观测，及时转运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00" w:type="dxa"/>
            <w:tcBorders>
              <w:left w:val="nil"/>
            </w:tcBorders>
            <w:vAlign w:val="center"/>
          </w:tcPr>
          <w:p>
            <w:pPr>
              <w:topLinePunct w:val="0"/>
              <w:adjustRightInd/>
              <w:spacing w:line="240" w:lineRule="auto"/>
              <w:ind w:firstLine="0" w:firstLineChars="0"/>
              <w:jc w:val="center"/>
              <w:rPr>
                <w:rFonts w:ascii="Times New Roman" w:eastAsia="Times New Roman" w:cs="Times New Roman"/>
                <w:bCs/>
                <w:sz w:val="21"/>
                <w:szCs w:val="21"/>
              </w:rPr>
            </w:pPr>
            <w:r>
              <w:rPr>
                <w:rFonts w:ascii="Times New Roman" w:eastAsia="Times New Roman" w:cs="Times New Roman"/>
                <w:bCs/>
                <w:sz w:val="21"/>
                <w:szCs w:val="21"/>
              </w:rPr>
              <w:t>情景4</w:t>
            </w:r>
          </w:p>
        </w:tc>
        <w:tc>
          <w:tcPr>
            <w:tcW w:w="2088" w:type="dxa"/>
            <w:vAlign w:val="center"/>
          </w:tcPr>
          <w:p>
            <w:pPr>
              <w:topLinePunct w:val="0"/>
              <w:adjustRightInd/>
              <w:spacing w:line="240" w:lineRule="auto"/>
              <w:ind w:firstLine="0" w:firstLineChars="0"/>
              <w:jc w:val="center"/>
              <w:rPr>
                <w:rFonts w:ascii="Times New Roman" w:eastAsia="Times New Roman" w:cs="Times New Roman"/>
                <w:bCs/>
                <w:sz w:val="21"/>
                <w:szCs w:val="21"/>
              </w:rPr>
            </w:pPr>
            <w:r>
              <w:rPr>
                <w:rFonts w:ascii="Times New Roman" w:eastAsia="Times New Roman" w:cs="Times New Roman"/>
                <w:bCs/>
                <w:sz w:val="21"/>
                <w:szCs w:val="21"/>
              </w:rPr>
              <w:t>酸化压裂废水储存期间，防渗失效发生渗漏进入地下水</w:t>
            </w:r>
          </w:p>
        </w:tc>
        <w:tc>
          <w:tcPr>
            <w:tcW w:w="1012" w:type="dxa"/>
            <w:vAlign w:val="center"/>
          </w:tcPr>
          <w:p>
            <w:pPr>
              <w:topLinePunct w:val="0"/>
              <w:adjustRightInd/>
              <w:spacing w:line="240" w:lineRule="auto"/>
              <w:ind w:firstLine="0" w:firstLineChars="0"/>
              <w:jc w:val="center"/>
              <w:rPr>
                <w:rFonts w:ascii="Times New Roman" w:eastAsia="Times New Roman" w:cs="Times New Roman"/>
                <w:bCs/>
                <w:sz w:val="21"/>
                <w:szCs w:val="21"/>
              </w:rPr>
            </w:pPr>
            <w:r>
              <w:rPr>
                <w:rFonts w:ascii="Times New Roman" w:eastAsia="Times New Roman" w:cs="Times New Roman"/>
                <w:bCs/>
                <w:sz w:val="21"/>
                <w:szCs w:val="21"/>
              </w:rPr>
              <w:t>放喷池</w:t>
            </w:r>
          </w:p>
        </w:tc>
        <w:tc>
          <w:tcPr>
            <w:tcW w:w="2488" w:type="dxa"/>
            <w:vAlign w:val="center"/>
          </w:tcPr>
          <w:p>
            <w:pPr>
              <w:topLinePunct w:val="0"/>
              <w:adjustRightInd/>
              <w:spacing w:line="240" w:lineRule="auto"/>
              <w:ind w:firstLine="0" w:firstLineChars="0"/>
              <w:jc w:val="center"/>
              <w:rPr>
                <w:rFonts w:ascii="Times New Roman" w:eastAsia="Times New Roman" w:cs="Times New Roman"/>
                <w:bCs/>
                <w:sz w:val="21"/>
                <w:szCs w:val="21"/>
              </w:rPr>
            </w:pPr>
            <w:r>
              <w:rPr>
                <w:rFonts w:ascii="Times New Roman" w:eastAsia="Times New Roman" w:cs="Times New Roman"/>
                <w:bCs/>
                <w:sz w:val="21"/>
                <w:szCs w:val="21"/>
              </w:rPr>
              <w:t>放喷池设有液位报警仪，可以及时发现渗漏并采取措施，持续时间通常不超过1d</w:t>
            </w:r>
          </w:p>
        </w:tc>
        <w:tc>
          <w:tcPr>
            <w:tcW w:w="2146" w:type="dxa"/>
            <w:tcBorders>
              <w:right w:val="nil"/>
            </w:tcBorders>
            <w:vAlign w:val="center"/>
          </w:tcPr>
          <w:p>
            <w:pPr>
              <w:topLinePunct w:val="0"/>
              <w:adjustRightInd/>
              <w:spacing w:line="240" w:lineRule="auto"/>
              <w:ind w:firstLine="0" w:firstLineChars="0"/>
              <w:jc w:val="center"/>
              <w:rPr>
                <w:rFonts w:ascii="Times New Roman" w:eastAsia="Times New Roman" w:cs="Times New Roman"/>
                <w:bCs/>
                <w:sz w:val="21"/>
                <w:szCs w:val="21"/>
              </w:rPr>
            </w:pPr>
            <w:r>
              <w:rPr>
                <w:rFonts w:ascii="Times New Roman" w:eastAsia="Times New Roman" w:cs="Times New Roman"/>
                <w:bCs/>
                <w:sz w:val="21"/>
                <w:szCs w:val="21"/>
              </w:rPr>
              <w:t>放喷池按照重点污染防治区进行防渗处理，加强液位观测，及时转运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00" w:type="dxa"/>
            <w:tcBorders>
              <w:left w:val="nil"/>
            </w:tcBorders>
            <w:vAlign w:val="center"/>
          </w:tcPr>
          <w:p>
            <w:pPr>
              <w:topLinePunct w:val="0"/>
              <w:adjustRightInd/>
              <w:spacing w:line="240" w:lineRule="auto"/>
              <w:ind w:firstLine="0" w:firstLineChars="0"/>
              <w:jc w:val="center"/>
              <w:rPr>
                <w:rFonts w:ascii="Times New Roman" w:eastAsia="Times New Roman" w:cs="Times New Roman"/>
                <w:bCs/>
                <w:sz w:val="21"/>
                <w:szCs w:val="21"/>
              </w:rPr>
            </w:pPr>
            <w:r>
              <w:rPr>
                <w:rFonts w:ascii="Times New Roman" w:eastAsia="Times New Roman" w:cs="Times New Roman"/>
                <w:bCs/>
                <w:sz w:val="21"/>
                <w:szCs w:val="21"/>
              </w:rPr>
              <w:t>情景5</w:t>
            </w:r>
          </w:p>
        </w:tc>
        <w:tc>
          <w:tcPr>
            <w:tcW w:w="2088" w:type="dxa"/>
            <w:vAlign w:val="center"/>
          </w:tcPr>
          <w:p>
            <w:pPr>
              <w:topLinePunct w:val="0"/>
              <w:adjustRightInd/>
              <w:spacing w:line="240" w:lineRule="auto"/>
              <w:ind w:firstLine="0" w:firstLineChars="0"/>
              <w:jc w:val="center"/>
              <w:rPr>
                <w:rFonts w:ascii="Times New Roman" w:eastAsia="Times New Roman" w:cs="Times New Roman"/>
                <w:bCs/>
                <w:sz w:val="21"/>
                <w:szCs w:val="21"/>
              </w:rPr>
            </w:pPr>
            <w:r>
              <w:rPr>
                <w:rFonts w:ascii="Times New Roman" w:eastAsia="Times New Roman" w:cs="Times New Roman"/>
                <w:bCs/>
                <w:sz w:val="21"/>
                <w:szCs w:val="21"/>
              </w:rPr>
              <w:t>井场柴油罐的泄漏</w:t>
            </w:r>
          </w:p>
        </w:tc>
        <w:tc>
          <w:tcPr>
            <w:tcW w:w="1012" w:type="dxa"/>
            <w:vAlign w:val="center"/>
          </w:tcPr>
          <w:p>
            <w:pPr>
              <w:topLinePunct w:val="0"/>
              <w:adjustRightInd/>
              <w:spacing w:line="240" w:lineRule="auto"/>
              <w:ind w:firstLine="0" w:firstLineChars="0"/>
              <w:jc w:val="center"/>
              <w:rPr>
                <w:rFonts w:ascii="Times New Roman" w:eastAsia="Times New Roman" w:cs="Times New Roman"/>
                <w:bCs/>
                <w:sz w:val="21"/>
                <w:szCs w:val="21"/>
              </w:rPr>
            </w:pPr>
            <w:r>
              <w:rPr>
                <w:rFonts w:ascii="Times New Roman" w:eastAsia="Times New Roman" w:cs="Times New Roman"/>
                <w:bCs/>
                <w:sz w:val="21"/>
                <w:szCs w:val="21"/>
              </w:rPr>
              <w:t>柴油罐</w:t>
            </w:r>
          </w:p>
        </w:tc>
        <w:tc>
          <w:tcPr>
            <w:tcW w:w="2488" w:type="dxa"/>
            <w:vAlign w:val="center"/>
          </w:tcPr>
          <w:p>
            <w:pPr>
              <w:topLinePunct w:val="0"/>
              <w:adjustRightInd/>
              <w:spacing w:line="240" w:lineRule="auto"/>
              <w:ind w:firstLine="0" w:firstLineChars="0"/>
              <w:jc w:val="center"/>
              <w:rPr>
                <w:rFonts w:ascii="Times New Roman" w:eastAsia="Times New Roman" w:cs="Times New Roman"/>
                <w:bCs/>
                <w:sz w:val="21"/>
                <w:szCs w:val="21"/>
              </w:rPr>
            </w:pPr>
            <w:r>
              <w:rPr>
                <w:rFonts w:ascii="Times New Roman" w:eastAsia="Times New Roman" w:cs="Times New Roman"/>
                <w:bCs/>
                <w:sz w:val="21"/>
                <w:szCs w:val="21"/>
              </w:rPr>
              <w:t>柴油罐位于地面以上，泄漏易于被发现，持续时间通常不会超过1小时</w:t>
            </w:r>
          </w:p>
        </w:tc>
        <w:tc>
          <w:tcPr>
            <w:tcW w:w="2146" w:type="dxa"/>
            <w:tcBorders>
              <w:right w:val="nil"/>
            </w:tcBorders>
            <w:vAlign w:val="center"/>
          </w:tcPr>
          <w:p>
            <w:pPr>
              <w:topLinePunct w:val="0"/>
              <w:adjustRightInd/>
              <w:spacing w:line="240" w:lineRule="auto"/>
              <w:ind w:firstLine="0" w:firstLineChars="0"/>
              <w:jc w:val="center"/>
              <w:rPr>
                <w:rFonts w:ascii="Times New Roman" w:eastAsia="Times New Roman" w:cs="Times New Roman"/>
                <w:bCs/>
                <w:sz w:val="21"/>
                <w:szCs w:val="21"/>
              </w:rPr>
            </w:pPr>
            <w:r>
              <w:rPr>
                <w:rFonts w:ascii="Times New Roman" w:eastAsia="Times New Roman" w:cs="Times New Roman"/>
                <w:bCs/>
                <w:sz w:val="21"/>
                <w:szCs w:val="21"/>
              </w:rPr>
              <w:t>柴油罐区设置围堰，围堰按GB/T50934-2013进行防渗处理，日常加强罐区泄漏巡查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00" w:type="dxa"/>
            <w:tcBorders>
              <w:left w:val="nil"/>
              <w:bottom w:val="single" w:color="auto" w:sz="12" w:space="0"/>
            </w:tcBorders>
            <w:vAlign w:val="center"/>
          </w:tcPr>
          <w:p>
            <w:pPr>
              <w:topLinePunct w:val="0"/>
              <w:adjustRightInd/>
              <w:spacing w:line="240" w:lineRule="auto"/>
              <w:ind w:firstLine="0" w:firstLineChars="0"/>
              <w:jc w:val="center"/>
              <w:rPr>
                <w:rFonts w:ascii="Times New Roman" w:eastAsia="Times New Roman" w:cs="Times New Roman"/>
                <w:bCs/>
                <w:sz w:val="21"/>
                <w:szCs w:val="21"/>
              </w:rPr>
            </w:pPr>
            <w:r>
              <w:rPr>
                <w:rFonts w:ascii="Times New Roman" w:eastAsia="Times New Roman" w:cs="Times New Roman"/>
                <w:bCs/>
                <w:sz w:val="21"/>
                <w:szCs w:val="21"/>
              </w:rPr>
              <w:t>情景6</w:t>
            </w:r>
          </w:p>
        </w:tc>
        <w:tc>
          <w:tcPr>
            <w:tcW w:w="2088" w:type="dxa"/>
            <w:tcBorders>
              <w:bottom w:val="single" w:color="auto" w:sz="12" w:space="0"/>
            </w:tcBorders>
            <w:vAlign w:val="center"/>
          </w:tcPr>
          <w:p>
            <w:pPr>
              <w:topLinePunct w:val="0"/>
              <w:adjustRightInd/>
              <w:spacing w:line="240" w:lineRule="auto"/>
              <w:ind w:firstLine="0" w:firstLineChars="0"/>
              <w:jc w:val="center"/>
              <w:rPr>
                <w:rFonts w:ascii="Times New Roman" w:eastAsia="Times New Roman" w:cs="Times New Roman"/>
                <w:bCs/>
                <w:sz w:val="21"/>
                <w:szCs w:val="21"/>
              </w:rPr>
            </w:pPr>
            <w:r>
              <w:rPr>
                <w:rFonts w:ascii="Times New Roman" w:eastAsia="Times New Roman" w:cs="Times New Roman"/>
                <w:bCs/>
                <w:sz w:val="21"/>
                <w:szCs w:val="21"/>
              </w:rPr>
              <w:t>池底泄露</w:t>
            </w:r>
          </w:p>
        </w:tc>
        <w:tc>
          <w:tcPr>
            <w:tcW w:w="1012" w:type="dxa"/>
            <w:tcBorders>
              <w:bottom w:val="single" w:color="auto" w:sz="12" w:space="0"/>
            </w:tcBorders>
            <w:vAlign w:val="center"/>
          </w:tcPr>
          <w:p>
            <w:pPr>
              <w:topLinePunct w:val="0"/>
              <w:adjustRightInd/>
              <w:spacing w:line="240" w:lineRule="auto"/>
              <w:ind w:firstLine="0" w:firstLineChars="0"/>
              <w:jc w:val="center"/>
              <w:rPr>
                <w:rFonts w:ascii="Times New Roman" w:eastAsia="Times New Roman" w:cs="Times New Roman"/>
                <w:bCs/>
                <w:sz w:val="21"/>
                <w:szCs w:val="21"/>
              </w:rPr>
            </w:pPr>
            <w:r>
              <w:rPr>
                <w:rFonts w:ascii="Times New Roman" w:eastAsia="Times New Roman" w:cs="Times New Roman"/>
                <w:bCs/>
                <w:sz w:val="21"/>
                <w:szCs w:val="21"/>
              </w:rPr>
              <w:t>污水池</w:t>
            </w:r>
          </w:p>
        </w:tc>
        <w:tc>
          <w:tcPr>
            <w:tcW w:w="2488" w:type="dxa"/>
            <w:tcBorders>
              <w:bottom w:val="single" w:color="auto" w:sz="12" w:space="0"/>
            </w:tcBorders>
            <w:vAlign w:val="center"/>
          </w:tcPr>
          <w:p>
            <w:pPr>
              <w:topLinePunct w:val="0"/>
              <w:adjustRightInd/>
              <w:spacing w:line="240" w:lineRule="auto"/>
              <w:ind w:firstLine="0" w:firstLineChars="0"/>
              <w:jc w:val="center"/>
              <w:rPr>
                <w:rFonts w:ascii="Times New Roman" w:eastAsia="Times New Roman" w:cs="Times New Roman"/>
                <w:bCs/>
                <w:sz w:val="21"/>
                <w:szCs w:val="21"/>
              </w:rPr>
            </w:pPr>
            <w:r>
              <w:rPr>
                <w:rFonts w:ascii="Times New Roman" w:eastAsia="Times New Roman" w:cs="Times New Roman"/>
                <w:bCs/>
                <w:sz w:val="21"/>
                <w:szCs w:val="21"/>
              </w:rPr>
              <w:t>污水池池底破裂，较难发现，持续时间较长。</w:t>
            </w:r>
          </w:p>
        </w:tc>
        <w:tc>
          <w:tcPr>
            <w:tcW w:w="2146" w:type="dxa"/>
            <w:tcBorders>
              <w:bottom w:val="single" w:color="auto" w:sz="12" w:space="0"/>
              <w:right w:val="nil"/>
            </w:tcBorders>
            <w:vAlign w:val="center"/>
          </w:tcPr>
          <w:p>
            <w:pPr>
              <w:topLinePunct w:val="0"/>
              <w:adjustRightInd/>
              <w:spacing w:line="240" w:lineRule="auto"/>
              <w:ind w:firstLine="0" w:firstLineChars="0"/>
              <w:jc w:val="center"/>
              <w:rPr>
                <w:rFonts w:ascii="Times New Roman" w:eastAsia="Times New Roman" w:cs="Times New Roman"/>
                <w:bCs/>
                <w:sz w:val="21"/>
                <w:szCs w:val="21"/>
              </w:rPr>
            </w:pPr>
            <w:r>
              <w:rPr>
                <w:rFonts w:ascii="Times New Roman" w:eastAsia="Times New Roman" w:cs="Times New Roman"/>
                <w:bCs/>
                <w:sz w:val="21"/>
                <w:szCs w:val="21"/>
              </w:rPr>
              <w:t>日常加强池体泄漏巡查</w:t>
            </w:r>
          </w:p>
        </w:tc>
      </w:tr>
    </w:tbl>
    <w:p>
      <w:pPr>
        <w:autoSpaceDE w:val="0"/>
        <w:autoSpaceDN w:val="0"/>
        <w:ind w:firstLine="480"/>
        <w:rPr>
          <w:rFonts w:ascii="Times New Roman" w:cs="Times New Roman"/>
          <w:bCs/>
        </w:rPr>
      </w:pPr>
      <w:r>
        <w:rPr>
          <w:rFonts w:ascii="Times New Roman" w:cs="Times New Roman"/>
          <w:bCs/>
        </w:rPr>
        <w:t>施工期非正常工况对地下水的影响包括污水池、放喷池、柴油罐泄漏、泥浆循环罐泄漏、压裂液泄漏等。由于柴油、泥浆采用储罐储存，且储罐区域进行了硬化防渗漏处理，一旦泄漏可及时发现并进行处理，对地下水的影响较小；测试放喷池内废水暂存时间短，出现事故的泄漏量少，对地下水的影响也是有限的。而污水池暂存钻井废水，储存周期长，且为下陷型，底部出现渗漏不易被发现，事故对地下水的影响周期长。因本项目钻井过程中及时进行固，不存在压裂液泄漏风险，故本项目不对压裂过程中井筒破裂进行预测分析。因此，由于地面储存废水发生渗漏易于被发现，钻井过程井漏由于地质条件复杂多变具有不确定性，且钻井液水质相对较复杂，同时其他情景容易预防及发现，不作为预测重点，本次评价主要对情景六污水池泄漏进行预测。</w:t>
      </w:r>
    </w:p>
    <w:p>
      <w:pPr>
        <w:autoSpaceDE w:val="0"/>
        <w:autoSpaceDN w:val="0"/>
        <w:ind w:firstLine="480"/>
        <w:rPr>
          <w:rFonts w:ascii="Times New Roman" w:cs="Times New Roman"/>
          <w:bCs/>
        </w:rPr>
      </w:pPr>
      <w:r>
        <w:rPr>
          <w:rFonts w:ascii="Times New Roman" w:cs="Times New Roman"/>
          <w:bCs/>
        </w:rPr>
        <w:t>当钻井井场污水池发生泄漏后，首先在包气带中垂直向下迁移，并进入到含水层中。污染物进入地下水后，以对流和弥散作用为主。另外，污染物在含水层的迁移行为还包括吸附解析、挥发和生物降解。</w:t>
      </w:r>
    </w:p>
    <w:p>
      <w:pPr>
        <w:autoSpaceDE w:val="0"/>
        <w:autoSpaceDN w:val="0"/>
        <w:ind w:firstLine="480"/>
        <w:rPr>
          <w:rFonts w:ascii="Times New Roman" w:cs="Times New Roman"/>
          <w:bCs/>
        </w:rPr>
      </w:pPr>
      <w:r>
        <w:rPr>
          <w:rFonts w:ascii="Times New Roman" w:cs="Times New Roman"/>
          <w:bCs/>
        </w:rPr>
        <w:t xml:space="preserve">a.情景设置 </w:t>
      </w:r>
    </w:p>
    <w:p>
      <w:pPr>
        <w:autoSpaceDE w:val="0"/>
        <w:autoSpaceDN w:val="0"/>
        <w:ind w:firstLine="480"/>
        <w:rPr>
          <w:rFonts w:ascii="Times New Roman" w:cs="Times New Roman"/>
          <w:bCs/>
        </w:rPr>
      </w:pPr>
      <w:r>
        <w:rPr>
          <w:rFonts w:ascii="Times New Roman" w:cs="Times New Roman"/>
          <w:bCs/>
        </w:rPr>
        <w:t>①池体泄漏</w:t>
      </w:r>
    </w:p>
    <w:p>
      <w:pPr>
        <w:autoSpaceDE w:val="0"/>
        <w:autoSpaceDN w:val="0"/>
        <w:ind w:firstLine="480"/>
        <w:rPr>
          <w:rFonts w:ascii="Times New Roman" w:cs="Times New Roman"/>
          <w:bCs/>
        </w:rPr>
      </w:pPr>
      <w:r>
        <w:rPr>
          <w:rFonts w:ascii="Times New Roman" w:cs="Times New Roman"/>
          <w:bCs/>
        </w:rPr>
        <w:t xml:space="preserve">污水池假定其池底产生裂缝，废水通过裂缝渗漏到地下水含水层，污染地下水。排放形式可概化为点源，排放规律可简化为非连续恒定排放。本次模拟根据应急池中物质对地下水的影响途径来设定主要污染源的分布位置，选定优先控制的污染物，预测事故工况下污染物在地下水中迁移过程，进一步分析污染物影响范围、超标范围和浓度变化。 </w:t>
      </w:r>
    </w:p>
    <w:p>
      <w:pPr>
        <w:autoSpaceDE w:val="0"/>
        <w:autoSpaceDN w:val="0"/>
        <w:ind w:firstLine="480"/>
        <w:rPr>
          <w:rFonts w:ascii="Times New Roman" w:cs="Times New Roman"/>
          <w:bCs/>
        </w:rPr>
      </w:pPr>
      <w:r>
        <w:rPr>
          <w:rFonts w:ascii="Times New Roman" w:cs="Times New Roman"/>
          <w:bCs/>
        </w:rPr>
        <w:t>根据工程设计，污水池有效容积1000m</w:t>
      </w:r>
      <w:r>
        <w:rPr>
          <w:rFonts w:ascii="Times New Roman" w:cs="Times New Roman"/>
          <w:bCs/>
          <w:vertAlign w:val="superscript"/>
        </w:rPr>
        <w:t>3</w:t>
      </w:r>
      <w:r>
        <w:rPr>
          <w:rFonts w:ascii="Times New Roman" w:cs="Times New Roman"/>
          <w:bCs/>
        </w:rPr>
        <w:t>(</w:t>
      </w:r>
      <w:r>
        <w:rPr>
          <w:rFonts w:hint="eastAsia" w:ascii="Times New Roman" w:cs="Times New Roman"/>
          <w:bCs/>
        </w:rPr>
        <w:t>20</w:t>
      </w:r>
      <w:r>
        <w:rPr>
          <w:rFonts w:ascii="Times New Roman" w:cs="Times New Roman"/>
          <w:bCs/>
        </w:rPr>
        <w:t>m×1</w:t>
      </w:r>
      <w:r>
        <w:rPr>
          <w:rFonts w:hint="eastAsia" w:ascii="Times New Roman" w:cs="Times New Roman"/>
          <w:bCs/>
        </w:rPr>
        <w:t>3</w:t>
      </w:r>
      <w:r>
        <w:rPr>
          <w:rFonts w:ascii="Times New Roman" w:cs="Times New Roman"/>
          <w:bCs/>
        </w:rPr>
        <w:t>m×4m)。假定由于腐蚀、地基不均匀沉降或者其他外力作用，污水池检修时发现池底出现一定面积的渗漏，面积约为池底面积的1%（2.</w:t>
      </w:r>
      <w:r>
        <w:rPr>
          <w:rFonts w:hint="eastAsia" w:ascii="Times New Roman" w:cs="Times New Roman"/>
          <w:bCs/>
        </w:rPr>
        <w:t>6</w:t>
      </w:r>
      <w:r>
        <w:rPr>
          <w:rFonts w:ascii="Times New Roman" w:cs="Times New Roman"/>
          <w:bCs/>
        </w:rPr>
        <w:t>m</w:t>
      </w:r>
      <w:r>
        <w:rPr>
          <w:rFonts w:ascii="Times New Roman" w:cs="Times New Roman"/>
          <w:bCs/>
          <w:vertAlign w:val="superscript"/>
        </w:rPr>
        <w:t>2</w:t>
      </w:r>
      <w:r>
        <w:rPr>
          <w:rFonts w:ascii="Times New Roman" w:cs="Times New Roman"/>
          <w:bCs/>
        </w:rPr>
        <w:t>）。废水渗透地下属于有压渗透，假定包气带充满水，按达西公式计算源强，公式如下：</w:t>
      </w:r>
    </w:p>
    <w:p>
      <w:pPr>
        <w:autoSpaceDE w:val="0"/>
        <w:autoSpaceDN w:val="0"/>
        <w:ind w:firstLine="480"/>
        <w:rPr>
          <w:rFonts w:ascii="Times New Roman" w:cs="Times New Roman"/>
          <w:bCs/>
        </w:rPr>
      </w:pPr>
      <m:oMathPara>
        <m:oMath>
          <m:r>
            <m:rPr>
              <m:sty m:val="p"/>
            </m:rPr>
            <w:rPr>
              <w:rFonts w:ascii="Cambria Math" w:hAnsi="Cambria Math" w:cs="Times New Roman"/>
            </w:rPr>
            <m:t>Q=A×K×J</m:t>
          </m:r>
        </m:oMath>
      </m:oMathPara>
    </w:p>
    <w:p>
      <w:pPr>
        <w:autoSpaceDE w:val="0"/>
        <w:autoSpaceDN w:val="0"/>
        <w:ind w:firstLine="480"/>
        <w:rPr>
          <w:rFonts w:ascii="Times New Roman" w:cs="Times New Roman"/>
          <w:bCs/>
        </w:rPr>
      </w:pPr>
      <w:r>
        <w:rPr>
          <w:rFonts w:ascii="Times New Roman" w:cs="Times New Roman"/>
          <w:bCs/>
        </w:rPr>
        <w:t>式中：Q—为渗入到地下水的污水量（m</w:t>
      </w:r>
      <w:r>
        <w:rPr>
          <w:rFonts w:ascii="Times New Roman" w:cs="Times New Roman"/>
          <w:bCs/>
          <w:vertAlign w:val="superscript"/>
        </w:rPr>
        <w:t>3</w:t>
      </w:r>
      <w:r>
        <w:rPr>
          <w:rFonts w:ascii="Times New Roman" w:cs="Times New Roman"/>
          <w:bCs/>
        </w:rPr>
        <w:t>/d）；</w:t>
      </w:r>
    </w:p>
    <w:p>
      <w:pPr>
        <w:autoSpaceDE w:val="0"/>
        <w:autoSpaceDN w:val="0"/>
        <w:ind w:firstLine="1200" w:firstLineChars="500"/>
        <w:rPr>
          <w:rFonts w:ascii="Times New Roman" w:cs="Times New Roman"/>
          <w:bCs/>
        </w:rPr>
      </w:pPr>
      <w:r>
        <w:rPr>
          <w:rFonts w:ascii="Times New Roman" w:cs="Times New Roman"/>
          <w:bCs/>
        </w:rPr>
        <w:t>A—为池体的泄漏面积（m</w:t>
      </w:r>
      <w:r>
        <w:rPr>
          <w:rFonts w:ascii="Times New Roman" w:cs="Times New Roman"/>
          <w:bCs/>
          <w:vertAlign w:val="superscript"/>
        </w:rPr>
        <w:t>2</w:t>
      </w:r>
      <w:r>
        <w:rPr>
          <w:rFonts w:ascii="Times New Roman" w:cs="Times New Roman"/>
          <w:bCs/>
        </w:rPr>
        <w:t>），本次取</w:t>
      </w:r>
      <w:r>
        <w:rPr>
          <w:rFonts w:hint="eastAsia" w:ascii="Times New Roman" w:cs="Times New Roman"/>
          <w:bCs/>
        </w:rPr>
        <w:t>2.6</w:t>
      </w:r>
      <w:r>
        <w:rPr>
          <w:rFonts w:ascii="Times New Roman" w:cs="Times New Roman"/>
          <w:bCs/>
        </w:rPr>
        <w:t>m</w:t>
      </w:r>
      <w:r>
        <w:rPr>
          <w:rFonts w:ascii="Times New Roman" w:cs="Times New Roman"/>
          <w:bCs/>
          <w:vertAlign w:val="superscript"/>
        </w:rPr>
        <w:t>2</w:t>
      </w:r>
      <w:r>
        <w:rPr>
          <w:rFonts w:ascii="Times New Roman" w:cs="Times New Roman"/>
          <w:bCs/>
        </w:rPr>
        <w:t>。</w:t>
      </w:r>
    </w:p>
    <w:p>
      <w:pPr>
        <w:autoSpaceDE w:val="0"/>
        <w:autoSpaceDN w:val="0"/>
        <w:ind w:firstLine="1200" w:firstLineChars="500"/>
        <w:rPr>
          <w:rFonts w:ascii="Times New Roman" w:cs="Times New Roman"/>
          <w:bCs/>
        </w:rPr>
      </w:pPr>
      <w:r>
        <w:rPr>
          <w:rFonts w:ascii="Times New Roman" w:cs="Times New Roman"/>
          <w:bCs/>
        </w:rPr>
        <w:t>K—为地面垂向渗透系数（m/d），</w:t>
      </w:r>
      <w:r>
        <w:rPr>
          <w:rFonts w:hint="eastAsia" w:ascii="Times New Roman" w:cs="Times New Roman"/>
          <w:bCs/>
        </w:rPr>
        <w:t>根据《水文地质手册（第二版）》（中国地质调查局，2002年）经验数值</w:t>
      </w:r>
      <w:r>
        <w:rPr>
          <w:rFonts w:ascii="Times New Roman" w:cs="Times New Roman"/>
          <w:bCs/>
        </w:rPr>
        <w:t>，项目区域包气带渗透系数取值0.1m/d；</w:t>
      </w:r>
    </w:p>
    <w:p>
      <w:pPr>
        <w:autoSpaceDE w:val="0"/>
        <w:autoSpaceDN w:val="0"/>
        <w:ind w:firstLine="1200" w:firstLineChars="500"/>
        <w:rPr>
          <w:rFonts w:ascii="Times New Roman" w:cs="Times New Roman"/>
          <w:bCs/>
        </w:rPr>
      </w:pPr>
      <w:r>
        <w:rPr>
          <w:rFonts w:ascii="Times New Roman" w:cs="Times New Roman"/>
          <w:bCs/>
        </w:rPr>
        <w:t>J—水力梯度，根据计算，项目区域水力梯度取0.0</w:t>
      </w:r>
      <w:r>
        <w:rPr>
          <w:rFonts w:hint="eastAsia" w:ascii="Times New Roman" w:cs="Times New Roman"/>
          <w:bCs/>
        </w:rPr>
        <w:t>53</w:t>
      </w:r>
    </w:p>
    <w:p>
      <w:pPr>
        <w:autoSpaceDE w:val="0"/>
        <w:autoSpaceDN w:val="0"/>
        <w:ind w:firstLine="480"/>
        <w:rPr>
          <w:rFonts w:ascii="Times New Roman" w:cs="Times New Roman"/>
          <w:bCs/>
        </w:rPr>
      </w:pPr>
      <w:r>
        <w:rPr>
          <w:rFonts w:ascii="Times New Roman" w:cs="Times New Roman"/>
          <w:bCs/>
        </w:rPr>
        <w:t>根据达西公式计算，本项目泄漏废水量为0.0</w:t>
      </w:r>
      <w:r>
        <w:rPr>
          <w:rFonts w:hint="eastAsia" w:ascii="Times New Roman" w:cs="Times New Roman"/>
          <w:bCs/>
        </w:rPr>
        <w:t>14</w:t>
      </w:r>
      <w:r>
        <w:rPr>
          <w:rFonts w:ascii="Times New Roman" w:cs="Times New Roman"/>
          <w:bCs/>
        </w:rPr>
        <w:t>m</w:t>
      </w:r>
      <w:r>
        <w:rPr>
          <w:rFonts w:ascii="Times New Roman" w:cs="Times New Roman"/>
          <w:bCs/>
          <w:vertAlign w:val="superscript"/>
        </w:rPr>
        <w:t>3</w:t>
      </w:r>
      <w:r>
        <w:rPr>
          <w:rFonts w:ascii="Times New Roman" w:cs="Times New Roman"/>
          <w:bCs/>
        </w:rPr>
        <w:t>/d。要求建设单位定期对池体防渗层完整性进行检查，若池体泄漏能及时发现，从而减少对地下水环境的影响，本次设置应急池持继泄漏时间为15d。污染物预测源强见表</w:t>
      </w:r>
      <w:r>
        <w:rPr>
          <w:rFonts w:hint="eastAsia" w:ascii="Times New Roman" w:cs="Times New Roman"/>
          <w:bCs/>
        </w:rPr>
        <w:t>6.1-4</w:t>
      </w:r>
      <w:r>
        <w:rPr>
          <w:rFonts w:ascii="Times New Roman" w:cs="Times New Roman"/>
          <w:bCs/>
        </w:rPr>
        <w:t>所示。</w:t>
      </w:r>
    </w:p>
    <w:p>
      <w:pPr>
        <w:autoSpaceDE w:val="0"/>
        <w:autoSpaceDN w:val="0"/>
        <w:ind w:firstLine="480"/>
        <w:rPr>
          <w:rFonts w:ascii="Times New Roman" w:cs="Times New Roman"/>
          <w:bCs/>
        </w:rPr>
      </w:pPr>
      <w:r>
        <w:rPr>
          <w:rFonts w:ascii="Times New Roman" w:cs="Times New Roman"/>
          <w:bCs/>
        </w:rPr>
        <w:fldChar w:fldCharType="begin"/>
      </w:r>
      <w:r>
        <w:rPr>
          <w:rFonts w:ascii="Times New Roman" w:cs="Times New Roman"/>
          <w:bCs/>
        </w:rPr>
        <w:instrText xml:space="preserve"> = 2 \* GB3 \* MERGEFORMAT </w:instrText>
      </w:r>
      <w:r>
        <w:rPr>
          <w:rFonts w:ascii="Times New Roman" w:cs="Times New Roman"/>
          <w:bCs/>
        </w:rPr>
        <w:fldChar w:fldCharType="separate"/>
      </w:r>
      <w:r>
        <w:rPr>
          <w:rFonts w:ascii="Times New Roman" w:cs="Times New Roman"/>
          <w:bCs/>
        </w:rPr>
        <w:t>②</w:t>
      </w:r>
      <w:r>
        <w:rPr>
          <w:rFonts w:ascii="Times New Roman" w:cs="Times New Roman"/>
          <w:bCs/>
        </w:rPr>
        <w:fldChar w:fldCharType="end"/>
      </w:r>
      <w:r>
        <w:rPr>
          <w:rFonts w:ascii="Times New Roman" w:cs="Times New Roman"/>
          <w:bCs/>
        </w:rPr>
        <w:t>柴油罐泄漏</w:t>
      </w:r>
    </w:p>
    <w:p>
      <w:pPr>
        <w:autoSpaceDE w:val="0"/>
        <w:autoSpaceDN w:val="0"/>
        <w:ind w:firstLine="480"/>
        <w:rPr>
          <w:rFonts w:ascii="Times New Roman" w:cs="Times New Roman"/>
          <w:bCs/>
        </w:rPr>
      </w:pPr>
      <w:r>
        <w:rPr>
          <w:rFonts w:ascii="Times New Roman" w:cs="Times New Roman"/>
          <w:bCs/>
        </w:rPr>
        <w:t>本项目设置有20m</w:t>
      </w:r>
      <w:r>
        <w:rPr>
          <w:rFonts w:ascii="Times New Roman" w:cs="Times New Roman"/>
          <w:bCs/>
          <w:vertAlign w:val="superscript"/>
        </w:rPr>
        <w:t>3</w:t>
      </w:r>
      <w:r>
        <w:rPr>
          <w:rFonts w:ascii="Times New Roman" w:cs="Times New Roman"/>
          <w:bCs/>
        </w:rPr>
        <w:t>柴油罐，柴油的密度为835kg/m</w:t>
      </w:r>
      <w:r>
        <w:rPr>
          <w:rFonts w:ascii="Times New Roman" w:cs="Times New Roman"/>
          <w:bCs/>
          <w:vertAlign w:val="superscript"/>
        </w:rPr>
        <w:t>3</w:t>
      </w:r>
      <w:r>
        <w:rPr>
          <w:rFonts w:ascii="Times New Roman" w:cs="Times New Roman"/>
          <w:bCs/>
        </w:rPr>
        <w:t>，单个柴油罐最大质量为16700kg，柴油罐四周设置围堰，并且柴油罐地面已进行防渗。非正常状况下，假设柴油罐发生泄漏，柴油大部分暂存于围堰中，少部分经围堰破损直接渗入外环境中。根据川渝地区钻井统计资料，柴油罐泄漏情况发生概率极低，且柴油极易被土壤包气带吸附，因此排放形式概化点源瞬时排放。假设进入含水层的废水量为单罐总体积的0.01%，为1.67kg。</w:t>
      </w:r>
    </w:p>
    <w:p>
      <w:pPr>
        <w:autoSpaceDE w:val="0"/>
        <w:autoSpaceDN w:val="0"/>
        <w:ind w:firstLine="0" w:firstLineChars="0"/>
        <w:jc w:val="center"/>
        <w:rPr>
          <w:rFonts w:ascii="Times New Roman" w:cs="Times New Roman"/>
          <w:b/>
        </w:rPr>
      </w:pPr>
      <w:r>
        <w:rPr>
          <w:rFonts w:ascii="Times New Roman" w:cs="Times New Roman"/>
          <w:b/>
        </w:rPr>
        <w:t>表6.1-4 污染物预测源强</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09"/>
        <w:gridCol w:w="1618"/>
        <w:gridCol w:w="1059"/>
        <w:gridCol w:w="1112"/>
        <w:gridCol w:w="1112"/>
        <w:gridCol w:w="1258"/>
        <w:gridCol w:w="11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0" w:type="pct"/>
            <w:tcBorders>
              <w:tl2br w:val="nil"/>
              <w:tr2bl w:val="nil"/>
            </w:tcBorders>
            <w:vAlign w:val="center"/>
          </w:tcPr>
          <w:p>
            <w:pPr>
              <w:topLinePunct w:val="0"/>
              <w:adjustRightInd/>
              <w:spacing w:line="240" w:lineRule="auto"/>
              <w:ind w:firstLine="0" w:firstLineChars="0"/>
              <w:jc w:val="center"/>
              <w:rPr>
                <w:rFonts w:ascii="Times New Roman" w:cs="Times New Roman"/>
                <w:b/>
                <w:sz w:val="21"/>
                <w:szCs w:val="21"/>
              </w:rPr>
            </w:pPr>
            <w:r>
              <w:rPr>
                <w:rFonts w:ascii="Times New Roman" w:cs="Times New Roman"/>
                <w:b/>
                <w:sz w:val="21"/>
                <w:szCs w:val="21"/>
              </w:rPr>
              <w:t>渗漏情景</w:t>
            </w:r>
          </w:p>
        </w:tc>
        <w:tc>
          <w:tcPr>
            <w:tcW w:w="949" w:type="pct"/>
            <w:tcBorders>
              <w:tl2br w:val="nil"/>
              <w:tr2bl w:val="nil"/>
            </w:tcBorders>
            <w:vAlign w:val="center"/>
          </w:tcPr>
          <w:p>
            <w:pPr>
              <w:topLinePunct w:val="0"/>
              <w:adjustRightInd/>
              <w:spacing w:line="240" w:lineRule="auto"/>
              <w:ind w:firstLine="0" w:firstLineChars="0"/>
              <w:jc w:val="center"/>
              <w:rPr>
                <w:rFonts w:ascii="Times New Roman" w:cs="Times New Roman"/>
                <w:b/>
                <w:sz w:val="21"/>
                <w:szCs w:val="21"/>
              </w:rPr>
            </w:pPr>
            <w:r>
              <w:rPr>
                <w:rFonts w:ascii="Times New Roman" w:cs="Times New Roman"/>
                <w:b/>
                <w:sz w:val="21"/>
                <w:szCs w:val="21"/>
              </w:rPr>
              <w:t>渗漏位置</w:t>
            </w:r>
          </w:p>
        </w:tc>
        <w:tc>
          <w:tcPr>
            <w:tcW w:w="621" w:type="pct"/>
            <w:tcBorders>
              <w:tl2br w:val="nil"/>
              <w:tr2bl w:val="nil"/>
            </w:tcBorders>
            <w:vAlign w:val="center"/>
          </w:tcPr>
          <w:p>
            <w:pPr>
              <w:topLinePunct w:val="0"/>
              <w:adjustRightInd/>
              <w:spacing w:line="240" w:lineRule="auto"/>
              <w:ind w:firstLine="0" w:firstLineChars="0"/>
              <w:jc w:val="center"/>
              <w:rPr>
                <w:rFonts w:ascii="Times New Roman" w:cs="Times New Roman"/>
                <w:b/>
                <w:sz w:val="21"/>
                <w:szCs w:val="21"/>
              </w:rPr>
            </w:pPr>
            <w:r>
              <w:rPr>
                <w:rFonts w:ascii="Times New Roman" w:cs="Times New Roman"/>
                <w:b/>
                <w:sz w:val="21"/>
                <w:szCs w:val="21"/>
              </w:rPr>
              <w:t>特征污染物</w:t>
            </w:r>
          </w:p>
        </w:tc>
        <w:tc>
          <w:tcPr>
            <w:tcW w:w="652" w:type="pct"/>
            <w:tcBorders>
              <w:tl2br w:val="nil"/>
              <w:tr2bl w:val="nil"/>
            </w:tcBorders>
            <w:vAlign w:val="center"/>
          </w:tcPr>
          <w:p>
            <w:pPr>
              <w:topLinePunct w:val="0"/>
              <w:adjustRightInd/>
              <w:spacing w:line="240" w:lineRule="auto"/>
              <w:ind w:firstLine="0" w:firstLineChars="0"/>
              <w:jc w:val="center"/>
              <w:rPr>
                <w:rFonts w:ascii="Times New Roman" w:cs="Times New Roman"/>
                <w:b/>
                <w:sz w:val="21"/>
                <w:szCs w:val="21"/>
              </w:rPr>
            </w:pPr>
            <w:r>
              <w:rPr>
                <w:rFonts w:ascii="Times New Roman" w:cs="Times New Roman"/>
                <w:b/>
                <w:sz w:val="21"/>
                <w:szCs w:val="21"/>
              </w:rPr>
              <w:t>浓度(mg/L)</w:t>
            </w:r>
          </w:p>
        </w:tc>
        <w:tc>
          <w:tcPr>
            <w:tcW w:w="652" w:type="pct"/>
            <w:tcBorders>
              <w:tl2br w:val="nil"/>
              <w:tr2bl w:val="nil"/>
            </w:tcBorders>
            <w:vAlign w:val="center"/>
          </w:tcPr>
          <w:p>
            <w:pPr>
              <w:topLinePunct w:val="0"/>
              <w:adjustRightInd/>
              <w:spacing w:line="240" w:lineRule="auto"/>
              <w:ind w:firstLine="0" w:firstLineChars="0"/>
              <w:jc w:val="center"/>
              <w:rPr>
                <w:rFonts w:ascii="Times New Roman" w:cs="Times New Roman"/>
                <w:b/>
                <w:sz w:val="21"/>
                <w:szCs w:val="21"/>
              </w:rPr>
            </w:pPr>
            <w:r>
              <w:rPr>
                <w:rFonts w:ascii="Times New Roman" w:cs="Times New Roman"/>
                <w:b/>
                <w:sz w:val="21"/>
                <w:szCs w:val="21"/>
              </w:rPr>
              <w:t>渗漏量(kg)</w:t>
            </w:r>
          </w:p>
        </w:tc>
        <w:tc>
          <w:tcPr>
            <w:tcW w:w="738" w:type="pct"/>
            <w:tcBorders>
              <w:tl2br w:val="nil"/>
              <w:tr2bl w:val="nil"/>
            </w:tcBorders>
            <w:vAlign w:val="center"/>
          </w:tcPr>
          <w:p>
            <w:pPr>
              <w:topLinePunct w:val="0"/>
              <w:adjustRightInd/>
              <w:spacing w:line="240" w:lineRule="auto"/>
              <w:ind w:firstLine="0" w:firstLineChars="0"/>
              <w:jc w:val="center"/>
              <w:rPr>
                <w:rFonts w:ascii="Times New Roman" w:cs="Times New Roman"/>
                <w:b/>
                <w:sz w:val="21"/>
                <w:szCs w:val="21"/>
              </w:rPr>
            </w:pPr>
            <w:r>
              <w:rPr>
                <w:rFonts w:ascii="Times New Roman" w:cs="Times New Roman"/>
                <w:b/>
                <w:sz w:val="21"/>
                <w:szCs w:val="21"/>
              </w:rPr>
              <w:t>泄漏时间（d）</w:t>
            </w:r>
          </w:p>
        </w:tc>
        <w:tc>
          <w:tcPr>
            <w:tcW w:w="676" w:type="pct"/>
            <w:tcBorders>
              <w:tl2br w:val="nil"/>
              <w:tr2bl w:val="nil"/>
            </w:tcBorders>
            <w:vAlign w:val="center"/>
          </w:tcPr>
          <w:p>
            <w:pPr>
              <w:topLinePunct w:val="0"/>
              <w:adjustRightInd/>
              <w:spacing w:line="240" w:lineRule="auto"/>
              <w:ind w:firstLine="0" w:firstLineChars="0"/>
              <w:jc w:val="center"/>
              <w:rPr>
                <w:rFonts w:ascii="Times New Roman" w:cs="Times New Roman"/>
                <w:b/>
                <w:sz w:val="21"/>
                <w:szCs w:val="21"/>
              </w:rPr>
            </w:pPr>
            <w:r>
              <w:rPr>
                <w:rFonts w:ascii="Times New Roman" w:cs="Times New Roman"/>
                <w:b/>
                <w:sz w:val="21"/>
                <w:szCs w:val="21"/>
              </w:rPr>
              <w:t>渗漏污水量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0" w:type="pct"/>
            <w:vMerge w:val="restar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非正常状况下</w:t>
            </w:r>
          </w:p>
        </w:tc>
        <w:tc>
          <w:tcPr>
            <w:tcW w:w="949" w:type="pct"/>
            <w:vMerge w:val="restar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应急池池底破裂</w:t>
            </w:r>
          </w:p>
        </w:tc>
        <w:tc>
          <w:tcPr>
            <w:tcW w:w="621"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氯化物</w:t>
            </w:r>
          </w:p>
        </w:tc>
        <w:tc>
          <w:tcPr>
            <w:tcW w:w="652"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4000</w:t>
            </w:r>
          </w:p>
        </w:tc>
        <w:tc>
          <w:tcPr>
            <w:tcW w:w="1112" w:type="dxa"/>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0.</w:t>
            </w:r>
            <w:r>
              <w:rPr>
                <w:rFonts w:hint="eastAsia" w:ascii="Times New Roman" w:cs="Times New Roman"/>
                <w:bCs/>
                <w:sz w:val="21"/>
                <w:szCs w:val="21"/>
              </w:rPr>
              <w:t>84</w:t>
            </w:r>
          </w:p>
        </w:tc>
        <w:tc>
          <w:tcPr>
            <w:tcW w:w="738"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15</w:t>
            </w:r>
          </w:p>
        </w:tc>
        <w:tc>
          <w:tcPr>
            <w:tcW w:w="676" w:type="pct"/>
            <w:vMerge w:val="restar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0.0</w:t>
            </w:r>
            <w:r>
              <w:rPr>
                <w:rFonts w:hint="eastAsia" w:ascii="Times New Roman" w:cs="Times New Roman"/>
                <w:bCs/>
                <w:sz w:val="21"/>
                <w:szCs w:val="21"/>
              </w:rPr>
              <w:t>14</w:t>
            </w:r>
            <w:r>
              <w:rPr>
                <w:rFonts w:ascii="Times New Roman" w:cs="Times New Roman"/>
                <w:bCs/>
                <w:sz w:val="21"/>
                <w:szCs w:val="21"/>
              </w:rPr>
              <w:t>m</w:t>
            </w:r>
            <w:r>
              <w:rPr>
                <w:rFonts w:ascii="Times New Roman" w:cs="Times New Roman"/>
                <w:bCs/>
                <w:sz w:val="21"/>
                <w:szCs w:val="21"/>
                <w:vertAlign w:val="superscript"/>
              </w:rPr>
              <w:t>3</w:t>
            </w:r>
            <w:r>
              <w:rPr>
                <w:rFonts w:ascii="Times New Roman" w:cs="Times New Roman"/>
                <w:bCs/>
                <w:sz w:val="21"/>
                <w:szCs w:val="21"/>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0" w:type="pct"/>
            <w:vMerge w:val="continue"/>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p>
        </w:tc>
        <w:tc>
          <w:tcPr>
            <w:tcW w:w="949" w:type="pct"/>
            <w:vMerge w:val="continue"/>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p>
        </w:tc>
        <w:tc>
          <w:tcPr>
            <w:tcW w:w="621"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COD</w:t>
            </w:r>
          </w:p>
        </w:tc>
        <w:tc>
          <w:tcPr>
            <w:tcW w:w="652"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1660</w:t>
            </w:r>
          </w:p>
        </w:tc>
        <w:tc>
          <w:tcPr>
            <w:tcW w:w="1112" w:type="dxa"/>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0.3</w:t>
            </w:r>
            <w:r>
              <w:rPr>
                <w:rFonts w:hint="eastAsia" w:ascii="Times New Roman" w:cs="Times New Roman"/>
                <w:bCs/>
                <w:sz w:val="21"/>
                <w:szCs w:val="21"/>
              </w:rPr>
              <w:t>5</w:t>
            </w:r>
          </w:p>
        </w:tc>
        <w:tc>
          <w:tcPr>
            <w:tcW w:w="738"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15</w:t>
            </w:r>
          </w:p>
        </w:tc>
        <w:tc>
          <w:tcPr>
            <w:tcW w:w="676" w:type="pct"/>
            <w:vMerge w:val="continue"/>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0" w:type="pct"/>
            <w:vMerge w:val="continue"/>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p>
        </w:tc>
        <w:tc>
          <w:tcPr>
            <w:tcW w:w="949" w:type="pct"/>
            <w:vMerge w:val="continue"/>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p>
        </w:tc>
        <w:tc>
          <w:tcPr>
            <w:tcW w:w="621"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石油类</w:t>
            </w:r>
          </w:p>
        </w:tc>
        <w:tc>
          <w:tcPr>
            <w:tcW w:w="652"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200</w:t>
            </w:r>
          </w:p>
        </w:tc>
        <w:tc>
          <w:tcPr>
            <w:tcW w:w="1112" w:type="dxa"/>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0.04</w:t>
            </w:r>
          </w:p>
        </w:tc>
        <w:tc>
          <w:tcPr>
            <w:tcW w:w="738"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15</w:t>
            </w:r>
          </w:p>
        </w:tc>
        <w:tc>
          <w:tcPr>
            <w:tcW w:w="676" w:type="pct"/>
            <w:vMerge w:val="continue"/>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0" w:type="pct"/>
            <w:vMerge w:val="continue"/>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p>
        </w:tc>
        <w:tc>
          <w:tcPr>
            <w:tcW w:w="949"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柴油罐及围堰破损导致柴油外泄</w:t>
            </w:r>
          </w:p>
        </w:tc>
        <w:tc>
          <w:tcPr>
            <w:tcW w:w="621"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石油类</w:t>
            </w:r>
          </w:p>
        </w:tc>
        <w:tc>
          <w:tcPr>
            <w:tcW w:w="652"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w:t>
            </w:r>
          </w:p>
        </w:tc>
        <w:tc>
          <w:tcPr>
            <w:tcW w:w="652"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1.67</w:t>
            </w:r>
          </w:p>
        </w:tc>
        <w:tc>
          <w:tcPr>
            <w:tcW w:w="738"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w:t>
            </w:r>
          </w:p>
        </w:tc>
        <w:tc>
          <w:tcPr>
            <w:tcW w:w="676"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000" w:type="pct"/>
            <w:gridSpan w:val="7"/>
            <w:tcBorders>
              <w:tl2br w:val="nil"/>
              <w:tr2bl w:val="nil"/>
            </w:tcBorders>
            <w:vAlign w:val="center"/>
          </w:tcPr>
          <w:p>
            <w:pPr>
              <w:topLinePunct w:val="0"/>
              <w:adjustRightInd/>
              <w:spacing w:line="240" w:lineRule="auto"/>
              <w:ind w:firstLine="0" w:firstLineChars="0"/>
              <w:rPr>
                <w:rFonts w:ascii="Times New Roman" w:cs="Times New Roman"/>
                <w:bCs/>
                <w:sz w:val="21"/>
                <w:szCs w:val="21"/>
              </w:rPr>
            </w:pPr>
            <w:r>
              <w:rPr>
                <w:rFonts w:ascii="Times New Roman" w:cs="Times New Roman"/>
                <w:bCs/>
                <w:sz w:val="21"/>
                <w:szCs w:val="21"/>
              </w:rPr>
              <w:t>注：1、各污染物取值均参照</w:t>
            </w:r>
            <w:r>
              <w:rPr>
                <w:rFonts w:hint="eastAsia" w:ascii="Times New Roman" w:cs="Times New Roman"/>
                <w:bCs/>
                <w:sz w:val="21"/>
                <w:szCs w:val="21"/>
              </w:rPr>
              <w:t>区域《P203-2T 井产能建设项目环境影响报告表》《大湾4井探井工程地下水环境影响评价专题报告》及类别区域钻井废水各污染物浓度确定。</w:t>
            </w:r>
          </w:p>
        </w:tc>
      </w:tr>
    </w:tbl>
    <w:p>
      <w:pPr>
        <w:autoSpaceDE w:val="0"/>
        <w:autoSpaceDN w:val="0"/>
        <w:ind w:firstLine="480"/>
        <w:rPr>
          <w:rFonts w:ascii="Times New Roman" w:cs="Times New Roman"/>
          <w:bCs/>
        </w:rPr>
      </w:pPr>
      <w:r>
        <w:rPr>
          <w:rFonts w:ascii="Times New Roman" w:cs="Times New Roman"/>
          <w:bCs/>
        </w:rPr>
        <w:t>⑥预测模型概化</w:t>
      </w:r>
    </w:p>
    <w:p>
      <w:pPr>
        <w:autoSpaceDE w:val="0"/>
        <w:autoSpaceDN w:val="0"/>
        <w:ind w:firstLine="480"/>
        <w:rPr>
          <w:rFonts w:ascii="Times New Roman" w:cs="Times New Roman"/>
          <w:bCs/>
        </w:rPr>
      </w:pPr>
      <w:bookmarkStart w:id="462" w:name="_Toc361"/>
      <w:bookmarkStart w:id="463" w:name="_Toc24868"/>
      <w:r>
        <w:rPr>
          <w:rFonts w:ascii="Times New Roman" w:cs="Times New Roman"/>
          <w:bCs/>
        </w:rPr>
        <w:t>（1）水文地质条件及污染源概化</w:t>
      </w:r>
      <w:bookmarkEnd w:id="462"/>
      <w:bookmarkEnd w:id="463"/>
    </w:p>
    <w:p>
      <w:pPr>
        <w:autoSpaceDE w:val="0"/>
        <w:autoSpaceDN w:val="0"/>
        <w:ind w:firstLine="480"/>
        <w:rPr>
          <w:rFonts w:ascii="Times New Roman" w:cs="Times New Roman"/>
          <w:bCs/>
        </w:rPr>
      </w:pPr>
      <w:r>
        <w:rPr>
          <w:rFonts w:ascii="Times New Roman" w:cs="Times New Roman"/>
          <w:bCs/>
        </w:rPr>
        <w:t>根据实际调查研究及水文地质资料，项目场地周边地区含水岩组为蓬莱镇组，地下水的储存介质主要为风化裂隙水含构造裂隙水。因此，本次研究的主要含水层为风化孔隙裂隙水。</w:t>
      </w:r>
    </w:p>
    <w:p>
      <w:pPr>
        <w:autoSpaceDE w:val="0"/>
        <w:autoSpaceDN w:val="0"/>
        <w:ind w:firstLine="480"/>
        <w:rPr>
          <w:rFonts w:ascii="Times New Roman" w:cs="Times New Roman"/>
          <w:bCs/>
        </w:rPr>
      </w:pPr>
      <w:r>
        <w:rPr>
          <w:rFonts w:ascii="Times New Roman" w:cs="Times New Roman"/>
          <w:bCs/>
        </w:rPr>
        <w:t>含有污染物的废水将以入渗的方式进入含水层，从保守角度，本次计算忽略污染物在包气带的运移过程。建设场地地下水流向呈一维流动，地下水位动态稳定，因此污染物在浅层含水层中的迁移，可概化为瞬时注入示踪剂（平面瞬时点源）的一维稳定流动二维水动力弥散问题，当取平行地下水流动的方向为x轴正方向时，则污染物浓度分布模型如下</w:t>
      </w:r>
      <w:r>
        <w:rPr>
          <w:rFonts w:hint="eastAsia" w:ascii="Times New Roman" w:cs="Times New Roman"/>
          <w:bCs/>
        </w:rPr>
        <w:t>：</w:t>
      </w:r>
    </w:p>
    <w:p>
      <w:pPr>
        <w:autoSpaceDE w:val="0"/>
        <w:autoSpaceDN w:val="0"/>
        <w:spacing w:line="240" w:lineRule="auto"/>
        <w:ind w:firstLine="0" w:firstLineChars="0"/>
        <w:jc w:val="center"/>
        <w:rPr>
          <w:rFonts w:ascii="Times New Roman" w:cs="Times New Roman"/>
          <w:bCs/>
        </w:rPr>
      </w:pPr>
      <w:r>
        <w:rPr>
          <w:rFonts w:ascii="Times New Roman" w:cs="Times New Roman"/>
          <w:bCs/>
        </w:rPr>
        <w:drawing>
          <wp:inline distT="0" distB="0" distL="0" distR="0">
            <wp:extent cx="3857625" cy="814070"/>
            <wp:effectExtent l="0" t="0" r="9525" b="508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56"/>
                    <a:stretch>
                      <a:fillRect/>
                    </a:stretch>
                  </pic:blipFill>
                  <pic:spPr>
                    <a:xfrm>
                      <a:off x="0" y="0"/>
                      <a:ext cx="3857625" cy="814070"/>
                    </a:xfrm>
                    <a:prstGeom prst="rect">
                      <a:avLst/>
                    </a:prstGeom>
                  </pic:spPr>
                </pic:pic>
              </a:graphicData>
            </a:graphic>
          </wp:inline>
        </w:drawing>
      </w:r>
    </w:p>
    <w:p>
      <w:pPr>
        <w:autoSpaceDE w:val="0"/>
        <w:autoSpaceDN w:val="0"/>
        <w:ind w:firstLine="480"/>
        <w:rPr>
          <w:rFonts w:ascii="Times New Roman" w:cs="Times New Roman"/>
          <w:bCs/>
        </w:rPr>
      </w:pPr>
      <w:r>
        <w:rPr>
          <w:rFonts w:ascii="Times New Roman" w:cs="Times New Roman"/>
          <w:bCs/>
        </w:rPr>
        <w:t>式中：</w:t>
      </w:r>
    </w:p>
    <w:p>
      <w:pPr>
        <w:autoSpaceDE w:val="0"/>
        <w:autoSpaceDN w:val="0"/>
        <w:ind w:firstLine="1200" w:firstLineChars="500"/>
        <w:rPr>
          <w:rFonts w:ascii="Times New Roman" w:cs="Times New Roman"/>
          <w:bCs/>
        </w:rPr>
      </w:pPr>
      <w:r>
        <w:rPr>
          <w:rFonts w:ascii="Times New Roman" w:cs="Times New Roman"/>
          <w:bCs/>
        </w:rPr>
        <w:t>x，y—计算点处的位置坐标；</w:t>
      </w:r>
    </w:p>
    <w:p>
      <w:pPr>
        <w:autoSpaceDE w:val="0"/>
        <w:autoSpaceDN w:val="0"/>
        <w:ind w:firstLine="1200" w:firstLineChars="500"/>
        <w:rPr>
          <w:rFonts w:ascii="Times New Roman" w:cs="Times New Roman"/>
          <w:bCs/>
        </w:rPr>
      </w:pPr>
      <w:r>
        <w:rPr>
          <w:rFonts w:ascii="Times New Roman" w:cs="Times New Roman"/>
          <w:bCs/>
        </w:rPr>
        <w:t>t—时间，d；π为圆周率；</w:t>
      </w:r>
    </w:p>
    <w:p>
      <w:pPr>
        <w:autoSpaceDE w:val="0"/>
        <w:autoSpaceDN w:val="0"/>
        <w:ind w:firstLine="1200" w:firstLineChars="500"/>
        <w:rPr>
          <w:rFonts w:ascii="Times New Roman" w:cs="Times New Roman"/>
          <w:bCs/>
        </w:rPr>
      </w:pPr>
      <w:r>
        <w:rPr>
          <w:rFonts w:ascii="Times New Roman" w:cs="Times New Roman"/>
          <w:bCs/>
        </w:rPr>
        <w:t>C（</w:t>
      </w:r>
      <w:r>
        <w:rPr>
          <w:rFonts w:ascii="Times New Roman" w:cs="Times New Roman"/>
          <w:bCs/>
          <w:i/>
          <w:iCs/>
        </w:rPr>
        <w:t>x，y，t</w:t>
      </w:r>
      <w:r>
        <w:rPr>
          <w:rFonts w:ascii="Times New Roman" w:cs="Times New Roman"/>
          <w:bCs/>
        </w:rPr>
        <w:t>）—t时刻点x，y处的示踪剂浓度，g/L；</w:t>
      </w:r>
    </w:p>
    <w:p>
      <w:pPr>
        <w:autoSpaceDE w:val="0"/>
        <w:autoSpaceDN w:val="0"/>
        <w:ind w:firstLine="1200" w:firstLineChars="500"/>
        <w:rPr>
          <w:rFonts w:ascii="Times New Roman" w:cs="Times New Roman"/>
          <w:bCs/>
        </w:rPr>
      </w:pPr>
      <w:r>
        <w:rPr>
          <w:rFonts w:ascii="Times New Roman" w:cs="Times New Roman"/>
          <w:bCs/>
        </w:rPr>
        <w:t>M—含水层的厚度，m；</w:t>
      </w:r>
    </w:p>
    <w:p>
      <w:pPr>
        <w:autoSpaceDE w:val="0"/>
        <w:autoSpaceDN w:val="0"/>
        <w:ind w:firstLine="1200" w:firstLineChars="500"/>
        <w:rPr>
          <w:rFonts w:ascii="Times New Roman" w:cs="Times New Roman"/>
          <w:bCs/>
        </w:rPr>
      </w:pPr>
      <w:r>
        <w:rPr>
          <w:rFonts w:ascii="Times New Roman" w:cs="Times New Roman"/>
          <w:bCs/>
        </w:rPr>
        <w:t>m</w:t>
      </w:r>
      <w:r>
        <w:rPr>
          <w:rFonts w:ascii="Times New Roman" w:cs="Times New Roman"/>
          <w:bCs/>
          <w:vertAlign w:val="subscript"/>
        </w:rPr>
        <w:t>M</w:t>
      </w:r>
      <w:r>
        <w:rPr>
          <w:rFonts w:ascii="Times New Roman" w:cs="Times New Roman"/>
          <w:bCs/>
        </w:rPr>
        <w:t>—瞬时注入示踪剂的质量，kg；</w:t>
      </w:r>
    </w:p>
    <w:p>
      <w:pPr>
        <w:autoSpaceDE w:val="0"/>
        <w:autoSpaceDN w:val="0"/>
        <w:ind w:firstLine="1200" w:firstLineChars="500"/>
        <w:rPr>
          <w:rFonts w:ascii="Times New Roman" w:cs="Times New Roman"/>
          <w:bCs/>
        </w:rPr>
      </w:pPr>
      <w:r>
        <w:rPr>
          <w:rFonts w:ascii="Times New Roman" w:cs="Times New Roman"/>
          <w:bCs/>
        </w:rPr>
        <w:t>u—水流速度，m/d；</w:t>
      </w:r>
    </w:p>
    <w:p>
      <w:pPr>
        <w:autoSpaceDE w:val="0"/>
        <w:autoSpaceDN w:val="0"/>
        <w:ind w:firstLine="1200" w:firstLineChars="500"/>
        <w:rPr>
          <w:rFonts w:ascii="Times New Roman" w:cs="Times New Roman"/>
          <w:bCs/>
        </w:rPr>
      </w:pPr>
      <w:r>
        <w:rPr>
          <w:rFonts w:ascii="Times New Roman" w:cs="Times New Roman"/>
          <w:bCs/>
        </w:rPr>
        <w:t>n</w:t>
      </w:r>
      <w:r>
        <w:rPr>
          <w:rFonts w:ascii="Times New Roman" w:cs="Times New Roman"/>
          <w:bCs/>
          <w:vertAlign w:val="subscript"/>
        </w:rPr>
        <w:t>e</w:t>
      </w:r>
      <w:r>
        <w:rPr>
          <w:rFonts w:ascii="Times New Roman" w:cs="Times New Roman"/>
          <w:bCs/>
        </w:rPr>
        <w:t>—有效孔隙度，无量纲；</w:t>
      </w:r>
    </w:p>
    <w:p>
      <w:pPr>
        <w:autoSpaceDE w:val="0"/>
        <w:autoSpaceDN w:val="0"/>
        <w:ind w:firstLine="1200" w:firstLineChars="500"/>
        <w:rPr>
          <w:rFonts w:ascii="Times New Roman" w:cs="Times New Roman"/>
          <w:bCs/>
        </w:rPr>
      </w:pPr>
      <w:r>
        <w:rPr>
          <w:rFonts w:ascii="Times New Roman" w:cs="Times New Roman"/>
          <w:bCs/>
        </w:rPr>
        <w:t>D</w:t>
      </w:r>
      <w:r>
        <w:rPr>
          <w:rFonts w:ascii="Times New Roman" w:cs="Times New Roman"/>
          <w:bCs/>
          <w:vertAlign w:val="subscript"/>
        </w:rPr>
        <w:t>L</w:t>
      </w:r>
      <w:r>
        <w:rPr>
          <w:rFonts w:ascii="Times New Roman" w:cs="Times New Roman"/>
          <w:bCs/>
        </w:rPr>
        <w:t>—纵向弥散系数，m</w:t>
      </w:r>
      <w:r>
        <w:rPr>
          <w:rFonts w:ascii="Times New Roman" w:cs="Times New Roman"/>
          <w:bCs/>
          <w:vertAlign w:val="superscript"/>
        </w:rPr>
        <w:t>2</w:t>
      </w:r>
      <w:r>
        <w:rPr>
          <w:rFonts w:ascii="Times New Roman" w:cs="Times New Roman"/>
          <w:bCs/>
        </w:rPr>
        <w:t>/d；</w:t>
      </w:r>
    </w:p>
    <w:p>
      <w:pPr>
        <w:autoSpaceDE w:val="0"/>
        <w:autoSpaceDN w:val="0"/>
        <w:ind w:firstLine="1200" w:firstLineChars="500"/>
        <w:rPr>
          <w:rFonts w:hint="eastAsia" w:ascii="Times New Roman" w:eastAsia="宋体" w:cs="Times New Roman"/>
          <w:bCs/>
          <w:lang w:eastAsia="zh-CN"/>
        </w:rPr>
      </w:pPr>
      <w:r>
        <w:rPr>
          <w:rFonts w:ascii="Times New Roman" w:cs="Times New Roman"/>
          <w:bCs/>
        </w:rPr>
        <w:t>D</w:t>
      </w:r>
      <w:r>
        <w:rPr>
          <w:rFonts w:ascii="Times New Roman" w:cs="Times New Roman"/>
          <w:bCs/>
          <w:vertAlign w:val="subscript"/>
        </w:rPr>
        <w:t>T</w:t>
      </w:r>
      <w:r>
        <w:rPr>
          <w:rFonts w:ascii="Times New Roman" w:cs="Times New Roman"/>
          <w:bCs/>
        </w:rPr>
        <w:t>—横向y方向的弥散系数，m</w:t>
      </w:r>
      <w:r>
        <w:rPr>
          <w:rFonts w:ascii="Times New Roman" w:cs="Times New Roman"/>
          <w:bCs/>
          <w:vertAlign w:val="superscript"/>
        </w:rPr>
        <w:t>2</w:t>
      </w:r>
      <w:r>
        <w:rPr>
          <w:rFonts w:ascii="Times New Roman" w:cs="Times New Roman"/>
          <w:bCs/>
        </w:rPr>
        <w:t>/d</w:t>
      </w:r>
      <w:r>
        <w:rPr>
          <w:rFonts w:hint="eastAsia" w:ascii="Times New Roman" w:cs="Times New Roman"/>
          <w:bCs/>
          <w:lang w:eastAsia="zh-CN"/>
        </w:rPr>
        <w:t>；</w:t>
      </w:r>
    </w:p>
    <w:p>
      <w:pPr>
        <w:autoSpaceDE w:val="0"/>
        <w:autoSpaceDN w:val="0"/>
        <w:ind w:firstLine="480"/>
        <w:rPr>
          <w:rFonts w:ascii="Times New Roman" w:cs="Times New Roman"/>
          <w:bCs/>
        </w:rPr>
      </w:pPr>
      <w:r>
        <w:rPr>
          <w:rFonts w:ascii="Times New Roman" w:cs="Times New Roman"/>
          <w:bCs/>
        </w:rPr>
        <w:t>参数选取：</w:t>
      </w:r>
    </w:p>
    <w:p>
      <w:pPr>
        <w:autoSpaceDE w:val="0"/>
        <w:autoSpaceDN w:val="0"/>
        <w:ind w:firstLine="480"/>
        <w:rPr>
          <w:rFonts w:ascii="Times New Roman" w:cs="Times New Roman"/>
          <w:bCs/>
        </w:rPr>
      </w:pPr>
      <w:r>
        <w:rPr>
          <w:rFonts w:ascii="Times New Roman" w:cs="Times New Roman"/>
          <w:bCs/>
        </w:rPr>
        <w:t>a.含水层厚度M：根据对项目区地下水赋存情况的调查，结合当地已有的水文地质勘查资料及《P203-2T井产能建设项目环境影响报告表》《大湾4井探井工程地下水环境影响评价专题报告》成果，项目区潜水含水层厚度为20~40m。结合场区含水层的厚度根据本次野外调查情况和水文地质资料共同确定为30m。</w:t>
      </w:r>
    </w:p>
    <w:p>
      <w:pPr>
        <w:autoSpaceDE w:val="0"/>
        <w:autoSpaceDN w:val="0"/>
        <w:ind w:firstLine="480"/>
        <w:rPr>
          <w:rFonts w:ascii="Times New Roman" w:cs="Times New Roman"/>
          <w:bCs/>
        </w:rPr>
      </w:pPr>
      <w:r>
        <w:rPr>
          <w:rFonts w:ascii="Times New Roman" w:cs="Times New Roman"/>
          <w:bCs/>
        </w:rPr>
        <w:t>b.瞬时注入的示踪剂质量m</w:t>
      </w:r>
      <w:r>
        <w:rPr>
          <w:rFonts w:ascii="Times New Roman" w:cs="Times New Roman"/>
          <w:bCs/>
          <w:vertAlign w:val="subscript"/>
        </w:rPr>
        <w:t>M</w:t>
      </w:r>
      <w:r>
        <w:rPr>
          <w:rFonts w:ascii="Times New Roman" w:cs="Times New Roman"/>
          <w:bCs/>
        </w:rPr>
        <w:t>：施工期进入地下水的污染物质量见表6.1-</w:t>
      </w:r>
      <w:r>
        <w:rPr>
          <w:rFonts w:hint="eastAsia" w:ascii="Times New Roman" w:cs="Times New Roman"/>
          <w:bCs/>
        </w:rPr>
        <w:t>4</w:t>
      </w:r>
      <w:r>
        <w:rPr>
          <w:rFonts w:ascii="Times New Roman" w:cs="Times New Roman"/>
          <w:bCs/>
        </w:rPr>
        <w:t>。</w:t>
      </w:r>
    </w:p>
    <w:p>
      <w:pPr>
        <w:autoSpaceDE w:val="0"/>
        <w:autoSpaceDN w:val="0"/>
        <w:ind w:firstLine="480"/>
        <w:rPr>
          <w:rFonts w:ascii="Times New Roman" w:cs="Times New Roman"/>
          <w:bCs/>
        </w:rPr>
      </w:pPr>
      <w:r>
        <w:rPr>
          <w:rFonts w:ascii="Times New Roman" w:cs="Times New Roman"/>
          <w:bCs/>
        </w:rPr>
        <w:t>c.含水层的平均有效孔隙度n</w:t>
      </w:r>
      <w:r>
        <w:rPr>
          <w:rFonts w:hint="eastAsia" w:ascii="Times New Roman" w:cs="Times New Roman"/>
          <w:bCs/>
          <w:vertAlign w:val="subscript"/>
        </w:rPr>
        <w:t>e</w:t>
      </w:r>
      <w:r>
        <w:rPr>
          <w:rFonts w:ascii="Times New Roman" w:cs="Times New Roman"/>
          <w:bCs/>
        </w:rPr>
        <w:t>：</w:t>
      </w:r>
      <w:r>
        <w:rPr>
          <w:rFonts w:hint="eastAsia" w:ascii="Times New Roman" w:cs="Times New Roman"/>
          <w:bCs/>
        </w:rPr>
        <w:t>结合《水文地质手册（第二版）》（中国地质调查局，2002年）经验数值，参照《P203-2T井产能建设项目环境影响报告表》以及类比普光地区的水文地质勘察成果资料，</w:t>
      </w:r>
      <w:r>
        <w:rPr>
          <w:rFonts w:ascii="Times New Roman" w:cs="Times New Roman"/>
          <w:bCs/>
        </w:rPr>
        <w:t>本次综合有效孔隙度取值0.13。</w:t>
      </w:r>
    </w:p>
    <w:p>
      <w:pPr>
        <w:autoSpaceDE w:val="0"/>
        <w:autoSpaceDN w:val="0"/>
        <w:ind w:firstLine="480"/>
        <w:rPr>
          <w:rFonts w:ascii="Times New Roman" w:cs="Times New Roman"/>
          <w:bCs/>
        </w:rPr>
      </w:pPr>
      <w:r>
        <w:rPr>
          <w:rFonts w:ascii="Times New Roman" w:cs="Times New Roman"/>
          <w:bCs/>
        </w:rPr>
        <w:t>d.水流速度u：u=KI/n式中I为地下水水力梯度，根据计算为</w:t>
      </w:r>
      <w:r>
        <w:rPr>
          <w:rFonts w:hint="eastAsia" w:ascii="Times New Roman" w:cs="Times New Roman"/>
          <w:bCs/>
        </w:rPr>
        <w:t>0.05</w:t>
      </w:r>
      <w:r>
        <w:rPr>
          <w:rFonts w:ascii="Times New Roman" w:cs="Times New Roman"/>
          <w:bCs/>
        </w:rPr>
        <w:t>；</w:t>
      </w:r>
    </w:p>
    <w:p>
      <w:pPr>
        <w:autoSpaceDE w:val="0"/>
        <w:autoSpaceDN w:val="0"/>
        <w:ind w:firstLine="480"/>
        <w:rPr>
          <w:rFonts w:ascii="Times New Roman" w:cs="Times New Roman"/>
          <w:bCs/>
        </w:rPr>
      </w:pPr>
      <w:r>
        <w:rPr>
          <w:rFonts w:ascii="Times New Roman" w:cs="Times New Roman"/>
          <w:bCs/>
        </w:rPr>
        <w:t>含水层主要为基岩风化带裂隙水，渗透系数取经验值0.</w:t>
      </w:r>
      <w:r>
        <w:rPr>
          <w:rFonts w:hint="eastAsia" w:ascii="Times New Roman" w:cs="Times New Roman"/>
          <w:bCs/>
        </w:rPr>
        <w:t>1</w:t>
      </w:r>
      <w:r>
        <w:rPr>
          <w:rFonts w:ascii="Times New Roman" w:cs="Times New Roman"/>
          <w:bCs/>
        </w:rPr>
        <w:t>m/d，因此地下水渗流速度u=0.0</w:t>
      </w:r>
      <w:r>
        <w:rPr>
          <w:rFonts w:hint="eastAsia" w:ascii="Times New Roman" w:cs="Times New Roman"/>
          <w:bCs/>
        </w:rPr>
        <w:t>38</w:t>
      </w:r>
      <w:r>
        <w:rPr>
          <w:rFonts w:ascii="Times New Roman" w:cs="Times New Roman"/>
          <w:bCs/>
        </w:rPr>
        <w:t>m/d。</w:t>
      </w:r>
    </w:p>
    <w:p>
      <w:pPr>
        <w:autoSpaceDE w:val="0"/>
        <w:autoSpaceDN w:val="0"/>
        <w:ind w:firstLine="480"/>
        <w:rPr>
          <w:rFonts w:ascii="Times New Roman" w:cs="Times New Roman"/>
          <w:bCs/>
        </w:rPr>
      </w:pPr>
      <w:r>
        <w:rPr>
          <w:rFonts w:ascii="Times New Roman" w:cs="Times New Roman"/>
          <w:bCs/>
        </w:rPr>
        <w:t>e.纵向x方向的弥散系数D</w:t>
      </w:r>
      <w:r>
        <w:rPr>
          <w:rFonts w:ascii="Times New Roman" w:cs="Times New Roman"/>
          <w:bCs/>
          <w:vertAlign w:val="subscript"/>
        </w:rPr>
        <w:t>L</w:t>
      </w:r>
      <w:r>
        <w:rPr>
          <w:rFonts w:ascii="Times New Roman" w:cs="Times New Roman"/>
          <w:bCs/>
        </w:rPr>
        <w:t>：根据经验值</w:t>
      </w:r>
      <w:r>
        <w:rPr>
          <w:rFonts w:hint="eastAsia" w:ascii="Times New Roman" w:cs="Times New Roman"/>
          <w:bCs/>
        </w:rPr>
        <w:t>以及普光地区的水文地质勘察成果资料</w:t>
      </w:r>
      <w:r>
        <w:rPr>
          <w:rFonts w:ascii="Times New Roman" w:cs="Times New Roman"/>
          <w:bCs/>
        </w:rPr>
        <w:t>取值6.9m。</w:t>
      </w:r>
    </w:p>
    <w:p>
      <w:pPr>
        <w:autoSpaceDE w:val="0"/>
        <w:autoSpaceDN w:val="0"/>
        <w:ind w:firstLine="480"/>
        <w:rPr>
          <w:rFonts w:ascii="Times New Roman" w:cs="Times New Roman"/>
          <w:bCs/>
        </w:rPr>
      </w:pPr>
      <w:r>
        <w:rPr>
          <w:rFonts w:ascii="Times New Roman" w:cs="Times New Roman"/>
          <w:bCs/>
        </w:rPr>
        <w:t>f.横向y方向的弥散系数D</w:t>
      </w:r>
      <w:r>
        <w:rPr>
          <w:rFonts w:ascii="Times New Roman" w:cs="Times New Roman"/>
          <w:bCs/>
          <w:vertAlign w:val="subscript"/>
        </w:rPr>
        <w:t>T</w:t>
      </w:r>
      <w:r>
        <w:rPr>
          <w:rFonts w:ascii="Times New Roman" w:cs="Times New Roman"/>
          <w:bCs/>
        </w:rPr>
        <w:t>：根据经验值以及普光地区的水文地质勘察成果资料取值0.06。</w:t>
      </w:r>
    </w:p>
    <w:p>
      <w:pPr>
        <w:autoSpaceDE w:val="0"/>
        <w:autoSpaceDN w:val="0"/>
        <w:ind w:firstLine="480"/>
        <w:rPr>
          <w:rFonts w:ascii="Times New Roman" w:cs="Times New Roman"/>
          <w:bCs/>
        </w:rPr>
      </w:pPr>
      <w:r>
        <w:rPr>
          <w:rFonts w:ascii="Times New Roman" w:cs="Times New Roman"/>
          <w:bCs/>
        </w:rPr>
        <w:t>表6.1-5列出了场区所在地的水文地质条件参数。</w:t>
      </w:r>
    </w:p>
    <w:p>
      <w:pPr>
        <w:autoSpaceDE w:val="0"/>
        <w:autoSpaceDN w:val="0"/>
        <w:ind w:firstLine="0" w:firstLineChars="0"/>
        <w:jc w:val="center"/>
        <w:rPr>
          <w:rFonts w:ascii="Times New Roman" w:cs="Times New Roman"/>
          <w:b/>
        </w:rPr>
      </w:pPr>
      <w:r>
        <w:rPr>
          <w:rFonts w:ascii="Times New Roman" w:cs="Times New Roman"/>
          <w:b/>
        </w:rPr>
        <w:t>表6.1-5 场地处水文地质参数取值</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11"/>
        <w:gridCol w:w="817"/>
        <w:gridCol w:w="735"/>
        <w:gridCol w:w="1271"/>
        <w:gridCol w:w="804"/>
        <w:gridCol w:w="944"/>
        <w:gridCol w:w="1005"/>
        <w:gridCol w:w="979"/>
        <w:gridCol w:w="7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0"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渗漏位置</w:t>
            </w:r>
          </w:p>
        </w:tc>
        <w:tc>
          <w:tcPr>
            <w:tcW w:w="910" w:type="pct"/>
            <w:gridSpan w:val="2"/>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外泄污染物质量（kg）</w:t>
            </w:r>
          </w:p>
        </w:tc>
        <w:tc>
          <w:tcPr>
            <w:tcW w:w="745"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污染物浓度标准限值</w:t>
            </w:r>
          </w:p>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(mg/L)</w:t>
            </w:r>
          </w:p>
        </w:tc>
        <w:tc>
          <w:tcPr>
            <w:tcW w:w="471"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含水层厚度M(m)</w:t>
            </w:r>
          </w:p>
        </w:tc>
        <w:tc>
          <w:tcPr>
            <w:tcW w:w="553"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地下水</w:t>
            </w:r>
          </w:p>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流速u(m/d)</w:t>
            </w:r>
          </w:p>
        </w:tc>
        <w:tc>
          <w:tcPr>
            <w:tcW w:w="589"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纵向弥散系数（m</w:t>
            </w:r>
            <w:r>
              <w:rPr>
                <w:rFonts w:ascii="Times New Roman" w:cs="Times New Roman"/>
                <w:bCs/>
                <w:sz w:val="21"/>
                <w:szCs w:val="21"/>
                <w:vertAlign w:val="subscript"/>
              </w:rPr>
              <w:t>2</w:t>
            </w:r>
            <w:r>
              <w:rPr>
                <w:rFonts w:ascii="Times New Roman" w:cs="Times New Roman"/>
                <w:bCs/>
                <w:sz w:val="21"/>
                <w:szCs w:val="21"/>
              </w:rPr>
              <w:t>/d）</w:t>
            </w:r>
          </w:p>
        </w:tc>
        <w:tc>
          <w:tcPr>
            <w:tcW w:w="574"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横向弥散系数（m</w:t>
            </w:r>
            <w:r>
              <w:rPr>
                <w:rFonts w:ascii="Times New Roman" w:cs="Times New Roman"/>
                <w:bCs/>
                <w:sz w:val="21"/>
                <w:szCs w:val="21"/>
                <w:vertAlign w:val="subscript"/>
              </w:rPr>
              <w:t>2</w:t>
            </w:r>
            <w:r>
              <w:rPr>
                <w:rFonts w:ascii="Times New Roman" w:cs="Times New Roman"/>
                <w:bCs/>
                <w:sz w:val="21"/>
                <w:szCs w:val="21"/>
              </w:rPr>
              <w:t>/d）</w:t>
            </w:r>
          </w:p>
        </w:tc>
        <w:tc>
          <w:tcPr>
            <w:tcW w:w="444"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有效孔隙度n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0" w:type="pct"/>
            <w:vMerge w:val="restar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应急池破裂</w:t>
            </w:r>
          </w:p>
        </w:tc>
        <w:tc>
          <w:tcPr>
            <w:tcW w:w="479"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石油类</w:t>
            </w:r>
          </w:p>
        </w:tc>
        <w:tc>
          <w:tcPr>
            <w:tcW w:w="431"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0.04</w:t>
            </w:r>
          </w:p>
        </w:tc>
        <w:tc>
          <w:tcPr>
            <w:tcW w:w="745"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0.05</w:t>
            </w:r>
          </w:p>
        </w:tc>
        <w:tc>
          <w:tcPr>
            <w:tcW w:w="471" w:type="pct"/>
            <w:vMerge w:val="restar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30</w:t>
            </w:r>
          </w:p>
        </w:tc>
        <w:tc>
          <w:tcPr>
            <w:tcW w:w="553" w:type="pct"/>
            <w:vMerge w:val="restar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0.0</w:t>
            </w:r>
            <w:r>
              <w:rPr>
                <w:rFonts w:hint="eastAsia" w:ascii="Times New Roman" w:cs="Times New Roman"/>
                <w:bCs/>
                <w:sz w:val="21"/>
                <w:szCs w:val="21"/>
              </w:rPr>
              <w:t>38</w:t>
            </w:r>
          </w:p>
        </w:tc>
        <w:tc>
          <w:tcPr>
            <w:tcW w:w="589" w:type="pct"/>
            <w:vMerge w:val="restar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6.9</w:t>
            </w:r>
          </w:p>
        </w:tc>
        <w:tc>
          <w:tcPr>
            <w:tcW w:w="574" w:type="pct"/>
            <w:vMerge w:val="restar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0.0</w:t>
            </w:r>
            <w:r>
              <w:rPr>
                <w:rFonts w:hint="eastAsia" w:ascii="Times New Roman" w:cs="Times New Roman"/>
                <w:bCs/>
                <w:sz w:val="21"/>
                <w:szCs w:val="21"/>
              </w:rPr>
              <w:t>6</w:t>
            </w:r>
          </w:p>
        </w:tc>
        <w:tc>
          <w:tcPr>
            <w:tcW w:w="444" w:type="pct"/>
            <w:vMerge w:val="restar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0.1</w:t>
            </w:r>
            <w:r>
              <w:rPr>
                <w:rFonts w:hint="eastAsia" w:ascii="Times New Roman" w:cs="Times New Roman"/>
                <w:bCs/>
                <w:sz w:val="21"/>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0" w:type="pct"/>
            <w:vMerge w:val="continue"/>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p>
        </w:tc>
        <w:tc>
          <w:tcPr>
            <w:tcW w:w="479"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COD</w:t>
            </w:r>
          </w:p>
        </w:tc>
        <w:tc>
          <w:tcPr>
            <w:tcW w:w="431"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0.32</w:t>
            </w:r>
          </w:p>
        </w:tc>
        <w:tc>
          <w:tcPr>
            <w:tcW w:w="745"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20</w:t>
            </w:r>
          </w:p>
        </w:tc>
        <w:tc>
          <w:tcPr>
            <w:tcW w:w="471" w:type="pct"/>
            <w:vMerge w:val="continue"/>
            <w:tcBorders>
              <w:tl2br w:val="nil"/>
              <w:tr2bl w:val="nil"/>
            </w:tcBorders>
            <w:vAlign w:val="center"/>
          </w:tcPr>
          <w:p>
            <w:pPr>
              <w:autoSpaceDE w:val="0"/>
              <w:autoSpaceDN w:val="0"/>
              <w:ind w:firstLine="480"/>
              <w:rPr>
                <w:rFonts w:ascii="Times New Roman" w:cs="Times New Roman"/>
                <w:bCs/>
              </w:rPr>
            </w:pPr>
          </w:p>
        </w:tc>
        <w:tc>
          <w:tcPr>
            <w:tcW w:w="553" w:type="pct"/>
            <w:vMerge w:val="continue"/>
            <w:tcBorders>
              <w:tl2br w:val="nil"/>
              <w:tr2bl w:val="nil"/>
            </w:tcBorders>
            <w:vAlign w:val="center"/>
          </w:tcPr>
          <w:p>
            <w:pPr>
              <w:autoSpaceDE w:val="0"/>
              <w:autoSpaceDN w:val="0"/>
              <w:ind w:firstLine="480"/>
              <w:rPr>
                <w:rFonts w:ascii="Times New Roman" w:cs="Times New Roman"/>
                <w:bCs/>
              </w:rPr>
            </w:pPr>
          </w:p>
        </w:tc>
        <w:tc>
          <w:tcPr>
            <w:tcW w:w="589" w:type="pct"/>
            <w:vMerge w:val="continue"/>
            <w:tcBorders>
              <w:tl2br w:val="nil"/>
              <w:tr2bl w:val="nil"/>
            </w:tcBorders>
            <w:vAlign w:val="center"/>
          </w:tcPr>
          <w:p>
            <w:pPr>
              <w:autoSpaceDE w:val="0"/>
              <w:autoSpaceDN w:val="0"/>
              <w:ind w:firstLine="480"/>
              <w:rPr>
                <w:rFonts w:ascii="Times New Roman" w:cs="Times New Roman"/>
                <w:bCs/>
              </w:rPr>
            </w:pPr>
          </w:p>
        </w:tc>
        <w:tc>
          <w:tcPr>
            <w:tcW w:w="574" w:type="pct"/>
            <w:vMerge w:val="continue"/>
            <w:tcBorders>
              <w:tl2br w:val="nil"/>
              <w:tr2bl w:val="nil"/>
            </w:tcBorders>
            <w:vAlign w:val="center"/>
          </w:tcPr>
          <w:p>
            <w:pPr>
              <w:autoSpaceDE w:val="0"/>
              <w:autoSpaceDN w:val="0"/>
              <w:ind w:firstLine="480"/>
              <w:rPr>
                <w:rFonts w:ascii="Times New Roman" w:cs="Times New Roman"/>
                <w:bCs/>
              </w:rPr>
            </w:pPr>
          </w:p>
        </w:tc>
        <w:tc>
          <w:tcPr>
            <w:tcW w:w="444" w:type="pct"/>
            <w:vMerge w:val="continue"/>
            <w:tcBorders>
              <w:tl2br w:val="nil"/>
              <w:tr2bl w:val="nil"/>
            </w:tcBorders>
            <w:vAlign w:val="center"/>
          </w:tcPr>
          <w:p>
            <w:pPr>
              <w:autoSpaceDE w:val="0"/>
              <w:autoSpaceDN w:val="0"/>
              <w:ind w:firstLine="480"/>
              <w:rPr>
                <w:rFonts w:ascii="Times New Roman" w:cs="Times New Roman"/>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0" w:type="pct"/>
            <w:vMerge w:val="continue"/>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p>
        </w:tc>
        <w:tc>
          <w:tcPr>
            <w:tcW w:w="479"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氯化物</w:t>
            </w:r>
          </w:p>
        </w:tc>
        <w:tc>
          <w:tcPr>
            <w:tcW w:w="431"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0.78</w:t>
            </w:r>
          </w:p>
        </w:tc>
        <w:tc>
          <w:tcPr>
            <w:tcW w:w="745"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250</w:t>
            </w:r>
          </w:p>
        </w:tc>
        <w:tc>
          <w:tcPr>
            <w:tcW w:w="471" w:type="pct"/>
            <w:vMerge w:val="continue"/>
            <w:tcBorders>
              <w:tl2br w:val="nil"/>
              <w:tr2bl w:val="nil"/>
            </w:tcBorders>
            <w:vAlign w:val="center"/>
          </w:tcPr>
          <w:p>
            <w:pPr>
              <w:autoSpaceDE w:val="0"/>
              <w:autoSpaceDN w:val="0"/>
              <w:ind w:firstLine="480"/>
              <w:rPr>
                <w:rFonts w:ascii="Times New Roman" w:cs="Times New Roman"/>
                <w:bCs/>
              </w:rPr>
            </w:pPr>
          </w:p>
        </w:tc>
        <w:tc>
          <w:tcPr>
            <w:tcW w:w="553" w:type="pct"/>
            <w:vMerge w:val="continue"/>
            <w:tcBorders>
              <w:tl2br w:val="nil"/>
              <w:tr2bl w:val="nil"/>
            </w:tcBorders>
            <w:vAlign w:val="center"/>
          </w:tcPr>
          <w:p>
            <w:pPr>
              <w:autoSpaceDE w:val="0"/>
              <w:autoSpaceDN w:val="0"/>
              <w:ind w:firstLine="480"/>
              <w:rPr>
                <w:rFonts w:ascii="Times New Roman" w:cs="Times New Roman"/>
                <w:bCs/>
              </w:rPr>
            </w:pPr>
          </w:p>
        </w:tc>
        <w:tc>
          <w:tcPr>
            <w:tcW w:w="589" w:type="pct"/>
            <w:vMerge w:val="continue"/>
            <w:tcBorders>
              <w:tl2br w:val="nil"/>
              <w:tr2bl w:val="nil"/>
            </w:tcBorders>
            <w:vAlign w:val="center"/>
          </w:tcPr>
          <w:p>
            <w:pPr>
              <w:autoSpaceDE w:val="0"/>
              <w:autoSpaceDN w:val="0"/>
              <w:ind w:firstLine="480"/>
              <w:rPr>
                <w:rFonts w:ascii="Times New Roman" w:cs="Times New Roman"/>
                <w:bCs/>
              </w:rPr>
            </w:pPr>
          </w:p>
        </w:tc>
        <w:tc>
          <w:tcPr>
            <w:tcW w:w="574" w:type="pct"/>
            <w:vMerge w:val="continue"/>
            <w:tcBorders>
              <w:tl2br w:val="nil"/>
              <w:tr2bl w:val="nil"/>
            </w:tcBorders>
            <w:vAlign w:val="center"/>
          </w:tcPr>
          <w:p>
            <w:pPr>
              <w:autoSpaceDE w:val="0"/>
              <w:autoSpaceDN w:val="0"/>
              <w:ind w:firstLine="480"/>
              <w:rPr>
                <w:rFonts w:ascii="Times New Roman" w:cs="Times New Roman"/>
                <w:bCs/>
              </w:rPr>
            </w:pPr>
          </w:p>
        </w:tc>
        <w:tc>
          <w:tcPr>
            <w:tcW w:w="444" w:type="pct"/>
            <w:vMerge w:val="continue"/>
            <w:tcBorders>
              <w:tl2br w:val="nil"/>
              <w:tr2bl w:val="nil"/>
            </w:tcBorders>
            <w:vAlign w:val="center"/>
          </w:tcPr>
          <w:p>
            <w:pPr>
              <w:autoSpaceDE w:val="0"/>
              <w:autoSpaceDN w:val="0"/>
              <w:ind w:firstLine="480"/>
              <w:rPr>
                <w:rFonts w:ascii="Times New Roman" w:cs="Times New Roman"/>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0"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柴油罐泄漏</w:t>
            </w:r>
          </w:p>
        </w:tc>
        <w:tc>
          <w:tcPr>
            <w:tcW w:w="479"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石油类</w:t>
            </w:r>
          </w:p>
        </w:tc>
        <w:tc>
          <w:tcPr>
            <w:tcW w:w="431"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1.67</w:t>
            </w:r>
          </w:p>
        </w:tc>
        <w:tc>
          <w:tcPr>
            <w:tcW w:w="745"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0.05</w:t>
            </w:r>
          </w:p>
        </w:tc>
        <w:tc>
          <w:tcPr>
            <w:tcW w:w="471" w:type="pct"/>
            <w:vMerge w:val="continue"/>
            <w:tcBorders>
              <w:tl2br w:val="nil"/>
              <w:tr2bl w:val="nil"/>
            </w:tcBorders>
            <w:vAlign w:val="center"/>
          </w:tcPr>
          <w:p>
            <w:pPr>
              <w:autoSpaceDE w:val="0"/>
              <w:autoSpaceDN w:val="0"/>
              <w:ind w:firstLine="480"/>
              <w:rPr>
                <w:rFonts w:ascii="Times New Roman" w:cs="Times New Roman"/>
                <w:bCs/>
              </w:rPr>
            </w:pPr>
          </w:p>
        </w:tc>
        <w:tc>
          <w:tcPr>
            <w:tcW w:w="553" w:type="pct"/>
            <w:vMerge w:val="continue"/>
            <w:tcBorders>
              <w:tl2br w:val="nil"/>
              <w:tr2bl w:val="nil"/>
            </w:tcBorders>
            <w:vAlign w:val="center"/>
          </w:tcPr>
          <w:p>
            <w:pPr>
              <w:autoSpaceDE w:val="0"/>
              <w:autoSpaceDN w:val="0"/>
              <w:ind w:firstLine="480"/>
              <w:rPr>
                <w:rFonts w:ascii="Times New Roman" w:cs="Times New Roman"/>
                <w:bCs/>
              </w:rPr>
            </w:pPr>
          </w:p>
        </w:tc>
        <w:tc>
          <w:tcPr>
            <w:tcW w:w="589" w:type="pct"/>
            <w:vMerge w:val="continue"/>
            <w:tcBorders>
              <w:tl2br w:val="nil"/>
              <w:tr2bl w:val="nil"/>
            </w:tcBorders>
            <w:vAlign w:val="center"/>
          </w:tcPr>
          <w:p>
            <w:pPr>
              <w:autoSpaceDE w:val="0"/>
              <w:autoSpaceDN w:val="0"/>
              <w:ind w:firstLine="480"/>
              <w:rPr>
                <w:rFonts w:ascii="Times New Roman" w:cs="Times New Roman"/>
                <w:bCs/>
              </w:rPr>
            </w:pPr>
          </w:p>
        </w:tc>
        <w:tc>
          <w:tcPr>
            <w:tcW w:w="574" w:type="pct"/>
            <w:vMerge w:val="continue"/>
            <w:tcBorders>
              <w:tl2br w:val="nil"/>
              <w:tr2bl w:val="nil"/>
            </w:tcBorders>
            <w:vAlign w:val="center"/>
          </w:tcPr>
          <w:p>
            <w:pPr>
              <w:autoSpaceDE w:val="0"/>
              <w:autoSpaceDN w:val="0"/>
              <w:ind w:firstLine="480"/>
              <w:rPr>
                <w:rFonts w:ascii="Times New Roman" w:cs="Times New Roman"/>
                <w:bCs/>
              </w:rPr>
            </w:pPr>
          </w:p>
        </w:tc>
        <w:tc>
          <w:tcPr>
            <w:tcW w:w="444" w:type="pct"/>
            <w:vMerge w:val="continue"/>
            <w:tcBorders>
              <w:tl2br w:val="nil"/>
              <w:tr2bl w:val="nil"/>
            </w:tcBorders>
            <w:vAlign w:val="center"/>
          </w:tcPr>
          <w:p>
            <w:pPr>
              <w:autoSpaceDE w:val="0"/>
              <w:autoSpaceDN w:val="0"/>
              <w:ind w:firstLine="480"/>
              <w:rPr>
                <w:rFonts w:ascii="Times New Roman" w:cs="Times New Roman"/>
                <w:bCs/>
              </w:rPr>
            </w:pPr>
          </w:p>
        </w:tc>
      </w:tr>
    </w:tbl>
    <w:p>
      <w:pPr>
        <w:autoSpaceDE w:val="0"/>
        <w:autoSpaceDN w:val="0"/>
        <w:ind w:firstLine="480"/>
        <w:rPr>
          <w:rFonts w:ascii="Times New Roman" w:cs="Times New Roman"/>
          <w:bCs/>
        </w:rPr>
      </w:pPr>
      <w:r>
        <w:rPr>
          <w:rFonts w:ascii="Times New Roman" w:cs="Times New Roman"/>
          <w:bCs/>
        </w:rPr>
        <w:t xml:space="preserve">⑦预测结果 </w:t>
      </w:r>
    </w:p>
    <w:p>
      <w:pPr>
        <w:autoSpaceDE w:val="0"/>
        <w:autoSpaceDN w:val="0"/>
        <w:ind w:firstLine="480"/>
        <w:rPr>
          <w:rFonts w:ascii="Times New Roman" w:cs="Times New Roman"/>
          <w:bCs/>
        </w:rPr>
      </w:pPr>
      <w:bookmarkStart w:id="464" w:name="_Hlk82704704"/>
      <w:r>
        <w:rPr>
          <w:rFonts w:ascii="Times New Roman" w:cs="Times New Roman"/>
          <w:bCs/>
        </w:rPr>
        <w:t>（1）应急池破裂情况</w:t>
      </w:r>
    </w:p>
    <w:p>
      <w:pPr>
        <w:autoSpaceDE w:val="0"/>
        <w:autoSpaceDN w:val="0"/>
        <w:ind w:firstLine="480"/>
        <w:rPr>
          <w:rFonts w:ascii="Times New Roman" w:cs="Times New Roman"/>
          <w:bCs/>
        </w:rPr>
      </w:pPr>
      <w:r>
        <w:rPr>
          <w:rFonts w:ascii="Times New Roman" w:cs="Times New Roman"/>
          <w:bCs/>
        </w:rPr>
        <w:fldChar w:fldCharType="begin"/>
      </w:r>
      <w:r>
        <w:rPr>
          <w:rFonts w:ascii="Times New Roman" w:cs="Times New Roman"/>
          <w:bCs/>
        </w:rPr>
        <w:instrText xml:space="preserve"> = 1 \* GB3 \* MERGEFORMAT </w:instrText>
      </w:r>
      <w:r>
        <w:rPr>
          <w:rFonts w:ascii="Times New Roman" w:cs="Times New Roman"/>
          <w:bCs/>
        </w:rPr>
        <w:fldChar w:fldCharType="separate"/>
      </w:r>
      <w:r>
        <w:rPr>
          <w:rFonts w:ascii="Times New Roman" w:cs="Times New Roman"/>
          <w:bCs/>
        </w:rPr>
        <w:t>①</w:t>
      </w:r>
      <w:r>
        <w:rPr>
          <w:rFonts w:ascii="Times New Roman" w:cs="Times New Roman"/>
          <w:bCs/>
        </w:rPr>
        <w:fldChar w:fldCharType="end"/>
      </w:r>
      <w:r>
        <w:rPr>
          <w:rFonts w:ascii="Times New Roman" w:cs="Times New Roman"/>
          <w:bCs/>
        </w:rPr>
        <w:t>地下水污染特征因子石油类的影响范围及距离计算结果见表3-3。</w:t>
      </w:r>
    </w:p>
    <w:p>
      <w:pPr>
        <w:autoSpaceDE w:val="0"/>
        <w:autoSpaceDN w:val="0"/>
        <w:ind w:firstLine="0" w:firstLineChars="0"/>
        <w:jc w:val="center"/>
        <w:rPr>
          <w:rFonts w:ascii="Times New Roman" w:cs="Times New Roman"/>
          <w:b/>
        </w:rPr>
      </w:pPr>
      <w:r>
        <w:rPr>
          <w:rFonts w:ascii="Times New Roman" w:cs="Times New Roman"/>
          <w:b/>
        </w:rPr>
        <w:t>表6.1-6 地下水中石油类超标及影响范围</w:t>
      </w:r>
    </w:p>
    <w:tbl>
      <w:tblPr>
        <w:tblStyle w:val="57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33"/>
        <w:gridCol w:w="1159"/>
        <w:gridCol w:w="1043"/>
        <w:gridCol w:w="1031"/>
        <w:gridCol w:w="1417"/>
        <w:gridCol w:w="1417"/>
        <w:gridCol w:w="12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44" w:hRule="atLeast"/>
          <w:jc w:val="center"/>
        </w:trPr>
        <w:tc>
          <w:tcPr>
            <w:tcW w:w="723"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污染源总量(kg)</w:t>
            </w:r>
          </w:p>
        </w:tc>
        <w:tc>
          <w:tcPr>
            <w:tcW w:w="680"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模拟时间(天）</w:t>
            </w:r>
          </w:p>
        </w:tc>
        <w:tc>
          <w:tcPr>
            <w:tcW w:w="612"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最大超标距离(m)</w:t>
            </w:r>
          </w:p>
        </w:tc>
        <w:tc>
          <w:tcPr>
            <w:tcW w:w="605"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中心迁移距离(m)</w:t>
            </w:r>
          </w:p>
        </w:tc>
        <w:tc>
          <w:tcPr>
            <w:tcW w:w="831" w:type="pct"/>
            <w:tcBorders>
              <w:tl2br w:val="nil"/>
              <w:tr2bl w:val="nil"/>
            </w:tcBorders>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最远影响距离（m）</w:t>
            </w:r>
          </w:p>
        </w:tc>
        <w:tc>
          <w:tcPr>
            <w:tcW w:w="831"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中心点处浓度(mg/L)</w:t>
            </w:r>
          </w:p>
        </w:tc>
        <w:tc>
          <w:tcPr>
            <w:tcW w:w="718"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背景值(mg/L)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723" w:type="pct"/>
            <w:vMerge w:val="restar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lang w:eastAsia="en-US"/>
              </w:rPr>
              <w:t>0.0</w:t>
            </w:r>
            <w:r>
              <w:rPr>
                <w:rFonts w:hint="eastAsia" w:ascii="Times New Roman" w:cs="Times New Roman"/>
                <w:bCs/>
                <w:sz w:val="21"/>
                <w:szCs w:val="21"/>
              </w:rPr>
              <w:t>4</w:t>
            </w:r>
          </w:p>
        </w:tc>
        <w:tc>
          <w:tcPr>
            <w:tcW w:w="680"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100</w:t>
            </w:r>
          </w:p>
        </w:tc>
        <w:tc>
          <w:tcPr>
            <w:tcW w:w="612"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w:t>
            </w:r>
          </w:p>
        </w:tc>
        <w:tc>
          <w:tcPr>
            <w:tcW w:w="605"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4</w:t>
            </w:r>
          </w:p>
        </w:tc>
        <w:tc>
          <w:tcPr>
            <w:tcW w:w="831"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27</w:t>
            </w:r>
          </w:p>
        </w:tc>
        <w:tc>
          <w:tcPr>
            <w:tcW w:w="831"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0.</w:t>
            </w:r>
            <w:r>
              <w:rPr>
                <w:rFonts w:hint="eastAsia" w:ascii="Times New Roman" w:cs="Times New Roman"/>
                <w:bCs/>
                <w:sz w:val="21"/>
                <w:szCs w:val="21"/>
              </w:rPr>
              <w:t>0</w:t>
            </w:r>
            <w:r>
              <w:rPr>
                <w:rFonts w:ascii="Times New Roman" w:cs="Times New Roman"/>
                <w:bCs/>
                <w:sz w:val="21"/>
                <w:szCs w:val="21"/>
              </w:rPr>
              <w:t>1</w:t>
            </w:r>
            <w:r>
              <w:rPr>
                <w:rFonts w:hint="eastAsia" w:ascii="Times New Roman" w:cs="Times New Roman"/>
                <w:bCs/>
                <w:sz w:val="21"/>
                <w:szCs w:val="21"/>
              </w:rPr>
              <w:t>3</w:t>
            </w:r>
          </w:p>
        </w:tc>
        <w:tc>
          <w:tcPr>
            <w:tcW w:w="718" w:type="pct"/>
            <w:vMerge w:val="restar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723" w:type="pct"/>
            <w:vMerge w:val="continue"/>
            <w:tcBorders>
              <w:tl2br w:val="nil"/>
              <w:tr2bl w:val="nil"/>
            </w:tcBorders>
            <w:vAlign w:val="center"/>
          </w:tcPr>
          <w:p>
            <w:pPr>
              <w:autoSpaceDE w:val="0"/>
              <w:autoSpaceDN w:val="0"/>
              <w:ind w:firstLine="480"/>
              <w:rPr>
                <w:rFonts w:ascii="Times New Roman" w:cs="Times New Roman"/>
                <w:bCs/>
                <w:lang w:eastAsia="en-US"/>
              </w:rPr>
            </w:pPr>
          </w:p>
        </w:tc>
        <w:tc>
          <w:tcPr>
            <w:tcW w:w="680"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1000</w:t>
            </w:r>
          </w:p>
        </w:tc>
        <w:tc>
          <w:tcPr>
            <w:tcW w:w="612"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w:t>
            </w:r>
          </w:p>
        </w:tc>
        <w:tc>
          <w:tcPr>
            <w:tcW w:w="605"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w:t>
            </w:r>
          </w:p>
        </w:tc>
        <w:tc>
          <w:tcPr>
            <w:tcW w:w="831"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w:t>
            </w:r>
          </w:p>
        </w:tc>
        <w:tc>
          <w:tcPr>
            <w:tcW w:w="831"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w:t>
            </w:r>
          </w:p>
        </w:tc>
        <w:tc>
          <w:tcPr>
            <w:tcW w:w="718" w:type="pct"/>
            <w:vMerge w:val="continue"/>
            <w:tcBorders>
              <w:tl2br w:val="nil"/>
              <w:tr2bl w:val="nil"/>
            </w:tcBorders>
            <w:vAlign w:val="center"/>
          </w:tcPr>
          <w:p>
            <w:pPr>
              <w:autoSpaceDE w:val="0"/>
              <w:autoSpaceDN w:val="0"/>
              <w:ind w:firstLine="480"/>
              <w:rPr>
                <w:rFonts w:ascii="Times New Roman" w:cs="Times New Roman"/>
                <w:bCs/>
                <w:lang w:eastAsia="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723" w:type="pct"/>
            <w:vMerge w:val="continue"/>
            <w:tcBorders>
              <w:tl2br w:val="nil"/>
              <w:tr2bl w:val="nil"/>
            </w:tcBorders>
            <w:vAlign w:val="center"/>
          </w:tcPr>
          <w:p>
            <w:pPr>
              <w:autoSpaceDE w:val="0"/>
              <w:autoSpaceDN w:val="0"/>
              <w:ind w:firstLine="480"/>
              <w:rPr>
                <w:rFonts w:ascii="Times New Roman" w:cs="Times New Roman"/>
                <w:bCs/>
                <w:lang w:eastAsia="en-US"/>
              </w:rPr>
            </w:pPr>
          </w:p>
        </w:tc>
        <w:tc>
          <w:tcPr>
            <w:tcW w:w="680"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3650</w:t>
            </w:r>
          </w:p>
        </w:tc>
        <w:tc>
          <w:tcPr>
            <w:tcW w:w="612"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w:t>
            </w:r>
          </w:p>
        </w:tc>
        <w:tc>
          <w:tcPr>
            <w:tcW w:w="605"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w:t>
            </w:r>
          </w:p>
        </w:tc>
        <w:tc>
          <w:tcPr>
            <w:tcW w:w="831"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w:t>
            </w:r>
          </w:p>
        </w:tc>
        <w:tc>
          <w:tcPr>
            <w:tcW w:w="831"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w:t>
            </w:r>
          </w:p>
        </w:tc>
        <w:tc>
          <w:tcPr>
            <w:tcW w:w="718" w:type="pct"/>
            <w:vMerge w:val="continue"/>
            <w:tcBorders>
              <w:tl2br w:val="nil"/>
              <w:tr2bl w:val="nil"/>
            </w:tcBorders>
            <w:vAlign w:val="center"/>
          </w:tcPr>
          <w:p>
            <w:pPr>
              <w:autoSpaceDE w:val="0"/>
              <w:autoSpaceDN w:val="0"/>
              <w:ind w:firstLine="480"/>
              <w:rPr>
                <w:rFonts w:ascii="Times New Roman" w:cs="Times New Roman"/>
                <w:bCs/>
                <w:lang w:eastAsia="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8" w:hRule="atLeast"/>
          <w:jc w:val="center"/>
        </w:trPr>
        <w:tc>
          <w:tcPr>
            <w:tcW w:w="723" w:type="pct"/>
            <w:vMerge w:val="continue"/>
            <w:tcBorders>
              <w:tl2br w:val="nil"/>
              <w:tr2bl w:val="nil"/>
            </w:tcBorders>
            <w:vAlign w:val="center"/>
          </w:tcPr>
          <w:p>
            <w:pPr>
              <w:autoSpaceDE w:val="0"/>
              <w:autoSpaceDN w:val="0"/>
              <w:ind w:firstLine="480"/>
              <w:rPr>
                <w:rFonts w:ascii="Times New Roman" w:cs="Times New Roman"/>
                <w:bCs/>
                <w:lang w:eastAsia="en-US"/>
              </w:rPr>
            </w:pPr>
          </w:p>
        </w:tc>
        <w:tc>
          <w:tcPr>
            <w:tcW w:w="680"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w:t>
            </w:r>
          </w:p>
        </w:tc>
        <w:tc>
          <w:tcPr>
            <w:tcW w:w="612"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w:t>
            </w:r>
          </w:p>
        </w:tc>
        <w:tc>
          <w:tcPr>
            <w:tcW w:w="605"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w:t>
            </w:r>
          </w:p>
        </w:tc>
        <w:tc>
          <w:tcPr>
            <w:tcW w:w="831"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w:t>
            </w:r>
          </w:p>
        </w:tc>
        <w:tc>
          <w:tcPr>
            <w:tcW w:w="831"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w:t>
            </w:r>
          </w:p>
        </w:tc>
        <w:tc>
          <w:tcPr>
            <w:tcW w:w="718" w:type="pct"/>
            <w:vMerge w:val="continue"/>
            <w:tcBorders>
              <w:tl2br w:val="nil"/>
              <w:tr2bl w:val="nil"/>
            </w:tcBorders>
            <w:vAlign w:val="center"/>
          </w:tcPr>
          <w:p>
            <w:pPr>
              <w:autoSpaceDE w:val="0"/>
              <w:autoSpaceDN w:val="0"/>
              <w:ind w:firstLine="480"/>
              <w:rPr>
                <w:rFonts w:ascii="Times New Roman" w:cs="Times New Roman"/>
                <w:bCs/>
                <w:lang w:eastAsia="en-US"/>
              </w:rPr>
            </w:pPr>
          </w:p>
        </w:tc>
      </w:tr>
    </w:tbl>
    <w:p>
      <w:pPr>
        <w:autoSpaceDE w:val="0"/>
        <w:autoSpaceDN w:val="0"/>
        <w:spacing w:line="240" w:lineRule="auto"/>
        <w:ind w:firstLine="0" w:firstLineChars="0"/>
        <w:jc w:val="center"/>
        <w:rPr>
          <w:rFonts w:ascii="Times New Roman" w:cs="Times New Roman"/>
          <w:bCs/>
        </w:rPr>
      </w:pPr>
      <w:r>
        <w:rPr>
          <w:rFonts w:ascii="Times New Roman" w:cs="Times New Roman"/>
          <w:bCs/>
        </w:rPr>
        <w:drawing>
          <wp:inline distT="0" distB="0" distL="114300" distR="114300">
            <wp:extent cx="5495925" cy="3305810"/>
            <wp:effectExtent l="0" t="0" r="9525" b="889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57"/>
                    <a:stretch>
                      <a:fillRect/>
                    </a:stretch>
                  </pic:blipFill>
                  <pic:spPr>
                    <a:xfrm>
                      <a:off x="0" y="0"/>
                      <a:ext cx="5495925" cy="3305810"/>
                    </a:xfrm>
                    <a:prstGeom prst="rect">
                      <a:avLst/>
                    </a:prstGeom>
                    <a:noFill/>
                    <a:ln>
                      <a:noFill/>
                    </a:ln>
                  </pic:spPr>
                </pic:pic>
              </a:graphicData>
            </a:graphic>
          </wp:inline>
        </w:drawing>
      </w:r>
    </w:p>
    <w:p>
      <w:pPr>
        <w:autoSpaceDE w:val="0"/>
        <w:autoSpaceDN w:val="0"/>
        <w:ind w:firstLine="0" w:firstLineChars="0"/>
        <w:jc w:val="center"/>
        <w:rPr>
          <w:rFonts w:ascii="Times New Roman" w:cs="Times New Roman"/>
          <w:b/>
        </w:rPr>
      </w:pPr>
      <w:r>
        <w:rPr>
          <w:rFonts w:ascii="Times New Roman" w:cs="Times New Roman"/>
          <w:b/>
        </w:rPr>
        <w:t>图6.1-1 污染后100天水流下游轴向石油类污染物浓度变化趋势图</w:t>
      </w:r>
    </w:p>
    <w:bookmarkEnd w:id="464"/>
    <w:p>
      <w:pPr>
        <w:autoSpaceDE w:val="0"/>
        <w:autoSpaceDN w:val="0"/>
        <w:ind w:firstLine="480"/>
        <w:rPr>
          <w:rFonts w:ascii="Times New Roman" w:cs="Times New Roman"/>
          <w:bCs/>
        </w:rPr>
      </w:pPr>
      <w:r>
        <w:rPr>
          <w:rFonts w:ascii="Times New Roman" w:cs="Times New Roman"/>
          <w:bCs/>
        </w:rPr>
        <w:fldChar w:fldCharType="begin"/>
      </w:r>
      <w:r>
        <w:rPr>
          <w:rFonts w:ascii="Times New Roman" w:cs="Times New Roman"/>
          <w:bCs/>
        </w:rPr>
        <w:instrText xml:space="preserve"> = 2 \* GB3 \* MERGEFORMAT </w:instrText>
      </w:r>
      <w:r>
        <w:rPr>
          <w:rFonts w:ascii="Times New Roman" w:cs="Times New Roman"/>
          <w:bCs/>
        </w:rPr>
        <w:fldChar w:fldCharType="separate"/>
      </w:r>
      <w:r>
        <w:rPr>
          <w:rFonts w:ascii="Times New Roman" w:cs="Times New Roman"/>
          <w:bCs/>
        </w:rPr>
        <w:t>②</w:t>
      </w:r>
      <w:r>
        <w:rPr>
          <w:rFonts w:ascii="Times New Roman" w:cs="Times New Roman"/>
          <w:bCs/>
        </w:rPr>
        <w:fldChar w:fldCharType="end"/>
      </w:r>
      <w:r>
        <w:rPr>
          <w:rFonts w:ascii="Times New Roman" w:cs="Times New Roman"/>
          <w:bCs/>
        </w:rPr>
        <w:t>地下水污染特征因子COD的影响范围及距离计算结果见表3-4。</w:t>
      </w:r>
    </w:p>
    <w:p>
      <w:pPr>
        <w:autoSpaceDE w:val="0"/>
        <w:autoSpaceDN w:val="0"/>
        <w:ind w:firstLine="0" w:firstLineChars="0"/>
        <w:jc w:val="center"/>
        <w:rPr>
          <w:rFonts w:ascii="Times New Roman" w:cs="Times New Roman"/>
          <w:b/>
        </w:rPr>
      </w:pPr>
      <w:r>
        <w:rPr>
          <w:rFonts w:ascii="Times New Roman" w:cs="Times New Roman"/>
          <w:b/>
        </w:rPr>
        <w:t>表6.1-7 地下水中COD超标及影响范围</w:t>
      </w:r>
    </w:p>
    <w:tbl>
      <w:tblPr>
        <w:tblStyle w:val="57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33"/>
        <w:gridCol w:w="1159"/>
        <w:gridCol w:w="1043"/>
        <w:gridCol w:w="1031"/>
        <w:gridCol w:w="1417"/>
        <w:gridCol w:w="1417"/>
        <w:gridCol w:w="12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44" w:hRule="atLeast"/>
          <w:jc w:val="center"/>
        </w:trPr>
        <w:tc>
          <w:tcPr>
            <w:tcW w:w="723"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污染源总量(kg)</w:t>
            </w:r>
          </w:p>
        </w:tc>
        <w:tc>
          <w:tcPr>
            <w:tcW w:w="680"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模拟时间(天）</w:t>
            </w:r>
          </w:p>
        </w:tc>
        <w:tc>
          <w:tcPr>
            <w:tcW w:w="612"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最大超标距离(m)</w:t>
            </w:r>
          </w:p>
        </w:tc>
        <w:tc>
          <w:tcPr>
            <w:tcW w:w="605"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中心迁移距离(m)</w:t>
            </w:r>
          </w:p>
        </w:tc>
        <w:tc>
          <w:tcPr>
            <w:tcW w:w="831" w:type="pct"/>
            <w:tcBorders>
              <w:tl2br w:val="nil"/>
              <w:tr2bl w:val="nil"/>
            </w:tcBorders>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最远影响距离（m）</w:t>
            </w:r>
          </w:p>
        </w:tc>
        <w:tc>
          <w:tcPr>
            <w:tcW w:w="831"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中心点处浓度(mg/L)</w:t>
            </w:r>
          </w:p>
        </w:tc>
        <w:tc>
          <w:tcPr>
            <w:tcW w:w="718"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背景值(mg/L)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723" w:type="pct"/>
            <w:vMerge w:val="restar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lang w:eastAsia="en-US"/>
              </w:rPr>
              <w:t>0.</w:t>
            </w:r>
            <w:r>
              <w:rPr>
                <w:rFonts w:hint="eastAsia" w:ascii="Times New Roman" w:cs="Times New Roman"/>
                <w:bCs/>
                <w:sz w:val="21"/>
                <w:szCs w:val="21"/>
              </w:rPr>
              <w:t>32</w:t>
            </w:r>
          </w:p>
        </w:tc>
        <w:tc>
          <w:tcPr>
            <w:tcW w:w="680"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100</w:t>
            </w:r>
          </w:p>
        </w:tc>
        <w:tc>
          <w:tcPr>
            <w:tcW w:w="612"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w:t>
            </w:r>
          </w:p>
        </w:tc>
        <w:tc>
          <w:tcPr>
            <w:tcW w:w="605"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4</w:t>
            </w:r>
          </w:p>
        </w:tc>
        <w:tc>
          <w:tcPr>
            <w:tcW w:w="831"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48</w:t>
            </w:r>
          </w:p>
        </w:tc>
        <w:tc>
          <w:tcPr>
            <w:tcW w:w="831"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0.1</w:t>
            </w:r>
          </w:p>
        </w:tc>
        <w:tc>
          <w:tcPr>
            <w:tcW w:w="718" w:type="pct"/>
            <w:vMerge w:val="restar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723" w:type="pct"/>
            <w:vMerge w:val="continue"/>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p>
        </w:tc>
        <w:tc>
          <w:tcPr>
            <w:tcW w:w="680"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1000</w:t>
            </w:r>
          </w:p>
        </w:tc>
        <w:tc>
          <w:tcPr>
            <w:tcW w:w="612"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w:t>
            </w:r>
          </w:p>
        </w:tc>
        <w:tc>
          <w:tcPr>
            <w:tcW w:w="605"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40</w:t>
            </w:r>
          </w:p>
        </w:tc>
        <w:tc>
          <w:tcPr>
            <w:tcW w:w="831"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w:t>
            </w:r>
          </w:p>
        </w:tc>
        <w:tc>
          <w:tcPr>
            <w:tcW w:w="831"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0.01</w:t>
            </w:r>
          </w:p>
        </w:tc>
        <w:tc>
          <w:tcPr>
            <w:tcW w:w="718" w:type="pct"/>
            <w:vMerge w:val="continue"/>
            <w:tcBorders>
              <w:tl2br w:val="nil"/>
              <w:tr2bl w:val="nil"/>
            </w:tcBorders>
            <w:vAlign w:val="center"/>
          </w:tcPr>
          <w:p>
            <w:pPr>
              <w:autoSpaceDE w:val="0"/>
              <w:autoSpaceDN w:val="0"/>
              <w:ind w:firstLine="480"/>
              <w:rPr>
                <w:rFonts w:ascii="Times New Roman" w:cs="Times New Roman"/>
                <w:bCs/>
                <w:lang w:eastAsia="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723" w:type="pct"/>
            <w:vMerge w:val="continue"/>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p>
        </w:tc>
        <w:tc>
          <w:tcPr>
            <w:tcW w:w="680"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3650</w:t>
            </w:r>
          </w:p>
        </w:tc>
        <w:tc>
          <w:tcPr>
            <w:tcW w:w="612"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w:t>
            </w:r>
          </w:p>
        </w:tc>
        <w:tc>
          <w:tcPr>
            <w:tcW w:w="605"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w:t>
            </w:r>
          </w:p>
        </w:tc>
        <w:tc>
          <w:tcPr>
            <w:tcW w:w="831"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w:t>
            </w:r>
          </w:p>
        </w:tc>
        <w:tc>
          <w:tcPr>
            <w:tcW w:w="831"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w:t>
            </w:r>
          </w:p>
        </w:tc>
        <w:tc>
          <w:tcPr>
            <w:tcW w:w="718" w:type="pct"/>
            <w:vMerge w:val="continue"/>
            <w:tcBorders>
              <w:tl2br w:val="nil"/>
              <w:tr2bl w:val="nil"/>
            </w:tcBorders>
            <w:vAlign w:val="center"/>
          </w:tcPr>
          <w:p>
            <w:pPr>
              <w:autoSpaceDE w:val="0"/>
              <w:autoSpaceDN w:val="0"/>
              <w:ind w:firstLine="480"/>
              <w:rPr>
                <w:rFonts w:ascii="Times New Roman" w:cs="Times New Roman"/>
                <w:bCs/>
                <w:lang w:eastAsia="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8" w:hRule="atLeast"/>
          <w:jc w:val="center"/>
        </w:trPr>
        <w:tc>
          <w:tcPr>
            <w:tcW w:w="723" w:type="pct"/>
            <w:vMerge w:val="continue"/>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p>
        </w:tc>
        <w:tc>
          <w:tcPr>
            <w:tcW w:w="680"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w:t>
            </w:r>
          </w:p>
        </w:tc>
        <w:tc>
          <w:tcPr>
            <w:tcW w:w="612"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w:t>
            </w:r>
          </w:p>
        </w:tc>
        <w:tc>
          <w:tcPr>
            <w:tcW w:w="605"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w:t>
            </w:r>
          </w:p>
        </w:tc>
        <w:tc>
          <w:tcPr>
            <w:tcW w:w="831"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w:t>
            </w:r>
          </w:p>
        </w:tc>
        <w:tc>
          <w:tcPr>
            <w:tcW w:w="831"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w:t>
            </w:r>
          </w:p>
        </w:tc>
        <w:tc>
          <w:tcPr>
            <w:tcW w:w="718" w:type="pct"/>
            <w:vMerge w:val="continue"/>
            <w:tcBorders>
              <w:tl2br w:val="nil"/>
              <w:tr2bl w:val="nil"/>
            </w:tcBorders>
            <w:vAlign w:val="center"/>
          </w:tcPr>
          <w:p>
            <w:pPr>
              <w:autoSpaceDE w:val="0"/>
              <w:autoSpaceDN w:val="0"/>
              <w:ind w:firstLine="480"/>
              <w:rPr>
                <w:rFonts w:ascii="Times New Roman" w:cs="Times New Roman"/>
                <w:bCs/>
                <w:lang w:eastAsia="en-US"/>
              </w:rPr>
            </w:pPr>
          </w:p>
        </w:tc>
      </w:tr>
    </w:tbl>
    <w:p>
      <w:pPr>
        <w:autoSpaceDE w:val="0"/>
        <w:autoSpaceDN w:val="0"/>
        <w:spacing w:line="240" w:lineRule="auto"/>
        <w:ind w:firstLine="0" w:firstLineChars="0"/>
        <w:jc w:val="center"/>
        <w:rPr>
          <w:rFonts w:ascii="Times New Roman" w:cs="Times New Roman"/>
          <w:bCs/>
        </w:rPr>
      </w:pPr>
      <w:r>
        <w:rPr>
          <w:rFonts w:ascii="Times New Roman" w:cs="Times New Roman"/>
          <w:bCs/>
        </w:rPr>
        <w:drawing>
          <wp:inline distT="0" distB="0" distL="114300" distR="114300">
            <wp:extent cx="5524500" cy="2628900"/>
            <wp:effectExtent l="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58"/>
                    <a:stretch>
                      <a:fillRect/>
                    </a:stretch>
                  </pic:blipFill>
                  <pic:spPr>
                    <a:xfrm>
                      <a:off x="0" y="0"/>
                      <a:ext cx="5524500" cy="2628900"/>
                    </a:xfrm>
                    <a:prstGeom prst="rect">
                      <a:avLst/>
                    </a:prstGeom>
                    <a:noFill/>
                    <a:ln>
                      <a:noFill/>
                    </a:ln>
                  </pic:spPr>
                </pic:pic>
              </a:graphicData>
            </a:graphic>
          </wp:inline>
        </w:drawing>
      </w:r>
    </w:p>
    <w:p>
      <w:pPr>
        <w:autoSpaceDE w:val="0"/>
        <w:autoSpaceDN w:val="0"/>
        <w:ind w:firstLine="0" w:firstLineChars="0"/>
        <w:jc w:val="center"/>
        <w:rPr>
          <w:rFonts w:ascii="Times New Roman" w:cs="Times New Roman"/>
          <w:b/>
        </w:rPr>
      </w:pPr>
      <w:r>
        <w:rPr>
          <w:rFonts w:ascii="Times New Roman" w:cs="Times New Roman"/>
          <w:b/>
        </w:rPr>
        <w:t>图6.1-</w:t>
      </w:r>
      <w:r>
        <w:rPr>
          <w:rFonts w:hint="eastAsia" w:ascii="Times New Roman" w:cs="Times New Roman"/>
          <w:b/>
        </w:rPr>
        <w:t>2</w:t>
      </w:r>
      <w:r>
        <w:rPr>
          <w:rFonts w:ascii="Times New Roman" w:cs="Times New Roman"/>
          <w:b/>
        </w:rPr>
        <w:t>污染后100天水流下游轴向COD污染物浓度变化趋势图</w:t>
      </w:r>
    </w:p>
    <w:p>
      <w:pPr>
        <w:autoSpaceDE w:val="0"/>
        <w:autoSpaceDN w:val="0"/>
        <w:spacing w:line="240" w:lineRule="auto"/>
        <w:ind w:firstLine="0" w:firstLineChars="0"/>
        <w:jc w:val="center"/>
        <w:rPr>
          <w:rFonts w:ascii="Times New Roman" w:cs="Times New Roman"/>
          <w:bCs/>
        </w:rPr>
      </w:pPr>
      <w:r>
        <w:rPr>
          <w:rFonts w:ascii="Times New Roman" w:cs="Times New Roman"/>
          <w:bCs/>
        </w:rPr>
        <w:drawing>
          <wp:inline distT="0" distB="0" distL="114300" distR="114300">
            <wp:extent cx="5524500" cy="3248660"/>
            <wp:effectExtent l="0" t="0" r="0" b="889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59"/>
                    <a:stretch>
                      <a:fillRect/>
                    </a:stretch>
                  </pic:blipFill>
                  <pic:spPr>
                    <a:xfrm>
                      <a:off x="0" y="0"/>
                      <a:ext cx="5524500" cy="3248660"/>
                    </a:xfrm>
                    <a:prstGeom prst="rect">
                      <a:avLst/>
                    </a:prstGeom>
                    <a:noFill/>
                    <a:ln>
                      <a:noFill/>
                    </a:ln>
                  </pic:spPr>
                </pic:pic>
              </a:graphicData>
            </a:graphic>
          </wp:inline>
        </w:drawing>
      </w:r>
    </w:p>
    <w:p>
      <w:pPr>
        <w:autoSpaceDE w:val="0"/>
        <w:autoSpaceDN w:val="0"/>
        <w:ind w:firstLine="0" w:firstLineChars="0"/>
        <w:jc w:val="center"/>
        <w:rPr>
          <w:rFonts w:ascii="Times New Roman" w:cs="Times New Roman"/>
          <w:b/>
        </w:rPr>
      </w:pPr>
      <w:r>
        <w:rPr>
          <w:rFonts w:ascii="Times New Roman" w:cs="Times New Roman"/>
          <w:b/>
        </w:rPr>
        <w:t>图6.1-</w:t>
      </w:r>
      <w:r>
        <w:rPr>
          <w:rFonts w:hint="eastAsia" w:ascii="Times New Roman" w:cs="Times New Roman"/>
          <w:b/>
        </w:rPr>
        <w:t>3</w:t>
      </w:r>
      <w:r>
        <w:rPr>
          <w:rFonts w:ascii="Times New Roman" w:cs="Times New Roman"/>
          <w:b/>
        </w:rPr>
        <w:t>污染后1000天水流下游轴向COD污染物浓度变化趋势图</w:t>
      </w:r>
    </w:p>
    <w:p>
      <w:pPr>
        <w:autoSpaceDE w:val="0"/>
        <w:autoSpaceDN w:val="0"/>
        <w:ind w:firstLine="480"/>
        <w:rPr>
          <w:rFonts w:ascii="Times New Roman" w:cs="Times New Roman"/>
          <w:bCs/>
        </w:rPr>
      </w:pPr>
      <w:r>
        <w:rPr>
          <w:rFonts w:ascii="Times New Roman" w:cs="Times New Roman"/>
          <w:bCs/>
        </w:rPr>
        <w:fldChar w:fldCharType="begin"/>
      </w:r>
      <w:r>
        <w:rPr>
          <w:rFonts w:ascii="Times New Roman" w:cs="Times New Roman"/>
          <w:bCs/>
        </w:rPr>
        <w:instrText xml:space="preserve"> = 3 \* GB3 \* MERGEFORMAT </w:instrText>
      </w:r>
      <w:r>
        <w:rPr>
          <w:rFonts w:ascii="Times New Roman" w:cs="Times New Roman"/>
          <w:bCs/>
        </w:rPr>
        <w:fldChar w:fldCharType="separate"/>
      </w:r>
      <w:r>
        <w:rPr>
          <w:rFonts w:ascii="Times New Roman" w:cs="Times New Roman"/>
          <w:bCs/>
        </w:rPr>
        <w:t>③</w:t>
      </w:r>
      <w:r>
        <w:rPr>
          <w:rFonts w:ascii="Times New Roman" w:cs="Times New Roman"/>
          <w:bCs/>
        </w:rPr>
        <w:fldChar w:fldCharType="end"/>
      </w:r>
      <w:r>
        <w:rPr>
          <w:rFonts w:ascii="Times New Roman" w:cs="Times New Roman"/>
          <w:bCs/>
        </w:rPr>
        <w:t>地下水污染特征因子氯化物的影响范围及距离计算结果见表3-5。</w:t>
      </w:r>
    </w:p>
    <w:p>
      <w:pPr>
        <w:autoSpaceDE w:val="0"/>
        <w:autoSpaceDN w:val="0"/>
        <w:ind w:firstLine="0" w:firstLineChars="0"/>
        <w:jc w:val="center"/>
        <w:rPr>
          <w:rFonts w:ascii="Times New Roman" w:cs="Times New Roman"/>
          <w:b/>
        </w:rPr>
      </w:pPr>
      <w:r>
        <w:rPr>
          <w:rFonts w:ascii="Times New Roman" w:cs="Times New Roman"/>
          <w:b/>
        </w:rPr>
        <w:t>表6.1-8  地下水中氯化物超标及影响范围</w:t>
      </w:r>
    </w:p>
    <w:tbl>
      <w:tblPr>
        <w:tblStyle w:val="57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99"/>
        <w:gridCol w:w="1218"/>
        <w:gridCol w:w="1093"/>
        <w:gridCol w:w="1088"/>
        <w:gridCol w:w="1238"/>
        <w:gridCol w:w="1294"/>
        <w:gridCol w:w="12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44" w:hRule="atLeast"/>
          <w:jc w:val="center"/>
        </w:trPr>
        <w:tc>
          <w:tcPr>
            <w:tcW w:w="762"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污染源总量(kg)</w:t>
            </w:r>
          </w:p>
        </w:tc>
        <w:tc>
          <w:tcPr>
            <w:tcW w:w="714"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模拟时间(天）</w:t>
            </w:r>
          </w:p>
        </w:tc>
        <w:tc>
          <w:tcPr>
            <w:tcW w:w="641"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最大超标距离(m)</w:t>
            </w:r>
          </w:p>
        </w:tc>
        <w:tc>
          <w:tcPr>
            <w:tcW w:w="638"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中心迁移距离(m)</w:t>
            </w:r>
          </w:p>
        </w:tc>
        <w:tc>
          <w:tcPr>
            <w:tcW w:w="726"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最远影响距离（m）</w:t>
            </w:r>
          </w:p>
        </w:tc>
        <w:tc>
          <w:tcPr>
            <w:tcW w:w="759"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中心点处浓度(mg/L)</w:t>
            </w:r>
          </w:p>
        </w:tc>
        <w:tc>
          <w:tcPr>
            <w:tcW w:w="759"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背景值(mg/L)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762" w:type="pct"/>
            <w:vMerge w:val="restar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0.78</w:t>
            </w:r>
          </w:p>
        </w:tc>
        <w:tc>
          <w:tcPr>
            <w:tcW w:w="714"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100</w:t>
            </w:r>
          </w:p>
        </w:tc>
        <w:tc>
          <w:tcPr>
            <w:tcW w:w="641"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w:t>
            </w:r>
          </w:p>
        </w:tc>
        <w:tc>
          <w:tcPr>
            <w:tcW w:w="638"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4</w:t>
            </w:r>
          </w:p>
        </w:tc>
        <w:tc>
          <w:tcPr>
            <w:tcW w:w="726"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w:t>
            </w:r>
          </w:p>
        </w:tc>
        <w:tc>
          <w:tcPr>
            <w:tcW w:w="759"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0.24</w:t>
            </w:r>
          </w:p>
        </w:tc>
        <w:tc>
          <w:tcPr>
            <w:tcW w:w="759" w:type="pct"/>
            <w:vMerge w:val="restar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762" w:type="pct"/>
            <w:vMerge w:val="continue"/>
            <w:tcBorders>
              <w:tl2br w:val="nil"/>
              <w:tr2bl w:val="nil"/>
            </w:tcBorders>
            <w:vAlign w:val="center"/>
          </w:tcPr>
          <w:p>
            <w:pPr>
              <w:autoSpaceDE w:val="0"/>
              <w:autoSpaceDN w:val="0"/>
              <w:ind w:firstLine="480"/>
              <w:rPr>
                <w:rFonts w:ascii="Times New Roman" w:cs="Times New Roman"/>
                <w:bCs/>
                <w:lang w:eastAsia="en-US"/>
              </w:rPr>
            </w:pPr>
          </w:p>
        </w:tc>
        <w:tc>
          <w:tcPr>
            <w:tcW w:w="714"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1000</w:t>
            </w:r>
          </w:p>
        </w:tc>
        <w:tc>
          <w:tcPr>
            <w:tcW w:w="641"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w:t>
            </w:r>
          </w:p>
        </w:tc>
        <w:tc>
          <w:tcPr>
            <w:tcW w:w="638"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w:t>
            </w:r>
          </w:p>
        </w:tc>
        <w:tc>
          <w:tcPr>
            <w:tcW w:w="726"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w:t>
            </w:r>
          </w:p>
        </w:tc>
        <w:tc>
          <w:tcPr>
            <w:tcW w:w="759"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w:t>
            </w:r>
          </w:p>
        </w:tc>
        <w:tc>
          <w:tcPr>
            <w:tcW w:w="759" w:type="pct"/>
            <w:vMerge w:val="continue"/>
            <w:tcBorders>
              <w:tl2br w:val="nil"/>
              <w:tr2bl w:val="nil"/>
            </w:tcBorders>
            <w:vAlign w:val="center"/>
          </w:tcPr>
          <w:p>
            <w:pPr>
              <w:autoSpaceDE w:val="0"/>
              <w:autoSpaceDN w:val="0"/>
              <w:ind w:firstLine="480"/>
              <w:rPr>
                <w:rFonts w:ascii="Times New Roman" w:cs="Times New Roman"/>
                <w:bCs/>
                <w:lang w:eastAsia="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762" w:type="pct"/>
            <w:vMerge w:val="continue"/>
            <w:tcBorders>
              <w:tl2br w:val="nil"/>
              <w:tr2bl w:val="nil"/>
            </w:tcBorders>
            <w:vAlign w:val="center"/>
          </w:tcPr>
          <w:p>
            <w:pPr>
              <w:autoSpaceDE w:val="0"/>
              <w:autoSpaceDN w:val="0"/>
              <w:ind w:firstLine="480"/>
              <w:rPr>
                <w:rFonts w:ascii="Times New Roman" w:cs="Times New Roman"/>
                <w:bCs/>
                <w:lang w:eastAsia="en-US"/>
              </w:rPr>
            </w:pPr>
          </w:p>
        </w:tc>
        <w:tc>
          <w:tcPr>
            <w:tcW w:w="714" w:type="pct"/>
            <w:tcBorders>
              <w:tl2br w:val="nil"/>
              <w:tr2bl w:val="nil"/>
            </w:tcBorders>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3650</w:t>
            </w:r>
          </w:p>
        </w:tc>
        <w:tc>
          <w:tcPr>
            <w:tcW w:w="641" w:type="pct"/>
            <w:tcBorders>
              <w:tl2br w:val="nil"/>
              <w:tr2bl w:val="nil"/>
            </w:tcBorders>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w:t>
            </w:r>
          </w:p>
        </w:tc>
        <w:tc>
          <w:tcPr>
            <w:tcW w:w="638" w:type="pct"/>
            <w:tcBorders>
              <w:tl2br w:val="nil"/>
              <w:tr2bl w:val="nil"/>
            </w:tcBorders>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w:t>
            </w:r>
          </w:p>
        </w:tc>
        <w:tc>
          <w:tcPr>
            <w:tcW w:w="726" w:type="pct"/>
            <w:tcBorders>
              <w:tl2br w:val="nil"/>
              <w:tr2bl w:val="nil"/>
            </w:tcBorders>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w:t>
            </w:r>
          </w:p>
        </w:tc>
        <w:tc>
          <w:tcPr>
            <w:tcW w:w="759" w:type="pct"/>
            <w:tcBorders>
              <w:tl2br w:val="nil"/>
              <w:tr2bl w:val="nil"/>
            </w:tcBorders>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w:t>
            </w:r>
          </w:p>
        </w:tc>
        <w:tc>
          <w:tcPr>
            <w:tcW w:w="759" w:type="pct"/>
            <w:vMerge w:val="continue"/>
            <w:tcBorders>
              <w:tl2br w:val="nil"/>
              <w:tr2bl w:val="nil"/>
            </w:tcBorders>
            <w:vAlign w:val="center"/>
          </w:tcPr>
          <w:p>
            <w:pPr>
              <w:autoSpaceDE w:val="0"/>
              <w:autoSpaceDN w:val="0"/>
              <w:ind w:firstLine="480"/>
              <w:rPr>
                <w:rFonts w:ascii="Times New Roman" w:cs="Times New Roman"/>
                <w:bCs/>
                <w:lang w:eastAsia="en-US"/>
              </w:rPr>
            </w:pPr>
          </w:p>
        </w:tc>
      </w:tr>
    </w:tbl>
    <w:p>
      <w:pPr>
        <w:autoSpaceDE w:val="0"/>
        <w:autoSpaceDN w:val="0"/>
        <w:spacing w:line="240" w:lineRule="auto"/>
        <w:ind w:firstLine="0" w:firstLineChars="0"/>
        <w:jc w:val="center"/>
        <w:rPr>
          <w:rFonts w:ascii="Times New Roman" w:cs="Times New Roman"/>
          <w:bCs/>
        </w:rPr>
      </w:pPr>
      <w:r>
        <w:rPr>
          <w:rFonts w:ascii="Times New Roman" w:cs="Times New Roman"/>
          <w:bCs/>
        </w:rPr>
        <w:drawing>
          <wp:inline distT="0" distB="0" distL="114300" distR="114300">
            <wp:extent cx="5543550" cy="3258185"/>
            <wp:effectExtent l="0" t="0" r="0" b="18415"/>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60"/>
                    <a:stretch>
                      <a:fillRect/>
                    </a:stretch>
                  </pic:blipFill>
                  <pic:spPr>
                    <a:xfrm>
                      <a:off x="0" y="0"/>
                      <a:ext cx="5543550" cy="3258185"/>
                    </a:xfrm>
                    <a:prstGeom prst="rect">
                      <a:avLst/>
                    </a:prstGeom>
                    <a:noFill/>
                    <a:ln>
                      <a:noFill/>
                    </a:ln>
                  </pic:spPr>
                </pic:pic>
              </a:graphicData>
            </a:graphic>
          </wp:inline>
        </w:drawing>
      </w:r>
    </w:p>
    <w:p>
      <w:pPr>
        <w:autoSpaceDE w:val="0"/>
        <w:autoSpaceDN w:val="0"/>
        <w:spacing w:line="240" w:lineRule="auto"/>
        <w:ind w:firstLine="0" w:firstLineChars="0"/>
        <w:jc w:val="center"/>
        <w:rPr>
          <w:rFonts w:ascii="Times New Roman" w:cs="Times New Roman"/>
          <w:bCs/>
        </w:rPr>
      </w:pPr>
      <w:r>
        <w:rPr>
          <w:rFonts w:ascii="Times New Roman" w:cs="Times New Roman"/>
          <w:b/>
        </w:rPr>
        <w:t>图6.1-</w:t>
      </w:r>
      <w:r>
        <w:rPr>
          <w:rFonts w:hint="eastAsia" w:ascii="Times New Roman" w:cs="Times New Roman"/>
          <w:b/>
        </w:rPr>
        <w:t xml:space="preserve">4 </w:t>
      </w:r>
      <w:r>
        <w:rPr>
          <w:rFonts w:ascii="Times New Roman" w:cs="Times New Roman"/>
          <w:b/>
        </w:rPr>
        <w:t>污染后100天水流下游轴向氯化物污染物浓度变化趋势图</w:t>
      </w:r>
    </w:p>
    <w:p>
      <w:pPr>
        <w:autoSpaceDE w:val="0"/>
        <w:autoSpaceDN w:val="0"/>
        <w:ind w:firstLine="480"/>
        <w:rPr>
          <w:rFonts w:ascii="Times New Roman" w:cs="Times New Roman"/>
          <w:bCs/>
        </w:rPr>
      </w:pPr>
      <w:r>
        <w:rPr>
          <w:rFonts w:ascii="Times New Roman" w:cs="Times New Roman"/>
          <w:bCs/>
        </w:rPr>
        <w:t>（2）柴油罐泄漏</w:t>
      </w:r>
    </w:p>
    <w:p>
      <w:pPr>
        <w:autoSpaceDE w:val="0"/>
        <w:autoSpaceDN w:val="0"/>
        <w:ind w:firstLine="0" w:firstLineChars="0"/>
        <w:jc w:val="center"/>
        <w:rPr>
          <w:rFonts w:ascii="Times New Roman" w:cs="Times New Roman"/>
          <w:b/>
        </w:rPr>
      </w:pPr>
      <w:r>
        <w:rPr>
          <w:rFonts w:ascii="Times New Roman" w:cs="Times New Roman"/>
          <w:b/>
        </w:rPr>
        <w:t>表 6.1-9 地下水中石油类超标及影响范围</w:t>
      </w:r>
    </w:p>
    <w:tbl>
      <w:tblPr>
        <w:tblStyle w:val="57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32"/>
        <w:gridCol w:w="1160"/>
        <w:gridCol w:w="1043"/>
        <w:gridCol w:w="1031"/>
        <w:gridCol w:w="1416"/>
        <w:gridCol w:w="1416"/>
        <w:gridCol w:w="12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722"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污染源总量(kg)</w:t>
            </w:r>
          </w:p>
        </w:tc>
        <w:tc>
          <w:tcPr>
            <w:tcW w:w="680"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模拟时间(天）</w:t>
            </w:r>
          </w:p>
        </w:tc>
        <w:tc>
          <w:tcPr>
            <w:tcW w:w="611"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最大超标距离(m)</w:t>
            </w:r>
          </w:p>
        </w:tc>
        <w:tc>
          <w:tcPr>
            <w:tcW w:w="604"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中心迁移距离(m)</w:t>
            </w:r>
          </w:p>
        </w:tc>
        <w:tc>
          <w:tcPr>
            <w:tcW w:w="830"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最远影响距离（m）</w:t>
            </w:r>
          </w:p>
        </w:tc>
        <w:tc>
          <w:tcPr>
            <w:tcW w:w="830"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中心点处浓度(mg/L)</w:t>
            </w:r>
          </w:p>
        </w:tc>
        <w:tc>
          <w:tcPr>
            <w:tcW w:w="718"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背景值(mg/L)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2" w:type="pct"/>
            <w:vMerge w:val="restar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1.67</w:t>
            </w:r>
          </w:p>
        </w:tc>
        <w:tc>
          <w:tcPr>
            <w:tcW w:w="680"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100</w:t>
            </w:r>
          </w:p>
        </w:tc>
        <w:tc>
          <w:tcPr>
            <w:tcW w:w="611"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86</w:t>
            </w:r>
          </w:p>
        </w:tc>
        <w:tc>
          <w:tcPr>
            <w:tcW w:w="604"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4</w:t>
            </w:r>
          </w:p>
        </w:tc>
        <w:tc>
          <w:tcPr>
            <w:tcW w:w="830"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108</w:t>
            </w:r>
          </w:p>
        </w:tc>
        <w:tc>
          <w:tcPr>
            <w:tcW w:w="830"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0.53</w:t>
            </w:r>
          </w:p>
        </w:tc>
        <w:tc>
          <w:tcPr>
            <w:tcW w:w="718" w:type="pct"/>
            <w:vMerge w:val="restar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2" w:type="pct"/>
            <w:vMerge w:val="continue"/>
            <w:tcBorders>
              <w:tl2br w:val="nil"/>
              <w:tr2bl w:val="nil"/>
            </w:tcBorders>
            <w:vAlign w:val="center"/>
          </w:tcPr>
          <w:p>
            <w:pPr>
              <w:autoSpaceDE w:val="0"/>
              <w:autoSpaceDN w:val="0"/>
              <w:ind w:firstLine="480"/>
              <w:rPr>
                <w:rFonts w:ascii="Times New Roman" w:cs="Times New Roman"/>
                <w:bCs/>
                <w:lang w:eastAsia="en-US"/>
              </w:rPr>
            </w:pPr>
          </w:p>
        </w:tc>
        <w:tc>
          <w:tcPr>
            <w:tcW w:w="680"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1000</w:t>
            </w:r>
          </w:p>
        </w:tc>
        <w:tc>
          <w:tcPr>
            <w:tcW w:w="611"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80</w:t>
            </w:r>
          </w:p>
        </w:tc>
        <w:tc>
          <w:tcPr>
            <w:tcW w:w="604"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40</w:t>
            </w:r>
          </w:p>
        </w:tc>
        <w:tc>
          <w:tcPr>
            <w:tcW w:w="830"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251</w:t>
            </w:r>
          </w:p>
        </w:tc>
        <w:tc>
          <w:tcPr>
            <w:tcW w:w="830"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0.053</w:t>
            </w:r>
          </w:p>
        </w:tc>
        <w:tc>
          <w:tcPr>
            <w:tcW w:w="718" w:type="pct"/>
            <w:vMerge w:val="continue"/>
            <w:tcBorders>
              <w:tl2br w:val="nil"/>
              <w:tr2bl w:val="nil"/>
            </w:tcBorders>
            <w:vAlign w:val="center"/>
          </w:tcPr>
          <w:p>
            <w:pPr>
              <w:autoSpaceDE w:val="0"/>
              <w:autoSpaceDN w:val="0"/>
              <w:ind w:firstLine="480"/>
              <w:rPr>
                <w:rFonts w:ascii="Times New Roman" w:cs="Times New Roman"/>
                <w:bCs/>
                <w:lang w:eastAsia="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2" w:type="pct"/>
            <w:vMerge w:val="continue"/>
            <w:tcBorders>
              <w:tl2br w:val="nil"/>
              <w:tr2bl w:val="nil"/>
            </w:tcBorders>
            <w:vAlign w:val="center"/>
          </w:tcPr>
          <w:p>
            <w:pPr>
              <w:autoSpaceDE w:val="0"/>
              <w:autoSpaceDN w:val="0"/>
              <w:ind w:firstLine="480"/>
              <w:rPr>
                <w:rFonts w:ascii="Times New Roman" w:cs="Times New Roman"/>
                <w:bCs/>
                <w:lang w:eastAsia="en-US"/>
              </w:rPr>
            </w:pPr>
          </w:p>
        </w:tc>
        <w:tc>
          <w:tcPr>
            <w:tcW w:w="680"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lang w:eastAsia="en-US"/>
              </w:rPr>
            </w:pPr>
            <w:r>
              <w:rPr>
                <w:rFonts w:ascii="Times New Roman" w:cs="Times New Roman"/>
                <w:bCs/>
                <w:sz w:val="21"/>
                <w:szCs w:val="21"/>
                <w:lang w:eastAsia="en-US"/>
              </w:rPr>
              <w:t>3650</w:t>
            </w:r>
          </w:p>
        </w:tc>
        <w:tc>
          <w:tcPr>
            <w:tcW w:w="611"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w:t>
            </w:r>
          </w:p>
        </w:tc>
        <w:tc>
          <w:tcPr>
            <w:tcW w:w="604"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140</w:t>
            </w:r>
          </w:p>
        </w:tc>
        <w:tc>
          <w:tcPr>
            <w:tcW w:w="830"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330</w:t>
            </w:r>
          </w:p>
        </w:tc>
        <w:tc>
          <w:tcPr>
            <w:tcW w:w="830"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0.0145</w:t>
            </w:r>
          </w:p>
        </w:tc>
        <w:tc>
          <w:tcPr>
            <w:tcW w:w="718" w:type="pct"/>
            <w:vMerge w:val="continue"/>
            <w:tcBorders>
              <w:tl2br w:val="nil"/>
              <w:tr2bl w:val="nil"/>
            </w:tcBorders>
            <w:vAlign w:val="center"/>
          </w:tcPr>
          <w:p>
            <w:pPr>
              <w:autoSpaceDE w:val="0"/>
              <w:autoSpaceDN w:val="0"/>
              <w:ind w:firstLine="480"/>
              <w:rPr>
                <w:rFonts w:ascii="Times New Roman" w:cs="Times New Roman"/>
                <w:bCs/>
                <w:lang w:eastAsia="en-US"/>
              </w:rPr>
            </w:pPr>
          </w:p>
        </w:tc>
      </w:tr>
    </w:tbl>
    <w:p>
      <w:pPr>
        <w:autoSpaceDE w:val="0"/>
        <w:autoSpaceDN w:val="0"/>
        <w:spacing w:line="240" w:lineRule="auto"/>
        <w:ind w:firstLine="0" w:firstLineChars="0"/>
        <w:jc w:val="center"/>
        <w:rPr>
          <w:rFonts w:ascii="Times New Roman" w:cs="Times New Roman"/>
          <w:bCs/>
        </w:rPr>
      </w:pPr>
      <w:r>
        <w:rPr>
          <w:rFonts w:ascii="Times New Roman" w:cs="Times New Roman"/>
          <w:bCs/>
        </w:rPr>
        <w:drawing>
          <wp:inline distT="0" distB="0" distL="114300" distR="114300">
            <wp:extent cx="5486400" cy="2971800"/>
            <wp:effectExtent l="0" t="0" r="0" b="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61"/>
                    <a:stretch>
                      <a:fillRect/>
                    </a:stretch>
                  </pic:blipFill>
                  <pic:spPr>
                    <a:xfrm>
                      <a:off x="0" y="0"/>
                      <a:ext cx="5486400" cy="2971800"/>
                    </a:xfrm>
                    <a:prstGeom prst="rect">
                      <a:avLst/>
                    </a:prstGeom>
                    <a:noFill/>
                    <a:ln>
                      <a:noFill/>
                    </a:ln>
                  </pic:spPr>
                </pic:pic>
              </a:graphicData>
            </a:graphic>
          </wp:inline>
        </w:drawing>
      </w:r>
    </w:p>
    <w:p>
      <w:pPr>
        <w:autoSpaceDE w:val="0"/>
        <w:autoSpaceDN w:val="0"/>
        <w:ind w:firstLine="482"/>
        <w:jc w:val="center"/>
        <w:rPr>
          <w:rFonts w:ascii="Times New Roman" w:cs="Times New Roman"/>
          <w:b/>
        </w:rPr>
      </w:pPr>
      <w:r>
        <w:rPr>
          <w:rFonts w:ascii="Times New Roman" w:cs="Times New Roman"/>
          <w:b/>
        </w:rPr>
        <w:t>图6.1-</w:t>
      </w:r>
      <w:r>
        <w:rPr>
          <w:rFonts w:hint="eastAsia" w:ascii="Times New Roman" w:cs="Times New Roman"/>
          <w:b/>
        </w:rPr>
        <w:t xml:space="preserve">5 </w:t>
      </w:r>
      <w:r>
        <w:rPr>
          <w:rFonts w:ascii="Times New Roman" w:cs="Times New Roman"/>
          <w:b/>
        </w:rPr>
        <w:t>污染后100天水流下游轴向石油类污染物浓度变化趋势图</w:t>
      </w:r>
    </w:p>
    <w:p>
      <w:pPr>
        <w:autoSpaceDE w:val="0"/>
        <w:autoSpaceDN w:val="0"/>
        <w:spacing w:line="240" w:lineRule="auto"/>
        <w:ind w:firstLine="0" w:firstLineChars="0"/>
        <w:jc w:val="center"/>
        <w:rPr>
          <w:rFonts w:ascii="Times New Roman" w:cs="Times New Roman"/>
          <w:bCs/>
        </w:rPr>
      </w:pPr>
      <w:r>
        <w:rPr>
          <w:rFonts w:ascii="Times New Roman" w:cs="Times New Roman"/>
          <w:bCs/>
        </w:rPr>
        <w:drawing>
          <wp:inline distT="0" distB="0" distL="114300" distR="114300">
            <wp:extent cx="5562600" cy="3352800"/>
            <wp:effectExtent l="0" t="0" r="0" b="0"/>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62"/>
                    <a:stretch>
                      <a:fillRect/>
                    </a:stretch>
                  </pic:blipFill>
                  <pic:spPr>
                    <a:xfrm>
                      <a:off x="0" y="0"/>
                      <a:ext cx="5562600" cy="3352800"/>
                    </a:xfrm>
                    <a:prstGeom prst="rect">
                      <a:avLst/>
                    </a:prstGeom>
                    <a:noFill/>
                    <a:ln>
                      <a:noFill/>
                    </a:ln>
                  </pic:spPr>
                </pic:pic>
              </a:graphicData>
            </a:graphic>
          </wp:inline>
        </w:drawing>
      </w:r>
    </w:p>
    <w:p>
      <w:pPr>
        <w:autoSpaceDE w:val="0"/>
        <w:autoSpaceDN w:val="0"/>
        <w:ind w:firstLine="482"/>
        <w:jc w:val="center"/>
        <w:rPr>
          <w:rFonts w:ascii="Times New Roman" w:cs="Times New Roman"/>
          <w:b/>
        </w:rPr>
      </w:pPr>
      <w:r>
        <w:rPr>
          <w:rFonts w:ascii="Times New Roman" w:cs="Times New Roman"/>
          <w:b/>
        </w:rPr>
        <w:t>图6.1-</w:t>
      </w:r>
      <w:r>
        <w:rPr>
          <w:rFonts w:hint="eastAsia" w:ascii="Times New Roman" w:cs="Times New Roman"/>
          <w:b/>
        </w:rPr>
        <w:t xml:space="preserve">6 </w:t>
      </w:r>
      <w:r>
        <w:rPr>
          <w:rFonts w:ascii="Times New Roman" w:cs="Times New Roman"/>
          <w:b/>
        </w:rPr>
        <w:t>污染后1000天水流下游轴向石油类污染物浓度变化趋势图</w:t>
      </w:r>
    </w:p>
    <w:p>
      <w:pPr>
        <w:autoSpaceDE w:val="0"/>
        <w:autoSpaceDN w:val="0"/>
        <w:spacing w:line="240" w:lineRule="auto"/>
        <w:ind w:firstLine="0" w:firstLineChars="0"/>
        <w:jc w:val="center"/>
        <w:rPr>
          <w:rFonts w:ascii="Times New Roman" w:cs="Times New Roman"/>
          <w:bCs/>
        </w:rPr>
      </w:pPr>
      <w:r>
        <w:rPr>
          <w:rFonts w:ascii="Times New Roman" w:cs="Times New Roman"/>
          <w:bCs/>
        </w:rPr>
        <w:drawing>
          <wp:inline distT="0" distB="0" distL="114300" distR="114300">
            <wp:extent cx="5572125" cy="3705225"/>
            <wp:effectExtent l="0" t="0" r="9525" b="9525"/>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63"/>
                    <a:stretch>
                      <a:fillRect/>
                    </a:stretch>
                  </pic:blipFill>
                  <pic:spPr>
                    <a:xfrm>
                      <a:off x="0" y="0"/>
                      <a:ext cx="5572125" cy="3705225"/>
                    </a:xfrm>
                    <a:prstGeom prst="rect">
                      <a:avLst/>
                    </a:prstGeom>
                    <a:noFill/>
                    <a:ln>
                      <a:noFill/>
                    </a:ln>
                  </pic:spPr>
                </pic:pic>
              </a:graphicData>
            </a:graphic>
          </wp:inline>
        </w:drawing>
      </w:r>
    </w:p>
    <w:p>
      <w:pPr>
        <w:autoSpaceDE w:val="0"/>
        <w:autoSpaceDN w:val="0"/>
        <w:ind w:firstLine="482"/>
        <w:jc w:val="center"/>
        <w:rPr>
          <w:rFonts w:ascii="Times New Roman" w:cs="Times New Roman"/>
          <w:b/>
        </w:rPr>
      </w:pPr>
      <w:r>
        <w:rPr>
          <w:rFonts w:ascii="Times New Roman" w:cs="Times New Roman"/>
          <w:b/>
        </w:rPr>
        <w:t>图6.1-</w:t>
      </w:r>
      <w:r>
        <w:rPr>
          <w:rFonts w:hint="eastAsia" w:ascii="Times New Roman" w:cs="Times New Roman"/>
          <w:b/>
        </w:rPr>
        <w:t xml:space="preserve">7 </w:t>
      </w:r>
      <w:r>
        <w:rPr>
          <w:rFonts w:ascii="Times New Roman" w:cs="Times New Roman"/>
          <w:b/>
        </w:rPr>
        <w:t>污染后3650天水流下游轴向石油类污染物浓度变化趋势图</w:t>
      </w:r>
    </w:p>
    <w:p>
      <w:pPr>
        <w:autoSpaceDE w:val="0"/>
        <w:autoSpaceDN w:val="0"/>
        <w:ind w:firstLine="480"/>
        <w:rPr>
          <w:rFonts w:ascii="Times New Roman" w:cs="Times New Roman"/>
          <w:bCs/>
        </w:rPr>
      </w:pPr>
      <w:r>
        <w:rPr>
          <w:rFonts w:ascii="Times New Roman" w:cs="Times New Roman"/>
          <w:bCs/>
        </w:rPr>
        <w:t xml:space="preserve">⑧地下水污染影响评价 </w:t>
      </w:r>
    </w:p>
    <w:p>
      <w:pPr>
        <w:autoSpaceDE w:val="0"/>
        <w:autoSpaceDN w:val="0"/>
        <w:ind w:firstLine="480"/>
        <w:rPr>
          <w:rFonts w:ascii="Times New Roman" w:cs="Times New Roman"/>
          <w:bCs/>
        </w:rPr>
      </w:pPr>
      <w:r>
        <w:rPr>
          <w:rFonts w:ascii="Times New Roman" w:cs="Times New Roman"/>
          <w:bCs/>
        </w:rPr>
        <w:t>COD预测结果：泄漏100天后，COD下游最大为</w:t>
      </w:r>
      <w:r>
        <w:rPr>
          <w:rFonts w:hint="eastAsia" w:ascii="Times New Roman" w:cs="Times New Roman"/>
          <w:bCs/>
        </w:rPr>
        <w:t>0.1</w:t>
      </w:r>
      <w:r>
        <w:rPr>
          <w:rFonts w:ascii="Times New Roman" w:cs="Times New Roman"/>
          <w:bCs/>
        </w:rPr>
        <w:t>mg/L，影响距离最远为下游</w:t>
      </w:r>
      <w:r>
        <w:rPr>
          <w:rFonts w:hint="eastAsia" w:ascii="Times New Roman" w:cs="Times New Roman"/>
          <w:bCs/>
        </w:rPr>
        <w:t>48</w:t>
      </w:r>
      <w:r>
        <w:rPr>
          <w:rFonts w:ascii="Times New Roman" w:cs="Times New Roman"/>
          <w:bCs/>
        </w:rPr>
        <w:t>m；泄漏365天后，下游最大值为</w:t>
      </w:r>
      <w:r>
        <w:rPr>
          <w:rFonts w:hint="eastAsia" w:ascii="Times New Roman" w:cs="Times New Roman"/>
          <w:bCs/>
        </w:rPr>
        <w:t>0.01</w:t>
      </w:r>
      <w:r>
        <w:rPr>
          <w:rFonts w:ascii="Times New Roman" w:cs="Times New Roman"/>
          <w:bCs/>
        </w:rPr>
        <w:t>mg/L。下游影响范围内无居民水井分布，不在污染物扩散影响范围内。</w:t>
      </w:r>
      <w:r>
        <w:rPr>
          <w:rFonts w:hint="eastAsia" w:ascii="Times New Roman" w:cs="Times New Roman"/>
          <w:bCs/>
        </w:rPr>
        <w:t>对下游地下水环境影响较小</w:t>
      </w:r>
      <w:r>
        <w:rPr>
          <w:rFonts w:ascii="Times New Roman" w:cs="Times New Roman"/>
          <w:bCs/>
        </w:rPr>
        <w:t>。</w:t>
      </w:r>
    </w:p>
    <w:p>
      <w:pPr>
        <w:autoSpaceDE w:val="0"/>
        <w:autoSpaceDN w:val="0"/>
        <w:ind w:firstLine="480"/>
        <w:rPr>
          <w:rFonts w:ascii="Times New Roman" w:cs="Times New Roman"/>
          <w:bCs/>
        </w:rPr>
      </w:pPr>
      <w:r>
        <w:rPr>
          <w:rFonts w:ascii="Times New Roman" w:cs="Times New Roman"/>
          <w:bCs/>
        </w:rPr>
        <w:t>石油类预测结果：泄漏100天后，石油类下游最大为</w:t>
      </w:r>
      <w:r>
        <w:rPr>
          <w:rFonts w:hint="eastAsia" w:ascii="Times New Roman" w:cs="Times New Roman"/>
          <w:bCs/>
        </w:rPr>
        <w:t>0.13</w:t>
      </w:r>
      <w:r>
        <w:rPr>
          <w:rFonts w:ascii="Times New Roman" w:cs="Times New Roman"/>
          <w:bCs/>
        </w:rPr>
        <w:t>mg/L，影响距离最远为下游</w:t>
      </w:r>
      <w:r>
        <w:rPr>
          <w:rFonts w:hint="eastAsia" w:ascii="Times New Roman" w:cs="Times New Roman"/>
          <w:bCs/>
        </w:rPr>
        <w:t>27</w:t>
      </w:r>
      <w:r>
        <w:rPr>
          <w:rFonts w:ascii="Times New Roman" w:cs="Times New Roman"/>
          <w:bCs/>
        </w:rPr>
        <w:t>m；下游影响范围内无居民水井分布，不在污染物扩散影响范围内。</w:t>
      </w:r>
      <w:r>
        <w:rPr>
          <w:rFonts w:hint="eastAsia" w:ascii="Times New Roman" w:cs="Times New Roman"/>
          <w:bCs/>
        </w:rPr>
        <w:t>对下游地下水环境影响较小</w:t>
      </w:r>
      <w:r>
        <w:rPr>
          <w:rFonts w:ascii="Times New Roman" w:cs="Times New Roman"/>
          <w:bCs/>
        </w:rPr>
        <w:t>。</w:t>
      </w:r>
    </w:p>
    <w:p>
      <w:pPr>
        <w:autoSpaceDE w:val="0"/>
        <w:autoSpaceDN w:val="0"/>
        <w:ind w:firstLine="480"/>
        <w:rPr>
          <w:rFonts w:ascii="Times New Roman" w:cs="Times New Roman"/>
          <w:bCs/>
        </w:rPr>
      </w:pPr>
      <w:r>
        <w:rPr>
          <w:rFonts w:ascii="Times New Roman" w:cs="Times New Roman"/>
          <w:bCs/>
        </w:rPr>
        <w:t>氯化物预测结果：泄漏100天后，氯化物下游最大为</w:t>
      </w:r>
      <w:r>
        <w:rPr>
          <w:rFonts w:hint="eastAsia" w:ascii="Times New Roman" w:cs="Times New Roman"/>
          <w:bCs/>
        </w:rPr>
        <w:t>0.24</w:t>
      </w:r>
      <w:r>
        <w:rPr>
          <w:rFonts w:ascii="Times New Roman" w:cs="Times New Roman"/>
          <w:bCs/>
        </w:rPr>
        <w:t>mg/L，影响距离最远为下游</w:t>
      </w:r>
      <w:r>
        <w:rPr>
          <w:rFonts w:hint="eastAsia" w:ascii="Times New Roman" w:cs="Times New Roman"/>
          <w:bCs/>
        </w:rPr>
        <w:t>4</w:t>
      </w:r>
      <w:r>
        <w:rPr>
          <w:rFonts w:ascii="Times New Roman" w:cs="Times New Roman"/>
          <w:bCs/>
        </w:rPr>
        <w:t>m。下游影响范围内无居民水井分布，不在污染物扩散影响范围内。</w:t>
      </w:r>
      <w:r>
        <w:rPr>
          <w:rFonts w:hint="eastAsia" w:ascii="Times New Roman" w:cs="Times New Roman"/>
          <w:bCs/>
        </w:rPr>
        <w:t>对下游地下水环境影响较小。</w:t>
      </w:r>
    </w:p>
    <w:p>
      <w:pPr>
        <w:autoSpaceDE w:val="0"/>
        <w:autoSpaceDN w:val="0"/>
        <w:ind w:firstLine="480"/>
        <w:rPr>
          <w:rFonts w:ascii="Times New Roman" w:cs="Times New Roman"/>
          <w:bCs/>
        </w:rPr>
      </w:pPr>
      <w:r>
        <w:rPr>
          <w:rFonts w:hint="eastAsia" w:ascii="Times New Roman" w:cs="Times New Roman"/>
          <w:bCs/>
        </w:rPr>
        <w:t>当柴油罐泄露后预测结果：泄露100天后，石油类污染物下游最大为0.53mg/L，最大超标距离为86m，最远影响距离为108m；泄露1000天后，石油类污染物下游最大为0.053mg/L，最大超标距离为80m，最远影响距离为251m，当泄露3650天后，石油类污染物下游最大为0.0145mg/L，已无超标现象，根据现场调查，下游影响范围内无居民水井分布，不在污染物扩散影响范围内。对下游地下水环境影响较小。</w:t>
      </w:r>
    </w:p>
    <w:p>
      <w:pPr>
        <w:autoSpaceDE w:val="0"/>
        <w:autoSpaceDN w:val="0"/>
        <w:ind w:firstLine="480"/>
        <w:rPr>
          <w:rFonts w:ascii="Times New Roman" w:cs="Times New Roman"/>
          <w:bCs/>
        </w:rPr>
      </w:pPr>
      <w:r>
        <w:rPr>
          <w:rFonts w:ascii="Times New Roman" w:cs="Times New Roman"/>
          <w:bCs/>
        </w:rPr>
        <w:t>根据现场调查，下游最近水井距离本项目约</w:t>
      </w:r>
      <w:r>
        <w:rPr>
          <w:rFonts w:hint="eastAsia" w:ascii="Times New Roman" w:cs="Times New Roman"/>
          <w:bCs/>
        </w:rPr>
        <w:t>436</w:t>
      </w:r>
      <w:r>
        <w:rPr>
          <w:rFonts w:ascii="Times New Roman" w:cs="Times New Roman"/>
          <w:bCs/>
        </w:rPr>
        <w:t>m，评价范围内水井均不在污染物扩散影响范围内。</w:t>
      </w:r>
    </w:p>
    <w:p>
      <w:pPr>
        <w:autoSpaceDE w:val="0"/>
        <w:autoSpaceDN w:val="0"/>
        <w:ind w:firstLine="480"/>
        <w:rPr>
          <w:rFonts w:ascii="Times New Roman" w:cs="Times New Roman"/>
          <w:bCs/>
        </w:rPr>
      </w:pPr>
      <w:r>
        <w:rPr>
          <w:rFonts w:ascii="Times New Roman" w:cs="Times New Roman"/>
          <w:bCs/>
        </w:rPr>
        <w:t>根据各预测因子的影响范围，以及当地的水文地质条件，发生泄漏后，应急池底破裂造成的地下水污染对地下水影响较小。</w:t>
      </w:r>
    </w:p>
    <w:bookmarkEnd w:id="461"/>
    <w:p>
      <w:pPr>
        <w:pStyle w:val="4"/>
        <w:rPr>
          <w:rFonts w:eastAsia="宋体"/>
        </w:rPr>
      </w:pPr>
      <w:bookmarkStart w:id="465" w:name="_Toc12288660"/>
      <w:bookmarkStart w:id="466" w:name="_Toc19816061"/>
      <w:bookmarkStart w:id="467" w:name="_Toc12288654"/>
      <w:bookmarkStart w:id="468" w:name="_Toc19816056"/>
      <w:r>
        <w:rPr>
          <w:rFonts w:eastAsia="宋体"/>
        </w:rPr>
        <w:t>6.1.4 施工期环境空气影响分析</w:t>
      </w:r>
      <w:bookmarkEnd w:id="465"/>
      <w:bookmarkEnd w:id="466"/>
    </w:p>
    <w:p>
      <w:pPr>
        <w:pStyle w:val="6"/>
        <w:ind w:firstLine="482"/>
        <w:rPr>
          <w:rFonts w:ascii="Times New Roman" w:cs="Times New Roman"/>
          <w:b/>
          <w:bCs/>
        </w:rPr>
      </w:pPr>
      <w:bookmarkStart w:id="469" w:name="_Toc12288661"/>
      <w:r>
        <w:rPr>
          <w:rFonts w:ascii="Times New Roman" w:cs="Times New Roman"/>
          <w:b/>
          <w:bCs/>
        </w:rPr>
        <w:t>1、扬尘（粉尘）的影响分析</w:t>
      </w:r>
      <w:bookmarkEnd w:id="469"/>
    </w:p>
    <w:p>
      <w:pPr>
        <w:pStyle w:val="114"/>
        <w:ind w:firstLine="480"/>
      </w:pPr>
      <w:r>
        <w:t>本项目的扬尘（粉尘）主要产生于：站场的地面开挖、填埋、土石方堆放和车辆运输过程产生的扬尘（粉尘）。施工期间产生的扬尘（粉尘）污染主要取决于施工作业方式、材料的堆放以及风力等因素，其中受风力的影响因素最大，随着风速的增大，施工扬尘（粉尘）的污染程度和超标范围也将随之增强和扩大。</w:t>
      </w:r>
    </w:p>
    <w:p>
      <w:pPr>
        <w:pStyle w:val="114"/>
        <w:ind w:firstLine="480"/>
      </w:pPr>
      <w:r>
        <w:rPr>
          <w:rFonts w:hint="eastAsia"/>
        </w:rPr>
        <w:t>储备罐基础</w:t>
      </w:r>
      <w:r>
        <w:t>的地面开挖、土石方堆放过程</w:t>
      </w:r>
      <w:r>
        <w:rPr>
          <w:rFonts w:hint="eastAsia"/>
        </w:rPr>
        <w:t>、废水池填埋过程</w:t>
      </w:r>
      <w:r>
        <w:t>为分段进行，施工时间较短，作业带内产生的扬尘（粉尘）为无组织面源排放，根据类比调查，施工工地上风向50m范围内TSP浓度约0.3mg/m</w:t>
      </w:r>
      <w:r>
        <w:rPr>
          <w:vertAlign w:val="superscript"/>
        </w:rPr>
        <w:t>3</w:t>
      </w:r>
      <w:r>
        <w:t>，施工工地内TSP浓度约为0.6～0.8mg/m</w:t>
      </w:r>
      <w:r>
        <w:rPr>
          <w:vertAlign w:val="superscript"/>
        </w:rPr>
        <w:t>3</w:t>
      </w:r>
      <w:r>
        <w:t>，下风向50m距离TSP浓度约为0.45～0.5mg/m</w:t>
      </w:r>
      <w:r>
        <w:rPr>
          <w:vertAlign w:val="superscript"/>
        </w:rPr>
        <w:t>3</w:t>
      </w:r>
      <w:r>
        <w:t>，100m距离TSP浓度约为0.35～0.38mg/m</w:t>
      </w:r>
      <w:r>
        <w:rPr>
          <w:vertAlign w:val="superscript"/>
        </w:rPr>
        <w:t>3</w:t>
      </w:r>
      <w:r>
        <w:t>，150m距离TSP浓度约为0.31～0.34mg/m</w:t>
      </w:r>
      <w:r>
        <w:rPr>
          <w:vertAlign w:val="superscript"/>
        </w:rPr>
        <w:t>3</w:t>
      </w:r>
      <w:r>
        <w:t>。站场周围较近居住民施工期内会受到施工扬尘的影响，但由于施工时间较短，且周围土壤多比较湿润，因此总体而言，站场施工作业扬尘污染是短时的，且影响不会很大。再加上土壤本身的湿润性，地面开挖时产生的扬尘很少；在采取合理化管理、作业面和土堆适当喷水、土堆和建筑材料遮盖、大风天停止作业等措施后，施工扬尘对周围保护目标的影响会大为降低。</w:t>
      </w:r>
    </w:p>
    <w:p>
      <w:pPr>
        <w:pStyle w:val="114"/>
        <w:ind w:firstLine="480"/>
      </w:pPr>
      <w:r>
        <w:t>施工阶段汽车运输过程中，也会产生扬尘污染。扬尘量、粒径大小等与多种因素有关，如路面状况、车辆行驶速度、载重量、天气情况等。其中风速、风向等天气状况直接影响扬尘的传输方向和距离。由于汽车运输过程中产生的扬尘时间短、扬尘落地快、影响范围主要集中在运输道路两侧，故汽车运输扬尘对周边的环境空气影响程度和范围较小，影响时间也较短。如果采用道路定时洒水抑尘、车辆不要装载过满并采取密闭或遮盖措施，可大大减少运输扬尘对周围环境空气的影响。</w:t>
      </w:r>
    </w:p>
    <w:p>
      <w:pPr>
        <w:pStyle w:val="114"/>
        <w:ind w:firstLine="480"/>
      </w:pPr>
      <w:r>
        <w:t>总体而言，施工期扬尘对环境空气敏感点影响很小，属可接受范围。</w:t>
      </w:r>
    </w:p>
    <w:p>
      <w:pPr>
        <w:pStyle w:val="6"/>
        <w:ind w:firstLine="482"/>
        <w:rPr>
          <w:rFonts w:ascii="Times New Roman" w:cs="Times New Roman"/>
          <w:b/>
          <w:bCs/>
        </w:rPr>
      </w:pPr>
      <w:bookmarkStart w:id="470" w:name="_Toc12288662"/>
      <w:r>
        <w:rPr>
          <w:rFonts w:ascii="Times New Roman" w:cs="Times New Roman"/>
          <w:b/>
          <w:bCs/>
        </w:rPr>
        <w:t>2、施工机械尾气影响分析</w:t>
      </w:r>
      <w:bookmarkEnd w:id="470"/>
    </w:p>
    <w:p>
      <w:pPr>
        <w:pStyle w:val="6"/>
        <w:ind w:firstLine="480"/>
        <w:rPr>
          <w:rFonts w:ascii="Times New Roman" w:cs="Times New Roman"/>
        </w:rPr>
      </w:pPr>
      <w:r>
        <w:rPr>
          <w:rFonts w:ascii="Times New Roman" w:cs="Times New Roman"/>
        </w:rPr>
        <w:t>施工期间，运输汽车、柴油机施工中，由于使用柴油机等设备，将产生燃烧烟气，主要污染物为SO</w:t>
      </w:r>
      <w:r>
        <w:rPr>
          <w:rFonts w:ascii="Times New Roman" w:cs="Times New Roman"/>
          <w:sz w:val="16"/>
          <w:szCs w:val="16"/>
        </w:rPr>
        <w:t>2</w:t>
      </w:r>
      <w:r>
        <w:rPr>
          <w:rFonts w:ascii="Times New Roman" w:cs="Times New Roman"/>
        </w:rPr>
        <w:t>、NO</w:t>
      </w:r>
      <w:r>
        <w:rPr>
          <w:rFonts w:ascii="Times New Roman" w:cs="Times New Roman"/>
          <w:sz w:val="16"/>
          <w:szCs w:val="16"/>
        </w:rPr>
        <w:t>2</w:t>
      </w:r>
      <w:r>
        <w:rPr>
          <w:rFonts w:ascii="Times New Roman" w:cs="Times New Roman"/>
        </w:rPr>
        <w:t>、C</w:t>
      </w:r>
      <w:r>
        <w:rPr>
          <w:rFonts w:ascii="Times New Roman" w:cs="Times New Roman"/>
          <w:sz w:val="16"/>
          <w:szCs w:val="16"/>
        </w:rPr>
        <w:t>m</w:t>
      </w:r>
      <w:r>
        <w:rPr>
          <w:rFonts w:ascii="Times New Roman" w:cs="Times New Roman"/>
        </w:rPr>
        <w:t>H</w:t>
      </w:r>
      <w:r>
        <w:rPr>
          <w:rFonts w:ascii="Times New Roman" w:cs="Times New Roman"/>
          <w:sz w:val="16"/>
          <w:szCs w:val="16"/>
        </w:rPr>
        <w:t>n</w:t>
      </w:r>
      <w:r>
        <w:rPr>
          <w:rFonts w:ascii="Times New Roman" w:cs="Times New Roman"/>
        </w:rPr>
        <w:t>等。但由于废气量较小且施工现场均在野外，有利于空气的扩散。同时施工过程中应加强大型施工机械和车辆管理，工程承包商的机械设备应配备相应的消烟除尘设备。此外，施工机械排放燃烧烟气具有排放量小、间歇性、短期性和流动性的特点，该类污染源对大气环境的影响较轻。</w:t>
      </w:r>
    </w:p>
    <w:p>
      <w:pPr>
        <w:pStyle w:val="114"/>
        <w:ind w:firstLine="480"/>
      </w:pPr>
      <w:r>
        <w:t>综上，项目施站场工期将会对施工场地周围的环境空气质量造成一定影响，但这些影响随着施工期的结束也会结束。因此，项目施工期不会造成项目所在地环境空气质量明显恶化。</w:t>
      </w:r>
    </w:p>
    <w:p>
      <w:pPr>
        <w:pStyle w:val="6"/>
        <w:ind w:firstLine="482"/>
        <w:rPr>
          <w:rFonts w:ascii="Times New Roman" w:cs="Times New Roman"/>
          <w:b/>
          <w:bCs/>
        </w:rPr>
      </w:pPr>
      <w:r>
        <w:rPr>
          <w:rFonts w:ascii="Times New Roman" w:cs="Times New Roman"/>
          <w:b/>
          <w:bCs/>
        </w:rPr>
        <w:t>3、气体钻（空气或氮气）的粉尘影响分析</w:t>
      </w:r>
    </w:p>
    <w:p>
      <w:pPr>
        <w:pStyle w:val="114"/>
        <w:ind w:firstLine="480"/>
        <w:rPr>
          <w:bCs/>
        </w:rPr>
      </w:pPr>
      <w:r>
        <w:t>本项目</w:t>
      </w:r>
      <w:r>
        <w:rPr>
          <w:bCs/>
        </w:rPr>
        <w:t>使用气体钻时会返出一定量的粉尘，从而导致周围空气粉尘量增加。本项目在气体钻的排屑管处喷淋降尘，同时产生的污水及泥砂进入清洁化操作平台处理。由于产生的粉尘量小，因此对周围环境影响较小。</w:t>
      </w:r>
    </w:p>
    <w:p>
      <w:pPr>
        <w:pStyle w:val="6"/>
        <w:ind w:firstLine="482"/>
        <w:rPr>
          <w:rFonts w:ascii="Times New Roman" w:cs="Times New Roman"/>
          <w:b/>
          <w:bCs/>
        </w:rPr>
      </w:pPr>
      <w:r>
        <w:rPr>
          <w:rFonts w:ascii="Times New Roman" w:cs="Times New Roman"/>
          <w:b/>
          <w:bCs/>
        </w:rPr>
        <w:t>4、测试放喷废气影响分析</w:t>
      </w:r>
    </w:p>
    <w:p>
      <w:pPr>
        <w:pStyle w:val="114"/>
        <w:ind w:firstLine="480"/>
      </w:pPr>
      <w:r>
        <w:t>测试放喷的天然气经专用放喷管线引至放喷池后点火燃烧，单井测试放喷时间约1d～2d，依据测试气量，间歇放喷，每次持续放喷时间约4h～6h，废气排放属不连续排放。测试放喷的天然气经点火燃烧，其主要污染物为SO</w:t>
      </w:r>
      <w:r>
        <w:rPr>
          <w:vertAlign w:val="subscript"/>
        </w:rPr>
        <w:t>2</w:t>
      </w:r>
      <w:r>
        <w:t>。根据企业提供的资料，预计本项目可能放喷的最大天然气流量为</w:t>
      </w:r>
      <w:r>
        <w:rPr>
          <w:rFonts w:hint="eastAsia"/>
        </w:rPr>
        <w:t>20</w:t>
      </w:r>
      <w:r>
        <w:rPr>
          <w:bCs/>
        </w:rPr>
        <w:t>×10</w:t>
      </w:r>
      <w:r>
        <w:rPr>
          <w:bCs/>
          <w:vertAlign w:val="superscript"/>
        </w:rPr>
        <w:t>4</w:t>
      </w:r>
      <w:r>
        <w:rPr>
          <w:bCs/>
        </w:rPr>
        <w:t>m</w:t>
      </w:r>
      <w:r>
        <w:rPr>
          <w:bCs/>
          <w:vertAlign w:val="superscript"/>
        </w:rPr>
        <w:t>3</w:t>
      </w:r>
      <w:r>
        <w:rPr>
          <w:bCs/>
        </w:rPr>
        <w:t>/d</w:t>
      </w:r>
      <w:r>
        <w:t>（</w:t>
      </w:r>
      <w:r>
        <w:rPr>
          <w:rFonts w:hint="eastAsia"/>
        </w:rPr>
        <w:t>9.26</w:t>
      </w:r>
      <w:r>
        <w:t>m</w:t>
      </w:r>
      <w:r>
        <w:rPr>
          <w:vertAlign w:val="superscript"/>
        </w:rPr>
        <w:t>3</w:t>
      </w:r>
      <w:r>
        <w:t>/s），H</w:t>
      </w:r>
      <w:r>
        <w:rPr>
          <w:vertAlign w:val="subscript"/>
        </w:rPr>
        <w:t>2</w:t>
      </w:r>
      <w:r>
        <w:t>S含量11.54</w:t>
      </w:r>
      <w:r>
        <w:rPr>
          <w:bCs/>
        </w:rPr>
        <w:t>%</w:t>
      </w:r>
      <w:r>
        <w:t>，排放速率为</w:t>
      </w:r>
      <w:r>
        <w:rPr>
          <w:rFonts w:hint="eastAsia"/>
        </w:rPr>
        <w:t>1.21</w:t>
      </w:r>
      <w:r>
        <w:t>kg/s，天然气经放喷管线外输至放喷池点燃，燃烧1m</w:t>
      </w:r>
      <w:r>
        <w:rPr>
          <w:vertAlign w:val="superscript"/>
        </w:rPr>
        <w:t>3</w:t>
      </w:r>
      <w:r>
        <w:t>天然气产生烟气量约为13.6m</w:t>
      </w:r>
      <w:r>
        <w:rPr>
          <w:vertAlign w:val="superscript"/>
        </w:rPr>
        <w:t>3</w:t>
      </w:r>
      <w:r>
        <w:t>，则SO</w:t>
      </w:r>
      <w:r>
        <w:rPr>
          <w:vertAlign w:val="subscript"/>
        </w:rPr>
        <w:t>2</w:t>
      </w:r>
      <w:r>
        <w:t>排放速率为</w:t>
      </w:r>
      <w:r>
        <w:rPr>
          <w:rFonts w:hint="eastAsia"/>
        </w:rPr>
        <w:t>2.28</w:t>
      </w:r>
      <w:r>
        <w:t>kg/s，烟气量</w:t>
      </w:r>
      <w:r>
        <w:rPr>
          <w:rFonts w:hint="eastAsia"/>
        </w:rPr>
        <w:t>45.34×</w:t>
      </w:r>
      <w:r>
        <w:rPr>
          <w:bCs/>
        </w:rPr>
        <w:t>10</w:t>
      </w:r>
      <w:r>
        <w:rPr>
          <w:bCs/>
          <w:vertAlign w:val="superscript"/>
        </w:rPr>
        <w:t>4</w:t>
      </w:r>
      <w:r>
        <w:t>m</w:t>
      </w:r>
      <w:r>
        <w:rPr>
          <w:vertAlign w:val="superscript"/>
        </w:rPr>
        <w:t>3</w:t>
      </w:r>
      <w:r>
        <w:t>/h。项目预计每天测试放喷1次，每次放喷6h，共放喷2d。</w:t>
      </w:r>
    </w:p>
    <w:p>
      <w:pPr>
        <w:pStyle w:val="114"/>
        <w:ind w:firstLine="480"/>
        <w:rPr>
          <w:bCs/>
        </w:rPr>
      </w:pPr>
      <w:r>
        <w:rPr>
          <w:bCs/>
        </w:rPr>
        <w:t>本项目测试放喷废气排放满足《大气污染物综合排放标准》（GB16297-1996），能够实现达标排放，</w:t>
      </w:r>
      <w:r>
        <w:rPr>
          <w:kern w:val="2"/>
        </w:rPr>
        <w:t>测试放喷之前，须临时较近范围内的居民</w:t>
      </w:r>
      <w:r>
        <w:rPr>
          <w:bCs/>
        </w:rPr>
        <w:t>，本项目的建设对评价区域大气环境影响较小，环境可接受。</w:t>
      </w:r>
    </w:p>
    <w:p>
      <w:pPr>
        <w:pStyle w:val="114"/>
        <w:ind w:firstLine="480"/>
        <w:rPr>
          <w:bCs/>
        </w:rPr>
      </w:pPr>
      <w:r>
        <w:rPr>
          <w:bCs/>
        </w:rPr>
        <w:t>本项目测试放喷通过专用的放喷管线将天然气引至放喷池进行点火燃烧，放喷池周围设置3面挡墙，高度3.5m，可有效减小热辐射对测试区周围植被的灼伤。放喷池周边植被主要为农作物及少量的杂草，均为常见植被，周围地势空旷便于燃烧热值扩散，一般情况下，放喷对植被的影响可自行恢复。测试放喷对放喷口周围植被产生的灼烧影响是暂时的，可逆的，测试完后一定时间内可恢复。并且在放喷测试前已对放喷池周围植被进行清理，因此测试放喷热污染不会影响到清理范围外的植被。</w:t>
      </w:r>
    </w:p>
    <w:p>
      <w:pPr>
        <w:pStyle w:val="114"/>
        <w:ind w:firstLine="480"/>
        <w:rPr>
          <w:bCs/>
        </w:rPr>
      </w:pPr>
      <w:r>
        <w:rPr>
          <w:bCs/>
        </w:rPr>
        <w:t>本项目测试放喷在昼间进行，且时间较短（类比同类钻井，一般测试时间为1d～2d，每次4h～6h），燃烧后主要污染物为SO</w:t>
      </w:r>
      <w:r>
        <w:rPr>
          <w:bCs/>
          <w:vertAlign w:val="subscript"/>
        </w:rPr>
        <w:t>2</w:t>
      </w:r>
      <w:r>
        <w:rPr>
          <w:bCs/>
        </w:rPr>
        <w:t>。测试放喷所产生的污染物产生量较小，并将随测试放喷的结束而消除，故对环境空气影响较小。</w:t>
      </w:r>
    </w:p>
    <w:bookmarkEnd w:id="467"/>
    <w:bookmarkEnd w:id="468"/>
    <w:p>
      <w:pPr>
        <w:pStyle w:val="4"/>
        <w:rPr>
          <w:rFonts w:eastAsia="宋体"/>
        </w:rPr>
      </w:pPr>
      <w:bookmarkStart w:id="471" w:name="_Toc19816057"/>
      <w:bookmarkStart w:id="472" w:name="_Toc12288655"/>
      <w:r>
        <w:rPr>
          <w:rFonts w:eastAsia="宋体"/>
        </w:rPr>
        <w:t>6.1.5 施工期声环境影响预测</w:t>
      </w:r>
      <w:bookmarkEnd w:id="471"/>
      <w:bookmarkEnd w:id="472"/>
    </w:p>
    <w:p>
      <w:pPr>
        <w:pStyle w:val="114"/>
        <w:ind w:firstLine="482"/>
        <w:rPr>
          <w:b/>
          <w:bCs/>
        </w:rPr>
      </w:pPr>
      <w:r>
        <w:rPr>
          <w:b/>
          <w:bCs/>
        </w:rPr>
        <w:t>6.1.5.1站场施工</w:t>
      </w:r>
    </w:p>
    <w:p>
      <w:pPr>
        <w:pStyle w:val="114"/>
        <w:ind w:firstLine="482"/>
        <w:rPr>
          <w:b/>
          <w:bCs/>
        </w:rPr>
      </w:pPr>
      <w:r>
        <w:rPr>
          <w:b/>
          <w:bCs/>
        </w:rPr>
        <w:t>1、施工噪声源</w:t>
      </w:r>
    </w:p>
    <w:p>
      <w:pPr>
        <w:pStyle w:val="114"/>
        <w:ind w:firstLine="480"/>
      </w:pPr>
      <w:r>
        <w:t>本项目所在地主要为丘陵山区，经工程分析，施工对声环境的影响中主要是由施工机械和运输车辆造成。站场施工均为白天作业，根据施工内容交替使用施工机械。</w:t>
      </w:r>
    </w:p>
    <w:p>
      <w:pPr>
        <w:pStyle w:val="114"/>
        <w:ind w:firstLine="480"/>
      </w:pPr>
      <w:r>
        <w:t>根据类比调查和现场踏勘监测以及项目初步设计中提供的主要设备选型等有关资料分析，设备高达85dB（A）以上的噪声源施工机械有：挖掘机、推土机、混凝土搅拌机、切割机、石料运输车等，具体见表6.1-10。</w:t>
      </w:r>
    </w:p>
    <w:p>
      <w:pPr>
        <w:pStyle w:val="39"/>
        <w:rPr>
          <w:rFonts w:cs="Times New Roman"/>
        </w:rPr>
      </w:pPr>
      <w:r>
        <w:rPr>
          <w:rFonts w:cs="Times New Roman"/>
        </w:rPr>
        <w:t>表6.1-10  主要施工机械噪声值   单位：dB（A）</w:t>
      </w:r>
    </w:p>
    <w:tbl>
      <w:tblPr>
        <w:tblStyle w:val="59"/>
        <w:tblW w:w="485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44"/>
        <w:gridCol w:w="4250"/>
        <w:gridCol w:w="313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69" w:hRule="atLeast"/>
          <w:jc w:val="center"/>
        </w:trPr>
        <w:tc>
          <w:tcPr>
            <w:tcW w:w="671" w:type="pct"/>
            <w:tcBorders>
              <w:top w:val="single" w:color="000000" w:sz="12" w:space="0"/>
              <w:left w:val="nil"/>
              <w:bottom w:val="single" w:color="000000" w:sz="4" w:space="0"/>
              <w:right w:val="single" w:color="000000" w:sz="4" w:space="0"/>
            </w:tcBorders>
            <w:vAlign w:val="center"/>
          </w:tcPr>
          <w:p>
            <w:pPr>
              <w:pStyle w:val="134"/>
              <w:rPr>
                <w:b/>
                <w:bCs/>
              </w:rPr>
            </w:pPr>
            <w:r>
              <w:rPr>
                <w:b/>
                <w:bCs/>
              </w:rPr>
              <w:t>序号</w:t>
            </w:r>
          </w:p>
        </w:tc>
        <w:tc>
          <w:tcPr>
            <w:tcW w:w="2493" w:type="pct"/>
            <w:tcBorders>
              <w:top w:val="single" w:color="000000" w:sz="12" w:space="0"/>
              <w:left w:val="single" w:color="000000" w:sz="4" w:space="0"/>
              <w:bottom w:val="single" w:color="000000" w:sz="4" w:space="0"/>
              <w:right w:val="single" w:color="000000" w:sz="4" w:space="0"/>
            </w:tcBorders>
            <w:vAlign w:val="center"/>
          </w:tcPr>
          <w:p>
            <w:pPr>
              <w:pStyle w:val="134"/>
              <w:rPr>
                <w:b/>
                <w:bCs/>
              </w:rPr>
            </w:pPr>
            <w:r>
              <w:rPr>
                <w:b/>
                <w:bCs/>
              </w:rPr>
              <w:t>噪声源</w:t>
            </w:r>
          </w:p>
        </w:tc>
        <w:tc>
          <w:tcPr>
            <w:tcW w:w="1836" w:type="pct"/>
            <w:tcBorders>
              <w:top w:val="single" w:color="000000" w:sz="12" w:space="0"/>
              <w:left w:val="single" w:color="000000" w:sz="4" w:space="0"/>
              <w:bottom w:val="single" w:color="000000" w:sz="4" w:space="0"/>
              <w:right w:val="nil"/>
            </w:tcBorders>
            <w:vAlign w:val="center"/>
          </w:tcPr>
          <w:p>
            <w:pPr>
              <w:pStyle w:val="134"/>
              <w:rPr>
                <w:b/>
                <w:bCs/>
              </w:rPr>
            </w:pPr>
            <w:r>
              <w:rPr>
                <w:b/>
                <w:bCs/>
              </w:rPr>
              <w:t>噪声强度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671" w:type="pct"/>
            <w:tcBorders>
              <w:top w:val="single" w:color="000000" w:sz="4" w:space="0"/>
              <w:left w:val="nil"/>
              <w:bottom w:val="single" w:color="000000" w:sz="4" w:space="0"/>
              <w:right w:val="single" w:color="000000" w:sz="4" w:space="0"/>
            </w:tcBorders>
            <w:vAlign w:val="center"/>
          </w:tcPr>
          <w:p>
            <w:pPr>
              <w:pStyle w:val="134"/>
            </w:pPr>
            <w:r>
              <w:t>1</w:t>
            </w:r>
          </w:p>
        </w:tc>
        <w:tc>
          <w:tcPr>
            <w:tcW w:w="2493" w:type="pct"/>
            <w:tcBorders>
              <w:top w:val="single" w:color="000000" w:sz="4" w:space="0"/>
              <w:left w:val="single" w:color="000000" w:sz="4" w:space="0"/>
              <w:bottom w:val="single" w:color="000000" w:sz="4" w:space="0"/>
              <w:right w:val="single" w:color="000000" w:sz="4" w:space="0"/>
            </w:tcBorders>
            <w:vAlign w:val="center"/>
          </w:tcPr>
          <w:p>
            <w:pPr>
              <w:pStyle w:val="134"/>
            </w:pPr>
            <w:r>
              <w:t>挖掘机</w:t>
            </w:r>
          </w:p>
        </w:tc>
        <w:tc>
          <w:tcPr>
            <w:tcW w:w="1836" w:type="pct"/>
            <w:tcBorders>
              <w:top w:val="single" w:color="000000" w:sz="4" w:space="0"/>
              <w:left w:val="single" w:color="000000" w:sz="4" w:space="0"/>
              <w:bottom w:val="single" w:color="000000" w:sz="4" w:space="0"/>
              <w:right w:val="nil"/>
            </w:tcBorders>
            <w:vAlign w:val="center"/>
          </w:tcPr>
          <w:p>
            <w:pPr>
              <w:pStyle w:val="134"/>
            </w:pPr>
            <w:r>
              <w:t>92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671" w:type="pct"/>
            <w:tcBorders>
              <w:top w:val="single" w:color="000000" w:sz="4" w:space="0"/>
              <w:left w:val="nil"/>
              <w:bottom w:val="single" w:color="000000" w:sz="4" w:space="0"/>
              <w:right w:val="single" w:color="000000" w:sz="4" w:space="0"/>
            </w:tcBorders>
            <w:vAlign w:val="center"/>
          </w:tcPr>
          <w:p>
            <w:pPr>
              <w:pStyle w:val="134"/>
            </w:pPr>
            <w:r>
              <w:t>2</w:t>
            </w:r>
          </w:p>
        </w:tc>
        <w:tc>
          <w:tcPr>
            <w:tcW w:w="2493" w:type="pct"/>
            <w:tcBorders>
              <w:top w:val="single" w:color="000000" w:sz="4" w:space="0"/>
              <w:left w:val="single" w:color="000000" w:sz="4" w:space="0"/>
              <w:bottom w:val="single" w:color="000000" w:sz="4" w:space="0"/>
              <w:right w:val="single" w:color="000000" w:sz="4" w:space="0"/>
            </w:tcBorders>
            <w:vAlign w:val="center"/>
          </w:tcPr>
          <w:p>
            <w:pPr>
              <w:pStyle w:val="134"/>
            </w:pPr>
            <w:r>
              <w:t>推土机</w:t>
            </w:r>
          </w:p>
        </w:tc>
        <w:tc>
          <w:tcPr>
            <w:tcW w:w="1836" w:type="pct"/>
            <w:tcBorders>
              <w:top w:val="single" w:color="000000" w:sz="4" w:space="0"/>
              <w:left w:val="single" w:color="000000" w:sz="4" w:space="0"/>
              <w:bottom w:val="single" w:color="000000" w:sz="4" w:space="0"/>
              <w:right w:val="nil"/>
            </w:tcBorders>
            <w:vAlign w:val="center"/>
          </w:tcPr>
          <w:p>
            <w:pPr>
              <w:pStyle w:val="134"/>
            </w:pPr>
            <w:r>
              <w:t>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671" w:type="pct"/>
            <w:tcBorders>
              <w:top w:val="single" w:color="000000" w:sz="4" w:space="0"/>
              <w:left w:val="nil"/>
              <w:bottom w:val="single" w:color="000000" w:sz="4" w:space="0"/>
              <w:right w:val="single" w:color="000000" w:sz="4" w:space="0"/>
            </w:tcBorders>
            <w:vAlign w:val="center"/>
          </w:tcPr>
          <w:p>
            <w:pPr>
              <w:pStyle w:val="134"/>
            </w:pPr>
            <w:r>
              <w:t>3</w:t>
            </w:r>
          </w:p>
        </w:tc>
        <w:tc>
          <w:tcPr>
            <w:tcW w:w="2493" w:type="pct"/>
            <w:tcBorders>
              <w:top w:val="single" w:color="000000" w:sz="4" w:space="0"/>
              <w:left w:val="single" w:color="000000" w:sz="4" w:space="0"/>
              <w:bottom w:val="single" w:color="000000" w:sz="4" w:space="0"/>
              <w:right w:val="single" w:color="000000" w:sz="4" w:space="0"/>
            </w:tcBorders>
            <w:vAlign w:val="center"/>
          </w:tcPr>
          <w:p>
            <w:pPr>
              <w:pStyle w:val="134"/>
            </w:pPr>
            <w:r>
              <w:t>混凝土搅拌机</w:t>
            </w:r>
          </w:p>
        </w:tc>
        <w:tc>
          <w:tcPr>
            <w:tcW w:w="1836" w:type="pct"/>
            <w:tcBorders>
              <w:top w:val="single" w:color="000000" w:sz="4" w:space="0"/>
              <w:left w:val="single" w:color="000000" w:sz="4" w:space="0"/>
              <w:bottom w:val="single" w:color="000000" w:sz="4" w:space="0"/>
              <w:right w:val="nil"/>
            </w:tcBorders>
            <w:vAlign w:val="center"/>
          </w:tcPr>
          <w:p>
            <w:pPr>
              <w:pStyle w:val="134"/>
            </w:pPr>
            <w:r>
              <w:t>95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671" w:type="pct"/>
            <w:tcBorders>
              <w:top w:val="single" w:color="000000" w:sz="4" w:space="0"/>
              <w:left w:val="nil"/>
              <w:bottom w:val="single" w:color="000000" w:sz="4" w:space="0"/>
              <w:right w:val="single" w:color="000000" w:sz="4" w:space="0"/>
            </w:tcBorders>
            <w:vAlign w:val="center"/>
          </w:tcPr>
          <w:p>
            <w:pPr>
              <w:pStyle w:val="134"/>
            </w:pPr>
            <w:r>
              <w:t>4</w:t>
            </w:r>
          </w:p>
        </w:tc>
        <w:tc>
          <w:tcPr>
            <w:tcW w:w="2493" w:type="pct"/>
            <w:tcBorders>
              <w:top w:val="single" w:color="000000" w:sz="4" w:space="0"/>
              <w:left w:val="single" w:color="000000" w:sz="4" w:space="0"/>
              <w:bottom w:val="single" w:color="000000" w:sz="4" w:space="0"/>
              <w:right w:val="single" w:color="000000" w:sz="4" w:space="0"/>
            </w:tcBorders>
            <w:vAlign w:val="center"/>
          </w:tcPr>
          <w:p>
            <w:pPr>
              <w:pStyle w:val="134"/>
            </w:pPr>
            <w:r>
              <w:t>定向钻机</w:t>
            </w:r>
          </w:p>
        </w:tc>
        <w:tc>
          <w:tcPr>
            <w:tcW w:w="1836" w:type="pct"/>
            <w:tcBorders>
              <w:top w:val="single" w:color="000000" w:sz="4" w:space="0"/>
              <w:left w:val="single" w:color="000000" w:sz="4" w:space="0"/>
              <w:bottom w:val="single" w:color="000000" w:sz="4" w:space="0"/>
              <w:right w:val="nil"/>
            </w:tcBorders>
            <w:vAlign w:val="center"/>
          </w:tcPr>
          <w:p>
            <w:pPr>
              <w:pStyle w:val="134"/>
            </w:pPr>
            <w:r>
              <w:t>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671" w:type="pct"/>
            <w:tcBorders>
              <w:top w:val="single" w:color="000000" w:sz="4" w:space="0"/>
              <w:left w:val="nil"/>
              <w:bottom w:val="single" w:color="000000" w:sz="4" w:space="0"/>
              <w:right w:val="single" w:color="000000" w:sz="4" w:space="0"/>
            </w:tcBorders>
            <w:vAlign w:val="center"/>
          </w:tcPr>
          <w:p>
            <w:pPr>
              <w:pStyle w:val="134"/>
            </w:pPr>
            <w:r>
              <w:t>5</w:t>
            </w:r>
          </w:p>
        </w:tc>
        <w:tc>
          <w:tcPr>
            <w:tcW w:w="2493" w:type="pct"/>
            <w:tcBorders>
              <w:top w:val="single" w:color="000000" w:sz="4" w:space="0"/>
              <w:left w:val="single" w:color="000000" w:sz="4" w:space="0"/>
              <w:bottom w:val="single" w:color="000000" w:sz="4" w:space="0"/>
              <w:right w:val="single" w:color="000000" w:sz="4" w:space="0"/>
            </w:tcBorders>
            <w:vAlign w:val="center"/>
          </w:tcPr>
          <w:p>
            <w:pPr>
              <w:pStyle w:val="134"/>
            </w:pPr>
            <w:r>
              <w:t>混凝土翻斗车</w:t>
            </w:r>
          </w:p>
        </w:tc>
        <w:tc>
          <w:tcPr>
            <w:tcW w:w="1836" w:type="pct"/>
            <w:tcBorders>
              <w:top w:val="single" w:color="000000" w:sz="4" w:space="0"/>
              <w:left w:val="single" w:color="000000" w:sz="4" w:space="0"/>
              <w:bottom w:val="single" w:color="000000" w:sz="4" w:space="0"/>
              <w:right w:val="nil"/>
            </w:tcBorders>
            <w:vAlign w:val="center"/>
          </w:tcPr>
          <w:p>
            <w:pPr>
              <w:pStyle w:val="134"/>
            </w:pPr>
            <w:r>
              <w:t>95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671" w:type="pct"/>
            <w:tcBorders>
              <w:top w:val="single" w:color="000000" w:sz="4" w:space="0"/>
              <w:left w:val="nil"/>
              <w:bottom w:val="single" w:color="000000" w:sz="4" w:space="0"/>
              <w:right w:val="single" w:color="000000" w:sz="4" w:space="0"/>
            </w:tcBorders>
            <w:vAlign w:val="center"/>
          </w:tcPr>
          <w:p>
            <w:pPr>
              <w:pStyle w:val="134"/>
            </w:pPr>
            <w:r>
              <w:t>6</w:t>
            </w:r>
          </w:p>
        </w:tc>
        <w:tc>
          <w:tcPr>
            <w:tcW w:w="2493" w:type="pct"/>
            <w:tcBorders>
              <w:top w:val="single" w:color="000000" w:sz="4" w:space="0"/>
              <w:left w:val="single" w:color="000000" w:sz="4" w:space="0"/>
              <w:bottom w:val="single" w:color="000000" w:sz="4" w:space="0"/>
              <w:right w:val="single" w:color="000000" w:sz="4" w:space="0"/>
            </w:tcBorders>
            <w:vAlign w:val="center"/>
          </w:tcPr>
          <w:p>
            <w:pPr>
              <w:pStyle w:val="134"/>
            </w:pPr>
            <w:r>
              <w:t>切割机</w:t>
            </w:r>
          </w:p>
        </w:tc>
        <w:tc>
          <w:tcPr>
            <w:tcW w:w="1836" w:type="pct"/>
            <w:tcBorders>
              <w:top w:val="single" w:color="000000" w:sz="4" w:space="0"/>
              <w:left w:val="single" w:color="000000" w:sz="4" w:space="0"/>
              <w:bottom w:val="single" w:color="000000" w:sz="4" w:space="0"/>
              <w:right w:val="nil"/>
            </w:tcBorders>
            <w:vAlign w:val="center"/>
          </w:tcPr>
          <w:p>
            <w:pPr>
              <w:pStyle w:val="134"/>
            </w:pPr>
            <w:r>
              <w:t>95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671" w:type="pct"/>
            <w:tcBorders>
              <w:top w:val="single" w:color="000000" w:sz="4" w:space="0"/>
              <w:left w:val="nil"/>
              <w:bottom w:val="single" w:color="000000" w:sz="4" w:space="0"/>
              <w:right w:val="single" w:color="000000" w:sz="4" w:space="0"/>
            </w:tcBorders>
            <w:vAlign w:val="center"/>
          </w:tcPr>
          <w:p>
            <w:pPr>
              <w:pStyle w:val="134"/>
            </w:pPr>
            <w:r>
              <w:t>7</w:t>
            </w:r>
          </w:p>
        </w:tc>
        <w:tc>
          <w:tcPr>
            <w:tcW w:w="2493" w:type="pct"/>
            <w:tcBorders>
              <w:top w:val="single" w:color="000000" w:sz="4" w:space="0"/>
              <w:left w:val="single" w:color="000000" w:sz="4" w:space="0"/>
              <w:bottom w:val="single" w:color="000000" w:sz="4" w:space="0"/>
              <w:right w:val="single" w:color="000000" w:sz="4" w:space="0"/>
            </w:tcBorders>
            <w:vAlign w:val="center"/>
          </w:tcPr>
          <w:p>
            <w:pPr>
              <w:pStyle w:val="134"/>
            </w:pPr>
            <w:r>
              <w:t>柴油发电机</w:t>
            </w:r>
          </w:p>
        </w:tc>
        <w:tc>
          <w:tcPr>
            <w:tcW w:w="1836" w:type="pct"/>
            <w:tcBorders>
              <w:top w:val="single" w:color="000000" w:sz="4" w:space="0"/>
              <w:left w:val="single" w:color="000000" w:sz="4" w:space="0"/>
              <w:bottom w:val="single" w:color="000000" w:sz="4" w:space="0"/>
              <w:right w:val="nil"/>
            </w:tcBorders>
            <w:vAlign w:val="center"/>
          </w:tcPr>
          <w:p>
            <w:pPr>
              <w:pStyle w:val="134"/>
            </w:pPr>
            <w:r>
              <w: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671" w:type="pct"/>
            <w:tcBorders>
              <w:top w:val="single" w:color="000000" w:sz="4" w:space="0"/>
              <w:left w:val="nil"/>
              <w:bottom w:val="single" w:color="000000" w:sz="4" w:space="0"/>
              <w:right w:val="single" w:color="000000" w:sz="4" w:space="0"/>
            </w:tcBorders>
            <w:vAlign w:val="center"/>
          </w:tcPr>
          <w:p>
            <w:pPr>
              <w:pStyle w:val="134"/>
            </w:pPr>
            <w:r>
              <w:t>8</w:t>
            </w:r>
          </w:p>
        </w:tc>
        <w:tc>
          <w:tcPr>
            <w:tcW w:w="2493" w:type="pct"/>
            <w:tcBorders>
              <w:top w:val="single" w:color="000000" w:sz="4" w:space="0"/>
              <w:left w:val="single" w:color="000000" w:sz="4" w:space="0"/>
              <w:bottom w:val="single" w:color="000000" w:sz="4" w:space="0"/>
              <w:right w:val="single" w:color="000000" w:sz="4" w:space="0"/>
            </w:tcBorders>
            <w:vAlign w:val="center"/>
          </w:tcPr>
          <w:p>
            <w:pPr>
              <w:pStyle w:val="134"/>
            </w:pPr>
            <w:r>
              <w:t>混凝土震动棒</w:t>
            </w:r>
          </w:p>
        </w:tc>
        <w:tc>
          <w:tcPr>
            <w:tcW w:w="1836" w:type="pct"/>
            <w:tcBorders>
              <w:top w:val="single" w:color="000000" w:sz="4" w:space="0"/>
              <w:left w:val="single" w:color="000000" w:sz="4" w:space="0"/>
              <w:bottom w:val="single" w:color="000000" w:sz="4" w:space="0"/>
              <w:right w:val="nil"/>
            </w:tcBorders>
            <w:vAlign w:val="center"/>
          </w:tcPr>
          <w:p>
            <w:pPr>
              <w:pStyle w:val="134"/>
            </w:pPr>
            <w:r>
              <w:t>105</w:t>
            </w:r>
          </w:p>
        </w:tc>
      </w:tr>
    </w:tbl>
    <w:p>
      <w:pPr>
        <w:pStyle w:val="114"/>
        <w:ind w:firstLine="482"/>
        <w:rPr>
          <w:b/>
          <w:bCs/>
        </w:rPr>
      </w:pPr>
      <w:r>
        <w:rPr>
          <w:b/>
          <w:bCs/>
        </w:rPr>
        <w:t>2、施工期噪声影响评价</w:t>
      </w:r>
    </w:p>
    <w:p>
      <w:pPr>
        <w:pStyle w:val="114"/>
        <w:ind w:firstLine="480"/>
      </w:pPr>
      <w:r>
        <w:t>（1）噪声预测公式的选用</w:t>
      </w:r>
    </w:p>
    <w:p>
      <w:pPr>
        <w:pStyle w:val="114"/>
        <w:ind w:firstLine="480"/>
      </w:pPr>
      <w:r>
        <w:t>当声源的大小与预测距离相比小的多时，可以将此声源看作点源，声源噪声值随距离衰减的计算公式如下：</w:t>
      </w:r>
    </w:p>
    <w:p>
      <w:pPr>
        <w:pStyle w:val="6"/>
        <w:ind w:firstLine="0" w:firstLineChars="0"/>
        <w:jc w:val="center"/>
        <w:rPr>
          <w:rFonts w:ascii="Times New Roman" w:cs="Times New Roman"/>
        </w:rPr>
      </w:pPr>
      <w:r>
        <w:rPr>
          <w:rFonts w:ascii="Times New Roman" w:cs="Times New Roman"/>
        </w:rPr>
        <w:t>L</w:t>
      </w:r>
      <w:r>
        <w:rPr>
          <w:rFonts w:ascii="Times New Roman" w:cs="Times New Roman"/>
          <w:vertAlign w:val="subscript"/>
        </w:rPr>
        <w:t>2</w:t>
      </w:r>
      <w:r>
        <w:rPr>
          <w:rFonts w:ascii="Times New Roman" w:cs="Times New Roman"/>
        </w:rPr>
        <w:t>＝L</w:t>
      </w:r>
      <w:r>
        <w:rPr>
          <w:rFonts w:ascii="Times New Roman" w:cs="Times New Roman"/>
          <w:vertAlign w:val="subscript"/>
        </w:rPr>
        <w:t>1</w:t>
      </w:r>
      <w:r>
        <w:rPr>
          <w:rFonts w:ascii="Times New Roman" w:cs="Times New Roman"/>
        </w:rPr>
        <w:t>－20lg（r</w:t>
      </w:r>
      <w:r>
        <w:rPr>
          <w:rFonts w:ascii="Times New Roman" w:cs="Times New Roman"/>
          <w:vertAlign w:val="subscript"/>
        </w:rPr>
        <w:t>2</w:t>
      </w:r>
      <w:r>
        <w:rPr>
          <w:rFonts w:ascii="Times New Roman" w:cs="Times New Roman"/>
        </w:rPr>
        <w:t>/r</w:t>
      </w:r>
      <w:r>
        <w:rPr>
          <w:rFonts w:ascii="Times New Roman" w:cs="Times New Roman"/>
          <w:vertAlign w:val="subscript"/>
        </w:rPr>
        <w:t>1</w:t>
      </w:r>
      <w:r>
        <w:rPr>
          <w:rFonts w:ascii="Times New Roman" w:cs="Times New Roman"/>
        </w:rPr>
        <w:t>）</w:t>
      </w:r>
    </w:p>
    <w:p>
      <w:pPr>
        <w:pStyle w:val="6"/>
        <w:ind w:firstLine="480"/>
        <w:rPr>
          <w:rFonts w:ascii="Times New Roman" w:cs="Times New Roman"/>
        </w:rPr>
      </w:pPr>
      <w:r>
        <w:rPr>
          <w:rFonts w:ascii="Times New Roman" w:cs="Times New Roman"/>
        </w:rPr>
        <w:t>式中：r</w:t>
      </w:r>
      <w:r>
        <w:rPr>
          <w:rFonts w:ascii="Times New Roman" w:cs="Times New Roman"/>
          <w:vertAlign w:val="subscript"/>
        </w:rPr>
        <w:t>2</w:t>
      </w:r>
      <w:r>
        <w:rPr>
          <w:rFonts w:ascii="Times New Roman" w:cs="Times New Roman"/>
        </w:rPr>
        <w:t>、r</w:t>
      </w:r>
      <w:r>
        <w:rPr>
          <w:rFonts w:ascii="Times New Roman" w:cs="Times New Roman"/>
          <w:vertAlign w:val="subscript"/>
        </w:rPr>
        <w:t>1</w:t>
      </w:r>
      <w:r>
        <w:rPr>
          <w:rFonts w:ascii="Times New Roman" w:cs="Times New Roman"/>
        </w:rPr>
        <w:t>——距声源的距离（m）；</w:t>
      </w:r>
    </w:p>
    <w:p>
      <w:pPr>
        <w:pStyle w:val="6"/>
        <w:ind w:firstLine="1200" w:firstLineChars="500"/>
        <w:rPr>
          <w:rFonts w:ascii="Times New Roman" w:cs="Times New Roman"/>
        </w:rPr>
      </w:pPr>
      <w:r>
        <w:rPr>
          <w:rFonts w:ascii="Times New Roman" w:cs="Times New Roman"/>
        </w:rPr>
        <w:t>L</w:t>
      </w:r>
      <w:r>
        <w:rPr>
          <w:rFonts w:ascii="Times New Roman" w:cs="Times New Roman"/>
          <w:vertAlign w:val="subscript"/>
        </w:rPr>
        <w:t>1</w:t>
      </w:r>
      <w:r>
        <w:rPr>
          <w:rFonts w:ascii="Times New Roman" w:cs="Times New Roman"/>
        </w:rPr>
        <w:t>、L</w:t>
      </w:r>
      <w:r>
        <w:rPr>
          <w:rFonts w:ascii="Times New Roman" w:cs="Times New Roman"/>
          <w:vertAlign w:val="subscript"/>
        </w:rPr>
        <w:t>2</w:t>
      </w:r>
      <w:r>
        <w:rPr>
          <w:rFonts w:ascii="Times New Roman" w:cs="Times New Roman"/>
        </w:rPr>
        <w:t>——声源相距r</w:t>
      </w:r>
      <w:r>
        <w:rPr>
          <w:rFonts w:ascii="Times New Roman" w:cs="Times New Roman"/>
          <w:vertAlign w:val="subscript"/>
        </w:rPr>
        <w:t>1</w:t>
      </w:r>
      <w:r>
        <w:rPr>
          <w:rFonts w:ascii="Times New Roman" w:cs="Times New Roman"/>
        </w:rPr>
        <w:t>、r</w:t>
      </w:r>
      <w:r>
        <w:rPr>
          <w:rFonts w:ascii="Times New Roman" w:cs="Times New Roman"/>
          <w:vertAlign w:val="subscript"/>
        </w:rPr>
        <w:t>2</w:t>
      </w:r>
      <w:r>
        <w:rPr>
          <w:rFonts w:ascii="Times New Roman" w:cs="Times New Roman"/>
        </w:rPr>
        <w:t>处的噪声声级dB(A)。</w:t>
      </w:r>
    </w:p>
    <w:p>
      <w:pPr>
        <w:pStyle w:val="6"/>
        <w:ind w:firstLine="480"/>
        <w:rPr>
          <w:rFonts w:ascii="Times New Roman" w:cs="Times New Roman"/>
        </w:rPr>
      </w:pPr>
      <w:r>
        <w:rPr>
          <w:rFonts w:ascii="Times New Roman" w:cs="Times New Roman"/>
        </w:rPr>
        <w:t>（2）预测结果及评价</w:t>
      </w:r>
    </w:p>
    <w:p>
      <w:pPr>
        <w:pStyle w:val="6"/>
        <w:ind w:firstLine="480"/>
        <w:rPr>
          <w:rFonts w:ascii="Times New Roman" w:cs="Times New Roman"/>
        </w:rPr>
      </w:pPr>
      <w:r>
        <w:rPr>
          <w:rFonts w:ascii="Times New Roman" w:cs="Times New Roman"/>
        </w:rPr>
        <w:t>通常施工场地上有多台不同种类的施工机械同时作业，它们的辐射声级将叠加，其强度增量视噪声源种类、数量、相对分布的距离等因素而不同。施工噪声随距离衰减后的预测值见表6.1-11。</w:t>
      </w:r>
    </w:p>
    <w:p>
      <w:pPr>
        <w:pStyle w:val="39"/>
        <w:rPr>
          <w:rFonts w:cs="Times New Roman"/>
        </w:rPr>
      </w:pPr>
      <w:r>
        <w:rPr>
          <w:rFonts w:cs="Times New Roman"/>
        </w:rPr>
        <w:t>表6.1-11  施工噪声随距离的衰减情况  单位：dB（A）</w:t>
      </w:r>
    </w:p>
    <w:tbl>
      <w:tblPr>
        <w:tblStyle w:val="59"/>
        <w:tblW w:w="485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914"/>
        <w:gridCol w:w="1101"/>
        <w:gridCol w:w="1106"/>
        <w:gridCol w:w="1101"/>
        <w:gridCol w:w="1101"/>
        <w:gridCol w:w="1102"/>
        <w:gridCol w:w="109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123" w:type="pct"/>
            <w:vAlign w:val="center"/>
          </w:tcPr>
          <w:p>
            <w:pPr>
              <w:pStyle w:val="134"/>
              <w:rPr>
                <w:b/>
                <w:bCs/>
              </w:rPr>
            </w:pPr>
            <w:r>
              <w:rPr>
                <w:b/>
                <w:bCs/>
              </w:rPr>
              <w:t>距离（m）</w:t>
            </w:r>
          </w:p>
        </w:tc>
        <w:tc>
          <w:tcPr>
            <w:tcW w:w="646" w:type="pct"/>
            <w:vAlign w:val="center"/>
          </w:tcPr>
          <w:p>
            <w:pPr>
              <w:pStyle w:val="134"/>
              <w:rPr>
                <w:b/>
                <w:bCs/>
              </w:rPr>
            </w:pPr>
            <w:r>
              <w:rPr>
                <w:b/>
                <w:bCs/>
              </w:rPr>
              <w:t>10</w:t>
            </w:r>
          </w:p>
        </w:tc>
        <w:tc>
          <w:tcPr>
            <w:tcW w:w="649" w:type="pct"/>
            <w:vAlign w:val="center"/>
          </w:tcPr>
          <w:p>
            <w:pPr>
              <w:pStyle w:val="134"/>
              <w:rPr>
                <w:b/>
                <w:bCs/>
              </w:rPr>
            </w:pPr>
            <w:r>
              <w:rPr>
                <w:b/>
                <w:bCs/>
              </w:rPr>
              <w:t>20</w:t>
            </w:r>
          </w:p>
        </w:tc>
        <w:tc>
          <w:tcPr>
            <w:tcW w:w="646" w:type="pct"/>
            <w:vAlign w:val="center"/>
          </w:tcPr>
          <w:p>
            <w:pPr>
              <w:pStyle w:val="134"/>
              <w:rPr>
                <w:b/>
                <w:bCs/>
              </w:rPr>
            </w:pPr>
            <w:r>
              <w:rPr>
                <w:b/>
                <w:bCs/>
              </w:rPr>
              <w:t>40</w:t>
            </w:r>
          </w:p>
        </w:tc>
        <w:tc>
          <w:tcPr>
            <w:tcW w:w="646" w:type="pct"/>
            <w:vAlign w:val="center"/>
          </w:tcPr>
          <w:p>
            <w:pPr>
              <w:pStyle w:val="134"/>
              <w:rPr>
                <w:b/>
                <w:bCs/>
              </w:rPr>
            </w:pPr>
            <w:r>
              <w:rPr>
                <w:b/>
                <w:bCs/>
              </w:rPr>
              <w:t>80</w:t>
            </w:r>
          </w:p>
        </w:tc>
        <w:tc>
          <w:tcPr>
            <w:tcW w:w="646" w:type="pct"/>
            <w:vAlign w:val="center"/>
          </w:tcPr>
          <w:p>
            <w:pPr>
              <w:pStyle w:val="134"/>
              <w:rPr>
                <w:b/>
                <w:bCs/>
              </w:rPr>
            </w:pPr>
            <w:r>
              <w:rPr>
                <w:b/>
                <w:bCs/>
              </w:rPr>
              <w:t>100</w:t>
            </w:r>
          </w:p>
        </w:tc>
        <w:tc>
          <w:tcPr>
            <w:tcW w:w="644" w:type="pct"/>
            <w:vAlign w:val="center"/>
          </w:tcPr>
          <w:p>
            <w:pPr>
              <w:pStyle w:val="134"/>
              <w:rPr>
                <w:b/>
                <w:bCs/>
              </w:rPr>
            </w:pPr>
            <w:r>
              <w:rPr>
                <w:b/>
                <w:bCs/>
              </w:rPr>
              <w:t>200</w:t>
            </w:r>
          </w:p>
        </w:tc>
      </w:tr>
      <w:tr>
        <w:tblPrEx>
          <w:tblCellMar>
            <w:top w:w="0" w:type="dxa"/>
            <w:left w:w="0" w:type="dxa"/>
            <w:bottom w:w="0" w:type="dxa"/>
            <w:right w:w="0" w:type="dxa"/>
          </w:tblCellMar>
        </w:tblPrEx>
        <w:trPr>
          <w:trHeight w:val="369" w:hRule="atLeast"/>
          <w:jc w:val="center"/>
        </w:trPr>
        <w:tc>
          <w:tcPr>
            <w:tcW w:w="1123" w:type="pct"/>
            <w:vAlign w:val="center"/>
          </w:tcPr>
          <w:p>
            <w:pPr>
              <w:pStyle w:val="134"/>
            </w:pPr>
            <w:r>
              <w:t>挖掘机</w:t>
            </w:r>
          </w:p>
        </w:tc>
        <w:tc>
          <w:tcPr>
            <w:tcW w:w="646" w:type="pct"/>
            <w:vAlign w:val="center"/>
          </w:tcPr>
          <w:p>
            <w:pPr>
              <w:pStyle w:val="134"/>
            </w:pPr>
            <w:r>
              <w:t>72</w:t>
            </w:r>
          </w:p>
        </w:tc>
        <w:tc>
          <w:tcPr>
            <w:tcW w:w="649" w:type="pct"/>
            <w:vAlign w:val="center"/>
          </w:tcPr>
          <w:p>
            <w:pPr>
              <w:pStyle w:val="134"/>
            </w:pPr>
            <w:r>
              <w:t>66</w:t>
            </w:r>
          </w:p>
        </w:tc>
        <w:tc>
          <w:tcPr>
            <w:tcW w:w="646" w:type="pct"/>
            <w:vAlign w:val="center"/>
          </w:tcPr>
          <w:p>
            <w:pPr>
              <w:pStyle w:val="134"/>
            </w:pPr>
            <w:r>
              <w:t>60</w:t>
            </w:r>
          </w:p>
        </w:tc>
        <w:tc>
          <w:tcPr>
            <w:tcW w:w="646" w:type="pct"/>
            <w:vAlign w:val="center"/>
          </w:tcPr>
          <w:p>
            <w:pPr>
              <w:pStyle w:val="134"/>
            </w:pPr>
            <w:r>
              <w:t>54</w:t>
            </w:r>
          </w:p>
        </w:tc>
        <w:tc>
          <w:tcPr>
            <w:tcW w:w="646" w:type="pct"/>
            <w:vAlign w:val="center"/>
          </w:tcPr>
          <w:p>
            <w:pPr>
              <w:pStyle w:val="134"/>
            </w:pPr>
            <w:r>
              <w:t>52</w:t>
            </w:r>
          </w:p>
        </w:tc>
        <w:tc>
          <w:tcPr>
            <w:tcW w:w="644" w:type="pct"/>
            <w:vAlign w:val="center"/>
          </w:tcPr>
          <w:p>
            <w:pPr>
              <w:pStyle w:val="134"/>
            </w:pPr>
            <w:r>
              <w:t>46</w:t>
            </w:r>
          </w:p>
        </w:tc>
      </w:tr>
      <w:tr>
        <w:tblPrEx>
          <w:tblCellMar>
            <w:top w:w="0" w:type="dxa"/>
            <w:left w:w="0" w:type="dxa"/>
            <w:bottom w:w="0" w:type="dxa"/>
            <w:right w:w="0" w:type="dxa"/>
          </w:tblCellMar>
        </w:tblPrEx>
        <w:trPr>
          <w:trHeight w:val="369" w:hRule="atLeast"/>
          <w:jc w:val="center"/>
        </w:trPr>
        <w:tc>
          <w:tcPr>
            <w:tcW w:w="1123" w:type="pct"/>
            <w:vAlign w:val="center"/>
          </w:tcPr>
          <w:p>
            <w:pPr>
              <w:pStyle w:val="134"/>
            </w:pPr>
            <w:r>
              <w:t>推土机</w:t>
            </w:r>
          </w:p>
        </w:tc>
        <w:tc>
          <w:tcPr>
            <w:tcW w:w="646" w:type="pct"/>
            <w:vAlign w:val="center"/>
          </w:tcPr>
          <w:p>
            <w:pPr>
              <w:pStyle w:val="134"/>
            </w:pPr>
            <w:r>
              <w:t>70</w:t>
            </w:r>
          </w:p>
        </w:tc>
        <w:tc>
          <w:tcPr>
            <w:tcW w:w="649" w:type="pct"/>
            <w:vAlign w:val="center"/>
          </w:tcPr>
          <w:p>
            <w:pPr>
              <w:pStyle w:val="134"/>
            </w:pPr>
            <w:r>
              <w:t>64</w:t>
            </w:r>
          </w:p>
        </w:tc>
        <w:tc>
          <w:tcPr>
            <w:tcW w:w="646" w:type="pct"/>
            <w:vAlign w:val="center"/>
          </w:tcPr>
          <w:p>
            <w:pPr>
              <w:pStyle w:val="134"/>
            </w:pPr>
            <w:r>
              <w:t>58</w:t>
            </w:r>
          </w:p>
        </w:tc>
        <w:tc>
          <w:tcPr>
            <w:tcW w:w="646" w:type="pct"/>
            <w:vAlign w:val="center"/>
          </w:tcPr>
          <w:p>
            <w:pPr>
              <w:pStyle w:val="134"/>
            </w:pPr>
            <w:r>
              <w:t>52</w:t>
            </w:r>
          </w:p>
        </w:tc>
        <w:tc>
          <w:tcPr>
            <w:tcW w:w="646" w:type="pct"/>
            <w:vAlign w:val="center"/>
          </w:tcPr>
          <w:p>
            <w:pPr>
              <w:pStyle w:val="134"/>
            </w:pPr>
            <w:r>
              <w:t>50</w:t>
            </w:r>
          </w:p>
        </w:tc>
        <w:tc>
          <w:tcPr>
            <w:tcW w:w="644" w:type="pct"/>
            <w:vAlign w:val="center"/>
          </w:tcPr>
          <w:p>
            <w:pPr>
              <w:pStyle w:val="134"/>
            </w:pPr>
            <w:r>
              <w:t>44</w:t>
            </w:r>
          </w:p>
        </w:tc>
      </w:tr>
      <w:tr>
        <w:tblPrEx>
          <w:tblCellMar>
            <w:top w:w="0" w:type="dxa"/>
            <w:left w:w="0" w:type="dxa"/>
            <w:bottom w:w="0" w:type="dxa"/>
            <w:right w:w="0" w:type="dxa"/>
          </w:tblCellMar>
        </w:tblPrEx>
        <w:trPr>
          <w:trHeight w:val="369" w:hRule="atLeast"/>
          <w:jc w:val="center"/>
        </w:trPr>
        <w:tc>
          <w:tcPr>
            <w:tcW w:w="1123" w:type="pct"/>
            <w:vAlign w:val="center"/>
          </w:tcPr>
          <w:p>
            <w:pPr>
              <w:pStyle w:val="134"/>
            </w:pPr>
            <w:r>
              <w:t>混凝土搅拌机</w:t>
            </w:r>
          </w:p>
        </w:tc>
        <w:tc>
          <w:tcPr>
            <w:tcW w:w="646" w:type="pct"/>
            <w:vAlign w:val="center"/>
          </w:tcPr>
          <w:p>
            <w:pPr>
              <w:pStyle w:val="134"/>
            </w:pPr>
            <w:r>
              <w:t>75</w:t>
            </w:r>
          </w:p>
        </w:tc>
        <w:tc>
          <w:tcPr>
            <w:tcW w:w="649" w:type="pct"/>
            <w:vAlign w:val="center"/>
          </w:tcPr>
          <w:p>
            <w:pPr>
              <w:pStyle w:val="134"/>
            </w:pPr>
            <w:r>
              <w:t>69</w:t>
            </w:r>
          </w:p>
        </w:tc>
        <w:tc>
          <w:tcPr>
            <w:tcW w:w="646" w:type="pct"/>
            <w:vAlign w:val="center"/>
          </w:tcPr>
          <w:p>
            <w:pPr>
              <w:pStyle w:val="134"/>
            </w:pPr>
            <w:r>
              <w:t>63</w:t>
            </w:r>
          </w:p>
        </w:tc>
        <w:tc>
          <w:tcPr>
            <w:tcW w:w="646" w:type="pct"/>
            <w:vAlign w:val="center"/>
          </w:tcPr>
          <w:p>
            <w:pPr>
              <w:pStyle w:val="134"/>
            </w:pPr>
            <w:r>
              <w:t>57</w:t>
            </w:r>
          </w:p>
        </w:tc>
        <w:tc>
          <w:tcPr>
            <w:tcW w:w="646" w:type="pct"/>
            <w:vAlign w:val="center"/>
          </w:tcPr>
          <w:p>
            <w:pPr>
              <w:pStyle w:val="134"/>
            </w:pPr>
            <w:r>
              <w:t>55</w:t>
            </w:r>
          </w:p>
        </w:tc>
        <w:tc>
          <w:tcPr>
            <w:tcW w:w="644" w:type="pct"/>
            <w:vAlign w:val="center"/>
          </w:tcPr>
          <w:p>
            <w:pPr>
              <w:pStyle w:val="134"/>
            </w:pPr>
            <w:r>
              <w:t>49</w:t>
            </w:r>
          </w:p>
        </w:tc>
      </w:tr>
      <w:tr>
        <w:tblPrEx>
          <w:tblCellMar>
            <w:top w:w="0" w:type="dxa"/>
            <w:left w:w="0" w:type="dxa"/>
            <w:bottom w:w="0" w:type="dxa"/>
            <w:right w:w="0" w:type="dxa"/>
          </w:tblCellMar>
        </w:tblPrEx>
        <w:trPr>
          <w:trHeight w:val="369" w:hRule="atLeast"/>
          <w:jc w:val="center"/>
        </w:trPr>
        <w:tc>
          <w:tcPr>
            <w:tcW w:w="1123" w:type="pct"/>
            <w:vAlign w:val="center"/>
          </w:tcPr>
          <w:p>
            <w:pPr>
              <w:pStyle w:val="134"/>
            </w:pPr>
            <w:r>
              <w:t>混凝土翻斗车</w:t>
            </w:r>
          </w:p>
        </w:tc>
        <w:tc>
          <w:tcPr>
            <w:tcW w:w="646" w:type="pct"/>
            <w:vAlign w:val="center"/>
          </w:tcPr>
          <w:p>
            <w:pPr>
              <w:pStyle w:val="134"/>
            </w:pPr>
            <w:r>
              <w:t>75</w:t>
            </w:r>
          </w:p>
        </w:tc>
        <w:tc>
          <w:tcPr>
            <w:tcW w:w="649" w:type="pct"/>
            <w:vAlign w:val="center"/>
          </w:tcPr>
          <w:p>
            <w:pPr>
              <w:pStyle w:val="134"/>
            </w:pPr>
            <w:r>
              <w:t>69</w:t>
            </w:r>
          </w:p>
        </w:tc>
        <w:tc>
          <w:tcPr>
            <w:tcW w:w="646" w:type="pct"/>
            <w:vAlign w:val="center"/>
          </w:tcPr>
          <w:p>
            <w:pPr>
              <w:pStyle w:val="134"/>
            </w:pPr>
            <w:r>
              <w:t>63</w:t>
            </w:r>
          </w:p>
        </w:tc>
        <w:tc>
          <w:tcPr>
            <w:tcW w:w="646" w:type="pct"/>
            <w:vAlign w:val="center"/>
          </w:tcPr>
          <w:p>
            <w:pPr>
              <w:pStyle w:val="134"/>
            </w:pPr>
            <w:r>
              <w:t>57</w:t>
            </w:r>
          </w:p>
        </w:tc>
        <w:tc>
          <w:tcPr>
            <w:tcW w:w="646" w:type="pct"/>
            <w:vAlign w:val="center"/>
          </w:tcPr>
          <w:p>
            <w:pPr>
              <w:pStyle w:val="134"/>
            </w:pPr>
            <w:r>
              <w:t>55</w:t>
            </w:r>
          </w:p>
        </w:tc>
        <w:tc>
          <w:tcPr>
            <w:tcW w:w="644" w:type="pct"/>
            <w:vAlign w:val="center"/>
          </w:tcPr>
          <w:p>
            <w:pPr>
              <w:pStyle w:val="134"/>
            </w:pPr>
            <w:r>
              <w:t>49</w:t>
            </w:r>
          </w:p>
        </w:tc>
      </w:tr>
      <w:tr>
        <w:tblPrEx>
          <w:tblCellMar>
            <w:top w:w="0" w:type="dxa"/>
            <w:left w:w="0" w:type="dxa"/>
            <w:bottom w:w="0" w:type="dxa"/>
            <w:right w:w="0" w:type="dxa"/>
          </w:tblCellMar>
        </w:tblPrEx>
        <w:trPr>
          <w:trHeight w:val="369" w:hRule="atLeast"/>
          <w:jc w:val="center"/>
        </w:trPr>
        <w:tc>
          <w:tcPr>
            <w:tcW w:w="1123" w:type="pct"/>
            <w:vAlign w:val="center"/>
          </w:tcPr>
          <w:p>
            <w:pPr>
              <w:pStyle w:val="134"/>
            </w:pPr>
            <w:r>
              <w:t>切割机</w:t>
            </w:r>
          </w:p>
        </w:tc>
        <w:tc>
          <w:tcPr>
            <w:tcW w:w="646" w:type="pct"/>
            <w:vAlign w:val="center"/>
          </w:tcPr>
          <w:p>
            <w:pPr>
              <w:pStyle w:val="134"/>
            </w:pPr>
            <w:r>
              <w:t>75</w:t>
            </w:r>
          </w:p>
        </w:tc>
        <w:tc>
          <w:tcPr>
            <w:tcW w:w="649" w:type="pct"/>
            <w:vAlign w:val="center"/>
          </w:tcPr>
          <w:p>
            <w:pPr>
              <w:pStyle w:val="134"/>
            </w:pPr>
            <w:r>
              <w:t>69</w:t>
            </w:r>
          </w:p>
        </w:tc>
        <w:tc>
          <w:tcPr>
            <w:tcW w:w="646" w:type="pct"/>
            <w:vAlign w:val="center"/>
          </w:tcPr>
          <w:p>
            <w:pPr>
              <w:pStyle w:val="134"/>
            </w:pPr>
            <w:r>
              <w:t>63</w:t>
            </w:r>
          </w:p>
        </w:tc>
        <w:tc>
          <w:tcPr>
            <w:tcW w:w="646" w:type="pct"/>
            <w:vAlign w:val="center"/>
          </w:tcPr>
          <w:p>
            <w:pPr>
              <w:pStyle w:val="134"/>
            </w:pPr>
            <w:r>
              <w:t>57</w:t>
            </w:r>
          </w:p>
        </w:tc>
        <w:tc>
          <w:tcPr>
            <w:tcW w:w="646" w:type="pct"/>
            <w:vAlign w:val="center"/>
          </w:tcPr>
          <w:p>
            <w:pPr>
              <w:pStyle w:val="134"/>
            </w:pPr>
            <w:r>
              <w:t>55</w:t>
            </w:r>
          </w:p>
        </w:tc>
        <w:tc>
          <w:tcPr>
            <w:tcW w:w="644" w:type="pct"/>
            <w:vAlign w:val="center"/>
          </w:tcPr>
          <w:p>
            <w:pPr>
              <w:pStyle w:val="134"/>
            </w:pPr>
            <w:r>
              <w:t>49</w:t>
            </w:r>
          </w:p>
        </w:tc>
      </w:tr>
      <w:tr>
        <w:tblPrEx>
          <w:tblCellMar>
            <w:top w:w="0" w:type="dxa"/>
            <w:left w:w="0" w:type="dxa"/>
            <w:bottom w:w="0" w:type="dxa"/>
            <w:right w:w="0" w:type="dxa"/>
          </w:tblCellMar>
        </w:tblPrEx>
        <w:trPr>
          <w:trHeight w:val="369" w:hRule="atLeast"/>
          <w:jc w:val="center"/>
        </w:trPr>
        <w:tc>
          <w:tcPr>
            <w:tcW w:w="1123" w:type="pct"/>
            <w:vAlign w:val="center"/>
          </w:tcPr>
          <w:p>
            <w:pPr>
              <w:pStyle w:val="134"/>
            </w:pPr>
            <w:r>
              <w:t>柴油发电机</w:t>
            </w:r>
          </w:p>
        </w:tc>
        <w:tc>
          <w:tcPr>
            <w:tcW w:w="646" w:type="pct"/>
            <w:vAlign w:val="center"/>
          </w:tcPr>
          <w:p>
            <w:pPr>
              <w:pStyle w:val="134"/>
            </w:pPr>
            <w:r>
              <w:t>80</w:t>
            </w:r>
          </w:p>
        </w:tc>
        <w:tc>
          <w:tcPr>
            <w:tcW w:w="649" w:type="pct"/>
            <w:vAlign w:val="center"/>
          </w:tcPr>
          <w:p>
            <w:pPr>
              <w:pStyle w:val="134"/>
            </w:pPr>
            <w:r>
              <w:t>74</w:t>
            </w:r>
          </w:p>
        </w:tc>
        <w:tc>
          <w:tcPr>
            <w:tcW w:w="646" w:type="pct"/>
            <w:vAlign w:val="center"/>
          </w:tcPr>
          <w:p>
            <w:pPr>
              <w:pStyle w:val="134"/>
            </w:pPr>
            <w:r>
              <w:t>68</w:t>
            </w:r>
          </w:p>
        </w:tc>
        <w:tc>
          <w:tcPr>
            <w:tcW w:w="646" w:type="pct"/>
            <w:vAlign w:val="center"/>
          </w:tcPr>
          <w:p>
            <w:pPr>
              <w:pStyle w:val="134"/>
            </w:pPr>
            <w:r>
              <w:t>62</w:t>
            </w:r>
          </w:p>
        </w:tc>
        <w:tc>
          <w:tcPr>
            <w:tcW w:w="646" w:type="pct"/>
            <w:vAlign w:val="center"/>
          </w:tcPr>
          <w:p>
            <w:pPr>
              <w:pStyle w:val="134"/>
            </w:pPr>
            <w:r>
              <w:t>60</w:t>
            </w:r>
          </w:p>
        </w:tc>
        <w:tc>
          <w:tcPr>
            <w:tcW w:w="644" w:type="pct"/>
            <w:vAlign w:val="center"/>
          </w:tcPr>
          <w:p>
            <w:pPr>
              <w:pStyle w:val="134"/>
            </w:pPr>
            <w:r>
              <w:t>54</w:t>
            </w:r>
          </w:p>
        </w:tc>
      </w:tr>
      <w:tr>
        <w:tblPrEx>
          <w:tblCellMar>
            <w:top w:w="0" w:type="dxa"/>
            <w:left w:w="0" w:type="dxa"/>
            <w:bottom w:w="0" w:type="dxa"/>
            <w:right w:w="0" w:type="dxa"/>
          </w:tblCellMar>
        </w:tblPrEx>
        <w:trPr>
          <w:trHeight w:val="369" w:hRule="atLeast"/>
          <w:jc w:val="center"/>
        </w:trPr>
        <w:tc>
          <w:tcPr>
            <w:tcW w:w="1123" w:type="pct"/>
            <w:vAlign w:val="center"/>
          </w:tcPr>
          <w:p>
            <w:pPr>
              <w:pStyle w:val="134"/>
            </w:pPr>
            <w:r>
              <w:t>混凝土震动棒</w:t>
            </w:r>
          </w:p>
        </w:tc>
        <w:tc>
          <w:tcPr>
            <w:tcW w:w="646" w:type="pct"/>
            <w:vAlign w:val="center"/>
          </w:tcPr>
          <w:p>
            <w:pPr>
              <w:pStyle w:val="134"/>
            </w:pPr>
            <w:r>
              <w:t>85</w:t>
            </w:r>
          </w:p>
        </w:tc>
        <w:tc>
          <w:tcPr>
            <w:tcW w:w="649" w:type="pct"/>
            <w:vAlign w:val="center"/>
          </w:tcPr>
          <w:p>
            <w:pPr>
              <w:pStyle w:val="134"/>
            </w:pPr>
            <w:r>
              <w:t>79</w:t>
            </w:r>
          </w:p>
        </w:tc>
        <w:tc>
          <w:tcPr>
            <w:tcW w:w="646" w:type="pct"/>
            <w:vAlign w:val="center"/>
          </w:tcPr>
          <w:p>
            <w:pPr>
              <w:pStyle w:val="134"/>
            </w:pPr>
            <w:r>
              <w:t>73</w:t>
            </w:r>
          </w:p>
        </w:tc>
        <w:tc>
          <w:tcPr>
            <w:tcW w:w="646" w:type="pct"/>
            <w:vAlign w:val="center"/>
          </w:tcPr>
          <w:p>
            <w:pPr>
              <w:pStyle w:val="134"/>
            </w:pPr>
            <w:r>
              <w:t>67</w:t>
            </w:r>
          </w:p>
        </w:tc>
        <w:tc>
          <w:tcPr>
            <w:tcW w:w="646" w:type="pct"/>
            <w:vAlign w:val="center"/>
          </w:tcPr>
          <w:p>
            <w:pPr>
              <w:pStyle w:val="134"/>
            </w:pPr>
            <w:r>
              <w:t>65</w:t>
            </w:r>
          </w:p>
        </w:tc>
        <w:tc>
          <w:tcPr>
            <w:tcW w:w="644" w:type="pct"/>
            <w:vAlign w:val="center"/>
          </w:tcPr>
          <w:p>
            <w:pPr>
              <w:pStyle w:val="134"/>
            </w:pPr>
            <w:r>
              <w:t>59</w:t>
            </w:r>
          </w:p>
        </w:tc>
      </w:tr>
    </w:tbl>
    <w:p>
      <w:pPr>
        <w:pStyle w:val="114"/>
        <w:ind w:firstLine="480"/>
      </w:pPr>
      <w:r>
        <w:t>在站场施工中，使用挖掘机的时间较长，噪声强度较高，持续时间较长，而其它施工机械如混凝土震捣棒、混凝土搅拌机、混凝土翻斗车、切割机、推土机等一般间歇使用，且施工时间较短，故挖掘机施工噪声基本反映了站场施工噪声的影响水平。</w:t>
      </w:r>
    </w:p>
    <w:p>
      <w:pPr>
        <w:pStyle w:val="114"/>
        <w:ind w:firstLine="480"/>
      </w:pPr>
      <w:r>
        <w:t>从计算结果可以看出：主要机械在40m以外均不超过建筑物施工场界昼间噪声限值75dB（A），而在夜间若不超过55dB（A）的标准，其距离要远到200m以上，且不适用产噪设备较大的混凝土震动棒。</w:t>
      </w:r>
    </w:p>
    <w:p>
      <w:pPr>
        <w:pStyle w:val="114"/>
        <w:ind w:firstLine="480"/>
      </w:pPr>
      <w:r>
        <w:t>由于站场所在地敏感目标主要是农村居住区。对于采用机械施工的地段，预测参照《声环境质量噪声标准》进行评价。</w:t>
      </w:r>
    </w:p>
    <w:p>
      <w:pPr>
        <w:pStyle w:val="114"/>
        <w:ind w:firstLine="480"/>
      </w:pPr>
      <w:r>
        <w:t>本项目的施工机械混凝土搅拌机、混凝土翻斗机、切割机和柴油发电机基本在站场施工时使用，使用频率低，挖掘机使用频率最高，因此，以挖掘机为代表说明本项目施工期噪声影响，计算结果可知，本项目施工期设备噪声声级值以站场向外逐渐减弱，距声源200m以外挖掘机的噪声声级值已低于54dB（A）。根据调查，站场周围200m内，自然村分布较少，这些敏感点的声环境在施工期会受到施工噪声的影响，噪声水平有不同程度的增加；距站场较近的村庄噪声值会超过标准限值。但是，施工噪声是短暂的且具有分散性，一般在白天施工，不会对夜间声环境产生影响。因此，一般施工噪声对周围居民的生活影响不是很大。</w:t>
      </w:r>
    </w:p>
    <w:p>
      <w:pPr>
        <w:pStyle w:val="114"/>
        <w:ind w:firstLine="480"/>
      </w:pPr>
      <w:r>
        <w:t>（3）施工期噪声对敏感点影响分析</w:t>
      </w:r>
    </w:p>
    <w:p>
      <w:pPr>
        <w:pStyle w:val="114"/>
        <w:ind w:firstLine="480"/>
      </w:pPr>
      <w:r>
        <w:t>由于本项目施工期较短，施工机械使用较少，同时，项目施工噪声是暂时的，将随着施工期的结束而消失，在采取限值车辆行驶速度、合理安排作业时间、采用低噪声设备等措施后，目施工不会对评价范围内声环境造成明显不利影响。</w:t>
      </w:r>
    </w:p>
    <w:p>
      <w:pPr>
        <w:pStyle w:val="114"/>
        <w:ind w:firstLine="482"/>
      </w:pPr>
      <w:r>
        <w:rPr>
          <w:b/>
          <w:bCs/>
        </w:rPr>
        <w:t>6.1.5.2钻井施工</w:t>
      </w:r>
    </w:p>
    <w:p>
      <w:pPr>
        <w:topLinePunct w:val="0"/>
        <w:snapToGrid w:val="0"/>
        <w:ind w:firstLine="482"/>
        <w:rPr>
          <w:rFonts w:ascii="Times New Roman" w:cs="Times New Roman"/>
          <w:b/>
          <w:bCs/>
          <w:kern w:val="2"/>
        </w:rPr>
      </w:pPr>
      <w:r>
        <w:rPr>
          <w:rFonts w:ascii="Times New Roman" w:cs="Times New Roman"/>
          <w:b/>
          <w:bCs/>
          <w:kern w:val="2"/>
        </w:rPr>
        <w:t>1、预测评价方法</w:t>
      </w:r>
    </w:p>
    <w:p>
      <w:pPr>
        <w:widowControl/>
        <w:tabs>
          <w:tab w:val="left" w:pos="377"/>
        </w:tabs>
        <w:topLinePunct w:val="0"/>
        <w:snapToGrid w:val="0"/>
        <w:ind w:left="120" w:leftChars="50" w:firstLine="360" w:firstLineChars="150"/>
        <w:rPr>
          <w:rFonts w:ascii="Times New Roman" w:cs="Times New Roman"/>
        </w:rPr>
      </w:pPr>
      <w:r>
        <w:rPr>
          <w:rFonts w:ascii="Times New Roman" w:cs="Times New Roman"/>
        </w:rPr>
        <w:t>本项目选址区域声环境功能区划为2类区，根据《环境影响评价技术导则</w:t>
      </w:r>
      <w:r>
        <w:rPr>
          <w:rFonts w:hint="eastAsia" w:ascii="Times New Roman" w:cs="Times New Roman"/>
        </w:rPr>
        <w:t xml:space="preserve"> </w:t>
      </w:r>
      <w:r>
        <w:rPr>
          <w:rFonts w:ascii="Times New Roman" w:cs="Times New Roman"/>
        </w:rPr>
        <w:t>声环境》（HJ2.4-2021）中关于工作等级划分的要求，声环境影响预测按二级进行评价，评价范围为井场边界外200m。</w:t>
      </w:r>
    </w:p>
    <w:p>
      <w:pPr>
        <w:widowControl/>
        <w:tabs>
          <w:tab w:val="left" w:pos="377"/>
        </w:tabs>
        <w:topLinePunct w:val="0"/>
        <w:snapToGrid w:val="0"/>
        <w:ind w:firstLine="480"/>
        <w:rPr>
          <w:rFonts w:ascii="Times New Roman" w:cs="Times New Roman"/>
        </w:rPr>
      </w:pPr>
      <w:r>
        <w:rPr>
          <w:rFonts w:ascii="Times New Roman" w:cs="Times New Roman"/>
          <w:bCs/>
        </w:rPr>
        <w:t>评价各噪声源通过噪声衰减模式计算对不同预测点的噪声贡献值，再将各自预测点的噪声贡献值叠加即得到本项目对各预测点的噪声贡献值，最后与监测点的噪声现状值叠加，得到各预测值</w:t>
      </w:r>
      <w:r>
        <w:rPr>
          <w:rFonts w:ascii="Times New Roman" w:cs="Times New Roman"/>
        </w:rPr>
        <w:t>，绘制等声级线图</w:t>
      </w:r>
      <w:r>
        <w:rPr>
          <w:rFonts w:ascii="Times New Roman" w:cs="Times New Roman"/>
          <w:bCs/>
        </w:rPr>
        <w:t>，并</w:t>
      </w:r>
      <w:r>
        <w:rPr>
          <w:rFonts w:ascii="Times New Roman" w:cs="Times New Roman"/>
        </w:rPr>
        <w:t>进行达标分析。</w:t>
      </w:r>
    </w:p>
    <w:p>
      <w:pPr>
        <w:topLinePunct w:val="0"/>
        <w:snapToGrid w:val="0"/>
        <w:ind w:firstLine="482"/>
        <w:rPr>
          <w:rFonts w:ascii="Times New Roman" w:cs="Times New Roman"/>
          <w:b/>
          <w:bCs/>
          <w:kern w:val="2"/>
        </w:rPr>
      </w:pPr>
      <w:r>
        <w:rPr>
          <w:rFonts w:ascii="Times New Roman" w:cs="Times New Roman"/>
          <w:b/>
          <w:bCs/>
          <w:kern w:val="2"/>
        </w:rPr>
        <w:t>2、预测模式</w:t>
      </w:r>
    </w:p>
    <w:p>
      <w:pPr>
        <w:topLinePunct w:val="0"/>
        <w:snapToGrid w:val="0"/>
        <w:ind w:firstLine="480"/>
        <w:rPr>
          <w:rFonts w:ascii="Times New Roman" w:cs="Times New Roman"/>
          <w:kern w:val="2"/>
        </w:rPr>
      </w:pPr>
      <w:r>
        <w:rPr>
          <w:rFonts w:ascii="Times New Roman" w:cs="Times New Roman"/>
          <w:kern w:val="2"/>
        </w:rPr>
        <w:t>根据《环境影响评价技术导则·声环境》中工业噪声预测模式中室外点声源模式：</w:t>
      </w:r>
    </w:p>
    <w:p>
      <w:pPr>
        <w:topLinePunct w:val="0"/>
        <w:snapToGrid w:val="0"/>
        <w:ind w:firstLine="480"/>
        <w:jc w:val="center"/>
        <w:rPr>
          <w:rFonts w:ascii="Times New Roman" w:cs="Times New Roman"/>
          <w:kern w:val="2"/>
        </w:rPr>
      </w:pPr>
      <w:r>
        <w:rPr>
          <w:rFonts w:ascii="Times New Roman" w:cs="Times New Roman"/>
          <w:kern w:val="2"/>
        </w:rPr>
        <w:t>L</w:t>
      </w:r>
      <w:r>
        <w:rPr>
          <w:rFonts w:ascii="Times New Roman" w:cs="Times New Roman"/>
          <w:kern w:val="2"/>
          <w:vertAlign w:val="subscript"/>
        </w:rPr>
        <w:t>A</w:t>
      </w:r>
      <w:r>
        <w:rPr>
          <w:rFonts w:ascii="Times New Roman" w:cs="Times New Roman"/>
          <w:kern w:val="2"/>
        </w:rPr>
        <w:t>（r）=L</w:t>
      </w:r>
      <w:r>
        <w:rPr>
          <w:rFonts w:ascii="Times New Roman" w:cs="Times New Roman"/>
          <w:kern w:val="2"/>
          <w:vertAlign w:val="subscript"/>
        </w:rPr>
        <w:t>A</w:t>
      </w:r>
      <w:r>
        <w:rPr>
          <w:rFonts w:ascii="Times New Roman" w:cs="Times New Roman"/>
          <w:kern w:val="2"/>
        </w:rPr>
        <w:t>（r</w:t>
      </w:r>
      <w:r>
        <w:rPr>
          <w:rFonts w:ascii="Times New Roman" w:cs="Times New Roman"/>
          <w:kern w:val="2"/>
          <w:vertAlign w:val="subscript"/>
        </w:rPr>
        <w:t>0</w:t>
      </w:r>
      <w:r>
        <w:rPr>
          <w:rFonts w:ascii="Times New Roman" w:cs="Times New Roman"/>
          <w:kern w:val="2"/>
        </w:rPr>
        <w:t>）-A=L</w:t>
      </w:r>
      <w:r>
        <w:rPr>
          <w:rFonts w:ascii="Times New Roman" w:cs="Times New Roman"/>
          <w:kern w:val="2"/>
          <w:vertAlign w:val="subscript"/>
        </w:rPr>
        <w:t>A</w:t>
      </w:r>
      <w:r>
        <w:rPr>
          <w:rFonts w:ascii="Times New Roman" w:cs="Times New Roman"/>
          <w:kern w:val="2"/>
        </w:rPr>
        <w:t>（r</w:t>
      </w:r>
      <w:r>
        <w:rPr>
          <w:rFonts w:ascii="Times New Roman" w:cs="Times New Roman"/>
          <w:kern w:val="2"/>
          <w:vertAlign w:val="subscript"/>
        </w:rPr>
        <w:t>0</w:t>
      </w:r>
      <w:r>
        <w:rPr>
          <w:rFonts w:ascii="Times New Roman" w:cs="Times New Roman"/>
          <w:kern w:val="2"/>
        </w:rPr>
        <w:t>）－A</w:t>
      </w:r>
      <w:r>
        <w:rPr>
          <w:rFonts w:ascii="Times New Roman" w:cs="Times New Roman"/>
          <w:kern w:val="2"/>
          <w:vertAlign w:val="subscript"/>
        </w:rPr>
        <w:t>div</w:t>
      </w:r>
      <w:r>
        <w:rPr>
          <w:rFonts w:ascii="Times New Roman" w:cs="Times New Roman"/>
          <w:kern w:val="2"/>
        </w:rPr>
        <w:t>－A</w:t>
      </w:r>
      <w:r>
        <w:rPr>
          <w:rFonts w:ascii="Times New Roman" w:cs="Times New Roman"/>
          <w:kern w:val="2"/>
          <w:vertAlign w:val="subscript"/>
        </w:rPr>
        <w:t>atm</w:t>
      </w:r>
      <w:r>
        <w:rPr>
          <w:rFonts w:ascii="Times New Roman" w:cs="Times New Roman"/>
          <w:kern w:val="2"/>
        </w:rPr>
        <w:t>－A</w:t>
      </w:r>
      <w:r>
        <w:rPr>
          <w:rFonts w:ascii="Times New Roman" w:cs="Times New Roman"/>
          <w:kern w:val="2"/>
          <w:vertAlign w:val="subscript"/>
        </w:rPr>
        <w:t>gr</w:t>
      </w:r>
      <w:r>
        <w:rPr>
          <w:rFonts w:ascii="Times New Roman" w:cs="Times New Roman"/>
          <w:kern w:val="2"/>
        </w:rPr>
        <w:t>－A</w:t>
      </w:r>
      <w:r>
        <w:rPr>
          <w:rFonts w:ascii="Times New Roman" w:cs="Times New Roman"/>
          <w:kern w:val="2"/>
          <w:vertAlign w:val="subscript"/>
        </w:rPr>
        <w:t>bar</w:t>
      </w:r>
      <w:r>
        <w:rPr>
          <w:rFonts w:ascii="Times New Roman" w:cs="Times New Roman"/>
          <w:kern w:val="2"/>
        </w:rPr>
        <w:t>－A</w:t>
      </w:r>
      <w:r>
        <w:rPr>
          <w:rFonts w:ascii="Times New Roman" w:cs="Times New Roman"/>
          <w:kern w:val="2"/>
          <w:vertAlign w:val="subscript"/>
        </w:rPr>
        <w:t>misc</w:t>
      </w:r>
    </w:p>
    <w:p>
      <w:pPr>
        <w:topLinePunct w:val="0"/>
        <w:snapToGrid w:val="0"/>
        <w:ind w:firstLine="480"/>
        <w:rPr>
          <w:rFonts w:ascii="Times New Roman" w:cs="Times New Roman"/>
          <w:kern w:val="2"/>
        </w:rPr>
      </w:pPr>
      <w:r>
        <w:rPr>
          <w:rFonts w:ascii="Times New Roman" w:cs="Times New Roman"/>
          <w:kern w:val="2"/>
        </w:rPr>
        <w:t>式中：L</w:t>
      </w:r>
      <w:r>
        <w:rPr>
          <w:rFonts w:ascii="Times New Roman" w:cs="Times New Roman"/>
          <w:kern w:val="2"/>
          <w:vertAlign w:val="subscript"/>
        </w:rPr>
        <w:t>A</w:t>
      </w:r>
      <w:r>
        <w:rPr>
          <w:rFonts w:ascii="Times New Roman" w:cs="Times New Roman"/>
          <w:kern w:val="2"/>
        </w:rPr>
        <w:t>（r）——距声源r处的A声级</w:t>
      </w:r>
    </w:p>
    <w:p>
      <w:pPr>
        <w:topLinePunct w:val="0"/>
        <w:snapToGrid w:val="0"/>
        <w:ind w:firstLine="480"/>
        <w:rPr>
          <w:rFonts w:ascii="Times New Roman" w:cs="Times New Roman"/>
          <w:kern w:val="2"/>
        </w:rPr>
      </w:pPr>
      <w:r>
        <w:rPr>
          <w:rFonts w:ascii="Times New Roman" w:cs="Times New Roman"/>
          <w:kern w:val="2"/>
        </w:rPr>
        <w:t xml:space="preserve">     L</w:t>
      </w:r>
      <w:r>
        <w:rPr>
          <w:rFonts w:ascii="Times New Roman" w:cs="Times New Roman"/>
          <w:kern w:val="2"/>
          <w:vertAlign w:val="subscript"/>
        </w:rPr>
        <w:t>A</w:t>
      </w:r>
      <w:r>
        <w:rPr>
          <w:rFonts w:ascii="Times New Roman" w:cs="Times New Roman"/>
          <w:kern w:val="2"/>
        </w:rPr>
        <w:t>（r</w:t>
      </w:r>
      <w:r>
        <w:rPr>
          <w:rFonts w:ascii="Times New Roman" w:cs="Times New Roman"/>
          <w:kern w:val="2"/>
          <w:vertAlign w:val="subscript"/>
        </w:rPr>
        <w:t>0</w:t>
      </w:r>
      <w:r>
        <w:rPr>
          <w:rFonts w:ascii="Times New Roman" w:cs="Times New Roman"/>
          <w:kern w:val="2"/>
        </w:rPr>
        <w:t>）——参考位置r</w:t>
      </w:r>
      <w:r>
        <w:rPr>
          <w:rFonts w:ascii="Times New Roman" w:cs="Times New Roman"/>
          <w:kern w:val="2"/>
          <w:vertAlign w:val="subscript"/>
        </w:rPr>
        <w:t>0</w:t>
      </w:r>
      <w:r>
        <w:rPr>
          <w:rFonts w:ascii="Times New Roman" w:cs="Times New Roman"/>
          <w:kern w:val="2"/>
        </w:rPr>
        <w:t>处的A声级</w:t>
      </w:r>
    </w:p>
    <w:p>
      <w:pPr>
        <w:topLinePunct w:val="0"/>
        <w:snapToGrid w:val="0"/>
        <w:ind w:firstLine="1080" w:firstLineChars="450"/>
        <w:rPr>
          <w:rFonts w:ascii="Times New Roman" w:cs="Times New Roman"/>
          <w:kern w:val="2"/>
        </w:rPr>
      </w:pPr>
      <w:r>
        <w:rPr>
          <w:rFonts w:ascii="Times New Roman" w:cs="Times New Roman"/>
          <w:kern w:val="2"/>
        </w:rPr>
        <w:t>A</w:t>
      </w:r>
      <w:r>
        <w:rPr>
          <w:rFonts w:ascii="Times New Roman" w:cs="Times New Roman"/>
          <w:kern w:val="2"/>
          <w:vertAlign w:val="subscript"/>
        </w:rPr>
        <w:t>div</w:t>
      </w:r>
      <w:r>
        <w:rPr>
          <w:rFonts w:ascii="Times New Roman" w:cs="Times New Roman"/>
          <w:kern w:val="2"/>
        </w:rPr>
        <w:t>——声波几何发散引起的倍频带衰减量</w:t>
      </w:r>
    </w:p>
    <w:p>
      <w:pPr>
        <w:topLinePunct w:val="0"/>
        <w:snapToGrid w:val="0"/>
        <w:ind w:firstLine="1080" w:firstLineChars="450"/>
        <w:rPr>
          <w:rFonts w:ascii="Times New Roman" w:cs="Times New Roman"/>
          <w:kern w:val="2"/>
        </w:rPr>
      </w:pPr>
      <w:r>
        <w:rPr>
          <w:rFonts w:ascii="Times New Roman" w:cs="Times New Roman"/>
          <w:kern w:val="2"/>
        </w:rPr>
        <w:t>A</w:t>
      </w:r>
      <w:r>
        <w:rPr>
          <w:rFonts w:ascii="Times New Roman" w:cs="Times New Roman"/>
          <w:kern w:val="2"/>
          <w:vertAlign w:val="subscript"/>
        </w:rPr>
        <w:t>atm</w:t>
      </w:r>
      <w:r>
        <w:rPr>
          <w:rFonts w:ascii="Times New Roman" w:cs="Times New Roman"/>
          <w:kern w:val="2"/>
        </w:rPr>
        <w:t>——空气吸收引起的倍频带衰减量</w:t>
      </w:r>
    </w:p>
    <w:p>
      <w:pPr>
        <w:topLinePunct w:val="0"/>
        <w:snapToGrid w:val="0"/>
        <w:ind w:firstLine="1080" w:firstLineChars="450"/>
        <w:rPr>
          <w:rFonts w:ascii="Times New Roman" w:cs="Times New Roman"/>
          <w:kern w:val="2"/>
        </w:rPr>
      </w:pPr>
      <w:r>
        <w:rPr>
          <w:rFonts w:ascii="Times New Roman" w:cs="Times New Roman"/>
          <w:kern w:val="2"/>
        </w:rPr>
        <w:t>A</w:t>
      </w:r>
      <w:r>
        <w:rPr>
          <w:rFonts w:ascii="Times New Roman" w:cs="Times New Roman"/>
          <w:kern w:val="2"/>
          <w:vertAlign w:val="subscript"/>
        </w:rPr>
        <w:t>gr</w:t>
      </w:r>
      <w:r>
        <w:rPr>
          <w:rFonts w:ascii="Times New Roman" w:cs="Times New Roman"/>
          <w:kern w:val="2"/>
        </w:rPr>
        <w:t xml:space="preserve"> ——地面效应引起的倍频带衰减量</w:t>
      </w:r>
    </w:p>
    <w:p>
      <w:pPr>
        <w:topLinePunct w:val="0"/>
        <w:snapToGrid w:val="0"/>
        <w:ind w:firstLine="1080" w:firstLineChars="450"/>
        <w:rPr>
          <w:rFonts w:ascii="Times New Roman" w:cs="Times New Roman"/>
          <w:kern w:val="2"/>
        </w:rPr>
      </w:pPr>
      <w:r>
        <w:rPr>
          <w:rFonts w:ascii="Times New Roman" w:cs="Times New Roman"/>
          <w:kern w:val="2"/>
        </w:rPr>
        <w:t>A</w:t>
      </w:r>
      <w:r>
        <w:rPr>
          <w:rFonts w:ascii="Times New Roman" w:cs="Times New Roman"/>
          <w:kern w:val="2"/>
          <w:vertAlign w:val="subscript"/>
        </w:rPr>
        <w:t>bar</w:t>
      </w:r>
      <w:r>
        <w:rPr>
          <w:rFonts w:ascii="Times New Roman" w:cs="Times New Roman"/>
          <w:kern w:val="2"/>
        </w:rPr>
        <w:t>——屏障引起的倍频带衰减量</w:t>
      </w:r>
    </w:p>
    <w:p>
      <w:pPr>
        <w:topLinePunct w:val="0"/>
        <w:snapToGrid w:val="0"/>
        <w:ind w:firstLine="1080" w:firstLineChars="450"/>
        <w:rPr>
          <w:rFonts w:ascii="Times New Roman" w:cs="Times New Roman"/>
          <w:kern w:val="2"/>
        </w:rPr>
      </w:pPr>
      <w:r>
        <w:rPr>
          <w:rFonts w:ascii="Times New Roman" w:cs="Times New Roman"/>
          <w:kern w:val="2"/>
        </w:rPr>
        <w:t>A</w:t>
      </w:r>
      <w:r>
        <w:rPr>
          <w:rFonts w:ascii="Times New Roman" w:cs="Times New Roman"/>
          <w:kern w:val="2"/>
          <w:vertAlign w:val="subscript"/>
        </w:rPr>
        <w:t>misc</w:t>
      </w:r>
      <w:r>
        <w:rPr>
          <w:rFonts w:ascii="Times New Roman" w:cs="Times New Roman"/>
          <w:kern w:val="2"/>
        </w:rPr>
        <w:t>——其他多方面效应引起的倍频带衰减量</w:t>
      </w:r>
    </w:p>
    <w:p>
      <w:pPr>
        <w:topLinePunct w:val="0"/>
        <w:snapToGrid w:val="0"/>
        <w:ind w:firstLine="1080" w:firstLineChars="450"/>
        <w:rPr>
          <w:rFonts w:ascii="Times New Roman" w:cs="Times New Roman"/>
          <w:kern w:val="2"/>
        </w:rPr>
      </w:pPr>
      <w:r>
        <w:rPr>
          <w:rFonts w:ascii="Times New Roman" w:cs="Times New Roman"/>
          <w:kern w:val="2"/>
        </w:rPr>
        <w:t>A——选择对A声级影响最大的倍频带计算，一边选择中心频率500HZ的倍频带计算。</w:t>
      </w:r>
    </w:p>
    <w:p>
      <w:pPr>
        <w:topLinePunct w:val="0"/>
        <w:snapToGrid w:val="0"/>
        <w:ind w:firstLine="480"/>
        <w:rPr>
          <w:rFonts w:ascii="Times New Roman" w:cs="Times New Roman"/>
          <w:kern w:val="2"/>
        </w:rPr>
      </w:pPr>
      <w:r>
        <w:rPr>
          <w:rFonts w:ascii="Times New Roman" w:cs="Times New Roman"/>
          <w:kern w:val="2"/>
        </w:rPr>
        <w:t>本项目以几何发散衰减为主：A</w:t>
      </w:r>
      <w:r>
        <w:rPr>
          <w:rFonts w:ascii="Times New Roman" w:cs="Times New Roman"/>
          <w:kern w:val="2"/>
          <w:vertAlign w:val="subscript"/>
        </w:rPr>
        <w:t>div</w:t>
      </w:r>
      <w:r>
        <w:rPr>
          <w:rFonts w:ascii="Times New Roman" w:cs="Times New Roman"/>
          <w:kern w:val="2"/>
        </w:rPr>
        <w:t>＝201g（r/r</w:t>
      </w:r>
      <w:r>
        <w:rPr>
          <w:rFonts w:ascii="Times New Roman" w:cs="Times New Roman"/>
          <w:kern w:val="2"/>
          <w:vertAlign w:val="subscript"/>
        </w:rPr>
        <w:t>0</w:t>
      </w:r>
      <w:r>
        <w:rPr>
          <w:rFonts w:ascii="Times New Roman" w:cs="Times New Roman"/>
          <w:kern w:val="2"/>
        </w:rPr>
        <w:t>）</w:t>
      </w:r>
    </w:p>
    <w:p>
      <w:pPr>
        <w:numPr>
          <w:ilvl w:val="4"/>
          <w:numId w:val="0"/>
        </w:numPr>
        <w:topLinePunct w:val="0"/>
        <w:adjustRightInd/>
        <w:snapToGrid w:val="0"/>
        <w:ind w:left="26" w:firstLine="400"/>
        <w:rPr>
          <w:rFonts w:ascii="Times New Roman" w:cs="Times New Roman"/>
          <w:kern w:val="2"/>
        </w:rPr>
      </w:pPr>
      <w:r>
        <w:rPr>
          <w:rFonts w:ascii="Times New Roman" w:cs="Times New Roman"/>
          <w:kern w:val="2"/>
        </w:rPr>
        <w:t>由于钻井噪声较大，声源的地势较空旷，评价周边居民远，地势高差对噪声影响为保守起见，可忽略，同时考虑属于施工期短期影响，评价主要以几何发散衰减计算，同时考虑井场围墙及设备用房的衰减，与井场间有山丘相隔的居民考虑屏障引起衰减量，距离200m以上的考虑地面效应衰减。</w:t>
      </w:r>
    </w:p>
    <w:p>
      <w:pPr>
        <w:numPr>
          <w:ilvl w:val="4"/>
          <w:numId w:val="0"/>
        </w:numPr>
        <w:topLinePunct w:val="0"/>
        <w:adjustRightInd/>
        <w:snapToGrid w:val="0"/>
        <w:ind w:left="26" w:firstLine="400"/>
        <w:rPr>
          <w:rFonts w:ascii="Times New Roman" w:cs="Times New Roman"/>
          <w:kern w:val="2"/>
        </w:rPr>
      </w:pPr>
      <w:r>
        <w:rPr>
          <w:rFonts w:ascii="Times New Roman" w:cs="Times New Roman"/>
          <w:b/>
          <w:bCs/>
          <w:kern w:val="2"/>
        </w:rPr>
        <w:t>3、常规钻钻井阶段噪声环境影响预测及分析</w:t>
      </w:r>
    </w:p>
    <w:p>
      <w:pPr>
        <w:topLinePunct w:val="0"/>
        <w:snapToGrid w:val="0"/>
        <w:ind w:firstLine="476" w:firstLineChars="0"/>
        <w:rPr>
          <w:rFonts w:ascii="Times New Roman" w:cs="Times New Roman"/>
          <w:kern w:val="2"/>
        </w:rPr>
      </w:pPr>
      <w:r>
        <w:rPr>
          <w:rFonts w:ascii="Times New Roman" w:cs="Times New Roman"/>
          <w:kern w:val="2"/>
        </w:rPr>
        <w:t>①噪声源强</w:t>
      </w:r>
    </w:p>
    <w:p>
      <w:pPr>
        <w:widowControl/>
        <w:topLinePunct w:val="0"/>
        <w:snapToGrid w:val="0"/>
        <w:ind w:firstLine="480"/>
        <w:rPr>
          <w:rFonts w:ascii="Times New Roman" w:cs="Times New Roman"/>
          <w:kern w:val="2"/>
        </w:rPr>
      </w:pPr>
      <w:r>
        <w:rPr>
          <w:rFonts w:ascii="Times New Roman" w:cs="Times New Roman"/>
          <w:kern w:val="2"/>
        </w:rPr>
        <w:t>钻井过程中的噪声主要包括正常钻井施工过程中的机械、设备运行和施工过程产生的噪声，其产生情况为：钻机、振动筛、泥浆泵、离心机以及其他各种机械转动所产生的噪声。设备的噪声值见表</w:t>
      </w:r>
      <w:r>
        <w:rPr>
          <w:rFonts w:ascii="Times New Roman" w:cs="Times New Roman"/>
        </w:rPr>
        <w:t>6.1-12</w:t>
      </w:r>
      <w:r>
        <w:rPr>
          <w:rFonts w:ascii="Times New Roman" w:cs="Times New Roman"/>
          <w:kern w:val="2"/>
        </w:rPr>
        <w:t>。</w:t>
      </w:r>
    </w:p>
    <w:p>
      <w:pPr>
        <w:topLinePunct w:val="0"/>
        <w:snapToGrid w:val="0"/>
        <w:ind w:firstLine="480" w:firstLineChars="0"/>
        <w:jc w:val="center"/>
        <w:rPr>
          <w:rFonts w:ascii="Times New Roman" w:cs="Times New Roman"/>
          <w:b/>
          <w:kern w:val="2"/>
          <w:sz w:val="21"/>
          <w:szCs w:val="20"/>
        </w:rPr>
      </w:pPr>
      <w:bookmarkStart w:id="473" w:name="_Ref496287886"/>
      <w:r>
        <w:rPr>
          <w:rFonts w:ascii="Times New Roman" w:cs="Times New Roman"/>
          <w:b/>
          <w:kern w:val="2"/>
          <w:sz w:val="21"/>
          <w:szCs w:val="20"/>
        </w:rPr>
        <w:t>表</w:t>
      </w:r>
      <w:bookmarkEnd w:id="473"/>
      <w:r>
        <w:rPr>
          <w:rFonts w:ascii="Times New Roman" w:cs="Times New Roman"/>
          <w:b/>
          <w:kern w:val="2"/>
          <w:sz w:val="21"/>
          <w:szCs w:val="20"/>
        </w:rPr>
        <w:t>6.1-12  常规钻钻井作业过程中采取降噪措施后的噪声源强</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6" w:type="dxa"/>
          <w:bottom w:w="0" w:type="dxa"/>
          <w:right w:w="6" w:type="dxa"/>
        </w:tblCellMar>
      </w:tblPr>
      <w:tblGrid>
        <w:gridCol w:w="512"/>
        <w:gridCol w:w="862"/>
        <w:gridCol w:w="657"/>
        <w:gridCol w:w="743"/>
        <w:gridCol w:w="822"/>
        <w:gridCol w:w="822"/>
        <w:gridCol w:w="822"/>
        <w:gridCol w:w="1119"/>
        <w:gridCol w:w="1220"/>
        <w:gridCol w:w="1221"/>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tblHeader/>
          <w:jc w:val="center"/>
        </w:trPr>
        <w:tc>
          <w:tcPr>
            <w:tcW w:w="512" w:type="dxa"/>
            <w:vMerge w:val="restart"/>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序号</w:t>
            </w:r>
          </w:p>
        </w:tc>
        <w:tc>
          <w:tcPr>
            <w:tcW w:w="862" w:type="dxa"/>
            <w:vMerge w:val="restart"/>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声源名称</w:t>
            </w:r>
          </w:p>
        </w:tc>
        <w:tc>
          <w:tcPr>
            <w:tcW w:w="657" w:type="dxa"/>
            <w:vMerge w:val="restart"/>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数量（台）</w:t>
            </w:r>
          </w:p>
        </w:tc>
        <w:tc>
          <w:tcPr>
            <w:tcW w:w="743" w:type="dxa"/>
            <w:vMerge w:val="restart"/>
            <w:vAlign w:val="center"/>
          </w:tcPr>
          <w:p>
            <w:pPr>
              <w:widowControl/>
              <w:topLinePunct w:val="0"/>
              <w:snapToGrid w:val="0"/>
              <w:spacing w:line="240" w:lineRule="auto"/>
              <w:ind w:firstLine="0" w:firstLineChars="0"/>
              <w:jc w:val="center"/>
              <w:rPr>
                <w:rFonts w:hint="eastAsia" w:ascii="Times New Roman" w:eastAsia="宋体" w:cs="Times New Roman"/>
                <w:b/>
                <w:kern w:val="2"/>
                <w:sz w:val="21"/>
                <w:szCs w:val="21"/>
                <w:lang w:val="en-US" w:eastAsia="zh-CN"/>
              </w:rPr>
            </w:pPr>
            <w:r>
              <w:rPr>
                <w:rFonts w:hint="eastAsia" w:ascii="Times New Roman" w:cs="Times New Roman"/>
                <w:b/>
                <w:kern w:val="2"/>
                <w:sz w:val="21"/>
                <w:szCs w:val="21"/>
                <w:lang w:val="en-US" w:eastAsia="zh-CN"/>
              </w:rPr>
              <w:t>型号</w:t>
            </w:r>
          </w:p>
        </w:tc>
        <w:tc>
          <w:tcPr>
            <w:tcW w:w="2466" w:type="dxa"/>
            <w:gridSpan w:val="3"/>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hint="eastAsia" w:ascii="Times New Roman" w:cs="Times New Roman"/>
                <w:b/>
                <w:kern w:val="2"/>
                <w:sz w:val="21"/>
                <w:szCs w:val="21"/>
              </w:rPr>
              <w:t>空间相对位置</w:t>
            </w:r>
          </w:p>
        </w:tc>
        <w:tc>
          <w:tcPr>
            <w:tcW w:w="1119" w:type="dxa"/>
            <w:vMerge w:val="restart"/>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hint="eastAsia" w:ascii="Times New Roman" w:cs="Times New Roman"/>
                <w:b/>
                <w:kern w:val="2"/>
                <w:sz w:val="21"/>
                <w:szCs w:val="21"/>
                <w:lang w:val="en-US" w:eastAsia="zh-CN"/>
              </w:rPr>
              <w:t>声压级/距声源距离（dB（A）/m）</w:t>
            </w:r>
          </w:p>
        </w:tc>
        <w:tc>
          <w:tcPr>
            <w:tcW w:w="1220" w:type="dxa"/>
            <w:vMerge w:val="restart"/>
            <w:vAlign w:val="center"/>
          </w:tcPr>
          <w:p>
            <w:pPr>
              <w:widowControl/>
              <w:topLinePunct w:val="0"/>
              <w:snapToGrid w:val="0"/>
              <w:spacing w:line="240" w:lineRule="auto"/>
              <w:ind w:firstLine="0" w:firstLineChars="0"/>
              <w:jc w:val="center"/>
              <w:rPr>
                <w:rFonts w:hint="default" w:ascii="Times New Roman" w:eastAsia="宋体" w:cs="Times New Roman"/>
                <w:b/>
                <w:kern w:val="2"/>
                <w:sz w:val="21"/>
                <w:szCs w:val="21"/>
                <w:lang w:val="en-US" w:eastAsia="zh-CN"/>
              </w:rPr>
            </w:pPr>
            <w:r>
              <w:rPr>
                <w:rFonts w:hint="eastAsia" w:ascii="Times New Roman" w:cs="Times New Roman"/>
                <w:b/>
                <w:kern w:val="2"/>
                <w:sz w:val="21"/>
                <w:szCs w:val="21"/>
                <w:lang w:val="en-US" w:eastAsia="zh-CN"/>
              </w:rPr>
              <w:t>声源控制措施</w:t>
            </w:r>
          </w:p>
        </w:tc>
        <w:tc>
          <w:tcPr>
            <w:tcW w:w="1221" w:type="dxa"/>
            <w:vMerge w:val="restart"/>
            <w:vAlign w:val="center"/>
          </w:tcPr>
          <w:p>
            <w:pPr>
              <w:widowControl/>
              <w:topLinePunct w:val="0"/>
              <w:snapToGrid w:val="0"/>
              <w:spacing w:line="240" w:lineRule="auto"/>
              <w:ind w:firstLine="0" w:firstLineChars="0"/>
              <w:jc w:val="center"/>
              <w:rPr>
                <w:rFonts w:hint="default" w:ascii="Times New Roman" w:cs="Times New Roman"/>
                <w:b/>
                <w:kern w:val="2"/>
                <w:sz w:val="21"/>
                <w:szCs w:val="21"/>
                <w:lang w:val="en-US" w:eastAsia="zh-CN"/>
              </w:rPr>
            </w:pPr>
            <w:r>
              <w:rPr>
                <w:rFonts w:hint="eastAsia" w:ascii="Times New Roman" w:cs="Times New Roman"/>
                <w:b/>
                <w:kern w:val="2"/>
                <w:sz w:val="21"/>
                <w:szCs w:val="21"/>
                <w:lang w:val="en-US" w:eastAsia="zh-CN"/>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tblHeader/>
          <w:jc w:val="center"/>
        </w:trPr>
        <w:tc>
          <w:tcPr>
            <w:tcW w:w="512" w:type="dxa"/>
            <w:vMerge w:val="continue"/>
            <w:vAlign w:val="center"/>
          </w:tcPr>
          <w:p>
            <w:pPr>
              <w:widowControl/>
              <w:topLinePunct w:val="0"/>
              <w:snapToGrid w:val="0"/>
              <w:spacing w:line="240" w:lineRule="auto"/>
              <w:ind w:firstLine="0" w:firstLineChars="0"/>
              <w:jc w:val="center"/>
              <w:rPr>
                <w:rFonts w:ascii="Times New Roman" w:cs="Times New Roman"/>
                <w:b/>
                <w:kern w:val="2"/>
                <w:sz w:val="21"/>
                <w:szCs w:val="21"/>
              </w:rPr>
            </w:pPr>
          </w:p>
        </w:tc>
        <w:tc>
          <w:tcPr>
            <w:tcW w:w="862" w:type="dxa"/>
            <w:vMerge w:val="continue"/>
            <w:vAlign w:val="center"/>
          </w:tcPr>
          <w:p>
            <w:pPr>
              <w:widowControl/>
              <w:topLinePunct w:val="0"/>
              <w:snapToGrid w:val="0"/>
              <w:spacing w:line="240" w:lineRule="auto"/>
              <w:ind w:firstLine="0" w:firstLineChars="0"/>
              <w:jc w:val="center"/>
              <w:rPr>
                <w:rFonts w:ascii="Times New Roman" w:cs="Times New Roman"/>
                <w:b/>
                <w:kern w:val="2"/>
                <w:sz w:val="21"/>
                <w:szCs w:val="21"/>
              </w:rPr>
            </w:pPr>
          </w:p>
        </w:tc>
        <w:tc>
          <w:tcPr>
            <w:tcW w:w="657" w:type="dxa"/>
            <w:vMerge w:val="continue"/>
            <w:vAlign w:val="center"/>
          </w:tcPr>
          <w:p>
            <w:pPr>
              <w:widowControl/>
              <w:topLinePunct w:val="0"/>
              <w:snapToGrid w:val="0"/>
              <w:spacing w:line="240" w:lineRule="auto"/>
              <w:ind w:firstLine="0" w:firstLineChars="0"/>
              <w:jc w:val="center"/>
              <w:rPr>
                <w:rFonts w:ascii="Times New Roman" w:cs="Times New Roman"/>
                <w:b/>
                <w:kern w:val="2"/>
                <w:sz w:val="21"/>
                <w:szCs w:val="21"/>
              </w:rPr>
            </w:pPr>
          </w:p>
        </w:tc>
        <w:tc>
          <w:tcPr>
            <w:tcW w:w="743" w:type="dxa"/>
            <w:vMerge w:val="continue"/>
            <w:vAlign w:val="center"/>
          </w:tcPr>
          <w:p>
            <w:pPr>
              <w:widowControl/>
              <w:topLinePunct w:val="0"/>
              <w:snapToGrid w:val="0"/>
              <w:spacing w:line="240" w:lineRule="auto"/>
              <w:ind w:firstLine="0" w:firstLineChars="0"/>
              <w:jc w:val="center"/>
              <w:rPr>
                <w:rFonts w:ascii="Times New Roman" w:cs="Times New Roman"/>
                <w:b/>
                <w:kern w:val="2"/>
                <w:sz w:val="21"/>
                <w:szCs w:val="21"/>
              </w:rPr>
            </w:pPr>
          </w:p>
        </w:tc>
        <w:tc>
          <w:tcPr>
            <w:tcW w:w="822"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hint="eastAsia" w:ascii="Times New Roman" w:cs="Times New Roman"/>
                <w:b/>
                <w:kern w:val="2"/>
                <w:sz w:val="21"/>
                <w:szCs w:val="21"/>
              </w:rPr>
              <w:t>X</w:t>
            </w:r>
          </w:p>
        </w:tc>
        <w:tc>
          <w:tcPr>
            <w:tcW w:w="822"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hint="eastAsia" w:ascii="Times New Roman" w:cs="Times New Roman"/>
                <w:b/>
                <w:kern w:val="2"/>
                <w:sz w:val="21"/>
                <w:szCs w:val="21"/>
              </w:rPr>
              <w:t>Y</w:t>
            </w:r>
          </w:p>
        </w:tc>
        <w:tc>
          <w:tcPr>
            <w:tcW w:w="822"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hint="eastAsia" w:ascii="Times New Roman" w:cs="Times New Roman"/>
                <w:b/>
                <w:kern w:val="2"/>
                <w:sz w:val="21"/>
                <w:szCs w:val="21"/>
              </w:rPr>
              <w:t>Z</w:t>
            </w:r>
          </w:p>
        </w:tc>
        <w:tc>
          <w:tcPr>
            <w:tcW w:w="1119" w:type="dxa"/>
            <w:vMerge w:val="continue"/>
            <w:vAlign w:val="center"/>
          </w:tcPr>
          <w:p>
            <w:pPr>
              <w:widowControl/>
              <w:topLinePunct w:val="0"/>
              <w:snapToGrid w:val="0"/>
              <w:spacing w:line="240" w:lineRule="auto"/>
              <w:ind w:firstLine="0" w:firstLineChars="0"/>
              <w:jc w:val="center"/>
              <w:rPr>
                <w:rFonts w:ascii="Times New Roman" w:cs="Times New Roman"/>
                <w:b/>
                <w:kern w:val="2"/>
                <w:sz w:val="21"/>
                <w:szCs w:val="21"/>
              </w:rPr>
            </w:pPr>
          </w:p>
        </w:tc>
        <w:tc>
          <w:tcPr>
            <w:tcW w:w="1220" w:type="dxa"/>
            <w:vMerge w:val="continue"/>
            <w:vAlign w:val="center"/>
          </w:tcPr>
          <w:p>
            <w:pPr>
              <w:widowControl/>
              <w:topLinePunct w:val="0"/>
              <w:snapToGrid w:val="0"/>
              <w:spacing w:line="240" w:lineRule="auto"/>
              <w:ind w:firstLine="0" w:firstLineChars="0"/>
              <w:jc w:val="center"/>
              <w:rPr>
                <w:rFonts w:ascii="Times New Roman" w:cs="Times New Roman"/>
                <w:b/>
                <w:kern w:val="2"/>
                <w:sz w:val="21"/>
                <w:szCs w:val="21"/>
              </w:rPr>
            </w:pPr>
          </w:p>
        </w:tc>
        <w:tc>
          <w:tcPr>
            <w:tcW w:w="1221" w:type="dxa"/>
            <w:vMerge w:val="continue"/>
            <w:vAlign w:val="center"/>
          </w:tcPr>
          <w:p>
            <w:pPr>
              <w:widowControl/>
              <w:topLinePunct w:val="0"/>
              <w:snapToGrid w:val="0"/>
              <w:spacing w:line="240" w:lineRule="auto"/>
              <w:ind w:firstLine="0" w:firstLineChars="0"/>
              <w:jc w:val="center"/>
              <w:rPr>
                <w:rFonts w:ascii="Times New Roman" w:cs="Times New Roman"/>
                <w:b/>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jc w:val="center"/>
        </w:trPr>
        <w:tc>
          <w:tcPr>
            <w:tcW w:w="5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86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钻机</w:t>
            </w:r>
          </w:p>
        </w:tc>
        <w:tc>
          <w:tcPr>
            <w:tcW w:w="657" w:type="dxa"/>
            <w:vAlign w:val="center"/>
          </w:tcPr>
          <w:p>
            <w:pPr>
              <w:widowControl/>
              <w:topLinePunct w:val="0"/>
              <w:snapToGrid w:val="0"/>
              <w:spacing w:line="240" w:lineRule="auto"/>
              <w:ind w:firstLine="0" w:firstLineChars="0"/>
              <w:jc w:val="center"/>
              <w:rPr>
                <w:rFonts w:hint="eastAsia" w:ascii="Times New Roman" w:eastAsia="宋体" w:cs="Times New Roman"/>
                <w:kern w:val="2"/>
                <w:sz w:val="21"/>
                <w:szCs w:val="21"/>
                <w:lang w:eastAsia="zh-CN"/>
              </w:rPr>
            </w:pPr>
            <w:r>
              <w:rPr>
                <w:rFonts w:hint="eastAsia" w:ascii="Times New Roman" w:cs="Times New Roman"/>
                <w:kern w:val="2"/>
                <w:sz w:val="21"/>
                <w:szCs w:val="21"/>
                <w:lang w:val="en-US" w:eastAsia="zh-CN"/>
              </w:rPr>
              <w:t>1</w:t>
            </w:r>
          </w:p>
        </w:tc>
        <w:tc>
          <w:tcPr>
            <w:tcW w:w="743" w:type="dxa"/>
            <w:vAlign w:val="center"/>
          </w:tcPr>
          <w:p>
            <w:pPr>
              <w:widowControl/>
              <w:topLinePunct w:val="0"/>
              <w:snapToGrid w:val="0"/>
              <w:spacing w:line="240" w:lineRule="auto"/>
              <w:ind w:firstLine="0" w:firstLineChars="0"/>
              <w:jc w:val="center"/>
              <w:rPr>
                <w:rFonts w:hint="eastAsia" w:ascii="Times New Roman" w:eastAsia="宋体" w:cs="Times New Roman"/>
                <w:kern w:val="2"/>
                <w:sz w:val="21"/>
                <w:szCs w:val="21"/>
                <w:lang w:val="en-US" w:eastAsia="zh-CN"/>
              </w:rPr>
            </w:pPr>
            <w:r>
              <w:rPr>
                <w:rFonts w:hint="eastAsia" w:ascii="Times New Roman" w:cs="Times New Roman"/>
                <w:kern w:val="2"/>
                <w:sz w:val="21"/>
                <w:szCs w:val="21"/>
                <w:lang w:val="en-US" w:eastAsia="zh-CN"/>
              </w:rPr>
              <w:t>/</w:t>
            </w:r>
          </w:p>
        </w:tc>
        <w:tc>
          <w:tcPr>
            <w:tcW w:w="82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22</w:t>
            </w:r>
          </w:p>
        </w:tc>
        <w:tc>
          <w:tcPr>
            <w:tcW w:w="82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-14</w:t>
            </w:r>
          </w:p>
        </w:tc>
        <w:tc>
          <w:tcPr>
            <w:tcW w:w="822" w:type="dxa"/>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eastAsia" w:ascii="Times New Roman" w:cs="Times New Roman"/>
                <w:kern w:val="2"/>
                <w:sz w:val="21"/>
                <w:szCs w:val="21"/>
                <w:lang w:val="en-US" w:eastAsia="zh-CN"/>
              </w:rPr>
              <w:t>15</w:t>
            </w:r>
          </w:p>
        </w:tc>
        <w:tc>
          <w:tcPr>
            <w:tcW w:w="1119"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cs="Times New Roman"/>
                <w:kern w:val="2"/>
                <w:sz w:val="21"/>
                <w:szCs w:val="21"/>
                <w:lang w:val="en-US" w:eastAsia="zh-CN"/>
              </w:rPr>
              <w:t>85/1</w:t>
            </w:r>
          </w:p>
        </w:tc>
        <w:tc>
          <w:tcPr>
            <w:tcW w:w="1220" w:type="dxa"/>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eastAsia" w:ascii="Times New Roman" w:cs="Times New Roman"/>
                <w:kern w:val="2"/>
                <w:sz w:val="21"/>
                <w:szCs w:val="21"/>
                <w:lang w:val="en-US" w:eastAsia="zh-CN"/>
              </w:rPr>
              <w:t>加强设备维护，选取低噪声设备</w:t>
            </w:r>
          </w:p>
        </w:tc>
        <w:tc>
          <w:tcPr>
            <w:tcW w:w="1221" w:type="dxa"/>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eastAsia" w:ascii="Times New Roman" w:cs="Times New Roman"/>
                <w:kern w:val="2"/>
                <w:sz w:val="21"/>
                <w:szCs w:val="21"/>
                <w:lang w:val="en-US" w:eastAsia="zh-CN"/>
              </w:rPr>
              <w:t>钻井期间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jc w:val="center"/>
        </w:trPr>
        <w:tc>
          <w:tcPr>
            <w:tcW w:w="5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86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泥浆泵</w:t>
            </w:r>
          </w:p>
        </w:tc>
        <w:tc>
          <w:tcPr>
            <w:tcW w:w="65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w:t>
            </w:r>
          </w:p>
        </w:tc>
        <w:tc>
          <w:tcPr>
            <w:tcW w:w="743" w:type="dxa"/>
            <w:vAlign w:val="center"/>
          </w:tcPr>
          <w:p>
            <w:pPr>
              <w:widowControl/>
              <w:topLinePunct w:val="0"/>
              <w:snapToGrid w:val="0"/>
              <w:spacing w:line="240" w:lineRule="auto"/>
              <w:ind w:firstLine="0" w:firstLineChars="0"/>
              <w:jc w:val="center"/>
              <w:rPr>
                <w:rFonts w:hint="eastAsia" w:ascii="Times New Roman" w:eastAsia="宋体" w:cs="Times New Roman"/>
                <w:kern w:val="2"/>
                <w:sz w:val="21"/>
                <w:szCs w:val="21"/>
                <w:lang w:val="en-US" w:eastAsia="zh-CN"/>
              </w:rPr>
            </w:pPr>
            <w:r>
              <w:rPr>
                <w:rFonts w:hint="eastAsia" w:ascii="Times New Roman" w:cs="Times New Roman"/>
                <w:kern w:val="2"/>
                <w:sz w:val="21"/>
                <w:szCs w:val="21"/>
                <w:lang w:val="en-US" w:eastAsia="zh-CN"/>
              </w:rPr>
              <w:t>/</w:t>
            </w:r>
          </w:p>
        </w:tc>
        <w:tc>
          <w:tcPr>
            <w:tcW w:w="82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24</w:t>
            </w:r>
          </w:p>
        </w:tc>
        <w:tc>
          <w:tcPr>
            <w:tcW w:w="82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-44</w:t>
            </w:r>
          </w:p>
        </w:tc>
        <w:tc>
          <w:tcPr>
            <w:tcW w:w="82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1119"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cs="Times New Roman"/>
                <w:kern w:val="2"/>
                <w:sz w:val="21"/>
                <w:szCs w:val="21"/>
                <w:lang w:val="en-US" w:eastAsia="zh-CN" w:bidi="ar-SA"/>
              </w:rPr>
              <w:t>80/1</w:t>
            </w:r>
          </w:p>
        </w:tc>
        <w:tc>
          <w:tcPr>
            <w:tcW w:w="122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lang w:val="en-US" w:eastAsia="zh-CN"/>
              </w:rPr>
              <w:t>基础减震</w:t>
            </w:r>
          </w:p>
        </w:tc>
        <w:tc>
          <w:tcPr>
            <w:tcW w:w="122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lang w:val="en-US" w:eastAsia="zh-CN"/>
              </w:rPr>
              <w:t>钻井期间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jc w:val="center"/>
        </w:trPr>
        <w:tc>
          <w:tcPr>
            <w:tcW w:w="5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w:t>
            </w:r>
          </w:p>
        </w:tc>
        <w:tc>
          <w:tcPr>
            <w:tcW w:w="86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振动筛</w:t>
            </w:r>
          </w:p>
        </w:tc>
        <w:tc>
          <w:tcPr>
            <w:tcW w:w="65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w:t>
            </w:r>
          </w:p>
        </w:tc>
        <w:tc>
          <w:tcPr>
            <w:tcW w:w="743" w:type="dxa"/>
            <w:vAlign w:val="center"/>
          </w:tcPr>
          <w:p>
            <w:pPr>
              <w:widowControl/>
              <w:topLinePunct w:val="0"/>
              <w:snapToGrid w:val="0"/>
              <w:spacing w:line="240" w:lineRule="auto"/>
              <w:ind w:firstLine="0" w:firstLineChars="0"/>
              <w:jc w:val="center"/>
              <w:rPr>
                <w:rFonts w:hint="eastAsia" w:ascii="Times New Roman" w:eastAsia="宋体" w:cs="Times New Roman"/>
                <w:kern w:val="2"/>
                <w:sz w:val="21"/>
                <w:szCs w:val="21"/>
                <w:lang w:val="en-US" w:eastAsia="zh-CN"/>
              </w:rPr>
            </w:pPr>
            <w:r>
              <w:rPr>
                <w:rFonts w:hint="eastAsia" w:ascii="Times New Roman" w:cs="Times New Roman"/>
                <w:kern w:val="2"/>
                <w:sz w:val="21"/>
                <w:szCs w:val="21"/>
                <w:lang w:val="en-US" w:eastAsia="zh-CN"/>
              </w:rPr>
              <w:t>/</w:t>
            </w:r>
          </w:p>
        </w:tc>
        <w:tc>
          <w:tcPr>
            <w:tcW w:w="82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27</w:t>
            </w:r>
          </w:p>
        </w:tc>
        <w:tc>
          <w:tcPr>
            <w:tcW w:w="82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-20</w:t>
            </w:r>
          </w:p>
        </w:tc>
        <w:tc>
          <w:tcPr>
            <w:tcW w:w="82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1119"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cs="Times New Roman"/>
                <w:kern w:val="2"/>
                <w:sz w:val="21"/>
                <w:szCs w:val="21"/>
                <w:lang w:val="en-US" w:eastAsia="zh-CN"/>
              </w:rPr>
              <w:t>80/1</w:t>
            </w:r>
          </w:p>
        </w:tc>
        <w:tc>
          <w:tcPr>
            <w:tcW w:w="122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lang w:val="en-US" w:eastAsia="zh-CN"/>
              </w:rPr>
              <w:t>基础减震</w:t>
            </w:r>
          </w:p>
        </w:tc>
        <w:tc>
          <w:tcPr>
            <w:tcW w:w="122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lang w:val="en-US" w:eastAsia="zh-CN"/>
              </w:rPr>
              <w:t>钻井期间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jc w:val="center"/>
        </w:trPr>
        <w:tc>
          <w:tcPr>
            <w:tcW w:w="5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w:t>
            </w:r>
          </w:p>
        </w:tc>
        <w:tc>
          <w:tcPr>
            <w:tcW w:w="86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离心机</w:t>
            </w:r>
          </w:p>
        </w:tc>
        <w:tc>
          <w:tcPr>
            <w:tcW w:w="657" w:type="dxa"/>
            <w:vAlign w:val="center"/>
          </w:tcPr>
          <w:p>
            <w:pPr>
              <w:widowControl/>
              <w:topLinePunct w:val="0"/>
              <w:snapToGrid w:val="0"/>
              <w:spacing w:line="240" w:lineRule="auto"/>
              <w:ind w:firstLine="0" w:firstLineChars="0"/>
              <w:jc w:val="center"/>
              <w:rPr>
                <w:rFonts w:hint="eastAsia" w:ascii="Times New Roman" w:eastAsia="宋体" w:cs="Times New Roman"/>
                <w:kern w:val="2"/>
                <w:sz w:val="21"/>
                <w:szCs w:val="21"/>
                <w:lang w:eastAsia="zh-CN"/>
              </w:rPr>
            </w:pPr>
            <w:r>
              <w:rPr>
                <w:rFonts w:hint="eastAsia" w:ascii="Times New Roman" w:cs="Times New Roman"/>
                <w:kern w:val="2"/>
                <w:sz w:val="21"/>
                <w:szCs w:val="21"/>
                <w:lang w:val="en-US" w:eastAsia="zh-CN"/>
              </w:rPr>
              <w:t>1</w:t>
            </w:r>
          </w:p>
        </w:tc>
        <w:tc>
          <w:tcPr>
            <w:tcW w:w="743" w:type="dxa"/>
            <w:vAlign w:val="center"/>
          </w:tcPr>
          <w:p>
            <w:pPr>
              <w:widowControl/>
              <w:topLinePunct w:val="0"/>
              <w:snapToGrid w:val="0"/>
              <w:spacing w:line="240" w:lineRule="auto"/>
              <w:ind w:firstLine="0" w:firstLineChars="0"/>
              <w:jc w:val="center"/>
              <w:rPr>
                <w:rFonts w:hint="eastAsia" w:ascii="Times New Roman" w:eastAsia="宋体" w:cs="Times New Roman"/>
                <w:kern w:val="2"/>
                <w:sz w:val="21"/>
                <w:szCs w:val="21"/>
                <w:lang w:val="en-US" w:eastAsia="zh-CN"/>
              </w:rPr>
            </w:pPr>
            <w:r>
              <w:rPr>
                <w:rFonts w:hint="eastAsia" w:ascii="Times New Roman" w:cs="Times New Roman"/>
                <w:kern w:val="2"/>
                <w:sz w:val="21"/>
                <w:szCs w:val="21"/>
                <w:lang w:val="en-US" w:eastAsia="zh-CN"/>
              </w:rPr>
              <w:t>/</w:t>
            </w:r>
          </w:p>
        </w:tc>
        <w:tc>
          <w:tcPr>
            <w:tcW w:w="82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25</w:t>
            </w:r>
          </w:p>
        </w:tc>
        <w:tc>
          <w:tcPr>
            <w:tcW w:w="82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-26</w:t>
            </w:r>
          </w:p>
        </w:tc>
        <w:tc>
          <w:tcPr>
            <w:tcW w:w="82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1119"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cs="Times New Roman"/>
                <w:kern w:val="2"/>
                <w:sz w:val="21"/>
                <w:szCs w:val="21"/>
                <w:lang w:val="en-US" w:eastAsia="zh-CN"/>
              </w:rPr>
              <w:t>75/1</w:t>
            </w:r>
          </w:p>
        </w:tc>
        <w:tc>
          <w:tcPr>
            <w:tcW w:w="122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lang w:val="en-US" w:eastAsia="zh-CN"/>
              </w:rPr>
              <w:t>基础减震</w:t>
            </w:r>
          </w:p>
        </w:tc>
        <w:tc>
          <w:tcPr>
            <w:tcW w:w="122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lang w:val="en-US" w:eastAsia="zh-CN"/>
              </w:rPr>
              <w:t>钻井期间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jc w:val="center"/>
        </w:trPr>
        <w:tc>
          <w:tcPr>
            <w:tcW w:w="8800" w:type="dxa"/>
            <w:gridSpan w:val="10"/>
            <w:vAlign w:val="center"/>
          </w:tcPr>
          <w:p>
            <w:pPr>
              <w:widowControl/>
              <w:topLinePunct w:val="0"/>
              <w:snapToGrid w:val="0"/>
              <w:spacing w:line="240" w:lineRule="auto"/>
              <w:ind w:firstLine="0" w:firstLineChars="0"/>
              <w:rPr>
                <w:rFonts w:ascii="Times New Roman" w:cs="Times New Roman"/>
                <w:kern w:val="2"/>
                <w:sz w:val="21"/>
                <w:szCs w:val="21"/>
              </w:rPr>
            </w:pPr>
            <w:r>
              <w:rPr>
                <w:rFonts w:ascii="Times New Roman" w:cs="Times New Roman"/>
                <w:kern w:val="2"/>
                <w:sz w:val="21"/>
                <w:szCs w:val="21"/>
              </w:rPr>
              <w:t>注：以</w:t>
            </w:r>
            <w:r>
              <w:rPr>
                <w:rFonts w:hint="eastAsia" w:ascii="Times New Roman" w:cs="Times New Roman"/>
                <w:kern w:val="2"/>
                <w:sz w:val="21"/>
                <w:szCs w:val="21"/>
              </w:rPr>
              <w:t>P108-2H井</w:t>
            </w:r>
            <w:r>
              <w:rPr>
                <w:rFonts w:ascii="Times New Roman" w:cs="Times New Roman"/>
                <w:kern w:val="2"/>
                <w:sz w:val="21"/>
                <w:szCs w:val="21"/>
              </w:rPr>
              <w:t>井口中心为原点（0,0,0）。</w:t>
            </w:r>
          </w:p>
        </w:tc>
      </w:tr>
    </w:tbl>
    <w:p>
      <w:pPr>
        <w:topLinePunct w:val="0"/>
        <w:snapToGrid w:val="0"/>
        <w:ind w:firstLine="472" w:firstLineChars="197"/>
        <w:rPr>
          <w:rFonts w:ascii="Times New Roman" w:cs="Times New Roman"/>
          <w:kern w:val="2"/>
        </w:rPr>
      </w:pPr>
      <w:r>
        <w:rPr>
          <w:rFonts w:ascii="Times New Roman" w:cs="Times New Roman"/>
          <w:kern w:val="2"/>
        </w:rPr>
        <w:t>②预测结果</w:t>
      </w:r>
    </w:p>
    <w:p>
      <w:pPr>
        <w:widowControl/>
        <w:topLinePunct w:val="0"/>
        <w:snapToGrid w:val="0"/>
        <w:ind w:firstLine="480"/>
        <w:rPr>
          <w:rFonts w:ascii="Times New Roman" w:cs="Times New Roman"/>
          <w:kern w:val="2"/>
        </w:rPr>
      </w:pPr>
      <w:r>
        <w:rPr>
          <w:rFonts w:ascii="Times New Roman" w:cs="Times New Roman"/>
          <w:kern w:val="2"/>
        </w:rPr>
        <w:t>井场四周环境噪声预测结果见表</w:t>
      </w:r>
      <w:r>
        <w:rPr>
          <w:rFonts w:ascii="Times New Roman" w:cs="Times New Roman"/>
        </w:rPr>
        <w:t>6.1-</w:t>
      </w:r>
      <w:r>
        <w:rPr>
          <w:rFonts w:hint="eastAsia" w:ascii="Times New Roman" w:cs="Times New Roman"/>
        </w:rPr>
        <w:t>13</w:t>
      </w:r>
      <w:r>
        <w:rPr>
          <w:rFonts w:ascii="Times New Roman" w:cs="Times New Roman"/>
          <w:kern w:val="2"/>
        </w:rPr>
        <w:t>。</w:t>
      </w:r>
    </w:p>
    <w:p>
      <w:pPr>
        <w:topLinePunct w:val="0"/>
        <w:adjustRightInd/>
        <w:ind w:firstLine="0" w:firstLineChars="0"/>
        <w:jc w:val="center"/>
        <w:rPr>
          <w:rFonts w:ascii="Times New Roman" w:cs="Times New Roman"/>
          <w:b/>
          <w:bCs/>
          <w:kern w:val="2"/>
          <w:sz w:val="21"/>
        </w:rPr>
      </w:pPr>
      <w:r>
        <w:rPr>
          <w:rFonts w:ascii="Times New Roman" w:cs="Times New Roman"/>
          <w:b/>
          <w:bCs/>
          <w:kern w:val="2"/>
          <w:sz w:val="21"/>
        </w:rPr>
        <w:t xml:space="preserve">表6.1-13  </w:t>
      </w:r>
      <w:r>
        <w:rPr>
          <w:rFonts w:ascii="Times New Roman" w:cs="Times New Roman"/>
          <w:b/>
          <w:kern w:val="2"/>
          <w:sz w:val="21"/>
        </w:rPr>
        <w:t>钻井工程噪声预测（常规钻）</w:t>
      </w:r>
      <w:r>
        <w:rPr>
          <w:rFonts w:ascii="Times New Roman" w:cs="Times New Roman"/>
          <w:b/>
          <w:bCs/>
          <w:kern w:val="2"/>
          <w:sz w:val="21"/>
        </w:rPr>
        <w:t xml:space="preserve">    单位：dB(A)</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73"/>
        <w:gridCol w:w="1433"/>
        <w:gridCol w:w="1187"/>
        <w:gridCol w:w="1293"/>
        <w:gridCol w:w="1285"/>
        <w:gridCol w:w="1167"/>
        <w:gridCol w:w="129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92" w:type="dxa"/>
            <w:vMerge w:val="restart"/>
            <w:shd w:val="clear" w:color="auto" w:fill="auto"/>
            <w:vAlign w:val="center"/>
          </w:tcPr>
          <w:p>
            <w:pPr>
              <w:topLinePunct w:val="0"/>
              <w:adjustRightInd/>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噪声源</w:t>
            </w:r>
          </w:p>
        </w:tc>
        <w:tc>
          <w:tcPr>
            <w:tcW w:w="1326" w:type="dxa"/>
            <w:vMerge w:val="restart"/>
            <w:shd w:val="clear" w:color="auto" w:fill="auto"/>
            <w:vAlign w:val="center"/>
          </w:tcPr>
          <w:p>
            <w:pPr>
              <w:topLinePunct w:val="0"/>
              <w:adjustRightInd/>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源强</w:t>
            </w:r>
          </w:p>
        </w:tc>
        <w:tc>
          <w:tcPr>
            <w:tcW w:w="4563" w:type="dxa"/>
            <w:gridSpan w:val="4"/>
            <w:shd w:val="clear" w:color="auto" w:fill="auto"/>
            <w:vAlign w:val="center"/>
          </w:tcPr>
          <w:p>
            <w:pPr>
              <w:topLinePunct w:val="0"/>
              <w:adjustRightInd/>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在各厂界噪声贡献值</w:t>
            </w:r>
          </w:p>
        </w:tc>
        <w:tc>
          <w:tcPr>
            <w:tcW w:w="1199" w:type="dxa"/>
            <w:vMerge w:val="restart"/>
            <w:shd w:val="clear" w:color="auto" w:fill="auto"/>
            <w:vAlign w:val="center"/>
          </w:tcPr>
          <w:p>
            <w:pPr>
              <w:topLinePunct w:val="0"/>
              <w:adjustRightInd/>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92" w:type="dxa"/>
            <w:vMerge w:val="continue"/>
            <w:shd w:val="clear" w:color="auto" w:fill="auto"/>
            <w:vAlign w:val="center"/>
          </w:tcPr>
          <w:p>
            <w:pPr>
              <w:topLinePunct w:val="0"/>
              <w:adjustRightInd/>
              <w:spacing w:line="240" w:lineRule="auto"/>
              <w:ind w:firstLine="0" w:firstLineChars="0"/>
              <w:jc w:val="center"/>
              <w:rPr>
                <w:rFonts w:ascii="Times New Roman" w:cs="Times New Roman"/>
                <w:b/>
                <w:kern w:val="2"/>
                <w:sz w:val="21"/>
                <w:szCs w:val="21"/>
              </w:rPr>
            </w:pPr>
          </w:p>
        </w:tc>
        <w:tc>
          <w:tcPr>
            <w:tcW w:w="1326" w:type="dxa"/>
            <w:vMerge w:val="continue"/>
            <w:shd w:val="clear" w:color="auto" w:fill="auto"/>
            <w:vAlign w:val="center"/>
          </w:tcPr>
          <w:p>
            <w:pPr>
              <w:topLinePunct w:val="0"/>
              <w:adjustRightInd/>
              <w:spacing w:line="240" w:lineRule="auto"/>
              <w:ind w:firstLine="0" w:firstLineChars="0"/>
              <w:jc w:val="center"/>
              <w:rPr>
                <w:rFonts w:ascii="Times New Roman" w:cs="Times New Roman"/>
                <w:b/>
                <w:kern w:val="2"/>
                <w:sz w:val="21"/>
                <w:szCs w:val="21"/>
              </w:rPr>
            </w:pPr>
          </w:p>
        </w:tc>
        <w:tc>
          <w:tcPr>
            <w:tcW w:w="1098" w:type="dxa"/>
            <w:shd w:val="clear" w:color="auto" w:fill="auto"/>
            <w:vAlign w:val="center"/>
          </w:tcPr>
          <w:p>
            <w:pPr>
              <w:topLinePunct w:val="0"/>
              <w:adjustRightInd/>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东厂界</w:t>
            </w:r>
          </w:p>
        </w:tc>
        <w:tc>
          <w:tcPr>
            <w:tcW w:w="1196" w:type="dxa"/>
            <w:shd w:val="clear" w:color="auto" w:fill="auto"/>
            <w:vAlign w:val="center"/>
          </w:tcPr>
          <w:p>
            <w:pPr>
              <w:topLinePunct w:val="0"/>
              <w:adjustRightInd/>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南厂界</w:t>
            </w:r>
          </w:p>
        </w:tc>
        <w:tc>
          <w:tcPr>
            <w:tcW w:w="1189" w:type="dxa"/>
            <w:shd w:val="clear" w:color="auto" w:fill="auto"/>
            <w:vAlign w:val="center"/>
          </w:tcPr>
          <w:p>
            <w:pPr>
              <w:topLinePunct w:val="0"/>
              <w:adjustRightInd/>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西厂界</w:t>
            </w:r>
          </w:p>
        </w:tc>
        <w:tc>
          <w:tcPr>
            <w:tcW w:w="1080" w:type="dxa"/>
            <w:shd w:val="clear" w:color="auto" w:fill="auto"/>
            <w:vAlign w:val="center"/>
          </w:tcPr>
          <w:p>
            <w:pPr>
              <w:topLinePunct w:val="0"/>
              <w:adjustRightInd/>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北厂界</w:t>
            </w:r>
          </w:p>
        </w:tc>
        <w:tc>
          <w:tcPr>
            <w:tcW w:w="1199" w:type="dxa"/>
            <w:vMerge w:val="continue"/>
            <w:shd w:val="clear" w:color="auto" w:fill="auto"/>
            <w:vAlign w:val="center"/>
          </w:tcPr>
          <w:p>
            <w:pPr>
              <w:topLinePunct w:val="0"/>
              <w:adjustRightInd/>
              <w:spacing w:line="240" w:lineRule="auto"/>
              <w:ind w:firstLine="0" w:firstLineChars="0"/>
              <w:jc w:val="center"/>
              <w:rPr>
                <w:rFonts w:ascii="Times New Roman" w:cs="Times New Roman"/>
                <w:b/>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92" w:type="dxa"/>
            <w:shd w:val="clear" w:color="auto" w:fill="auto"/>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钻机</w:t>
            </w:r>
          </w:p>
        </w:tc>
        <w:tc>
          <w:tcPr>
            <w:tcW w:w="1326" w:type="dxa"/>
            <w:shd w:val="clear" w:color="auto" w:fill="auto"/>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eastAsia" w:ascii="Times New Roman" w:cs="Times New Roman"/>
                <w:kern w:val="2"/>
                <w:sz w:val="21"/>
                <w:szCs w:val="21"/>
                <w:lang w:val="en-US" w:eastAsia="zh-CN"/>
              </w:rPr>
              <w:t>85</w:t>
            </w:r>
          </w:p>
        </w:tc>
        <w:tc>
          <w:tcPr>
            <w:tcW w:w="1098"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47.1 </w:t>
            </w:r>
          </w:p>
        </w:tc>
        <w:tc>
          <w:tcPr>
            <w:tcW w:w="1196"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50.5 </w:t>
            </w:r>
          </w:p>
        </w:tc>
        <w:tc>
          <w:tcPr>
            <w:tcW w:w="1189"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46.6 </w:t>
            </w:r>
          </w:p>
        </w:tc>
        <w:tc>
          <w:tcPr>
            <w:tcW w:w="1080"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49.9 </w:t>
            </w:r>
          </w:p>
        </w:tc>
        <w:tc>
          <w:tcPr>
            <w:tcW w:w="1199" w:type="dxa"/>
            <w:vMerge w:val="restart"/>
            <w:shd w:val="clear" w:color="auto" w:fill="auto"/>
            <w:vAlign w:val="center"/>
          </w:tcPr>
          <w:p>
            <w:pPr>
              <w:topLinePunct w:val="0"/>
              <w:adjustRightInd/>
              <w:spacing w:line="240" w:lineRule="auto"/>
              <w:ind w:firstLine="0" w:firstLineChars="0"/>
              <w:jc w:val="center"/>
              <w:rPr>
                <w:rFonts w:hint="eastAsia" w:ascii="Times New Roman" w:eastAsia="宋体" w:cs="Times New Roman"/>
                <w:kern w:val="2"/>
                <w:sz w:val="21"/>
                <w:szCs w:val="21"/>
                <w:lang w:val="en-US" w:eastAsia="zh-CN"/>
              </w:rPr>
            </w:pPr>
            <w:r>
              <w:rPr>
                <w:rFonts w:hint="eastAsia" w:ascii="Times New Roman" w:cs="Times New Roman"/>
                <w:kern w:val="2"/>
                <w:sz w:val="21"/>
                <w:szCs w:val="21"/>
                <w:lang w:val="en-US" w:eastAsia="zh-CN"/>
              </w:rPr>
              <w:t>满足《建筑施工场界环境噪声排放标准》（GB 12523-2011）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92" w:type="dxa"/>
            <w:shd w:val="clear" w:color="auto" w:fill="auto"/>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泥浆泵</w:t>
            </w:r>
          </w:p>
        </w:tc>
        <w:tc>
          <w:tcPr>
            <w:tcW w:w="1326" w:type="dxa"/>
            <w:shd w:val="clear" w:color="auto" w:fill="auto"/>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eastAsia" w:ascii="Times New Roman" w:cs="Times New Roman"/>
                <w:kern w:val="2"/>
                <w:sz w:val="21"/>
                <w:szCs w:val="21"/>
                <w:lang w:val="en-US" w:eastAsia="zh-CN"/>
              </w:rPr>
              <w:t>80</w:t>
            </w:r>
          </w:p>
        </w:tc>
        <w:tc>
          <w:tcPr>
            <w:tcW w:w="1098"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42.0 </w:t>
            </w:r>
          </w:p>
        </w:tc>
        <w:tc>
          <w:tcPr>
            <w:tcW w:w="1196"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45.8 </w:t>
            </w:r>
          </w:p>
        </w:tc>
        <w:tc>
          <w:tcPr>
            <w:tcW w:w="1189"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39.1 </w:t>
            </w:r>
          </w:p>
        </w:tc>
        <w:tc>
          <w:tcPr>
            <w:tcW w:w="1080"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50.7 </w:t>
            </w:r>
          </w:p>
        </w:tc>
        <w:tc>
          <w:tcPr>
            <w:tcW w:w="1199" w:type="dxa"/>
            <w:vMerge w:val="continue"/>
            <w:shd w:val="clear" w:color="auto" w:fill="auto"/>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92" w:type="dxa"/>
            <w:shd w:val="clear" w:color="auto" w:fill="auto"/>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振动筛</w:t>
            </w:r>
          </w:p>
        </w:tc>
        <w:tc>
          <w:tcPr>
            <w:tcW w:w="1326" w:type="dxa"/>
            <w:shd w:val="clear" w:color="auto" w:fill="auto"/>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eastAsia" w:ascii="Times New Roman" w:cs="Times New Roman"/>
                <w:kern w:val="2"/>
                <w:sz w:val="21"/>
                <w:szCs w:val="21"/>
                <w:lang w:val="en-US" w:eastAsia="zh-CN"/>
              </w:rPr>
              <w:t>80</w:t>
            </w:r>
          </w:p>
        </w:tc>
        <w:tc>
          <w:tcPr>
            <w:tcW w:w="1098"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42.0 </w:t>
            </w:r>
          </w:p>
        </w:tc>
        <w:tc>
          <w:tcPr>
            <w:tcW w:w="1196"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46.3 </w:t>
            </w:r>
          </w:p>
        </w:tc>
        <w:tc>
          <w:tcPr>
            <w:tcW w:w="1189"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41.1 </w:t>
            </w:r>
          </w:p>
        </w:tc>
        <w:tc>
          <w:tcPr>
            <w:tcW w:w="1080"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45.8 </w:t>
            </w:r>
          </w:p>
        </w:tc>
        <w:tc>
          <w:tcPr>
            <w:tcW w:w="1199" w:type="dxa"/>
            <w:vMerge w:val="continue"/>
            <w:shd w:val="clear" w:color="auto" w:fill="auto"/>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92" w:type="dxa"/>
            <w:shd w:val="clear" w:color="auto" w:fill="auto"/>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离心机</w:t>
            </w:r>
          </w:p>
        </w:tc>
        <w:tc>
          <w:tcPr>
            <w:tcW w:w="1326" w:type="dxa"/>
            <w:shd w:val="clear" w:color="auto" w:fill="auto"/>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eastAsia" w:ascii="Times New Roman" w:cs="Times New Roman"/>
                <w:kern w:val="2"/>
                <w:sz w:val="21"/>
                <w:szCs w:val="21"/>
                <w:lang w:val="en-US" w:eastAsia="zh-CN"/>
              </w:rPr>
              <w:t>75</w:t>
            </w:r>
          </w:p>
        </w:tc>
        <w:tc>
          <w:tcPr>
            <w:tcW w:w="1098"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37.0 </w:t>
            </w:r>
          </w:p>
        </w:tc>
        <w:tc>
          <w:tcPr>
            <w:tcW w:w="1196"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41.0 </w:t>
            </w:r>
          </w:p>
        </w:tc>
        <w:tc>
          <w:tcPr>
            <w:tcW w:w="1189"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35.5 </w:t>
            </w:r>
          </w:p>
        </w:tc>
        <w:tc>
          <w:tcPr>
            <w:tcW w:w="1080"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41.8 </w:t>
            </w:r>
          </w:p>
        </w:tc>
        <w:tc>
          <w:tcPr>
            <w:tcW w:w="1199" w:type="dxa"/>
            <w:vMerge w:val="continue"/>
            <w:shd w:val="clear" w:color="auto" w:fill="auto"/>
            <w:vAlign w:val="center"/>
          </w:tcPr>
          <w:p>
            <w:pPr>
              <w:topLinePunct w:val="0"/>
              <w:adjustRightInd/>
              <w:spacing w:line="240" w:lineRule="auto"/>
              <w:ind w:firstLine="0" w:firstLineChars="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18" w:type="dxa"/>
            <w:gridSpan w:val="2"/>
            <w:shd w:val="clear" w:color="auto" w:fill="auto"/>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叠加值</w:t>
            </w:r>
          </w:p>
        </w:tc>
        <w:tc>
          <w:tcPr>
            <w:tcW w:w="1098"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49.4 </w:t>
            </w:r>
          </w:p>
        </w:tc>
        <w:tc>
          <w:tcPr>
            <w:tcW w:w="1196"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53.1 </w:t>
            </w:r>
          </w:p>
        </w:tc>
        <w:tc>
          <w:tcPr>
            <w:tcW w:w="1189"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48.5 </w:t>
            </w:r>
          </w:p>
        </w:tc>
        <w:tc>
          <w:tcPr>
            <w:tcW w:w="1080"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54.3 </w:t>
            </w:r>
          </w:p>
        </w:tc>
        <w:tc>
          <w:tcPr>
            <w:tcW w:w="1199" w:type="dxa"/>
            <w:vMerge w:val="continue"/>
            <w:shd w:val="clear" w:color="auto" w:fill="auto"/>
            <w:vAlign w:val="center"/>
          </w:tcPr>
          <w:p>
            <w:pPr>
              <w:topLinePunct w:val="0"/>
              <w:adjustRightInd/>
              <w:spacing w:line="240" w:lineRule="auto"/>
              <w:ind w:firstLine="0" w:firstLineChars="0"/>
              <w:jc w:val="center"/>
              <w:rPr>
                <w:rFonts w:ascii="Times New Roman" w:cs="Times New Roman"/>
                <w:kern w:val="2"/>
                <w:sz w:val="21"/>
                <w:szCs w:val="21"/>
              </w:rPr>
            </w:pPr>
          </w:p>
        </w:tc>
      </w:tr>
    </w:tbl>
    <w:p>
      <w:pPr>
        <w:widowControl/>
        <w:topLinePunct w:val="0"/>
        <w:snapToGrid w:val="0"/>
        <w:spacing w:line="240" w:lineRule="auto"/>
        <w:ind w:firstLine="0" w:firstLineChars="0"/>
        <w:jc w:val="center"/>
        <w:rPr>
          <w:rFonts w:ascii="Times New Roman" w:cs="Times New Roman"/>
        </w:rPr>
      </w:pPr>
      <w:r>
        <w:rPr>
          <w:rFonts w:ascii="Times New Roman" w:cs="Times New Roman"/>
        </w:rPr>
        <w:drawing>
          <wp:inline distT="0" distB="0" distL="114300" distR="114300">
            <wp:extent cx="5575935" cy="3901440"/>
            <wp:effectExtent l="0" t="0" r="5715" b="3810"/>
            <wp:docPr id="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
                    <pic:cNvPicPr>
                      <a:picLocks noChangeAspect="1"/>
                    </pic:cNvPicPr>
                  </pic:nvPicPr>
                  <pic:blipFill>
                    <a:blip r:embed="rId64"/>
                    <a:stretch>
                      <a:fillRect/>
                    </a:stretch>
                  </pic:blipFill>
                  <pic:spPr>
                    <a:xfrm>
                      <a:off x="0" y="0"/>
                      <a:ext cx="5575935" cy="3901440"/>
                    </a:xfrm>
                    <a:prstGeom prst="rect">
                      <a:avLst/>
                    </a:prstGeom>
                    <a:noFill/>
                    <a:ln>
                      <a:noFill/>
                    </a:ln>
                  </pic:spPr>
                </pic:pic>
              </a:graphicData>
            </a:graphic>
          </wp:inline>
        </w:drawing>
      </w:r>
    </w:p>
    <w:p>
      <w:pPr>
        <w:widowControl/>
        <w:topLinePunct w:val="0"/>
        <w:snapToGrid w:val="0"/>
        <w:ind w:firstLine="0" w:firstLineChars="0"/>
        <w:jc w:val="center"/>
        <w:rPr>
          <w:rFonts w:ascii="Times New Roman" w:cs="Times New Roman"/>
        </w:rPr>
      </w:pPr>
      <w:r>
        <w:rPr>
          <w:rFonts w:ascii="Times New Roman" w:cs="Times New Roman"/>
          <w:b/>
          <w:bCs/>
          <w:kern w:val="2"/>
        </w:rPr>
        <w:t>图6.1-1</w:t>
      </w:r>
      <w:r>
        <w:rPr>
          <w:rFonts w:ascii="Times New Roman" w:cs="Times New Roman"/>
          <w:kern w:val="2"/>
        </w:rPr>
        <w:t xml:space="preserve"> </w:t>
      </w:r>
      <w:r>
        <w:rPr>
          <w:rFonts w:ascii="Times New Roman" w:cs="Times New Roman"/>
          <w:b/>
          <w:bCs/>
          <w:kern w:val="2"/>
        </w:rPr>
        <w:t>常规</w:t>
      </w:r>
      <w:r>
        <w:rPr>
          <w:rFonts w:ascii="Times New Roman" w:cs="Times New Roman"/>
          <w:b/>
          <w:bCs/>
        </w:rPr>
        <w:t>钻井过程噪声贡献值等声级线图</w:t>
      </w:r>
    </w:p>
    <w:p>
      <w:pPr>
        <w:widowControl/>
        <w:topLinePunct w:val="0"/>
        <w:snapToGrid w:val="0"/>
        <w:ind w:firstLine="480"/>
        <w:rPr>
          <w:rFonts w:ascii="Times New Roman" w:cs="Times New Roman"/>
          <w:kern w:val="2"/>
        </w:rPr>
      </w:pPr>
      <w:r>
        <w:rPr>
          <w:rFonts w:ascii="Times New Roman" w:cs="Times New Roman"/>
          <w:kern w:val="2"/>
        </w:rPr>
        <w:t>预测结果表明：常规钻钻井过程中</w:t>
      </w:r>
      <w:r>
        <w:rPr>
          <w:rFonts w:hint="eastAsia" w:ascii="Times New Roman" w:cs="Times New Roman"/>
          <w:kern w:val="2"/>
          <w:lang w:val="en-US" w:eastAsia="zh-CN"/>
        </w:rPr>
        <w:t>场界</w:t>
      </w:r>
      <w:r>
        <w:rPr>
          <w:rFonts w:ascii="Times New Roman" w:cs="Times New Roman"/>
          <w:kern w:val="2"/>
        </w:rPr>
        <w:t>贡献值可以满足《建筑施工场界环境噪声排放标准》（GB 12523-2011）（昼间70 dB（A），夜间55dB（A））。</w:t>
      </w:r>
      <w:r>
        <w:rPr>
          <w:rFonts w:hint="eastAsia" w:ascii="Times New Roman" w:cs="Times New Roman"/>
          <w:kern w:val="2"/>
        </w:rPr>
        <w:t>本项目厂界200m范围内均无居民点，因此不进行噪声敏感点预测。</w:t>
      </w:r>
    </w:p>
    <w:p>
      <w:pPr>
        <w:widowControl/>
        <w:topLinePunct w:val="0"/>
        <w:snapToGrid w:val="0"/>
        <w:ind w:firstLine="480"/>
        <w:rPr>
          <w:rFonts w:ascii="Times New Roman" w:cs="Times New Roman"/>
          <w:kern w:val="2"/>
        </w:rPr>
      </w:pPr>
      <w:r>
        <w:rPr>
          <w:rFonts w:ascii="Times New Roman" w:cs="Times New Roman"/>
          <w:kern w:val="2"/>
        </w:rPr>
        <w:t xml:space="preserve">2）非正常情况（柴油机工况） </w:t>
      </w:r>
    </w:p>
    <w:p>
      <w:pPr>
        <w:widowControl/>
        <w:topLinePunct w:val="0"/>
        <w:snapToGrid w:val="0"/>
        <w:ind w:firstLine="480"/>
        <w:rPr>
          <w:rFonts w:ascii="Times New Roman" w:cs="Times New Roman"/>
          <w:kern w:val="2"/>
        </w:rPr>
      </w:pPr>
      <w:r>
        <w:rPr>
          <w:rFonts w:ascii="Times New Roman" w:cs="Times New Roman"/>
          <w:kern w:val="2"/>
        </w:rPr>
        <w:t>网电无法使用的非正常工况下，钻井期间同时作业的设施有柴油动力机2台、发电机1台、钻机1台、钻井泵2台、振动筛3台、离心机1台，以及设备棚内的泥浆处理装置若干。根据各噪声设备的噪声级和布置，其中主要噪声源为柴油机组和钻机，其他噪声源主要分布在井场井口周边20m内，在预测敏感点的噪声值时，将各噪声源简化为1个噪声源点。位置为井口位置。根据噪声叠加模式计算各主要噪声设备近似点源的噪声值为102.6dB(A)。</w:t>
      </w:r>
    </w:p>
    <w:p>
      <w:pPr>
        <w:widowControl/>
        <w:topLinePunct w:val="0"/>
        <w:snapToGrid w:val="0"/>
        <w:ind w:firstLine="480"/>
        <w:rPr>
          <w:rFonts w:ascii="Times New Roman" w:cs="Times New Roman"/>
          <w:kern w:val="2"/>
        </w:rPr>
      </w:pPr>
      <w:r>
        <w:rPr>
          <w:rFonts w:ascii="Times New Roman" w:cs="Times New Roman"/>
          <w:kern w:val="2"/>
        </w:rPr>
        <w:t>根据平面布置，主要噪声设备位于井口及后场，厂界距离井口约</w:t>
      </w:r>
      <w:r>
        <w:rPr>
          <w:rFonts w:hint="eastAsia" w:ascii="Times New Roman" w:cs="Times New Roman"/>
          <w:kern w:val="2"/>
        </w:rPr>
        <w:t>40</w:t>
      </w:r>
      <w:r>
        <w:rPr>
          <w:rFonts w:ascii="Times New Roman" w:cs="Times New Roman"/>
          <w:kern w:val="2"/>
        </w:rPr>
        <w:t xml:space="preserve">m，忽略地面效应和山体树林隔挡，考虑地面及设备用房的衰减量为 2dB(A)，预测结果如下。 </w:t>
      </w:r>
    </w:p>
    <w:p>
      <w:pPr>
        <w:topLinePunct w:val="0"/>
        <w:snapToGrid w:val="0"/>
        <w:ind w:firstLine="480" w:firstLineChars="0"/>
        <w:jc w:val="center"/>
        <w:rPr>
          <w:rFonts w:ascii="Times New Roman" w:cs="Times New Roman"/>
          <w:b/>
          <w:kern w:val="2"/>
          <w:sz w:val="21"/>
          <w:szCs w:val="20"/>
        </w:rPr>
      </w:pPr>
      <w:r>
        <w:rPr>
          <w:rFonts w:ascii="Times New Roman" w:cs="Times New Roman"/>
          <w:b/>
          <w:kern w:val="2"/>
          <w:sz w:val="21"/>
          <w:szCs w:val="20"/>
        </w:rPr>
        <w:t>表6.1-</w:t>
      </w:r>
      <w:r>
        <w:rPr>
          <w:rFonts w:hint="eastAsia" w:ascii="Times New Roman" w:cs="Times New Roman"/>
          <w:b/>
          <w:kern w:val="2"/>
          <w:sz w:val="21"/>
          <w:szCs w:val="20"/>
        </w:rPr>
        <w:t>14</w:t>
      </w:r>
      <w:r>
        <w:rPr>
          <w:rFonts w:ascii="Times New Roman" w:cs="Times New Roman"/>
          <w:b/>
          <w:kern w:val="2"/>
          <w:sz w:val="21"/>
          <w:szCs w:val="20"/>
        </w:rPr>
        <w:t xml:space="preserve">  </w:t>
      </w:r>
      <w:r>
        <w:rPr>
          <w:rFonts w:hint="eastAsia" w:ascii="Times New Roman" w:cs="Times New Roman"/>
          <w:b/>
          <w:kern w:val="2"/>
          <w:sz w:val="21"/>
          <w:szCs w:val="20"/>
        </w:rPr>
        <w:t>非正常工况</w:t>
      </w:r>
      <w:r>
        <w:rPr>
          <w:rFonts w:ascii="Times New Roman" w:cs="Times New Roman"/>
          <w:b/>
          <w:kern w:val="2"/>
          <w:sz w:val="21"/>
          <w:szCs w:val="20"/>
        </w:rPr>
        <w:t>钻井作业过程中采取降噪措施后的噪声源强</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6" w:type="dxa"/>
          <w:bottom w:w="0" w:type="dxa"/>
          <w:right w:w="6" w:type="dxa"/>
        </w:tblCellMar>
      </w:tblPr>
      <w:tblGrid>
        <w:gridCol w:w="512"/>
        <w:gridCol w:w="862"/>
        <w:gridCol w:w="657"/>
        <w:gridCol w:w="743"/>
        <w:gridCol w:w="822"/>
        <w:gridCol w:w="822"/>
        <w:gridCol w:w="822"/>
        <w:gridCol w:w="1119"/>
        <w:gridCol w:w="1220"/>
        <w:gridCol w:w="1221"/>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tblHeader/>
          <w:jc w:val="center"/>
        </w:trPr>
        <w:tc>
          <w:tcPr>
            <w:tcW w:w="512" w:type="dxa"/>
            <w:vMerge w:val="restart"/>
            <w:vAlign w:val="center"/>
          </w:tcPr>
          <w:p>
            <w:pPr>
              <w:widowControl/>
              <w:topLinePunct w:val="0"/>
              <w:snapToGrid w:val="0"/>
              <w:spacing w:line="240" w:lineRule="auto"/>
              <w:ind w:firstLine="0" w:firstLineChars="0"/>
              <w:jc w:val="center"/>
              <w:rPr>
                <w:rFonts w:ascii="Times New Roman" w:hAnsi="Times New Roman" w:cs="Times New Roman"/>
                <w:b/>
                <w:kern w:val="2"/>
                <w:sz w:val="21"/>
                <w:szCs w:val="21"/>
              </w:rPr>
            </w:pPr>
            <w:r>
              <w:rPr>
                <w:rFonts w:ascii="Times New Roman" w:hAnsi="Times New Roman" w:cs="Times New Roman"/>
                <w:b/>
                <w:kern w:val="2"/>
                <w:sz w:val="21"/>
                <w:szCs w:val="21"/>
              </w:rPr>
              <w:t>序号</w:t>
            </w:r>
          </w:p>
        </w:tc>
        <w:tc>
          <w:tcPr>
            <w:tcW w:w="862" w:type="dxa"/>
            <w:vMerge w:val="restart"/>
            <w:vAlign w:val="center"/>
          </w:tcPr>
          <w:p>
            <w:pPr>
              <w:widowControl/>
              <w:topLinePunct w:val="0"/>
              <w:snapToGrid w:val="0"/>
              <w:spacing w:line="240" w:lineRule="auto"/>
              <w:ind w:firstLine="0" w:firstLineChars="0"/>
              <w:jc w:val="center"/>
              <w:rPr>
                <w:rFonts w:ascii="Times New Roman" w:hAnsi="Times New Roman" w:cs="Times New Roman"/>
                <w:b/>
                <w:kern w:val="2"/>
                <w:sz w:val="21"/>
                <w:szCs w:val="21"/>
              </w:rPr>
            </w:pPr>
            <w:r>
              <w:rPr>
                <w:rFonts w:ascii="Times New Roman" w:hAnsi="Times New Roman" w:cs="Times New Roman"/>
                <w:b/>
                <w:kern w:val="2"/>
                <w:sz w:val="21"/>
                <w:szCs w:val="21"/>
              </w:rPr>
              <w:t>声源名称</w:t>
            </w:r>
          </w:p>
        </w:tc>
        <w:tc>
          <w:tcPr>
            <w:tcW w:w="657" w:type="dxa"/>
            <w:vMerge w:val="restart"/>
            <w:vAlign w:val="center"/>
          </w:tcPr>
          <w:p>
            <w:pPr>
              <w:widowControl/>
              <w:topLinePunct w:val="0"/>
              <w:snapToGrid w:val="0"/>
              <w:spacing w:line="240" w:lineRule="auto"/>
              <w:ind w:firstLine="0" w:firstLineChars="0"/>
              <w:jc w:val="center"/>
              <w:rPr>
                <w:rFonts w:ascii="Times New Roman" w:hAnsi="Times New Roman" w:cs="Times New Roman"/>
                <w:b/>
                <w:kern w:val="2"/>
                <w:sz w:val="21"/>
                <w:szCs w:val="21"/>
              </w:rPr>
            </w:pPr>
            <w:r>
              <w:rPr>
                <w:rFonts w:ascii="Times New Roman" w:hAnsi="Times New Roman" w:cs="Times New Roman"/>
                <w:b/>
                <w:kern w:val="2"/>
                <w:sz w:val="21"/>
                <w:szCs w:val="21"/>
              </w:rPr>
              <w:t>数量（台）</w:t>
            </w:r>
          </w:p>
        </w:tc>
        <w:tc>
          <w:tcPr>
            <w:tcW w:w="743" w:type="dxa"/>
            <w:vMerge w:val="restart"/>
            <w:vAlign w:val="center"/>
          </w:tcPr>
          <w:p>
            <w:pPr>
              <w:widowControl/>
              <w:topLinePunct w:val="0"/>
              <w:snapToGrid w:val="0"/>
              <w:spacing w:line="240" w:lineRule="auto"/>
              <w:ind w:firstLine="0" w:firstLineChars="0"/>
              <w:jc w:val="center"/>
              <w:rPr>
                <w:rFonts w:hint="eastAsia" w:ascii="Times New Roman" w:hAnsi="Times New Roman" w:eastAsia="宋体" w:cs="Times New Roman"/>
                <w:b/>
                <w:kern w:val="2"/>
                <w:sz w:val="21"/>
                <w:szCs w:val="21"/>
                <w:lang w:val="en-US" w:eastAsia="zh-CN"/>
              </w:rPr>
            </w:pPr>
            <w:r>
              <w:rPr>
                <w:rFonts w:hint="eastAsia" w:ascii="Times New Roman" w:hAnsi="Times New Roman" w:cs="Times New Roman"/>
                <w:b/>
                <w:kern w:val="2"/>
                <w:sz w:val="21"/>
                <w:szCs w:val="21"/>
                <w:lang w:val="en-US" w:eastAsia="zh-CN"/>
              </w:rPr>
              <w:t>型号</w:t>
            </w:r>
          </w:p>
        </w:tc>
        <w:tc>
          <w:tcPr>
            <w:tcW w:w="2466" w:type="dxa"/>
            <w:gridSpan w:val="3"/>
            <w:vAlign w:val="center"/>
          </w:tcPr>
          <w:p>
            <w:pPr>
              <w:widowControl/>
              <w:topLinePunct w:val="0"/>
              <w:snapToGrid w:val="0"/>
              <w:spacing w:line="240" w:lineRule="auto"/>
              <w:ind w:firstLine="0" w:firstLineChars="0"/>
              <w:jc w:val="center"/>
              <w:rPr>
                <w:rFonts w:ascii="Times New Roman" w:hAnsi="Times New Roman" w:cs="Times New Roman"/>
                <w:b/>
                <w:kern w:val="2"/>
                <w:sz w:val="21"/>
                <w:szCs w:val="21"/>
              </w:rPr>
            </w:pPr>
            <w:r>
              <w:rPr>
                <w:rFonts w:hint="eastAsia" w:ascii="Times New Roman" w:hAnsi="Times New Roman" w:cs="Times New Roman"/>
                <w:b/>
                <w:kern w:val="2"/>
                <w:sz w:val="21"/>
                <w:szCs w:val="21"/>
              </w:rPr>
              <w:t>空间相对位置</w:t>
            </w:r>
          </w:p>
        </w:tc>
        <w:tc>
          <w:tcPr>
            <w:tcW w:w="1119" w:type="dxa"/>
            <w:vMerge w:val="restart"/>
            <w:vAlign w:val="center"/>
          </w:tcPr>
          <w:p>
            <w:pPr>
              <w:widowControl/>
              <w:topLinePunct w:val="0"/>
              <w:snapToGrid w:val="0"/>
              <w:spacing w:line="240" w:lineRule="auto"/>
              <w:ind w:firstLine="0" w:firstLineChars="0"/>
              <w:jc w:val="center"/>
              <w:rPr>
                <w:rFonts w:ascii="Times New Roman" w:hAnsi="Times New Roman" w:cs="Times New Roman"/>
                <w:b/>
                <w:kern w:val="2"/>
                <w:sz w:val="21"/>
                <w:szCs w:val="21"/>
              </w:rPr>
            </w:pPr>
            <w:r>
              <w:rPr>
                <w:rFonts w:hint="eastAsia" w:ascii="Times New Roman" w:hAnsi="Times New Roman" w:cs="Times New Roman"/>
                <w:b/>
                <w:kern w:val="2"/>
                <w:sz w:val="21"/>
                <w:szCs w:val="21"/>
                <w:lang w:val="en-US" w:eastAsia="zh-CN"/>
              </w:rPr>
              <w:t>声压级/距声源距离（dB（A）/m）</w:t>
            </w:r>
          </w:p>
        </w:tc>
        <w:tc>
          <w:tcPr>
            <w:tcW w:w="1220" w:type="dxa"/>
            <w:vMerge w:val="restart"/>
            <w:vAlign w:val="center"/>
          </w:tcPr>
          <w:p>
            <w:pPr>
              <w:widowControl/>
              <w:topLinePunct w:val="0"/>
              <w:snapToGrid w:val="0"/>
              <w:spacing w:line="240" w:lineRule="auto"/>
              <w:ind w:firstLine="0" w:firstLineChars="0"/>
              <w:jc w:val="center"/>
              <w:rPr>
                <w:rFonts w:hint="default" w:ascii="Times New Roman" w:hAnsi="Times New Roman" w:eastAsia="宋体" w:cs="Times New Roman"/>
                <w:b/>
                <w:kern w:val="2"/>
                <w:sz w:val="21"/>
                <w:szCs w:val="21"/>
                <w:lang w:val="en-US" w:eastAsia="zh-CN"/>
              </w:rPr>
            </w:pPr>
            <w:r>
              <w:rPr>
                <w:rFonts w:hint="eastAsia" w:ascii="Times New Roman" w:hAnsi="Times New Roman" w:cs="Times New Roman"/>
                <w:b/>
                <w:kern w:val="2"/>
                <w:sz w:val="21"/>
                <w:szCs w:val="21"/>
                <w:lang w:val="en-US" w:eastAsia="zh-CN"/>
              </w:rPr>
              <w:t>声源控制措施</w:t>
            </w:r>
          </w:p>
        </w:tc>
        <w:tc>
          <w:tcPr>
            <w:tcW w:w="1221" w:type="dxa"/>
            <w:vMerge w:val="restart"/>
            <w:vAlign w:val="center"/>
          </w:tcPr>
          <w:p>
            <w:pPr>
              <w:widowControl/>
              <w:topLinePunct w:val="0"/>
              <w:snapToGrid w:val="0"/>
              <w:spacing w:line="240" w:lineRule="auto"/>
              <w:ind w:firstLine="0" w:firstLineChars="0"/>
              <w:jc w:val="center"/>
              <w:rPr>
                <w:rFonts w:hint="default" w:ascii="Times New Roman" w:hAnsi="Times New Roman" w:cs="Times New Roman"/>
                <w:b/>
                <w:kern w:val="2"/>
                <w:sz w:val="21"/>
                <w:szCs w:val="21"/>
                <w:lang w:val="en-US" w:eastAsia="zh-CN"/>
              </w:rPr>
            </w:pPr>
            <w:r>
              <w:rPr>
                <w:rFonts w:hint="eastAsia" w:ascii="Times New Roman" w:hAnsi="Times New Roman" w:cs="Times New Roman"/>
                <w:b/>
                <w:kern w:val="2"/>
                <w:sz w:val="21"/>
                <w:szCs w:val="21"/>
                <w:lang w:val="en-US" w:eastAsia="zh-CN"/>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tblHeader/>
          <w:jc w:val="center"/>
        </w:trPr>
        <w:tc>
          <w:tcPr>
            <w:tcW w:w="512" w:type="dxa"/>
            <w:vMerge w:val="continue"/>
            <w:vAlign w:val="center"/>
          </w:tcPr>
          <w:p>
            <w:pPr>
              <w:widowControl/>
              <w:topLinePunct w:val="0"/>
              <w:snapToGrid w:val="0"/>
              <w:spacing w:line="240" w:lineRule="auto"/>
              <w:ind w:firstLine="0" w:firstLineChars="0"/>
              <w:jc w:val="center"/>
              <w:rPr>
                <w:rFonts w:ascii="Times New Roman" w:hAnsi="Times New Roman" w:cs="Times New Roman"/>
                <w:b/>
                <w:kern w:val="2"/>
                <w:sz w:val="21"/>
                <w:szCs w:val="21"/>
              </w:rPr>
            </w:pPr>
          </w:p>
        </w:tc>
        <w:tc>
          <w:tcPr>
            <w:tcW w:w="862" w:type="dxa"/>
            <w:vMerge w:val="continue"/>
            <w:vAlign w:val="center"/>
          </w:tcPr>
          <w:p>
            <w:pPr>
              <w:widowControl/>
              <w:topLinePunct w:val="0"/>
              <w:snapToGrid w:val="0"/>
              <w:spacing w:line="240" w:lineRule="auto"/>
              <w:ind w:firstLine="0" w:firstLineChars="0"/>
              <w:jc w:val="center"/>
              <w:rPr>
                <w:rFonts w:ascii="Times New Roman" w:hAnsi="Times New Roman" w:cs="Times New Roman"/>
                <w:b/>
                <w:kern w:val="2"/>
                <w:sz w:val="21"/>
                <w:szCs w:val="21"/>
              </w:rPr>
            </w:pPr>
          </w:p>
        </w:tc>
        <w:tc>
          <w:tcPr>
            <w:tcW w:w="657" w:type="dxa"/>
            <w:vMerge w:val="continue"/>
            <w:vAlign w:val="center"/>
          </w:tcPr>
          <w:p>
            <w:pPr>
              <w:widowControl/>
              <w:topLinePunct w:val="0"/>
              <w:snapToGrid w:val="0"/>
              <w:spacing w:line="240" w:lineRule="auto"/>
              <w:ind w:firstLine="0" w:firstLineChars="0"/>
              <w:jc w:val="center"/>
              <w:rPr>
                <w:rFonts w:ascii="Times New Roman" w:hAnsi="Times New Roman" w:cs="Times New Roman"/>
                <w:b/>
                <w:kern w:val="2"/>
                <w:sz w:val="21"/>
                <w:szCs w:val="21"/>
              </w:rPr>
            </w:pPr>
          </w:p>
        </w:tc>
        <w:tc>
          <w:tcPr>
            <w:tcW w:w="743" w:type="dxa"/>
            <w:vMerge w:val="continue"/>
            <w:vAlign w:val="center"/>
          </w:tcPr>
          <w:p>
            <w:pPr>
              <w:widowControl/>
              <w:topLinePunct w:val="0"/>
              <w:snapToGrid w:val="0"/>
              <w:spacing w:line="240" w:lineRule="auto"/>
              <w:ind w:firstLine="0" w:firstLineChars="0"/>
              <w:jc w:val="center"/>
              <w:rPr>
                <w:rFonts w:ascii="Times New Roman" w:hAnsi="Times New Roman" w:cs="Times New Roman"/>
                <w:b/>
                <w:kern w:val="2"/>
                <w:sz w:val="21"/>
                <w:szCs w:val="21"/>
              </w:rPr>
            </w:pPr>
          </w:p>
        </w:tc>
        <w:tc>
          <w:tcPr>
            <w:tcW w:w="822" w:type="dxa"/>
            <w:vAlign w:val="center"/>
          </w:tcPr>
          <w:p>
            <w:pPr>
              <w:widowControl/>
              <w:topLinePunct w:val="0"/>
              <w:snapToGrid w:val="0"/>
              <w:spacing w:line="240" w:lineRule="auto"/>
              <w:ind w:firstLine="0" w:firstLineChars="0"/>
              <w:jc w:val="center"/>
              <w:rPr>
                <w:rFonts w:ascii="Times New Roman" w:hAnsi="Times New Roman" w:cs="Times New Roman"/>
                <w:b/>
                <w:kern w:val="2"/>
                <w:sz w:val="21"/>
                <w:szCs w:val="21"/>
              </w:rPr>
            </w:pPr>
            <w:r>
              <w:rPr>
                <w:rFonts w:hint="eastAsia" w:ascii="Times New Roman" w:hAnsi="Times New Roman" w:cs="Times New Roman"/>
                <w:b/>
                <w:kern w:val="2"/>
                <w:sz w:val="21"/>
                <w:szCs w:val="21"/>
              </w:rPr>
              <w:t>X</w:t>
            </w:r>
          </w:p>
        </w:tc>
        <w:tc>
          <w:tcPr>
            <w:tcW w:w="822" w:type="dxa"/>
            <w:vAlign w:val="center"/>
          </w:tcPr>
          <w:p>
            <w:pPr>
              <w:widowControl/>
              <w:topLinePunct w:val="0"/>
              <w:snapToGrid w:val="0"/>
              <w:spacing w:line="240" w:lineRule="auto"/>
              <w:ind w:firstLine="0" w:firstLineChars="0"/>
              <w:jc w:val="center"/>
              <w:rPr>
                <w:rFonts w:ascii="Times New Roman" w:hAnsi="Times New Roman" w:cs="Times New Roman"/>
                <w:b/>
                <w:kern w:val="2"/>
                <w:sz w:val="21"/>
                <w:szCs w:val="21"/>
              </w:rPr>
            </w:pPr>
            <w:r>
              <w:rPr>
                <w:rFonts w:hint="eastAsia" w:ascii="Times New Roman" w:hAnsi="Times New Roman" w:cs="Times New Roman"/>
                <w:b/>
                <w:kern w:val="2"/>
                <w:sz w:val="21"/>
                <w:szCs w:val="21"/>
              </w:rPr>
              <w:t>Y</w:t>
            </w:r>
          </w:p>
        </w:tc>
        <w:tc>
          <w:tcPr>
            <w:tcW w:w="822" w:type="dxa"/>
            <w:vAlign w:val="center"/>
          </w:tcPr>
          <w:p>
            <w:pPr>
              <w:widowControl/>
              <w:topLinePunct w:val="0"/>
              <w:snapToGrid w:val="0"/>
              <w:spacing w:line="240" w:lineRule="auto"/>
              <w:ind w:firstLine="0" w:firstLineChars="0"/>
              <w:jc w:val="center"/>
              <w:rPr>
                <w:rFonts w:ascii="Times New Roman" w:hAnsi="Times New Roman" w:cs="Times New Roman"/>
                <w:b/>
                <w:kern w:val="2"/>
                <w:sz w:val="21"/>
                <w:szCs w:val="21"/>
              </w:rPr>
            </w:pPr>
            <w:r>
              <w:rPr>
                <w:rFonts w:hint="eastAsia" w:ascii="Times New Roman" w:hAnsi="Times New Roman" w:cs="Times New Roman"/>
                <w:b/>
                <w:kern w:val="2"/>
                <w:sz w:val="21"/>
                <w:szCs w:val="21"/>
              </w:rPr>
              <w:t>Z</w:t>
            </w:r>
          </w:p>
        </w:tc>
        <w:tc>
          <w:tcPr>
            <w:tcW w:w="1119" w:type="dxa"/>
            <w:vMerge w:val="continue"/>
            <w:vAlign w:val="center"/>
          </w:tcPr>
          <w:p>
            <w:pPr>
              <w:widowControl/>
              <w:topLinePunct w:val="0"/>
              <w:snapToGrid w:val="0"/>
              <w:spacing w:line="240" w:lineRule="auto"/>
              <w:ind w:firstLine="0" w:firstLineChars="0"/>
              <w:jc w:val="center"/>
              <w:rPr>
                <w:rFonts w:ascii="Times New Roman" w:hAnsi="Times New Roman" w:cs="Times New Roman"/>
                <w:b/>
                <w:kern w:val="2"/>
                <w:sz w:val="21"/>
                <w:szCs w:val="21"/>
              </w:rPr>
            </w:pPr>
          </w:p>
        </w:tc>
        <w:tc>
          <w:tcPr>
            <w:tcW w:w="1220" w:type="dxa"/>
            <w:vMerge w:val="continue"/>
            <w:vAlign w:val="center"/>
          </w:tcPr>
          <w:p>
            <w:pPr>
              <w:widowControl/>
              <w:topLinePunct w:val="0"/>
              <w:snapToGrid w:val="0"/>
              <w:spacing w:line="240" w:lineRule="auto"/>
              <w:ind w:firstLine="0" w:firstLineChars="0"/>
              <w:jc w:val="center"/>
              <w:rPr>
                <w:rFonts w:ascii="Times New Roman" w:hAnsi="Times New Roman" w:cs="Times New Roman"/>
                <w:b/>
                <w:kern w:val="2"/>
                <w:sz w:val="21"/>
                <w:szCs w:val="21"/>
              </w:rPr>
            </w:pPr>
          </w:p>
        </w:tc>
        <w:tc>
          <w:tcPr>
            <w:tcW w:w="1221" w:type="dxa"/>
            <w:vMerge w:val="continue"/>
            <w:vAlign w:val="center"/>
          </w:tcPr>
          <w:p>
            <w:pPr>
              <w:widowControl/>
              <w:topLinePunct w:val="0"/>
              <w:snapToGrid w:val="0"/>
              <w:spacing w:line="240" w:lineRule="auto"/>
              <w:ind w:firstLine="0" w:firstLineChars="0"/>
              <w:jc w:val="center"/>
              <w:rPr>
                <w:rFonts w:ascii="Times New Roman" w:hAnsi="Times New Roman" w:cs="Times New Roman"/>
                <w:b/>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jc w:val="center"/>
        </w:trPr>
        <w:tc>
          <w:tcPr>
            <w:tcW w:w="512" w:type="dxa"/>
            <w:vAlign w:val="center"/>
          </w:tcPr>
          <w:p>
            <w:pPr>
              <w:widowControl/>
              <w:topLinePunct w:val="0"/>
              <w:snapToGrid w:val="0"/>
              <w:spacing w:line="240" w:lineRule="auto"/>
              <w:ind w:firstLine="0" w:firstLineChars="0"/>
              <w:jc w:val="center"/>
              <w:rPr>
                <w:rFonts w:ascii="Times New Roman" w:hAnsi="Times New Roman" w:cs="Times New Roman"/>
                <w:kern w:val="2"/>
                <w:sz w:val="21"/>
                <w:szCs w:val="21"/>
              </w:rPr>
            </w:pPr>
            <w:r>
              <w:rPr>
                <w:rFonts w:ascii="Times New Roman" w:hAnsi="Times New Roman" w:cs="Times New Roman"/>
                <w:kern w:val="2"/>
                <w:sz w:val="21"/>
                <w:szCs w:val="21"/>
              </w:rPr>
              <w:t>1</w:t>
            </w:r>
          </w:p>
        </w:tc>
        <w:tc>
          <w:tcPr>
            <w:tcW w:w="862" w:type="dxa"/>
            <w:vAlign w:val="center"/>
          </w:tcPr>
          <w:p>
            <w:pPr>
              <w:widowControl/>
              <w:topLinePunct w:val="0"/>
              <w:snapToGrid w:val="0"/>
              <w:spacing w:line="240" w:lineRule="auto"/>
              <w:ind w:firstLine="0" w:firstLineChars="0"/>
              <w:jc w:val="center"/>
              <w:rPr>
                <w:rFonts w:ascii="Times New Roman" w:hAnsi="Times New Roman" w:cs="Times New Roman"/>
                <w:kern w:val="2"/>
                <w:sz w:val="21"/>
                <w:szCs w:val="21"/>
              </w:rPr>
            </w:pPr>
            <w:r>
              <w:rPr>
                <w:rFonts w:ascii="Times New Roman" w:hAnsi="Times New Roman" w:cs="Times New Roman"/>
                <w:kern w:val="2"/>
                <w:sz w:val="21"/>
                <w:szCs w:val="21"/>
              </w:rPr>
              <w:t>钻机</w:t>
            </w:r>
          </w:p>
        </w:tc>
        <w:tc>
          <w:tcPr>
            <w:tcW w:w="657" w:type="dxa"/>
            <w:vAlign w:val="center"/>
          </w:tcPr>
          <w:p>
            <w:pPr>
              <w:widowControl/>
              <w:topLinePunct w:val="0"/>
              <w:snapToGrid w:val="0"/>
              <w:spacing w:line="240" w:lineRule="auto"/>
              <w:ind w:firstLine="0" w:firstLineChars="0"/>
              <w:jc w:val="center"/>
              <w:rPr>
                <w:rFonts w:hint="eastAsia" w:ascii="Times New Roman" w:hAnsi="Times New Roman" w:eastAsia="宋体" w:cs="Times New Roman"/>
                <w:kern w:val="2"/>
                <w:sz w:val="21"/>
                <w:szCs w:val="21"/>
                <w:lang w:eastAsia="zh-CN"/>
              </w:rPr>
            </w:pPr>
            <w:r>
              <w:rPr>
                <w:rFonts w:hint="eastAsia" w:ascii="Times New Roman" w:hAnsi="Times New Roman" w:cs="Times New Roman"/>
                <w:kern w:val="2"/>
                <w:sz w:val="21"/>
                <w:szCs w:val="21"/>
                <w:lang w:val="en-US" w:eastAsia="zh-CN"/>
              </w:rPr>
              <w:t>1</w:t>
            </w:r>
          </w:p>
        </w:tc>
        <w:tc>
          <w:tcPr>
            <w:tcW w:w="743" w:type="dxa"/>
            <w:vAlign w:val="center"/>
          </w:tcPr>
          <w:p>
            <w:pPr>
              <w:widowControl/>
              <w:topLinePunct w:val="0"/>
              <w:snapToGrid w:val="0"/>
              <w:spacing w:line="240" w:lineRule="auto"/>
              <w:ind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w:t>
            </w:r>
          </w:p>
        </w:tc>
        <w:tc>
          <w:tcPr>
            <w:tcW w:w="822" w:type="dxa"/>
            <w:vAlign w:val="center"/>
          </w:tcPr>
          <w:p>
            <w:pPr>
              <w:widowControl/>
              <w:topLinePunct w:val="0"/>
              <w:snapToGrid w:val="0"/>
              <w:spacing w:line="240" w:lineRule="auto"/>
              <w:ind w:firstLine="0" w:firstLineChars="0"/>
              <w:jc w:val="center"/>
              <w:rPr>
                <w:rFonts w:ascii="Times New Roman" w:hAnsi="Times New Roman" w:cs="Times New Roman"/>
                <w:kern w:val="2"/>
                <w:sz w:val="21"/>
                <w:szCs w:val="21"/>
              </w:rPr>
            </w:pPr>
            <w:r>
              <w:rPr>
                <w:rFonts w:ascii="Times New Roman" w:hAnsi="Times New Roman" w:cs="Times New Roman"/>
                <w:kern w:val="2"/>
                <w:sz w:val="21"/>
                <w:szCs w:val="21"/>
              </w:rPr>
              <w:t>22</w:t>
            </w:r>
          </w:p>
        </w:tc>
        <w:tc>
          <w:tcPr>
            <w:tcW w:w="822" w:type="dxa"/>
            <w:vAlign w:val="center"/>
          </w:tcPr>
          <w:p>
            <w:pPr>
              <w:widowControl/>
              <w:topLinePunct w:val="0"/>
              <w:snapToGrid w:val="0"/>
              <w:spacing w:line="240" w:lineRule="auto"/>
              <w:ind w:firstLine="0" w:firstLineChars="0"/>
              <w:jc w:val="center"/>
              <w:rPr>
                <w:rFonts w:ascii="Times New Roman" w:hAnsi="Times New Roman" w:cs="Times New Roman"/>
                <w:kern w:val="2"/>
                <w:sz w:val="21"/>
                <w:szCs w:val="21"/>
              </w:rPr>
            </w:pPr>
            <w:r>
              <w:rPr>
                <w:rFonts w:ascii="Times New Roman" w:hAnsi="Times New Roman" w:cs="Times New Roman"/>
                <w:kern w:val="2"/>
                <w:sz w:val="21"/>
                <w:szCs w:val="21"/>
              </w:rPr>
              <w:t>-14</w:t>
            </w:r>
          </w:p>
        </w:tc>
        <w:tc>
          <w:tcPr>
            <w:tcW w:w="822"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rPr>
            </w:pPr>
            <w:r>
              <w:rPr>
                <w:rFonts w:hint="eastAsia" w:ascii="Times New Roman" w:cs="Times New Roman"/>
                <w:kern w:val="2"/>
                <w:sz w:val="21"/>
                <w:szCs w:val="21"/>
                <w:lang w:val="en-US" w:eastAsia="zh-CN"/>
              </w:rPr>
              <w:t>15</w:t>
            </w:r>
          </w:p>
        </w:tc>
        <w:tc>
          <w:tcPr>
            <w:tcW w:w="1119"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cs="Times New Roman"/>
                <w:kern w:val="2"/>
                <w:sz w:val="21"/>
                <w:szCs w:val="21"/>
                <w:lang w:val="en-US" w:eastAsia="zh-CN"/>
              </w:rPr>
              <w:t>85</w:t>
            </w:r>
            <w:r>
              <w:rPr>
                <w:rFonts w:hint="eastAsia" w:ascii="Times New Roman" w:hAnsi="Times New Roman" w:cs="Times New Roman"/>
                <w:kern w:val="2"/>
                <w:sz w:val="21"/>
                <w:szCs w:val="21"/>
                <w:lang w:val="en-US" w:eastAsia="zh-CN"/>
              </w:rPr>
              <w:t>/1</w:t>
            </w:r>
          </w:p>
        </w:tc>
        <w:tc>
          <w:tcPr>
            <w:tcW w:w="1220"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rPr>
            </w:pPr>
            <w:r>
              <w:rPr>
                <w:rFonts w:hint="eastAsia" w:ascii="Times New Roman" w:cs="Times New Roman"/>
                <w:kern w:val="2"/>
                <w:sz w:val="21"/>
                <w:szCs w:val="21"/>
                <w:lang w:val="en-US" w:eastAsia="zh-CN"/>
              </w:rPr>
              <w:t>加强设备维护，选取低噪声设备</w:t>
            </w:r>
          </w:p>
        </w:tc>
        <w:tc>
          <w:tcPr>
            <w:tcW w:w="1221"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钻井期间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jc w:val="center"/>
        </w:trPr>
        <w:tc>
          <w:tcPr>
            <w:tcW w:w="512" w:type="dxa"/>
            <w:vAlign w:val="center"/>
          </w:tcPr>
          <w:p>
            <w:pPr>
              <w:widowControl/>
              <w:topLinePunct w:val="0"/>
              <w:snapToGrid w:val="0"/>
              <w:spacing w:line="240" w:lineRule="auto"/>
              <w:ind w:firstLine="0" w:firstLineChars="0"/>
              <w:jc w:val="center"/>
              <w:rPr>
                <w:rFonts w:ascii="Times New Roman" w:hAnsi="Times New Roman" w:cs="Times New Roman"/>
                <w:kern w:val="2"/>
                <w:sz w:val="21"/>
                <w:szCs w:val="21"/>
              </w:rPr>
            </w:pPr>
            <w:r>
              <w:rPr>
                <w:rFonts w:ascii="Times New Roman" w:hAnsi="Times New Roman" w:cs="Times New Roman"/>
                <w:kern w:val="2"/>
                <w:sz w:val="21"/>
                <w:szCs w:val="21"/>
              </w:rPr>
              <w:t>2</w:t>
            </w:r>
          </w:p>
        </w:tc>
        <w:tc>
          <w:tcPr>
            <w:tcW w:w="862" w:type="dxa"/>
            <w:vAlign w:val="center"/>
          </w:tcPr>
          <w:p>
            <w:pPr>
              <w:widowControl/>
              <w:topLinePunct w:val="0"/>
              <w:snapToGrid w:val="0"/>
              <w:spacing w:line="240" w:lineRule="auto"/>
              <w:ind w:firstLine="0" w:firstLineChars="0"/>
              <w:jc w:val="center"/>
              <w:rPr>
                <w:rFonts w:ascii="Times New Roman" w:hAnsi="Times New Roman" w:cs="Times New Roman"/>
                <w:kern w:val="2"/>
                <w:sz w:val="21"/>
                <w:szCs w:val="21"/>
              </w:rPr>
            </w:pPr>
            <w:r>
              <w:rPr>
                <w:rFonts w:ascii="Times New Roman" w:hAnsi="Times New Roman" w:cs="Times New Roman"/>
                <w:kern w:val="2"/>
                <w:sz w:val="21"/>
                <w:szCs w:val="21"/>
              </w:rPr>
              <w:t>泥浆泵</w:t>
            </w:r>
          </w:p>
        </w:tc>
        <w:tc>
          <w:tcPr>
            <w:tcW w:w="657" w:type="dxa"/>
            <w:vAlign w:val="center"/>
          </w:tcPr>
          <w:p>
            <w:pPr>
              <w:widowControl/>
              <w:topLinePunct w:val="0"/>
              <w:snapToGrid w:val="0"/>
              <w:spacing w:line="240" w:lineRule="auto"/>
              <w:ind w:firstLine="0" w:firstLineChars="0"/>
              <w:jc w:val="center"/>
              <w:rPr>
                <w:rFonts w:ascii="Times New Roman" w:hAnsi="Times New Roman" w:cs="Times New Roman"/>
                <w:kern w:val="2"/>
                <w:sz w:val="21"/>
                <w:szCs w:val="21"/>
              </w:rPr>
            </w:pPr>
            <w:r>
              <w:rPr>
                <w:rFonts w:ascii="Times New Roman" w:hAnsi="Times New Roman" w:cs="Times New Roman"/>
                <w:kern w:val="2"/>
                <w:sz w:val="21"/>
                <w:szCs w:val="21"/>
              </w:rPr>
              <w:t>3</w:t>
            </w:r>
          </w:p>
        </w:tc>
        <w:tc>
          <w:tcPr>
            <w:tcW w:w="743" w:type="dxa"/>
            <w:vAlign w:val="center"/>
          </w:tcPr>
          <w:p>
            <w:pPr>
              <w:widowControl/>
              <w:topLinePunct w:val="0"/>
              <w:snapToGrid w:val="0"/>
              <w:spacing w:line="240" w:lineRule="auto"/>
              <w:ind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w:t>
            </w:r>
          </w:p>
        </w:tc>
        <w:tc>
          <w:tcPr>
            <w:tcW w:w="822" w:type="dxa"/>
            <w:vAlign w:val="center"/>
          </w:tcPr>
          <w:p>
            <w:pPr>
              <w:widowControl/>
              <w:topLinePunct w:val="0"/>
              <w:snapToGrid w:val="0"/>
              <w:spacing w:line="240" w:lineRule="auto"/>
              <w:ind w:firstLine="0" w:firstLineChars="0"/>
              <w:jc w:val="center"/>
              <w:rPr>
                <w:rFonts w:ascii="Times New Roman" w:hAnsi="Times New Roman" w:cs="Times New Roman"/>
                <w:kern w:val="2"/>
                <w:sz w:val="21"/>
                <w:szCs w:val="21"/>
              </w:rPr>
            </w:pPr>
            <w:r>
              <w:rPr>
                <w:rFonts w:ascii="Times New Roman" w:hAnsi="Times New Roman" w:cs="Times New Roman"/>
                <w:kern w:val="2"/>
                <w:sz w:val="21"/>
                <w:szCs w:val="21"/>
              </w:rPr>
              <w:t>24</w:t>
            </w:r>
          </w:p>
        </w:tc>
        <w:tc>
          <w:tcPr>
            <w:tcW w:w="822" w:type="dxa"/>
            <w:vAlign w:val="center"/>
          </w:tcPr>
          <w:p>
            <w:pPr>
              <w:widowControl/>
              <w:topLinePunct w:val="0"/>
              <w:snapToGrid w:val="0"/>
              <w:spacing w:line="240" w:lineRule="auto"/>
              <w:ind w:firstLine="0" w:firstLineChars="0"/>
              <w:jc w:val="center"/>
              <w:rPr>
                <w:rFonts w:ascii="Times New Roman" w:hAnsi="Times New Roman" w:cs="Times New Roman"/>
                <w:kern w:val="2"/>
                <w:sz w:val="21"/>
                <w:szCs w:val="21"/>
              </w:rPr>
            </w:pPr>
            <w:r>
              <w:rPr>
                <w:rFonts w:ascii="Times New Roman" w:hAnsi="Times New Roman" w:cs="Times New Roman"/>
                <w:kern w:val="2"/>
                <w:sz w:val="21"/>
                <w:szCs w:val="21"/>
              </w:rPr>
              <w:t>-44</w:t>
            </w:r>
          </w:p>
        </w:tc>
        <w:tc>
          <w:tcPr>
            <w:tcW w:w="822" w:type="dxa"/>
            <w:vAlign w:val="center"/>
          </w:tcPr>
          <w:p>
            <w:pPr>
              <w:widowControl/>
              <w:topLinePunct w:val="0"/>
              <w:snapToGrid w:val="0"/>
              <w:spacing w:line="240" w:lineRule="auto"/>
              <w:ind w:firstLine="0" w:firstLineChars="0"/>
              <w:jc w:val="center"/>
              <w:rPr>
                <w:rFonts w:ascii="Times New Roman" w:hAnsi="Times New Roman" w:cs="Times New Roman"/>
                <w:kern w:val="2"/>
                <w:sz w:val="21"/>
                <w:szCs w:val="21"/>
              </w:rPr>
            </w:pPr>
            <w:r>
              <w:rPr>
                <w:rFonts w:ascii="Times New Roman" w:hAnsi="Times New Roman" w:cs="Times New Roman"/>
                <w:kern w:val="2"/>
                <w:sz w:val="21"/>
                <w:szCs w:val="21"/>
              </w:rPr>
              <w:t>2</w:t>
            </w:r>
          </w:p>
        </w:tc>
        <w:tc>
          <w:tcPr>
            <w:tcW w:w="1119"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cs="Times New Roman"/>
                <w:kern w:val="2"/>
                <w:sz w:val="21"/>
                <w:szCs w:val="21"/>
                <w:lang w:val="en-US" w:eastAsia="zh-CN" w:bidi="ar-SA"/>
              </w:rPr>
              <w:t>8</w:t>
            </w:r>
            <w:r>
              <w:rPr>
                <w:rFonts w:hint="eastAsia" w:ascii="Times New Roman" w:hAnsi="Times New Roman" w:cs="Times New Roman"/>
                <w:kern w:val="2"/>
                <w:sz w:val="21"/>
                <w:szCs w:val="21"/>
                <w:lang w:val="en-US" w:eastAsia="zh-CN" w:bidi="ar-SA"/>
              </w:rPr>
              <w:t>0/1</w:t>
            </w:r>
          </w:p>
        </w:tc>
        <w:tc>
          <w:tcPr>
            <w:tcW w:w="1220" w:type="dxa"/>
            <w:vAlign w:val="center"/>
          </w:tcPr>
          <w:p>
            <w:pPr>
              <w:widowControl/>
              <w:topLinePunct w:val="0"/>
              <w:snapToGrid w:val="0"/>
              <w:spacing w:line="240" w:lineRule="auto"/>
              <w:ind w:firstLine="0" w:firstLineChars="0"/>
              <w:jc w:val="center"/>
              <w:rPr>
                <w:rFonts w:ascii="Times New Roman" w:hAnsi="Times New Roman" w:cs="Times New Roman"/>
                <w:kern w:val="2"/>
                <w:sz w:val="21"/>
                <w:szCs w:val="21"/>
              </w:rPr>
            </w:pPr>
            <w:r>
              <w:rPr>
                <w:rFonts w:hint="eastAsia" w:ascii="Times New Roman" w:hAnsi="Times New Roman" w:cs="Times New Roman"/>
                <w:kern w:val="2"/>
                <w:sz w:val="21"/>
                <w:szCs w:val="21"/>
                <w:lang w:val="en-US" w:eastAsia="zh-CN"/>
              </w:rPr>
              <w:t>基础减震</w:t>
            </w:r>
          </w:p>
        </w:tc>
        <w:tc>
          <w:tcPr>
            <w:tcW w:w="1221" w:type="dxa"/>
            <w:vAlign w:val="center"/>
          </w:tcPr>
          <w:p>
            <w:pPr>
              <w:widowControl/>
              <w:topLinePunct w:val="0"/>
              <w:snapToGrid w:val="0"/>
              <w:spacing w:line="240" w:lineRule="auto"/>
              <w:ind w:firstLine="0" w:firstLineChars="0"/>
              <w:jc w:val="center"/>
              <w:rPr>
                <w:rFonts w:ascii="Times New Roman" w:hAnsi="Times New Roman" w:cs="Times New Roman"/>
                <w:kern w:val="2"/>
                <w:sz w:val="21"/>
                <w:szCs w:val="21"/>
              </w:rPr>
            </w:pPr>
            <w:r>
              <w:rPr>
                <w:rFonts w:hint="eastAsia" w:ascii="Times New Roman" w:hAnsi="Times New Roman" w:cs="Times New Roman"/>
                <w:kern w:val="2"/>
                <w:sz w:val="21"/>
                <w:szCs w:val="21"/>
                <w:lang w:val="en-US" w:eastAsia="zh-CN"/>
              </w:rPr>
              <w:t>钻井期间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jc w:val="center"/>
        </w:trPr>
        <w:tc>
          <w:tcPr>
            <w:tcW w:w="512" w:type="dxa"/>
            <w:vAlign w:val="center"/>
          </w:tcPr>
          <w:p>
            <w:pPr>
              <w:widowControl/>
              <w:topLinePunct w:val="0"/>
              <w:snapToGrid w:val="0"/>
              <w:spacing w:line="240" w:lineRule="auto"/>
              <w:ind w:firstLine="0" w:firstLineChars="0"/>
              <w:jc w:val="center"/>
              <w:rPr>
                <w:rFonts w:ascii="Times New Roman" w:hAnsi="Times New Roman" w:cs="Times New Roman"/>
                <w:kern w:val="2"/>
                <w:sz w:val="21"/>
                <w:szCs w:val="21"/>
              </w:rPr>
            </w:pPr>
            <w:r>
              <w:rPr>
                <w:rFonts w:ascii="Times New Roman" w:hAnsi="Times New Roman" w:cs="Times New Roman"/>
                <w:kern w:val="2"/>
                <w:sz w:val="21"/>
                <w:szCs w:val="21"/>
              </w:rPr>
              <w:t>3</w:t>
            </w:r>
          </w:p>
        </w:tc>
        <w:tc>
          <w:tcPr>
            <w:tcW w:w="862" w:type="dxa"/>
            <w:vAlign w:val="center"/>
          </w:tcPr>
          <w:p>
            <w:pPr>
              <w:widowControl/>
              <w:topLinePunct w:val="0"/>
              <w:snapToGrid w:val="0"/>
              <w:spacing w:line="240" w:lineRule="auto"/>
              <w:ind w:firstLine="0" w:firstLineChars="0"/>
              <w:jc w:val="center"/>
              <w:rPr>
                <w:rFonts w:ascii="Times New Roman" w:hAnsi="Times New Roman" w:cs="Times New Roman"/>
                <w:kern w:val="2"/>
                <w:sz w:val="21"/>
                <w:szCs w:val="21"/>
              </w:rPr>
            </w:pPr>
            <w:r>
              <w:rPr>
                <w:rFonts w:ascii="Times New Roman" w:hAnsi="Times New Roman" w:cs="Times New Roman"/>
                <w:kern w:val="2"/>
                <w:sz w:val="21"/>
                <w:szCs w:val="21"/>
              </w:rPr>
              <w:t>振动筛</w:t>
            </w:r>
          </w:p>
        </w:tc>
        <w:tc>
          <w:tcPr>
            <w:tcW w:w="657" w:type="dxa"/>
            <w:vAlign w:val="center"/>
          </w:tcPr>
          <w:p>
            <w:pPr>
              <w:widowControl/>
              <w:topLinePunct w:val="0"/>
              <w:snapToGrid w:val="0"/>
              <w:spacing w:line="240" w:lineRule="auto"/>
              <w:ind w:firstLine="0" w:firstLineChars="0"/>
              <w:jc w:val="center"/>
              <w:rPr>
                <w:rFonts w:ascii="Times New Roman" w:hAnsi="Times New Roman" w:cs="Times New Roman"/>
                <w:kern w:val="2"/>
                <w:sz w:val="21"/>
                <w:szCs w:val="21"/>
              </w:rPr>
            </w:pPr>
            <w:r>
              <w:rPr>
                <w:rFonts w:ascii="Times New Roman" w:hAnsi="Times New Roman" w:cs="Times New Roman"/>
                <w:kern w:val="2"/>
                <w:sz w:val="21"/>
                <w:szCs w:val="21"/>
              </w:rPr>
              <w:t>3</w:t>
            </w:r>
          </w:p>
        </w:tc>
        <w:tc>
          <w:tcPr>
            <w:tcW w:w="743" w:type="dxa"/>
            <w:vAlign w:val="center"/>
          </w:tcPr>
          <w:p>
            <w:pPr>
              <w:widowControl/>
              <w:topLinePunct w:val="0"/>
              <w:snapToGrid w:val="0"/>
              <w:spacing w:line="240" w:lineRule="auto"/>
              <w:ind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w:t>
            </w:r>
          </w:p>
        </w:tc>
        <w:tc>
          <w:tcPr>
            <w:tcW w:w="822" w:type="dxa"/>
            <w:vAlign w:val="center"/>
          </w:tcPr>
          <w:p>
            <w:pPr>
              <w:widowControl/>
              <w:topLinePunct w:val="0"/>
              <w:snapToGrid w:val="0"/>
              <w:spacing w:line="240" w:lineRule="auto"/>
              <w:ind w:firstLine="0" w:firstLineChars="0"/>
              <w:jc w:val="center"/>
              <w:rPr>
                <w:rFonts w:ascii="Times New Roman" w:hAnsi="Times New Roman" w:cs="Times New Roman"/>
                <w:kern w:val="2"/>
                <w:sz w:val="21"/>
                <w:szCs w:val="21"/>
              </w:rPr>
            </w:pPr>
            <w:r>
              <w:rPr>
                <w:rFonts w:hint="eastAsia" w:ascii="Times New Roman" w:hAnsi="Times New Roman" w:cs="Times New Roman"/>
                <w:kern w:val="2"/>
                <w:sz w:val="21"/>
                <w:szCs w:val="21"/>
              </w:rPr>
              <w:t>27</w:t>
            </w:r>
          </w:p>
        </w:tc>
        <w:tc>
          <w:tcPr>
            <w:tcW w:w="822" w:type="dxa"/>
            <w:vAlign w:val="center"/>
          </w:tcPr>
          <w:p>
            <w:pPr>
              <w:widowControl/>
              <w:topLinePunct w:val="0"/>
              <w:snapToGrid w:val="0"/>
              <w:spacing w:line="240" w:lineRule="auto"/>
              <w:ind w:firstLine="0" w:firstLineChars="0"/>
              <w:jc w:val="center"/>
              <w:rPr>
                <w:rFonts w:ascii="Times New Roman" w:hAnsi="Times New Roman" w:cs="Times New Roman"/>
                <w:kern w:val="2"/>
                <w:sz w:val="21"/>
                <w:szCs w:val="21"/>
              </w:rPr>
            </w:pPr>
            <w:r>
              <w:rPr>
                <w:rFonts w:ascii="Times New Roman" w:hAnsi="Times New Roman" w:cs="Times New Roman"/>
                <w:kern w:val="2"/>
                <w:sz w:val="21"/>
                <w:szCs w:val="21"/>
              </w:rPr>
              <w:t>-20</w:t>
            </w:r>
          </w:p>
        </w:tc>
        <w:tc>
          <w:tcPr>
            <w:tcW w:w="822" w:type="dxa"/>
            <w:vAlign w:val="center"/>
          </w:tcPr>
          <w:p>
            <w:pPr>
              <w:widowControl/>
              <w:topLinePunct w:val="0"/>
              <w:snapToGrid w:val="0"/>
              <w:spacing w:line="240" w:lineRule="auto"/>
              <w:ind w:firstLine="0" w:firstLineChars="0"/>
              <w:jc w:val="center"/>
              <w:rPr>
                <w:rFonts w:ascii="Times New Roman" w:hAnsi="Times New Roman" w:cs="Times New Roman"/>
                <w:kern w:val="2"/>
                <w:sz w:val="21"/>
                <w:szCs w:val="21"/>
              </w:rPr>
            </w:pPr>
            <w:r>
              <w:rPr>
                <w:rFonts w:ascii="Times New Roman" w:hAnsi="Times New Roman" w:cs="Times New Roman"/>
                <w:kern w:val="2"/>
                <w:sz w:val="21"/>
                <w:szCs w:val="21"/>
              </w:rPr>
              <w:t>2</w:t>
            </w:r>
          </w:p>
        </w:tc>
        <w:tc>
          <w:tcPr>
            <w:tcW w:w="1119"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cs="Times New Roman"/>
                <w:kern w:val="2"/>
                <w:sz w:val="21"/>
                <w:szCs w:val="21"/>
                <w:lang w:val="en-US" w:eastAsia="zh-CN"/>
              </w:rPr>
              <w:t>80</w:t>
            </w:r>
            <w:r>
              <w:rPr>
                <w:rFonts w:hint="eastAsia" w:ascii="Times New Roman" w:hAnsi="Times New Roman" w:cs="Times New Roman"/>
                <w:kern w:val="2"/>
                <w:sz w:val="21"/>
                <w:szCs w:val="21"/>
                <w:lang w:val="en-US" w:eastAsia="zh-CN"/>
              </w:rPr>
              <w:t>/1</w:t>
            </w:r>
          </w:p>
        </w:tc>
        <w:tc>
          <w:tcPr>
            <w:tcW w:w="1220" w:type="dxa"/>
            <w:vAlign w:val="center"/>
          </w:tcPr>
          <w:p>
            <w:pPr>
              <w:widowControl/>
              <w:topLinePunct w:val="0"/>
              <w:snapToGrid w:val="0"/>
              <w:spacing w:line="240" w:lineRule="auto"/>
              <w:ind w:firstLine="0" w:firstLineChars="0"/>
              <w:jc w:val="center"/>
              <w:rPr>
                <w:rFonts w:ascii="Times New Roman" w:hAnsi="Times New Roman" w:cs="Times New Roman"/>
                <w:kern w:val="2"/>
                <w:sz w:val="21"/>
                <w:szCs w:val="21"/>
              </w:rPr>
            </w:pPr>
            <w:r>
              <w:rPr>
                <w:rFonts w:hint="eastAsia" w:ascii="Times New Roman" w:hAnsi="Times New Roman" w:cs="Times New Roman"/>
                <w:kern w:val="2"/>
                <w:sz w:val="21"/>
                <w:szCs w:val="21"/>
                <w:lang w:val="en-US" w:eastAsia="zh-CN"/>
              </w:rPr>
              <w:t>基础减震</w:t>
            </w:r>
          </w:p>
        </w:tc>
        <w:tc>
          <w:tcPr>
            <w:tcW w:w="1221" w:type="dxa"/>
            <w:vAlign w:val="center"/>
          </w:tcPr>
          <w:p>
            <w:pPr>
              <w:widowControl/>
              <w:topLinePunct w:val="0"/>
              <w:snapToGrid w:val="0"/>
              <w:spacing w:line="240" w:lineRule="auto"/>
              <w:ind w:firstLine="0" w:firstLineChars="0"/>
              <w:jc w:val="center"/>
              <w:rPr>
                <w:rFonts w:ascii="Times New Roman" w:hAnsi="Times New Roman" w:cs="Times New Roman"/>
                <w:kern w:val="2"/>
                <w:sz w:val="21"/>
                <w:szCs w:val="21"/>
              </w:rPr>
            </w:pPr>
            <w:r>
              <w:rPr>
                <w:rFonts w:hint="eastAsia" w:ascii="Times New Roman" w:hAnsi="Times New Roman" w:cs="Times New Roman"/>
                <w:kern w:val="2"/>
                <w:sz w:val="21"/>
                <w:szCs w:val="21"/>
                <w:lang w:val="en-US" w:eastAsia="zh-CN"/>
              </w:rPr>
              <w:t>钻井期间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jc w:val="center"/>
        </w:trPr>
        <w:tc>
          <w:tcPr>
            <w:tcW w:w="512" w:type="dxa"/>
            <w:vAlign w:val="center"/>
          </w:tcPr>
          <w:p>
            <w:pPr>
              <w:widowControl/>
              <w:topLinePunct w:val="0"/>
              <w:snapToGrid w:val="0"/>
              <w:spacing w:line="240" w:lineRule="auto"/>
              <w:ind w:firstLine="0" w:firstLineChars="0"/>
              <w:jc w:val="center"/>
              <w:rPr>
                <w:rFonts w:ascii="Times New Roman" w:hAnsi="Times New Roman" w:cs="Times New Roman"/>
                <w:kern w:val="2"/>
                <w:sz w:val="21"/>
                <w:szCs w:val="21"/>
              </w:rPr>
            </w:pPr>
            <w:r>
              <w:rPr>
                <w:rFonts w:ascii="Times New Roman" w:hAnsi="Times New Roman" w:cs="Times New Roman"/>
                <w:kern w:val="2"/>
                <w:sz w:val="21"/>
                <w:szCs w:val="21"/>
              </w:rPr>
              <w:t>4</w:t>
            </w:r>
          </w:p>
        </w:tc>
        <w:tc>
          <w:tcPr>
            <w:tcW w:w="862" w:type="dxa"/>
            <w:vAlign w:val="center"/>
          </w:tcPr>
          <w:p>
            <w:pPr>
              <w:widowControl/>
              <w:topLinePunct w:val="0"/>
              <w:snapToGrid w:val="0"/>
              <w:spacing w:line="240" w:lineRule="auto"/>
              <w:ind w:firstLine="0" w:firstLineChars="0"/>
              <w:jc w:val="center"/>
              <w:rPr>
                <w:rFonts w:ascii="Times New Roman" w:hAnsi="Times New Roman" w:cs="Times New Roman"/>
                <w:kern w:val="2"/>
                <w:sz w:val="21"/>
                <w:szCs w:val="21"/>
              </w:rPr>
            </w:pPr>
            <w:r>
              <w:rPr>
                <w:rFonts w:ascii="Times New Roman" w:hAnsi="Times New Roman" w:cs="Times New Roman"/>
                <w:kern w:val="2"/>
                <w:sz w:val="21"/>
                <w:szCs w:val="21"/>
              </w:rPr>
              <w:t>离心机</w:t>
            </w:r>
          </w:p>
        </w:tc>
        <w:tc>
          <w:tcPr>
            <w:tcW w:w="657" w:type="dxa"/>
            <w:vAlign w:val="center"/>
          </w:tcPr>
          <w:p>
            <w:pPr>
              <w:widowControl/>
              <w:topLinePunct w:val="0"/>
              <w:snapToGrid w:val="0"/>
              <w:spacing w:line="240" w:lineRule="auto"/>
              <w:ind w:firstLine="0" w:firstLineChars="0"/>
              <w:jc w:val="center"/>
              <w:rPr>
                <w:rFonts w:hint="eastAsia" w:ascii="Times New Roman" w:hAnsi="Times New Roman" w:eastAsia="宋体" w:cs="Times New Roman"/>
                <w:kern w:val="2"/>
                <w:sz w:val="21"/>
                <w:szCs w:val="21"/>
                <w:lang w:eastAsia="zh-CN"/>
              </w:rPr>
            </w:pPr>
            <w:r>
              <w:rPr>
                <w:rFonts w:hint="eastAsia" w:ascii="Times New Roman" w:hAnsi="Times New Roman" w:cs="Times New Roman"/>
                <w:kern w:val="2"/>
                <w:sz w:val="21"/>
                <w:szCs w:val="21"/>
                <w:lang w:val="en-US" w:eastAsia="zh-CN"/>
              </w:rPr>
              <w:t>1</w:t>
            </w:r>
          </w:p>
        </w:tc>
        <w:tc>
          <w:tcPr>
            <w:tcW w:w="743" w:type="dxa"/>
            <w:vAlign w:val="center"/>
          </w:tcPr>
          <w:p>
            <w:pPr>
              <w:widowControl/>
              <w:topLinePunct w:val="0"/>
              <w:snapToGrid w:val="0"/>
              <w:spacing w:line="240" w:lineRule="auto"/>
              <w:ind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w:t>
            </w:r>
          </w:p>
        </w:tc>
        <w:tc>
          <w:tcPr>
            <w:tcW w:w="822" w:type="dxa"/>
            <w:vAlign w:val="center"/>
          </w:tcPr>
          <w:p>
            <w:pPr>
              <w:widowControl/>
              <w:topLinePunct w:val="0"/>
              <w:snapToGrid w:val="0"/>
              <w:spacing w:line="240" w:lineRule="auto"/>
              <w:ind w:firstLine="0" w:firstLineChars="0"/>
              <w:jc w:val="center"/>
              <w:rPr>
                <w:rFonts w:ascii="Times New Roman" w:hAnsi="Times New Roman" w:cs="Times New Roman"/>
                <w:kern w:val="2"/>
                <w:sz w:val="21"/>
                <w:szCs w:val="21"/>
              </w:rPr>
            </w:pPr>
            <w:r>
              <w:rPr>
                <w:rFonts w:hint="eastAsia" w:ascii="Times New Roman" w:hAnsi="Times New Roman" w:cs="Times New Roman"/>
                <w:kern w:val="2"/>
                <w:sz w:val="21"/>
                <w:szCs w:val="21"/>
              </w:rPr>
              <w:t>25</w:t>
            </w:r>
          </w:p>
        </w:tc>
        <w:tc>
          <w:tcPr>
            <w:tcW w:w="822" w:type="dxa"/>
            <w:vAlign w:val="center"/>
          </w:tcPr>
          <w:p>
            <w:pPr>
              <w:widowControl/>
              <w:topLinePunct w:val="0"/>
              <w:snapToGrid w:val="0"/>
              <w:spacing w:line="240" w:lineRule="auto"/>
              <w:ind w:firstLine="0" w:firstLineChars="0"/>
              <w:jc w:val="center"/>
              <w:rPr>
                <w:rFonts w:ascii="Times New Roman" w:hAnsi="Times New Roman" w:cs="Times New Roman"/>
                <w:kern w:val="2"/>
                <w:sz w:val="21"/>
                <w:szCs w:val="21"/>
              </w:rPr>
            </w:pPr>
            <w:r>
              <w:rPr>
                <w:rFonts w:ascii="Times New Roman" w:hAnsi="Times New Roman" w:cs="Times New Roman"/>
                <w:kern w:val="2"/>
                <w:sz w:val="21"/>
                <w:szCs w:val="21"/>
              </w:rPr>
              <w:t>-26</w:t>
            </w:r>
          </w:p>
        </w:tc>
        <w:tc>
          <w:tcPr>
            <w:tcW w:w="822" w:type="dxa"/>
            <w:vAlign w:val="center"/>
          </w:tcPr>
          <w:p>
            <w:pPr>
              <w:widowControl/>
              <w:topLinePunct w:val="0"/>
              <w:snapToGrid w:val="0"/>
              <w:spacing w:line="240" w:lineRule="auto"/>
              <w:ind w:firstLine="0" w:firstLineChars="0"/>
              <w:jc w:val="center"/>
              <w:rPr>
                <w:rFonts w:ascii="Times New Roman" w:hAnsi="Times New Roman" w:cs="Times New Roman"/>
                <w:kern w:val="2"/>
                <w:sz w:val="21"/>
                <w:szCs w:val="21"/>
              </w:rPr>
            </w:pPr>
            <w:r>
              <w:rPr>
                <w:rFonts w:ascii="Times New Roman" w:hAnsi="Times New Roman" w:cs="Times New Roman"/>
                <w:kern w:val="2"/>
                <w:sz w:val="21"/>
                <w:szCs w:val="21"/>
              </w:rPr>
              <w:t>2</w:t>
            </w:r>
          </w:p>
        </w:tc>
        <w:tc>
          <w:tcPr>
            <w:tcW w:w="1119"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cs="Times New Roman"/>
                <w:kern w:val="2"/>
                <w:sz w:val="21"/>
                <w:szCs w:val="21"/>
                <w:lang w:val="en-US" w:eastAsia="zh-CN"/>
              </w:rPr>
              <w:t>75</w:t>
            </w:r>
            <w:r>
              <w:rPr>
                <w:rFonts w:hint="eastAsia" w:ascii="Times New Roman" w:hAnsi="Times New Roman" w:cs="Times New Roman"/>
                <w:kern w:val="2"/>
                <w:sz w:val="21"/>
                <w:szCs w:val="21"/>
                <w:lang w:val="en-US" w:eastAsia="zh-CN"/>
              </w:rPr>
              <w:t>/1</w:t>
            </w:r>
          </w:p>
        </w:tc>
        <w:tc>
          <w:tcPr>
            <w:tcW w:w="1220" w:type="dxa"/>
            <w:vAlign w:val="center"/>
          </w:tcPr>
          <w:p>
            <w:pPr>
              <w:widowControl/>
              <w:topLinePunct w:val="0"/>
              <w:snapToGrid w:val="0"/>
              <w:spacing w:line="240" w:lineRule="auto"/>
              <w:ind w:firstLine="0" w:firstLineChars="0"/>
              <w:jc w:val="center"/>
              <w:rPr>
                <w:rFonts w:ascii="Times New Roman" w:hAnsi="Times New Roman" w:cs="Times New Roman"/>
                <w:kern w:val="2"/>
                <w:sz w:val="21"/>
                <w:szCs w:val="21"/>
              </w:rPr>
            </w:pPr>
            <w:r>
              <w:rPr>
                <w:rFonts w:hint="eastAsia" w:ascii="Times New Roman" w:hAnsi="Times New Roman" w:cs="Times New Roman"/>
                <w:kern w:val="2"/>
                <w:sz w:val="21"/>
                <w:szCs w:val="21"/>
                <w:lang w:val="en-US" w:eastAsia="zh-CN"/>
              </w:rPr>
              <w:t>基础减震</w:t>
            </w:r>
          </w:p>
        </w:tc>
        <w:tc>
          <w:tcPr>
            <w:tcW w:w="1221" w:type="dxa"/>
            <w:vAlign w:val="center"/>
          </w:tcPr>
          <w:p>
            <w:pPr>
              <w:widowControl/>
              <w:topLinePunct w:val="0"/>
              <w:snapToGrid w:val="0"/>
              <w:spacing w:line="240" w:lineRule="auto"/>
              <w:ind w:firstLine="0" w:firstLineChars="0"/>
              <w:jc w:val="center"/>
              <w:rPr>
                <w:rFonts w:ascii="Times New Roman" w:hAnsi="Times New Roman" w:cs="Times New Roman"/>
                <w:kern w:val="2"/>
                <w:sz w:val="21"/>
                <w:szCs w:val="21"/>
              </w:rPr>
            </w:pPr>
            <w:r>
              <w:rPr>
                <w:rFonts w:hint="eastAsia" w:ascii="Times New Roman" w:hAnsi="Times New Roman" w:cs="Times New Roman"/>
                <w:kern w:val="2"/>
                <w:sz w:val="21"/>
                <w:szCs w:val="21"/>
                <w:lang w:val="en-US" w:eastAsia="zh-CN"/>
              </w:rPr>
              <w:t>钻井期间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jc w:val="center"/>
        </w:trPr>
        <w:tc>
          <w:tcPr>
            <w:tcW w:w="512" w:type="dxa"/>
            <w:vAlign w:val="center"/>
          </w:tcPr>
          <w:p>
            <w:pPr>
              <w:widowControl/>
              <w:topLinePunct w:val="0"/>
              <w:snapToGrid w:val="0"/>
              <w:spacing w:line="240" w:lineRule="auto"/>
              <w:ind w:firstLine="0" w:firstLineChars="0"/>
              <w:jc w:val="center"/>
              <w:rPr>
                <w:rFonts w:hint="eastAsia" w:ascii="Times New Roman" w:hAnsi="Times New Roman" w:eastAsia="宋体" w:cs="Times New Roman"/>
                <w:kern w:val="2"/>
                <w:sz w:val="21"/>
                <w:szCs w:val="21"/>
                <w:lang w:val="en-US" w:eastAsia="zh-CN"/>
              </w:rPr>
            </w:pPr>
            <w:r>
              <w:rPr>
                <w:rFonts w:hint="eastAsia" w:ascii="Times New Roman" w:cs="Times New Roman"/>
                <w:kern w:val="2"/>
                <w:sz w:val="21"/>
                <w:szCs w:val="21"/>
                <w:lang w:val="en-US" w:eastAsia="zh-CN"/>
              </w:rPr>
              <w:t>5</w:t>
            </w:r>
          </w:p>
        </w:tc>
        <w:tc>
          <w:tcPr>
            <w:tcW w:w="862"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rPr>
            </w:pPr>
            <w:r>
              <w:rPr>
                <w:rFonts w:hint="eastAsia" w:ascii="Times New Roman" w:cs="Times New Roman"/>
                <w:kern w:val="2"/>
                <w:sz w:val="21"/>
                <w:szCs w:val="21"/>
                <w:lang w:val="en-US" w:eastAsia="zh-CN"/>
              </w:rPr>
              <w:t>柴油发动机</w:t>
            </w:r>
          </w:p>
        </w:tc>
        <w:tc>
          <w:tcPr>
            <w:tcW w:w="657" w:type="dxa"/>
            <w:vAlign w:val="center"/>
          </w:tcPr>
          <w:p>
            <w:pPr>
              <w:widowControl/>
              <w:topLinePunct w:val="0"/>
              <w:snapToGrid w:val="0"/>
              <w:spacing w:line="240" w:lineRule="auto"/>
              <w:ind w:firstLine="0" w:firstLineChars="0"/>
              <w:jc w:val="center"/>
              <w:rPr>
                <w:rFonts w:hint="default" w:ascii="Times New Roman" w:hAnsi="Times New Roman" w:cs="Times New Roman"/>
                <w:kern w:val="2"/>
                <w:sz w:val="21"/>
                <w:szCs w:val="21"/>
                <w:lang w:val="en-US" w:eastAsia="zh-CN"/>
              </w:rPr>
            </w:pPr>
            <w:r>
              <w:rPr>
                <w:rFonts w:hint="eastAsia" w:ascii="Times New Roman" w:cs="Times New Roman"/>
                <w:kern w:val="2"/>
                <w:sz w:val="21"/>
                <w:szCs w:val="21"/>
                <w:lang w:val="en-US" w:eastAsia="zh-CN"/>
              </w:rPr>
              <w:t>1</w:t>
            </w:r>
          </w:p>
        </w:tc>
        <w:tc>
          <w:tcPr>
            <w:tcW w:w="743" w:type="dxa"/>
            <w:vAlign w:val="center"/>
          </w:tcPr>
          <w:p>
            <w:pPr>
              <w:widowControl/>
              <w:topLinePunct w:val="0"/>
              <w:snapToGrid w:val="0"/>
              <w:spacing w:line="240" w:lineRule="auto"/>
              <w:ind w:firstLine="0" w:firstLineChars="0"/>
              <w:jc w:val="center"/>
              <w:rPr>
                <w:rFonts w:hint="default" w:ascii="Times New Roman" w:hAnsi="Times New Roman" w:cs="Times New Roman"/>
                <w:kern w:val="2"/>
                <w:sz w:val="21"/>
                <w:szCs w:val="21"/>
                <w:lang w:val="en-US" w:eastAsia="zh-CN"/>
              </w:rPr>
            </w:pPr>
            <w:r>
              <w:rPr>
                <w:rFonts w:hint="eastAsia" w:ascii="Times New Roman" w:cs="Times New Roman"/>
                <w:kern w:val="2"/>
                <w:sz w:val="21"/>
                <w:szCs w:val="21"/>
                <w:lang w:val="en-US" w:eastAsia="zh-CN"/>
              </w:rPr>
              <w:t>/</w:t>
            </w:r>
          </w:p>
        </w:tc>
        <w:tc>
          <w:tcPr>
            <w:tcW w:w="822"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rPr>
            </w:pPr>
            <w:r>
              <w:rPr>
                <w:rFonts w:hint="eastAsia" w:ascii="Times New Roman" w:cs="Times New Roman"/>
                <w:kern w:val="2"/>
                <w:sz w:val="21"/>
                <w:szCs w:val="21"/>
                <w:lang w:val="en-US" w:eastAsia="zh-CN"/>
              </w:rPr>
              <w:t>32</w:t>
            </w:r>
          </w:p>
        </w:tc>
        <w:tc>
          <w:tcPr>
            <w:tcW w:w="822"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rPr>
            </w:pPr>
            <w:r>
              <w:rPr>
                <w:rFonts w:hint="eastAsia" w:ascii="Times New Roman" w:cs="Times New Roman"/>
                <w:kern w:val="2"/>
                <w:sz w:val="21"/>
                <w:szCs w:val="21"/>
                <w:lang w:val="en-US" w:eastAsia="zh-CN"/>
              </w:rPr>
              <w:t>20</w:t>
            </w:r>
          </w:p>
        </w:tc>
        <w:tc>
          <w:tcPr>
            <w:tcW w:w="822" w:type="dxa"/>
            <w:vAlign w:val="center"/>
          </w:tcPr>
          <w:p>
            <w:pPr>
              <w:widowControl/>
              <w:topLinePunct w:val="0"/>
              <w:snapToGrid w:val="0"/>
              <w:spacing w:line="240" w:lineRule="auto"/>
              <w:ind w:firstLine="0" w:firstLineChars="0"/>
              <w:jc w:val="center"/>
              <w:rPr>
                <w:rFonts w:hint="eastAsia" w:ascii="Times New Roman" w:hAnsi="Times New Roman" w:eastAsia="宋体" w:cs="Times New Roman"/>
                <w:kern w:val="2"/>
                <w:sz w:val="21"/>
                <w:szCs w:val="21"/>
                <w:lang w:val="en-US" w:eastAsia="zh-CN"/>
              </w:rPr>
            </w:pPr>
            <w:r>
              <w:rPr>
                <w:rFonts w:hint="eastAsia" w:ascii="Times New Roman" w:cs="Times New Roman"/>
                <w:kern w:val="2"/>
                <w:sz w:val="21"/>
                <w:szCs w:val="21"/>
                <w:lang w:val="en-US" w:eastAsia="zh-CN"/>
              </w:rPr>
              <w:t>2</w:t>
            </w:r>
          </w:p>
        </w:tc>
        <w:tc>
          <w:tcPr>
            <w:tcW w:w="1119" w:type="dxa"/>
            <w:vAlign w:val="center"/>
          </w:tcPr>
          <w:p>
            <w:pPr>
              <w:widowControl/>
              <w:topLinePunct w:val="0"/>
              <w:snapToGrid w:val="0"/>
              <w:spacing w:line="240" w:lineRule="auto"/>
              <w:ind w:firstLine="0" w:firstLineChars="0"/>
              <w:jc w:val="center"/>
              <w:rPr>
                <w:rFonts w:hint="default" w:ascii="Times New Roman" w:cs="Times New Roman"/>
                <w:kern w:val="2"/>
                <w:sz w:val="21"/>
                <w:szCs w:val="21"/>
                <w:lang w:val="en-US" w:eastAsia="zh-CN"/>
              </w:rPr>
            </w:pPr>
            <w:r>
              <w:rPr>
                <w:rFonts w:hint="eastAsia" w:ascii="Times New Roman" w:cs="Times New Roman"/>
                <w:kern w:val="2"/>
                <w:sz w:val="21"/>
                <w:szCs w:val="21"/>
                <w:lang w:val="en-US" w:eastAsia="zh-CN"/>
              </w:rPr>
              <w:t>80/1</w:t>
            </w:r>
          </w:p>
        </w:tc>
        <w:tc>
          <w:tcPr>
            <w:tcW w:w="1220" w:type="dxa"/>
            <w:vAlign w:val="center"/>
          </w:tcPr>
          <w:p>
            <w:pPr>
              <w:widowControl/>
              <w:topLinePunct w:val="0"/>
              <w:snapToGrid w:val="0"/>
              <w:spacing w:line="240" w:lineRule="auto"/>
              <w:ind w:firstLine="0" w:firstLineChars="0"/>
              <w:jc w:val="center"/>
              <w:rPr>
                <w:rFonts w:hint="default" w:ascii="Times New Roman" w:hAnsi="Times New Roman" w:cs="Times New Roman"/>
                <w:kern w:val="2"/>
                <w:sz w:val="21"/>
                <w:szCs w:val="21"/>
                <w:lang w:val="en-US" w:eastAsia="zh-CN"/>
              </w:rPr>
            </w:pPr>
            <w:r>
              <w:rPr>
                <w:rFonts w:hint="eastAsia" w:ascii="Times New Roman" w:cs="Times New Roman"/>
                <w:kern w:val="2"/>
                <w:sz w:val="21"/>
                <w:szCs w:val="21"/>
                <w:lang w:val="en-US" w:eastAsia="zh-CN"/>
              </w:rPr>
              <w:t>设置密闭隔声房间，并采取基础降噪</w:t>
            </w:r>
          </w:p>
        </w:tc>
        <w:tc>
          <w:tcPr>
            <w:tcW w:w="1221" w:type="dxa"/>
            <w:vAlign w:val="center"/>
          </w:tcPr>
          <w:p>
            <w:pPr>
              <w:widowControl/>
              <w:topLinePunct w:val="0"/>
              <w:snapToGrid w:val="0"/>
              <w:spacing w:line="240" w:lineRule="auto"/>
              <w:ind w:firstLine="0" w:firstLineChars="0"/>
              <w:jc w:val="center"/>
              <w:rPr>
                <w:rFonts w:hint="default" w:ascii="Times New Roman" w:hAnsi="Times New Roman" w:cs="Times New Roman"/>
                <w:kern w:val="2"/>
                <w:sz w:val="21"/>
                <w:szCs w:val="21"/>
                <w:lang w:val="en-US" w:eastAsia="zh-CN"/>
              </w:rPr>
            </w:pPr>
            <w:r>
              <w:rPr>
                <w:rFonts w:hint="eastAsia" w:ascii="Times New Roman" w:cs="Times New Roman"/>
                <w:kern w:val="2"/>
                <w:sz w:val="21"/>
                <w:szCs w:val="21"/>
                <w:lang w:val="en-US" w:eastAsia="zh-CN"/>
              </w:rPr>
              <w:t>短时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jc w:val="center"/>
        </w:trPr>
        <w:tc>
          <w:tcPr>
            <w:tcW w:w="8800" w:type="dxa"/>
            <w:gridSpan w:val="10"/>
            <w:vAlign w:val="center"/>
          </w:tcPr>
          <w:p>
            <w:pPr>
              <w:widowControl/>
              <w:topLinePunct w:val="0"/>
              <w:snapToGrid w:val="0"/>
              <w:spacing w:line="240" w:lineRule="auto"/>
              <w:ind w:firstLine="0" w:firstLineChars="0"/>
              <w:rPr>
                <w:rFonts w:ascii="Times New Roman" w:hAnsi="Times New Roman" w:cs="Times New Roman"/>
                <w:kern w:val="2"/>
                <w:sz w:val="21"/>
                <w:szCs w:val="21"/>
              </w:rPr>
            </w:pPr>
            <w:r>
              <w:rPr>
                <w:rFonts w:ascii="Times New Roman" w:hAnsi="Times New Roman" w:cs="Times New Roman"/>
                <w:kern w:val="2"/>
                <w:sz w:val="21"/>
                <w:szCs w:val="21"/>
              </w:rPr>
              <w:t>注：以</w:t>
            </w:r>
            <w:r>
              <w:rPr>
                <w:rFonts w:hint="eastAsia" w:ascii="Times New Roman" w:hAnsi="Times New Roman" w:cs="Times New Roman"/>
                <w:kern w:val="2"/>
                <w:sz w:val="21"/>
                <w:szCs w:val="21"/>
              </w:rPr>
              <w:t>P108-2H井</w:t>
            </w:r>
            <w:r>
              <w:rPr>
                <w:rFonts w:ascii="Times New Roman" w:hAnsi="Times New Roman" w:cs="Times New Roman"/>
                <w:kern w:val="2"/>
                <w:sz w:val="21"/>
                <w:szCs w:val="21"/>
              </w:rPr>
              <w:t>井口中心为原点（0,0,0）。</w:t>
            </w:r>
          </w:p>
        </w:tc>
      </w:tr>
    </w:tbl>
    <w:p>
      <w:pPr>
        <w:widowControl/>
        <w:topLinePunct w:val="0"/>
        <w:snapToGrid w:val="0"/>
        <w:spacing w:line="331" w:lineRule="auto"/>
        <w:ind w:firstLine="480"/>
        <w:rPr>
          <w:rFonts w:ascii="Times New Roman" w:cs="Times New Roman"/>
          <w:kern w:val="2"/>
        </w:rPr>
      </w:pPr>
      <w:r>
        <w:rPr>
          <w:rFonts w:hint="eastAsia" w:ascii="Times New Roman" w:cs="Times New Roman"/>
          <w:kern w:val="2"/>
        </w:rPr>
        <w:t>非正常工况下</w:t>
      </w:r>
      <w:r>
        <w:rPr>
          <w:rFonts w:ascii="Times New Roman" w:cs="Times New Roman"/>
          <w:kern w:val="2"/>
        </w:rPr>
        <w:t>井场四周环境噪声预测结果见表</w:t>
      </w:r>
      <w:r>
        <w:rPr>
          <w:rFonts w:ascii="Times New Roman" w:cs="Times New Roman"/>
        </w:rPr>
        <w:t>6.1-</w:t>
      </w:r>
      <w:r>
        <w:rPr>
          <w:rFonts w:hint="eastAsia" w:ascii="Times New Roman" w:cs="Times New Roman"/>
        </w:rPr>
        <w:t>15</w:t>
      </w:r>
      <w:r>
        <w:rPr>
          <w:rFonts w:ascii="Times New Roman" w:cs="Times New Roman"/>
          <w:kern w:val="2"/>
        </w:rPr>
        <w:t>。</w:t>
      </w:r>
    </w:p>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表6.1-</w:t>
      </w:r>
      <w:r>
        <w:rPr>
          <w:rFonts w:hint="eastAsia" w:ascii="Times New Roman" w:cs="Times New Roman"/>
          <w:b/>
          <w:bCs/>
          <w:kern w:val="2"/>
          <w:sz w:val="21"/>
        </w:rPr>
        <w:t>15</w:t>
      </w:r>
      <w:r>
        <w:rPr>
          <w:rFonts w:ascii="Times New Roman" w:cs="Times New Roman"/>
          <w:b/>
          <w:bCs/>
          <w:kern w:val="2"/>
          <w:sz w:val="21"/>
        </w:rPr>
        <w:t xml:space="preserve">  </w:t>
      </w:r>
      <w:r>
        <w:rPr>
          <w:rFonts w:ascii="Times New Roman" w:cs="Times New Roman"/>
          <w:b/>
          <w:kern w:val="2"/>
          <w:sz w:val="21"/>
        </w:rPr>
        <w:t>钻井工程噪声预测</w:t>
      </w:r>
      <w:r>
        <w:rPr>
          <w:rFonts w:ascii="Times New Roman" w:cs="Times New Roman"/>
          <w:b/>
          <w:bCs/>
          <w:kern w:val="2"/>
          <w:sz w:val="21"/>
        </w:rPr>
        <w:t xml:space="preserve">    单位：dB(A)</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62"/>
        <w:gridCol w:w="1413"/>
        <w:gridCol w:w="1172"/>
        <w:gridCol w:w="1277"/>
        <w:gridCol w:w="1269"/>
        <w:gridCol w:w="960"/>
        <w:gridCol w:w="158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93" w:type="dxa"/>
            <w:vMerge w:val="restart"/>
            <w:shd w:val="clear" w:color="auto" w:fill="auto"/>
            <w:vAlign w:val="center"/>
          </w:tcPr>
          <w:p>
            <w:pPr>
              <w:topLinePunct w:val="0"/>
              <w:adjustRightInd/>
              <w:spacing w:line="240" w:lineRule="auto"/>
              <w:ind w:firstLine="0" w:firstLineChars="0"/>
              <w:jc w:val="center"/>
              <w:rPr>
                <w:rFonts w:ascii="Times New Roman" w:cs="Times New Roman"/>
                <w:b/>
                <w:kern w:val="2"/>
                <w:sz w:val="21"/>
              </w:rPr>
            </w:pPr>
            <w:r>
              <w:rPr>
                <w:rFonts w:ascii="Times New Roman" w:cs="Times New Roman"/>
                <w:b/>
                <w:kern w:val="2"/>
                <w:sz w:val="21"/>
              </w:rPr>
              <w:t>噪声源</w:t>
            </w:r>
          </w:p>
        </w:tc>
        <w:tc>
          <w:tcPr>
            <w:tcW w:w="1322" w:type="dxa"/>
            <w:vMerge w:val="restart"/>
            <w:shd w:val="clear" w:color="auto" w:fill="auto"/>
            <w:vAlign w:val="center"/>
          </w:tcPr>
          <w:p>
            <w:pPr>
              <w:topLinePunct w:val="0"/>
              <w:adjustRightInd/>
              <w:spacing w:line="240" w:lineRule="auto"/>
              <w:ind w:firstLine="0" w:firstLineChars="0"/>
              <w:jc w:val="center"/>
              <w:rPr>
                <w:rFonts w:ascii="Times New Roman" w:cs="Times New Roman"/>
                <w:b/>
                <w:kern w:val="2"/>
                <w:sz w:val="21"/>
              </w:rPr>
            </w:pPr>
            <w:r>
              <w:rPr>
                <w:rFonts w:ascii="Times New Roman" w:cs="Times New Roman"/>
                <w:b/>
                <w:kern w:val="2"/>
                <w:sz w:val="21"/>
              </w:rPr>
              <w:t>源强</w:t>
            </w:r>
          </w:p>
        </w:tc>
        <w:tc>
          <w:tcPr>
            <w:tcW w:w="4375" w:type="dxa"/>
            <w:gridSpan w:val="4"/>
            <w:shd w:val="clear" w:color="auto" w:fill="auto"/>
            <w:vAlign w:val="center"/>
          </w:tcPr>
          <w:p>
            <w:pPr>
              <w:topLinePunct w:val="0"/>
              <w:adjustRightInd/>
              <w:spacing w:line="240" w:lineRule="auto"/>
              <w:ind w:firstLine="0" w:firstLineChars="0"/>
              <w:jc w:val="center"/>
              <w:rPr>
                <w:rFonts w:ascii="Times New Roman" w:cs="Times New Roman"/>
                <w:b/>
                <w:kern w:val="2"/>
                <w:sz w:val="21"/>
              </w:rPr>
            </w:pPr>
            <w:r>
              <w:rPr>
                <w:rFonts w:ascii="Times New Roman" w:cs="Times New Roman"/>
                <w:b/>
                <w:kern w:val="2"/>
                <w:sz w:val="21"/>
              </w:rPr>
              <w:t>在各厂界噪声贡献值</w:t>
            </w:r>
          </w:p>
        </w:tc>
        <w:tc>
          <w:tcPr>
            <w:tcW w:w="1479" w:type="dxa"/>
            <w:vMerge w:val="restart"/>
            <w:shd w:val="clear" w:color="auto" w:fill="auto"/>
            <w:vAlign w:val="center"/>
          </w:tcPr>
          <w:p>
            <w:pPr>
              <w:topLinePunct w:val="0"/>
              <w:adjustRightInd/>
              <w:spacing w:line="240" w:lineRule="auto"/>
              <w:ind w:firstLine="0" w:firstLineChars="0"/>
              <w:jc w:val="center"/>
              <w:rPr>
                <w:rFonts w:ascii="Times New Roman" w:cs="Times New Roman"/>
                <w:b/>
                <w:kern w:val="2"/>
                <w:sz w:val="21"/>
              </w:rPr>
            </w:pPr>
            <w:r>
              <w:rPr>
                <w:rFonts w:ascii="Times New Roman" w:cs="Times New Roman"/>
                <w:b/>
                <w:kern w:val="2"/>
                <w:sz w:val="21"/>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93" w:type="dxa"/>
            <w:vMerge w:val="continue"/>
            <w:shd w:val="clear" w:color="auto" w:fill="auto"/>
            <w:vAlign w:val="center"/>
          </w:tcPr>
          <w:p>
            <w:pPr>
              <w:topLinePunct w:val="0"/>
              <w:adjustRightInd/>
              <w:spacing w:line="240" w:lineRule="auto"/>
              <w:ind w:firstLine="0" w:firstLineChars="0"/>
              <w:jc w:val="center"/>
              <w:rPr>
                <w:rFonts w:ascii="Times New Roman" w:cs="Times New Roman"/>
                <w:b/>
                <w:kern w:val="2"/>
                <w:sz w:val="21"/>
              </w:rPr>
            </w:pPr>
          </w:p>
        </w:tc>
        <w:tc>
          <w:tcPr>
            <w:tcW w:w="1322" w:type="dxa"/>
            <w:vMerge w:val="continue"/>
            <w:shd w:val="clear" w:color="auto" w:fill="auto"/>
            <w:vAlign w:val="center"/>
          </w:tcPr>
          <w:p>
            <w:pPr>
              <w:topLinePunct w:val="0"/>
              <w:adjustRightInd/>
              <w:spacing w:line="240" w:lineRule="auto"/>
              <w:ind w:firstLine="0" w:firstLineChars="0"/>
              <w:jc w:val="center"/>
              <w:rPr>
                <w:rFonts w:ascii="Times New Roman" w:cs="Times New Roman"/>
                <w:b/>
                <w:kern w:val="2"/>
                <w:sz w:val="21"/>
              </w:rPr>
            </w:pPr>
          </w:p>
        </w:tc>
        <w:tc>
          <w:tcPr>
            <w:tcW w:w="1096" w:type="dxa"/>
            <w:shd w:val="clear" w:color="auto" w:fill="auto"/>
            <w:vAlign w:val="center"/>
          </w:tcPr>
          <w:p>
            <w:pPr>
              <w:topLinePunct w:val="0"/>
              <w:adjustRightInd/>
              <w:spacing w:line="240" w:lineRule="auto"/>
              <w:ind w:firstLine="0" w:firstLineChars="0"/>
              <w:jc w:val="center"/>
              <w:rPr>
                <w:rFonts w:ascii="Times New Roman" w:cs="Times New Roman"/>
                <w:b/>
                <w:kern w:val="2"/>
                <w:sz w:val="21"/>
              </w:rPr>
            </w:pPr>
            <w:r>
              <w:rPr>
                <w:rFonts w:ascii="Times New Roman" w:cs="Times New Roman"/>
                <w:b/>
                <w:kern w:val="2"/>
                <w:sz w:val="21"/>
              </w:rPr>
              <w:t>东厂界</w:t>
            </w:r>
          </w:p>
        </w:tc>
        <w:tc>
          <w:tcPr>
            <w:tcW w:w="1194" w:type="dxa"/>
            <w:shd w:val="clear" w:color="auto" w:fill="auto"/>
            <w:vAlign w:val="center"/>
          </w:tcPr>
          <w:p>
            <w:pPr>
              <w:topLinePunct w:val="0"/>
              <w:adjustRightInd/>
              <w:spacing w:line="240" w:lineRule="auto"/>
              <w:ind w:firstLine="0" w:firstLineChars="0"/>
              <w:jc w:val="center"/>
              <w:rPr>
                <w:rFonts w:ascii="Times New Roman" w:cs="Times New Roman"/>
                <w:b/>
                <w:kern w:val="2"/>
                <w:sz w:val="21"/>
              </w:rPr>
            </w:pPr>
            <w:r>
              <w:rPr>
                <w:rFonts w:ascii="Times New Roman" w:cs="Times New Roman"/>
                <w:b/>
                <w:kern w:val="2"/>
                <w:sz w:val="21"/>
              </w:rPr>
              <w:t>南厂界</w:t>
            </w:r>
          </w:p>
        </w:tc>
        <w:tc>
          <w:tcPr>
            <w:tcW w:w="1187" w:type="dxa"/>
            <w:shd w:val="clear" w:color="auto" w:fill="auto"/>
            <w:vAlign w:val="center"/>
          </w:tcPr>
          <w:p>
            <w:pPr>
              <w:topLinePunct w:val="0"/>
              <w:adjustRightInd/>
              <w:spacing w:line="240" w:lineRule="auto"/>
              <w:ind w:firstLine="0" w:firstLineChars="0"/>
              <w:jc w:val="center"/>
              <w:rPr>
                <w:rFonts w:ascii="Times New Roman" w:cs="Times New Roman"/>
                <w:b/>
                <w:kern w:val="2"/>
                <w:sz w:val="21"/>
              </w:rPr>
            </w:pPr>
            <w:r>
              <w:rPr>
                <w:rFonts w:ascii="Times New Roman" w:cs="Times New Roman"/>
                <w:b/>
                <w:kern w:val="2"/>
                <w:sz w:val="21"/>
              </w:rPr>
              <w:t>西厂界</w:t>
            </w:r>
          </w:p>
        </w:tc>
        <w:tc>
          <w:tcPr>
            <w:tcW w:w="898" w:type="dxa"/>
            <w:shd w:val="clear" w:color="auto" w:fill="auto"/>
            <w:vAlign w:val="center"/>
          </w:tcPr>
          <w:p>
            <w:pPr>
              <w:topLinePunct w:val="0"/>
              <w:adjustRightInd/>
              <w:spacing w:line="240" w:lineRule="auto"/>
              <w:ind w:firstLine="0" w:firstLineChars="0"/>
              <w:jc w:val="center"/>
              <w:rPr>
                <w:rFonts w:ascii="Times New Roman" w:cs="Times New Roman"/>
                <w:b/>
                <w:kern w:val="2"/>
                <w:sz w:val="21"/>
              </w:rPr>
            </w:pPr>
            <w:r>
              <w:rPr>
                <w:rFonts w:ascii="Times New Roman" w:cs="Times New Roman"/>
                <w:b/>
                <w:kern w:val="2"/>
                <w:sz w:val="21"/>
              </w:rPr>
              <w:t>北厂界</w:t>
            </w:r>
          </w:p>
        </w:tc>
        <w:tc>
          <w:tcPr>
            <w:tcW w:w="1479" w:type="dxa"/>
            <w:vMerge w:val="continue"/>
            <w:shd w:val="clear" w:color="auto" w:fill="auto"/>
            <w:vAlign w:val="center"/>
          </w:tcPr>
          <w:p>
            <w:pPr>
              <w:topLinePunct w:val="0"/>
              <w:adjustRightInd/>
              <w:spacing w:line="240" w:lineRule="auto"/>
              <w:ind w:firstLine="0" w:firstLineChars="0"/>
              <w:jc w:val="center"/>
              <w:rPr>
                <w:rFonts w:ascii="Times New Roman" w:cs="Times New Roman"/>
                <w:b/>
                <w:kern w:val="2"/>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93" w:type="dxa"/>
            <w:shd w:val="clear" w:color="auto" w:fill="auto"/>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rPr>
              <w:t>钻机</w:t>
            </w:r>
          </w:p>
        </w:tc>
        <w:tc>
          <w:tcPr>
            <w:tcW w:w="1322" w:type="dxa"/>
            <w:shd w:val="clear" w:color="auto" w:fill="auto"/>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eastAsia" w:ascii="Times New Roman" w:cs="Times New Roman"/>
                <w:kern w:val="2"/>
                <w:sz w:val="21"/>
                <w:szCs w:val="21"/>
                <w:lang w:val="en-US" w:eastAsia="zh-CN"/>
              </w:rPr>
              <w:t>85</w:t>
            </w:r>
          </w:p>
        </w:tc>
        <w:tc>
          <w:tcPr>
            <w:tcW w:w="1096"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47.1 </w:t>
            </w:r>
          </w:p>
        </w:tc>
        <w:tc>
          <w:tcPr>
            <w:tcW w:w="1194"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50.5 </w:t>
            </w:r>
          </w:p>
        </w:tc>
        <w:tc>
          <w:tcPr>
            <w:tcW w:w="1187"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46.6 </w:t>
            </w:r>
          </w:p>
        </w:tc>
        <w:tc>
          <w:tcPr>
            <w:tcW w:w="898"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49.9 </w:t>
            </w:r>
          </w:p>
        </w:tc>
        <w:tc>
          <w:tcPr>
            <w:tcW w:w="1479" w:type="dxa"/>
            <w:vMerge w:val="restart"/>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厂界达标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93" w:type="dxa"/>
            <w:shd w:val="clear" w:color="auto" w:fill="auto"/>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rPr>
              <w:t>泥浆泵</w:t>
            </w:r>
          </w:p>
        </w:tc>
        <w:tc>
          <w:tcPr>
            <w:tcW w:w="1322" w:type="dxa"/>
            <w:shd w:val="clear" w:color="auto" w:fill="auto"/>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eastAsia" w:ascii="Times New Roman" w:cs="Times New Roman"/>
                <w:kern w:val="2"/>
                <w:sz w:val="21"/>
                <w:szCs w:val="21"/>
                <w:lang w:val="en-US" w:eastAsia="zh-CN"/>
              </w:rPr>
              <w:t>80</w:t>
            </w:r>
          </w:p>
        </w:tc>
        <w:tc>
          <w:tcPr>
            <w:tcW w:w="1096"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42.0 </w:t>
            </w:r>
          </w:p>
        </w:tc>
        <w:tc>
          <w:tcPr>
            <w:tcW w:w="1194"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45.8 </w:t>
            </w:r>
          </w:p>
        </w:tc>
        <w:tc>
          <w:tcPr>
            <w:tcW w:w="1187"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39.1 </w:t>
            </w:r>
          </w:p>
        </w:tc>
        <w:tc>
          <w:tcPr>
            <w:tcW w:w="898"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50.7 </w:t>
            </w:r>
          </w:p>
        </w:tc>
        <w:tc>
          <w:tcPr>
            <w:tcW w:w="1479" w:type="dxa"/>
            <w:vMerge w:val="continue"/>
            <w:shd w:val="clear" w:color="auto" w:fill="auto"/>
            <w:vAlign w:val="center"/>
          </w:tcPr>
          <w:p>
            <w:pPr>
              <w:topLinePunct w:val="0"/>
              <w:adjustRightInd/>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93" w:type="dxa"/>
            <w:shd w:val="clear" w:color="auto" w:fill="auto"/>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rPr>
              <w:t>振动筛</w:t>
            </w:r>
          </w:p>
        </w:tc>
        <w:tc>
          <w:tcPr>
            <w:tcW w:w="1322" w:type="dxa"/>
            <w:shd w:val="clear" w:color="auto" w:fill="auto"/>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eastAsia" w:ascii="Times New Roman" w:cs="Times New Roman"/>
                <w:kern w:val="2"/>
                <w:sz w:val="21"/>
                <w:szCs w:val="21"/>
                <w:lang w:val="en-US" w:eastAsia="zh-CN"/>
              </w:rPr>
              <w:t>80</w:t>
            </w:r>
          </w:p>
        </w:tc>
        <w:tc>
          <w:tcPr>
            <w:tcW w:w="1096"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42.0 </w:t>
            </w:r>
          </w:p>
        </w:tc>
        <w:tc>
          <w:tcPr>
            <w:tcW w:w="1194"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46.3 </w:t>
            </w:r>
          </w:p>
        </w:tc>
        <w:tc>
          <w:tcPr>
            <w:tcW w:w="1187"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41.1 </w:t>
            </w:r>
          </w:p>
        </w:tc>
        <w:tc>
          <w:tcPr>
            <w:tcW w:w="898"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45.8 </w:t>
            </w:r>
          </w:p>
        </w:tc>
        <w:tc>
          <w:tcPr>
            <w:tcW w:w="1479" w:type="dxa"/>
            <w:vMerge w:val="continue"/>
            <w:shd w:val="clear" w:color="auto" w:fill="auto"/>
            <w:vAlign w:val="center"/>
          </w:tcPr>
          <w:p>
            <w:pPr>
              <w:topLinePunct w:val="0"/>
              <w:adjustRightInd/>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93" w:type="dxa"/>
            <w:shd w:val="clear" w:color="auto" w:fill="auto"/>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rPr>
              <w:t>离心机</w:t>
            </w:r>
          </w:p>
        </w:tc>
        <w:tc>
          <w:tcPr>
            <w:tcW w:w="1322" w:type="dxa"/>
            <w:shd w:val="clear" w:color="auto" w:fill="auto"/>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eastAsia" w:ascii="Times New Roman" w:cs="Times New Roman"/>
                <w:kern w:val="2"/>
                <w:sz w:val="21"/>
                <w:szCs w:val="21"/>
                <w:lang w:val="en-US" w:eastAsia="zh-CN"/>
              </w:rPr>
              <w:t>75</w:t>
            </w:r>
          </w:p>
        </w:tc>
        <w:tc>
          <w:tcPr>
            <w:tcW w:w="1096"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37.0 </w:t>
            </w:r>
          </w:p>
        </w:tc>
        <w:tc>
          <w:tcPr>
            <w:tcW w:w="1194"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41.0 </w:t>
            </w:r>
          </w:p>
        </w:tc>
        <w:tc>
          <w:tcPr>
            <w:tcW w:w="1187"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35.5 </w:t>
            </w:r>
          </w:p>
        </w:tc>
        <w:tc>
          <w:tcPr>
            <w:tcW w:w="898"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41.8 </w:t>
            </w:r>
          </w:p>
        </w:tc>
        <w:tc>
          <w:tcPr>
            <w:tcW w:w="1479" w:type="dxa"/>
            <w:vMerge w:val="continue"/>
            <w:shd w:val="clear" w:color="auto" w:fill="auto"/>
            <w:vAlign w:val="center"/>
          </w:tcPr>
          <w:p>
            <w:pPr>
              <w:topLinePunct w:val="0"/>
              <w:adjustRightInd/>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93" w:type="dxa"/>
            <w:shd w:val="clear" w:color="auto" w:fill="auto"/>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柴油发电机</w:t>
            </w:r>
          </w:p>
        </w:tc>
        <w:tc>
          <w:tcPr>
            <w:tcW w:w="1322" w:type="dxa"/>
            <w:shd w:val="clear" w:color="auto" w:fill="auto"/>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eastAsia" w:ascii="Times New Roman" w:cs="Times New Roman"/>
                <w:kern w:val="2"/>
                <w:sz w:val="21"/>
                <w:szCs w:val="21"/>
                <w:lang w:val="en-US" w:eastAsia="zh-CN"/>
              </w:rPr>
              <w:t>80</w:t>
            </w:r>
          </w:p>
        </w:tc>
        <w:tc>
          <w:tcPr>
            <w:tcW w:w="1096"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41.9 </w:t>
            </w:r>
          </w:p>
        </w:tc>
        <w:tc>
          <w:tcPr>
            <w:tcW w:w="1194"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47.2 </w:t>
            </w:r>
          </w:p>
        </w:tc>
        <w:tc>
          <w:tcPr>
            <w:tcW w:w="1187"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41.1 </w:t>
            </w:r>
          </w:p>
        </w:tc>
        <w:tc>
          <w:tcPr>
            <w:tcW w:w="898" w:type="dxa"/>
            <w:shd w:val="clear" w:color="auto" w:fill="auto"/>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default" w:ascii="Times New Roman" w:cs="Times New Roman"/>
                <w:kern w:val="2"/>
                <w:sz w:val="21"/>
                <w:szCs w:val="21"/>
                <w:lang w:val="en-US" w:eastAsia="zh-CN"/>
              </w:rPr>
              <w:t xml:space="preserve">45.8 </w:t>
            </w:r>
          </w:p>
        </w:tc>
        <w:tc>
          <w:tcPr>
            <w:tcW w:w="1479" w:type="dxa"/>
            <w:vMerge w:val="continue"/>
            <w:shd w:val="clear" w:color="auto" w:fill="auto"/>
            <w:vAlign w:val="center"/>
          </w:tcPr>
          <w:p>
            <w:pPr>
              <w:topLinePunct w:val="0"/>
              <w:adjustRightInd/>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15" w:type="dxa"/>
            <w:gridSpan w:val="2"/>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叠加值</w:t>
            </w:r>
          </w:p>
        </w:tc>
        <w:tc>
          <w:tcPr>
            <w:tcW w:w="1096"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kern w:val="2"/>
                <w:sz w:val="21"/>
                <w:szCs w:val="21"/>
                <w:lang w:val="en-US" w:eastAsia="zh-CN"/>
              </w:rPr>
            </w:pPr>
            <w:r>
              <w:rPr>
                <w:rFonts w:hint="default" w:ascii="Times New Roman" w:cs="Times New Roman"/>
                <w:kern w:val="2"/>
                <w:sz w:val="21"/>
                <w:szCs w:val="21"/>
                <w:lang w:val="en-US" w:eastAsia="zh-CN"/>
              </w:rPr>
              <w:t xml:space="preserve">50.1 </w:t>
            </w:r>
          </w:p>
        </w:tc>
        <w:tc>
          <w:tcPr>
            <w:tcW w:w="1194"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kern w:val="2"/>
                <w:sz w:val="21"/>
                <w:szCs w:val="21"/>
                <w:lang w:val="en-US" w:eastAsia="zh-CN"/>
              </w:rPr>
            </w:pPr>
            <w:r>
              <w:rPr>
                <w:rFonts w:hint="default" w:ascii="Times New Roman" w:cs="Times New Roman"/>
                <w:kern w:val="2"/>
                <w:sz w:val="21"/>
                <w:szCs w:val="21"/>
                <w:lang w:val="en-US" w:eastAsia="zh-CN"/>
              </w:rPr>
              <w:t xml:space="preserve">54.1 </w:t>
            </w:r>
          </w:p>
        </w:tc>
        <w:tc>
          <w:tcPr>
            <w:tcW w:w="1187"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kern w:val="2"/>
                <w:sz w:val="21"/>
                <w:szCs w:val="21"/>
                <w:lang w:val="en-US" w:eastAsia="zh-CN"/>
              </w:rPr>
            </w:pPr>
            <w:r>
              <w:rPr>
                <w:rFonts w:hint="default" w:ascii="Times New Roman" w:cs="Times New Roman"/>
                <w:kern w:val="2"/>
                <w:sz w:val="21"/>
                <w:szCs w:val="21"/>
                <w:lang w:val="en-US" w:eastAsia="zh-CN"/>
              </w:rPr>
              <w:t xml:space="preserve">49.2 </w:t>
            </w:r>
          </w:p>
        </w:tc>
        <w:tc>
          <w:tcPr>
            <w:tcW w:w="898"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kern w:val="2"/>
                <w:sz w:val="21"/>
                <w:szCs w:val="21"/>
                <w:lang w:val="en-US" w:eastAsia="zh-CN"/>
              </w:rPr>
            </w:pPr>
            <w:r>
              <w:rPr>
                <w:rFonts w:hint="default" w:ascii="Times New Roman" w:cs="Times New Roman"/>
                <w:kern w:val="2"/>
                <w:sz w:val="21"/>
                <w:szCs w:val="21"/>
                <w:lang w:val="en-US" w:eastAsia="zh-CN"/>
              </w:rPr>
              <w:t xml:space="preserve">54.8 </w:t>
            </w:r>
          </w:p>
        </w:tc>
        <w:tc>
          <w:tcPr>
            <w:tcW w:w="1479" w:type="dxa"/>
            <w:vMerge w:val="continue"/>
            <w:shd w:val="clear" w:color="auto" w:fill="auto"/>
            <w:vAlign w:val="center"/>
          </w:tcPr>
          <w:p>
            <w:pPr>
              <w:topLinePunct w:val="0"/>
              <w:adjustRightInd/>
              <w:spacing w:line="240" w:lineRule="auto"/>
              <w:ind w:firstLine="0" w:firstLineChars="0"/>
              <w:jc w:val="center"/>
              <w:rPr>
                <w:rFonts w:ascii="Times New Roman" w:cs="Times New Roman"/>
                <w:kern w:val="2"/>
                <w:sz w:val="21"/>
              </w:rPr>
            </w:pPr>
          </w:p>
        </w:tc>
      </w:tr>
    </w:tbl>
    <w:p>
      <w:pPr>
        <w:widowControl/>
        <w:topLinePunct w:val="0"/>
        <w:snapToGrid w:val="0"/>
        <w:spacing w:line="240" w:lineRule="auto"/>
        <w:ind w:firstLine="0" w:firstLineChars="0"/>
        <w:rPr>
          <w:rFonts w:ascii="Times New Roman" w:cs="Times New Roman"/>
          <w:kern w:val="2"/>
        </w:rPr>
      </w:pPr>
      <w:r>
        <w:rPr>
          <w:rFonts w:hint="eastAsia" w:ascii="Times New Roman" w:cs="Times New Roman"/>
          <w:kern w:val="2"/>
        </w:rPr>
        <w:drawing>
          <wp:inline distT="0" distB="0" distL="114300" distR="114300">
            <wp:extent cx="5576570" cy="3904615"/>
            <wp:effectExtent l="0" t="0" r="5080" b="635"/>
            <wp:docPr id="7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0"/>
                    <pic:cNvPicPr>
                      <a:picLocks noChangeAspect="1"/>
                    </pic:cNvPicPr>
                  </pic:nvPicPr>
                  <pic:blipFill>
                    <a:blip r:embed="rId65"/>
                    <a:stretch>
                      <a:fillRect/>
                    </a:stretch>
                  </pic:blipFill>
                  <pic:spPr>
                    <a:xfrm>
                      <a:off x="0" y="0"/>
                      <a:ext cx="5576570" cy="3904615"/>
                    </a:xfrm>
                    <a:prstGeom prst="rect">
                      <a:avLst/>
                    </a:prstGeom>
                    <a:noFill/>
                    <a:ln>
                      <a:noFill/>
                    </a:ln>
                  </pic:spPr>
                </pic:pic>
              </a:graphicData>
            </a:graphic>
          </wp:inline>
        </w:drawing>
      </w:r>
    </w:p>
    <w:p>
      <w:pPr>
        <w:widowControl/>
        <w:topLinePunct w:val="0"/>
        <w:snapToGrid w:val="0"/>
        <w:ind w:firstLine="0" w:firstLineChars="0"/>
        <w:jc w:val="center"/>
        <w:rPr>
          <w:rFonts w:ascii="Times New Roman" w:cs="Times New Roman"/>
          <w:b/>
          <w:bCs/>
          <w:kern w:val="2"/>
        </w:rPr>
      </w:pPr>
      <w:r>
        <w:rPr>
          <w:rFonts w:hint="eastAsia" w:ascii="Times New Roman" w:cs="Times New Roman"/>
          <w:b/>
          <w:bCs/>
          <w:kern w:val="2"/>
        </w:rPr>
        <w:t>图6.1-2 非正常工况钻井过程噪声贡献值等声级线图</w:t>
      </w:r>
    </w:p>
    <w:p>
      <w:pPr>
        <w:numPr>
          <w:ilvl w:val="4"/>
          <w:numId w:val="0"/>
        </w:numPr>
        <w:topLinePunct w:val="0"/>
        <w:adjustRightInd/>
        <w:snapToGrid w:val="0"/>
        <w:ind w:left="26" w:firstLine="400"/>
        <w:rPr>
          <w:rFonts w:ascii="Times New Roman" w:cs="Times New Roman"/>
          <w:kern w:val="2"/>
        </w:rPr>
      </w:pPr>
      <w:r>
        <w:rPr>
          <w:rFonts w:ascii="Times New Roman" w:cs="Times New Roman"/>
          <w:b/>
          <w:bCs/>
          <w:kern w:val="2"/>
        </w:rPr>
        <w:t>4、气体钻钻井阶段噪声环境影响预测及分析</w:t>
      </w:r>
    </w:p>
    <w:p>
      <w:pPr>
        <w:topLinePunct w:val="0"/>
        <w:snapToGrid w:val="0"/>
        <w:ind w:firstLine="476" w:firstLineChars="0"/>
        <w:rPr>
          <w:rFonts w:ascii="Times New Roman" w:cs="Times New Roman"/>
          <w:kern w:val="2"/>
        </w:rPr>
      </w:pPr>
      <w:r>
        <w:rPr>
          <w:rFonts w:ascii="Times New Roman" w:cs="Times New Roman"/>
          <w:kern w:val="2"/>
        </w:rPr>
        <w:t>①噪声源强</w:t>
      </w:r>
    </w:p>
    <w:p>
      <w:pPr>
        <w:widowControl/>
        <w:topLinePunct w:val="0"/>
        <w:snapToGrid w:val="0"/>
        <w:ind w:firstLine="480"/>
        <w:rPr>
          <w:rFonts w:ascii="Times New Roman" w:cs="Times New Roman"/>
          <w:kern w:val="2"/>
        </w:rPr>
      </w:pPr>
      <w:r>
        <w:rPr>
          <w:rFonts w:ascii="Times New Roman" w:cs="Times New Roman"/>
          <w:kern w:val="2"/>
        </w:rPr>
        <w:t>气体钻（空气或氮气）钻井过程中的噪声主要包括正常钻井施工过程中的机械、设备运行和施工过程产生的噪声，其产生情况为：钻机、空压机、增压机以及其他各种机械转动所产生的噪声。同时在钻井过程中平稳操作，避免特种作业时产生非正常的噪声。主要噪声源的噪声值见表</w:t>
      </w:r>
      <w:r>
        <w:rPr>
          <w:rFonts w:ascii="Times New Roman" w:cs="Times New Roman"/>
        </w:rPr>
        <w:t>6.1-1</w:t>
      </w:r>
      <w:r>
        <w:rPr>
          <w:rFonts w:hint="eastAsia" w:ascii="Times New Roman" w:cs="Times New Roman"/>
        </w:rPr>
        <w:t>6</w:t>
      </w:r>
      <w:r>
        <w:rPr>
          <w:rFonts w:ascii="Times New Roman" w:cs="Times New Roman"/>
          <w:kern w:val="2"/>
        </w:rPr>
        <w:t>。</w:t>
      </w:r>
    </w:p>
    <w:p>
      <w:pPr>
        <w:topLinePunct w:val="0"/>
        <w:snapToGrid w:val="0"/>
        <w:ind w:firstLine="480" w:firstLineChars="0"/>
        <w:jc w:val="center"/>
        <w:rPr>
          <w:rFonts w:ascii="Times New Roman" w:cs="Times New Roman"/>
          <w:b/>
          <w:kern w:val="2"/>
          <w:sz w:val="21"/>
          <w:szCs w:val="20"/>
        </w:rPr>
      </w:pPr>
      <w:bookmarkStart w:id="474" w:name="_Ref496287902"/>
      <w:r>
        <w:rPr>
          <w:rFonts w:ascii="Times New Roman" w:cs="Times New Roman"/>
          <w:b/>
          <w:kern w:val="2"/>
          <w:sz w:val="21"/>
          <w:szCs w:val="20"/>
        </w:rPr>
        <w:t>表6.1-</w:t>
      </w:r>
      <w:bookmarkEnd w:id="474"/>
      <w:r>
        <w:rPr>
          <w:rFonts w:ascii="Times New Roman" w:cs="Times New Roman"/>
          <w:b/>
          <w:kern w:val="2"/>
          <w:sz w:val="21"/>
          <w:szCs w:val="20"/>
        </w:rPr>
        <w:t>1</w:t>
      </w:r>
      <w:r>
        <w:rPr>
          <w:rFonts w:hint="eastAsia" w:ascii="Times New Roman" w:cs="Times New Roman"/>
          <w:b/>
          <w:kern w:val="2"/>
          <w:sz w:val="21"/>
          <w:szCs w:val="20"/>
        </w:rPr>
        <w:t>6</w:t>
      </w:r>
      <w:r>
        <w:rPr>
          <w:rFonts w:ascii="Times New Roman" w:cs="Times New Roman"/>
          <w:b/>
          <w:kern w:val="2"/>
          <w:sz w:val="21"/>
          <w:szCs w:val="20"/>
        </w:rPr>
        <w:t xml:space="preserve">  气体钻钻井作业过程中采取降噪措施后的噪声源强</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3"/>
        <w:gridCol w:w="774"/>
        <w:gridCol w:w="746"/>
        <w:gridCol w:w="541"/>
        <w:gridCol w:w="659"/>
        <w:gridCol w:w="668"/>
        <w:gridCol w:w="580"/>
        <w:gridCol w:w="2013"/>
        <w:gridCol w:w="1315"/>
        <w:gridCol w:w="13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3" w:type="dxa"/>
            <w:vMerge w:val="restart"/>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序号</w:t>
            </w:r>
          </w:p>
        </w:tc>
        <w:tc>
          <w:tcPr>
            <w:tcW w:w="774" w:type="dxa"/>
            <w:vMerge w:val="restart"/>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声源名称</w:t>
            </w:r>
          </w:p>
        </w:tc>
        <w:tc>
          <w:tcPr>
            <w:tcW w:w="746" w:type="dxa"/>
            <w:vMerge w:val="restart"/>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数量（台）</w:t>
            </w:r>
          </w:p>
        </w:tc>
        <w:tc>
          <w:tcPr>
            <w:tcW w:w="541" w:type="dxa"/>
            <w:vMerge w:val="restart"/>
            <w:vAlign w:val="center"/>
          </w:tcPr>
          <w:p>
            <w:pPr>
              <w:widowControl/>
              <w:topLinePunct w:val="0"/>
              <w:snapToGrid w:val="0"/>
              <w:spacing w:line="240" w:lineRule="auto"/>
              <w:ind w:firstLine="0" w:firstLineChars="0"/>
              <w:jc w:val="center"/>
              <w:rPr>
                <w:rFonts w:hint="eastAsia" w:ascii="Times New Roman" w:eastAsia="宋体" w:cs="Times New Roman"/>
                <w:b/>
                <w:kern w:val="2"/>
                <w:sz w:val="21"/>
                <w:szCs w:val="21"/>
                <w:lang w:val="en-US" w:eastAsia="zh-CN"/>
              </w:rPr>
            </w:pPr>
            <w:r>
              <w:rPr>
                <w:rFonts w:hint="eastAsia" w:ascii="Times New Roman" w:cs="Times New Roman"/>
                <w:b/>
                <w:kern w:val="2"/>
                <w:sz w:val="21"/>
                <w:szCs w:val="21"/>
                <w:lang w:val="en-US" w:eastAsia="zh-CN"/>
              </w:rPr>
              <w:t>型号</w:t>
            </w:r>
          </w:p>
        </w:tc>
        <w:tc>
          <w:tcPr>
            <w:tcW w:w="1907" w:type="dxa"/>
            <w:gridSpan w:val="3"/>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hint="eastAsia" w:ascii="Times New Roman" w:cs="Times New Roman"/>
                <w:b/>
                <w:kern w:val="2"/>
                <w:sz w:val="21"/>
                <w:szCs w:val="21"/>
              </w:rPr>
              <w:t>空间相对位置</w:t>
            </w:r>
          </w:p>
        </w:tc>
        <w:tc>
          <w:tcPr>
            <w:tcW w:w="2013" w:type="dxa"/>
            <w:vMerge w:val="restart"/>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hint="eastAsia" w:ascii="Times New Roman" w:cs="Times New Roman"/>
                <w:b/>
                <w:kern w:val="2"/>
                <w:sz w:val="21"/>
                <w:szCs w:val="21"/>
                <w:lang w:val="en-US" w:eastAsia="zh-CN"/>
              </w:rPr>
              <w:t>声压级/距声源距离（dB（A）/m）</w:t>
            </w:r>
          </w:p>
        </w:tc>
        <w:tc>
          <w:tcPr>
            <w:tcW w:w="1315" w:type="dxa"/>
            <w:vMerge w:val="restart"/>
            <w:vAlign w:val="center"/>
          </w:tcPr>
          <w:p>
            <w:pPr>
              <w:widowControl/>
              <w:topLinePunct w:val="0"/>
              <w:snapToGrid w:val="0"/>
              <w:spacing w:line="240" w:lineRule="auto"/>
              <w:ind w:firstLine="0" w:firstLineChars="0"/>
              <w:jc w:val="center"/>
              <w:rPr>
                <w:rFonts w:hint="eastAsia" w:ascii="Times New Roman" w:eastAsia="宋体" w:cs="Times New Roman"/>
                <w:b/>
                <w:kern w:val="2"/>
                <w:sz w:val="21"/>
                <w:szCs w:val="21"/>
                <w:lang w:val="en-US" w:eastAsia="zh-CN"/>
              </w:rPr>
            </w:pPr>
            <w:r>
              <w:rPr>
                <w:rFonts w:hint="eastAsia" w:ascii="Times New Roman" w:cs="Times New Roman"/>
                <w:b/>
                <w:kern w:val="2"/>
                <w:sz w:val="21"/>
                <w:szCs w:val="21"/>
                <w:lang w:val="en-US" w:eastAsia="zh-CN"/>
              </w:rPr>
              <w:t>降噪措施</w:t>
            </w:r>
          </w:p>
        </w:tc>
        <w:tc>
          <w:tcPr>
            <w:tcW w:w="1315" w:type="dxa"/>
            <w:vMerge w:val="restart"/>
            <w:vAlign w:val="center"/>
          </w:tcPr>
          <w:p>
            <w:pPr>
              <w:widowControl/>
              <w:topLinePunct w:val="0"/>
              <w:snapToGrid w:val="0"/>
              <w:spacing w:line="240" w:lineRule="auto"/>
              <w:ind w:firstLine="0" w:firstLineChars="0"/>
              <w:jc w:val="center"/>
              <w:rPr>
                <w:rFonts w:hint="default" w:ascii="Times New Roman" w:cs="Times New Roman"/>
                <w:b/>
                <w:kern w:val="2"/>
                <w:sz w:val="21"/>
                <w:szCs w:val="21"/>
                <w:lang w:val="en-US" w:eastAsia="zh-CN"/>
              </w:rPr>
            </w:pPr>
            <w:r>
              <w:rPr>
                <w:rFonts w:hint="eastAsia" w:ascii="Times New Roman" w:cs="Times New Roman"/>
                <w:b/>
                <w:kern w:val="2"/>
                <w:sz w:val="21"/>
                <w:szCs w:val="21"/>
                <w:lang w:val="en-US" w:eastAsia="zh-CN"/>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3" w:type="dxa"/>
            <w:vMerge w:val="continue"/>
            <w:vAlign w:val="center"/>
          </w:tcPr>
          <w:p>
            <w:pPr>
              <w:widowControl/>
              <w:topLinePunct w:val="0"/>
              <w:snapToGrid w:val="0"/>
              <w:spacing w:line="240" w:lineRule="auto"/>
              <w:ind w:firstLine="0" w:firstLineChars="0"/>
              <w:jc w:val="center"/>
              <w:rPr>
                <w:rFonts w:ascii="Times New Roman" w:cs="Times New Roman"/>
                <w:b/>
                <w:kern w:val="2"/>
                <w:sz w:val="21"/>
                <w:szCs w:val="21"/>
              </w:rPr>
            </w:pPr>
          </w:p>
        </w:tc>
        <w:tc>
          <w:tcPr>
            <w:tcW w:w="774" w:type="dxa"/>
            <w:vMerge w:val="continue"/>
            <w:vAlign w:val="center"/>
          </w:tcPr>
          <w:p>
            <w:pPr>
              <w:widowControl/>
              <w:topLinePunct w:val="0"/>
              <w:snapToGrid w:val="0"/>
              <w:spacing w:line="240" w:lineRule="auto"/>
              <w:ind w:firstLine="0" w:firstLineChars="0"/>
              <w:jc w:val="center"/>
              <w:rPr>
                <w:rFonts w:ascii="Times New Roman" w:cs="Times New Roman"/>
                <w:b/>
                <w:kern w:val="2"/>
                <w:sz w:val="21"/>
                <w:szCs w:val="21"/>
              </w:rPr>
            </w:pPr>
          </w:p>
        </w:tc>
        <w:tc>
          <w:tcPr>
            <w:tcW w:w="746" w:type="dxa"/>
            <w:vMerge w:val="continue"/>
            <w:vAlign w:val="center"/>
          </w:tcPr>
          <w:p>
            <w:pPr>
              <w:widowControl/>
              <w:topLinePunct w:val="0"/>
              <w:snapToGrid w:val="0"/>
              <w:spacing w:line="240" w:lineRule="auto"/>
              <w:ind w:firstLine="0" w:firstLineChars="0"/>
              <w:jc w:val="center"/>
              <w:rPr>
                <w:rFonts w:ascii="Times New Roman" w:cs="Times New Roman"/>
                <w:b/>
                <w:kern w:val="2"/>
                <w:sz w:val="21"/>
                <w:szCs w:val="21"/>
              </w:rPr>
            </w:pPr>
          </w:p>
        </w:tc>
        <w:tc>
          <w:tcPr>
            <w:tcW w:w="541" w:type="dxa"/>
            <w:vMerge w:val="continue"/>
            <w:vAlign w:val="center"/>
          </w:tcPr>
          <w:p>
            <w:pPr>
              <w:widowControl/>
              <w:topLinePunct w:val="0"/>
              <w:snapToGrid w:val="0"/>
              <w:spacing w:line="240" w:lineRule="auto"/>
              <w:ind w:firstLine="0" w:firstLineChars="0"/>
              <w:jc w:val="center"/>
              <w:rPr>
                <w:rFonts w:ascii="Times New Roman" w:cs="Times New Roman"/>
                <w:b/>
                <w:kern w:val="2"/>
                <w:sz w:val="21"/>
                <w:szCs w:val="21"/>
              </w:rPr>
            </w:pPr>
          </w:p>
        </w:tc>
        <w:tc>
          <w:tcPr>
            <w:tcW w:w="659"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hint="eastAsia" w:ascii="Times New Roman" w:cs="Times New Roman"/>
                <w:b/>
                <w:kern w:val="2"/>
                <w:sz w:val="21"/>
                <w:szCs w:val="21"/>
              </w:rPr>
              <w:t>X</w:t>
            </w:r>
          </w:p>
        </w:tc>
        <w:tc>
          <w:tcPr>
            <w:tcW w:w="668"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hint="eastAsia" w:ascii="Times New Roman" w:cs="Times New Roman"/>
                <w:b/>
                <w:kern w:val="2"/>
                <w:sz w:val="21"/>
                <w:szCs w:val="21"/>
              </w:rPr>
              <w:t>Y</w:t>
            </w:r>
          </w:p>
        </w:tc>
        <w:tc>
          <w:tcPr>
            <w:tcW w:w="580"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hint="eastAsia" w:ascii="Times New Roman" w:cs="Times New Roman"/>
                <w:b/>
                <w:kern w:val="2"/>
                <w:sz w:val="21"/>
                <w:szCs w:val="21"/>
              </w:rPr>
              <w:t>Z</w:t>
            </w:r>
          </w:p>
        </w:tc>
        <w:tc>
          <w:tcPr>
            <w:tcW w:w="2013" w:type="dxa"/>
            <w:vMerge w:val="continue"/>
            <w:vAlign w:val="center"/>
          </w:tcPr>
          <w:p>
            <w:pPr>
              <w:widowControl/>
              <w:topLinePunct w:val="0"/>
              <w:snapToGrid w:val="0"/>
              <w:spacing w:line="240" w:lineRule="auto"/>
              <w:ind w:firstLine="0" w:firstLineChars="0"/>
              <w:jc w:val="center"/>
              <w:rPr>
                <w:rFonts w:ascii="Times New Roman" w:cs="Times New Roman"/>
                <w:b/>
                <w:kern w:val="2"/>
                <w:sz w:val="21"/>
                <w:szCs w:val="21"/>
              </w:rPr>
            </w:pPr>
          </w:p>
        </w:tc>
        <w:tc>
          <w:tcPr>
            <w:tcW w:w="1315" w:type="dxa"/>
            <w:vMerge w:val="continue"/>
            <w:vAlign w:val="center"/>
          </w:tcPr>
          <w:p>
            <w:pPr>
              <w:widowControl/>
              <w:topLinePunct w:val="0"/>
              <w:snapToGrid w:val="0"/>
              <w:spacing w:line="240" w:lineRule="auto"/>
              <w:ind w:firstLine="0" w:firstLineChars="0"/>
              <w:jc w:val="center"/>
              <w:rPr>
                <w:rFonts w:ascii="Times New Roman" w:cs="Times New Roman"/>
                <w:b/>
                <w:kern w:val="2"/>
                <w:sz w:val="21"/>
                <w:szCs w:val="21"/>
              </w:rPr>
            </w:pPr>
          </w:p>
        </w:tc>
        <w:tc>
          <w:tcPr>
            <w:tcW w:w="1315" w:type="dxa"/>
            <w:vMerge w:val="continue"/>
            <w:vAlign w:val="center"/>
          </w:tcPr>
          <w:p>
            <w:pPr>
              <w:widowControl/>
              <w:topLinePunct w:val="0"/>
              <w:snapToGrid w:val="0"/>
              <w:spacing w:line="240" w:lineRule="auto"/>
              <w:ind w:firstLine="0" w:firstLineChars="0"/>
              <w:jc w:val="center"/>
              <w:rPr>
                <w:rFonts w:ascii="Times New Roman" w:cs="Times New Roman"/>
                <w:b/>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3"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77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钻机</w:t>
            </w:r>
          </w:p>
        </w:tc>
        <w:tc>
          <w:tcPr>
            <w:tcW w:w="74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541" w:type="dxa"/>
            <w:vAlign w:val="center"/>
          </w:tcPr>
          <w:p>
            <w:pPr>
              <w:widowControl/>
              <w:topLinePunct w:val="0"/>
              <w:snapToGrid w:val="0"/>
              <w:spacing w:line="240" w:lineRule="auto"/>
              <w:ind w:firstLine="0" w:firstLineChars="0"/>
              <w:jc w:val="center"/>
              <w:rPr>
                <w:rFonts w:hint="eastAsia" w:ascii="Times New Roman" w:eastAsia="宋体" w:cs="Times New Roman"/>
                <w:kern w:val="2"/>
                <w:sz w:val="21"/>
                <w:szCs w:val="21"/>
                <w:lang w:val="en-US" w:eastAsia="zh-CN"/>
              </w:rPr>
            </w:pPr>
            <w:r>
              <w:rPr>
                <w:rFonts w:hint="eastAsia" w:ascii="Times New Roman" w:cs="Times New Roman"/>
                <w:kern w:val="2"/>
                <w:sz w:val="21"/>
                <w:szCs w:val="21"/>
                <w:lang w:val="en-US" w:eastAsia="zh-CN"/>
              </w:rPr>
              <w:t>/</w:t>
            </w:r>
          </w:p>
        </w:tc>
        <w:tc>
          <w:tcPr>
            <w:tcW w:w="65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22</w:t>
            </w:r>
          </w:p>
        </w:tc>
        <w:tc>
          <w:tcPr>
            <w:tcW w:w="66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-14</w:t>
            </w:r>
          </w:p>
        </w:tc>
        <w:tc>
          <w:tcPr>
            <w:tcW w:w="58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w:t>
            </w:r>
          </w:p>
        </w:tc>
        <w:tc>
          <w:tcPr>
            <w:tcW w:w="2013"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cs="Times New Roman"/>
                <w:kern w:val="2"/>
                <w:sz w:val="21"/>
                <w:szCs w:val="21"/>
                <w:lang w:val="en-US" w:eastAsia="zh-CN"/>
              </w:rPr>
              <w:t>85/1</w:t>
            </w:r>
          </w:p>
        </w:tc>
        <w:tc>
          <w:tcPr>
            <w:tcW w:w="1315" w:type="dxa"/>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eastAsia" w:ascii="Times New Roman" w:cs="Times New Roman"/>
                <w:kern w:val="2"/>
                <w:sz w:val="21"/>
                <w:szCs w:val="21"/>
                <w:lang w:val="en-US" w:eastAsia="zh-CN"/>
              </w:rPr>
              <w:t>基础减震</w:t>
            </w:r>
          </w:p>
        </w:tc>
        <w:tc>
          <w:tcPr>
            <w:tcW w:w="1315" w:type="dxa"/>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eastAsia" w:ascii="Times New Roman" w:hAnsi="Times New Roman" w:cs="Times New Roman"/>
                <w:kern w:val="2"/>
                <w:sz w:val="21"/>
                <w:szCs w:val="21"/>
                <w:lang w:val="en-US" w:eastAsia="zh-CN"/>
              </w:rPr>
              <w:t>钻井期间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3"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77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空压机</w:t>
            </w:r>
          </w:p>
        </w:tc>
        <w:tc>
          <w:tcPr>
            <w:tcW w:w="74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lang w:val="en-US" w:eastAsia="zh-CN"/>
              </w:rPr>
              <w:t>1</w:t>
            </w:r>
          </w:p>
        </w:tc>
        <w:tc>
          <w:tcPr>
            <w:tcW w:w="541" w:type="dxa"/>
            <w:vAlign w:val="center"/>
          </w:tcPr>
          <w:p>
            <w:pPr>
              <w:widowControl/>
              <w:topLinePunct w:val="0"/>
              <w:snapToGrid w:val="0"/>
              <w:spacing w:line="240" w:lineRule="auto"/>
              <w:ind w:firstLine="0" w:firstLineChars="0"/>
              <w:jc w:val="center"/>
              <w:rPr>
                <w:rFonts w:hint="eastAsia" w:ascii="Times New Roman" w:eastAsia="宋体" w:cs="Times New Roman"/>
                <w:kern w:val="2"/>
                <w:sz w:val="21"/>
                <w:szCs w:val="21"/>
                <w:lang w:val="en-US" w:eastAsia="zh-CN"/>
              </w:rPr>
            </w:pPr>
            <w:r>
              <w:rPr>
                <w:rFonts w:hint="eastAsia" w:ascii="Times New Roman" w:cs="Times New Roman"/>
                <w:kern w:val="2"/>
                <w:sz w:val="21"/>
                <w:szCs w:val="21"/>
                <w:lang w:val="en-US" w:eastAsia="zh-CN"/>
              </w:rPr>
              <w:t>/</w:t>
            </w:r>
          </w:p>
        </w:tc>
        <w:tc>
          <w:tcPr>
            <w:tcW w:w="65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20</w:t>
            </w:r>
          </w:p>
        </w:tc>
        <w:tc>
          <w:tcPr>
            <w:tcW w:w="66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-20</w:t>
            </w:r>
          </w:p>
        </w:tc>
        <w:tc>
          <w:tcPr>
            <w:tcW w:w="58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2013"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cs="Times New Roman"/>
                <w:kern w:val="2"/>
                <w:sz w:val="21"/>
                <w:szCs w:val="21"/>
                <w:lang w:val="en-US" w:eastAsia="zh-CN"/>
              </w:rPr>
              <w:t>80/1</w:t>
            </w:r>
          </w:p>
        </w:tc>
        <w:tc>
          <w:tcPr>
            <w:tcW w:w="1315" w:type="dxa"/>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eastAsia" w:ascii="Times New Roman" w:cs="Times New Roman"/>
                <w:kern w:val="2"/>
                <w:sz w:val="21"/>
                <w:szCs w:val="21"/>
                <w:lang w:val="en-US" w:eastAsia="zh-CN"/>
              </w:rPr>
              <w:t>基础减震</w:t>
            </w:r>
          </w:p>
        </w:tc>
        <w:tc>
          <w:tcPr>
            <w:tcW w:w="1315" w:type="dxa"/>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eastAsia" w:ascii="Times New Roman" w:hAnsi="Times New Roman" w:cs="Times New Roman"/>
                <w:kern w:val="2"/>
                <w:sz w:val="21"/>
                <w:szCs w:val="21"/>
                <w:lang w:val="en-US" w:eastAsia="zh-CN"/>
              </w:rPr>
              <w:t>钻井期间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3"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w:t>
            </w:r>
          </w:p>
        </w:tc>
        <w:tc>
          <w:tcPr>
            <w:tcW w:w="77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增压机</w:t>
            </w:r>
          </w:p>
        </w:tc>
        <w:tc>
          <w:tcPr>
            <w:tcW w:w="74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w:t>
            </w:r>
          </w:p>
        </w:tc>
        <w:tc>
          <w:tcPr>
            <w:tcW w:w="541" w:type="dxa"/>
            <w:vAlign w:val="center"/>
          </w:tcPr>
          <w:p>
            <w:pPr>
              <w:widowControl/>
              <w:topLinePunct w:val="0"/>
              <w:snapToGrid w:val="0"/>
              <w:spacing w:line="240" w:lineRule="auto"/>
              <w:ind w:firstLine="0" w:firstLineChars="0"/>
              <w:jc w:val="center"/>
              <w:rPr>
                <w:rFonts w:hint="eastAsia" w:ascii="Times New Roman" w:eastAsia="宋体" w:cs="Times New Roman"/>
                <w:kern w:val="2"/>
                <w:sz w:val="21"/>
                <w:szCs w:val="21"/>
                <w:lang w:val="en-US" w:eastAsia="zh-CN"/>
              </w:rPr>
            </w:pPr>
            <w:r>
              <w:rPr>
                <w:rFonts w:hint="eastAsia" w:ascii="Times New Roman" w:cs="Times New Roman"/>
                <w:kern w:val="2"/>
                <w:sz w:val="21"/>
                <w:szCs w:val="21"/>
                <w:lang w:val="en-US" w:eastAsia="zh-CN"/>
              </w:rPr>
              <w:t>/</w:t>
            </w:r>
          </w:p>
        </w:tc>
        <w:tc>
          <w:tcPr>
            <w:tcW w:w="65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36</w:t>
            </w:r>
          </w:p>
        </w:tc>
        <w:tc>
          <w:tcPr>
            <w:tcW w:w="66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-32</w:t>
            </w:r>
          </w:p>
        </w:tc>
        <w:tc>
          <w:tcPr>
            <w:tcW w:w="58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2013"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cs="Times New Roman"/>
                <w:kern w:val="2"/>
                <w:sz w:val="21"/>
                <w:szCs w:val="21"/>
                <w:lang w:val="en-US" w:eastAsia="zh-CN"/>
              </w:rPr>
              <w:t>80/1</w:t>
            </w:r>
          </w:p>
        </w:tc>
        <w:tc>
          <w:tcPr>
            <w:tcW w:w="1315" w:type="dxa"/>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eastAsia" w:ascii="Times New Roman" w:cs="Times New Roman"/>
                <w:kern w:val="2"/>
                <w:sz w:val="21"/>
                <w:szCs w:val="21"/>
                <w:lang w:val="en-US" w:eastAsia="zh-CN"/>
              </w:rPr>
              <w:t>基础减震</w:t>
            </w:r>
          </w:p>
        </w:tc>
        <w:tc>
          <w:tcPr>
            <w:tcW w:w="1315" w:type="dxa"/>
            <w:vAlign w:val="center"/>
          </w:tcPr>
          <w:p>
            <w:pPr>
              <w:widowControl/>
              <w:topLinePunct w:val="0"/>
              <w:snapToGrid w:val="0"/>
              <w:spacing w:line="240" w:lineRule="auto"/>
              <w:ind w:firstLine="0" w:firstLineChars="0"/>
              <w:jc w:val="center"/>
              <w:rPr>
                <w:rFonts w:hint="eastAsia" w:ascii="Times New Roman" w:cs="Times New Roman"/>
                <w:kern w:val="2"/>
                <w:sz w:val="21"/>
                <w:szCs w:val="21"/>
                <w:lang w:val="en-US" w:eastAsia="zh-CN"/>
              </w:rPr>
            </w:pPr>
            <w:r>
              <w:rPr>
                <w:rFonts w:hint="eastAsia" w:ascii="Times New Roman" w:hAnsi="Times New Roman" w:cs="Times New Roman"/>
                <w:kern w:val="2"/>
                <w:sz w:val="21"/>
                <w:szCs w:val="21"/>
                <w:lang w:val="en-US" w:eastAsia="zh-CN"/>
              </w:rPr>
              <w:t>钻井期间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04" w:type="dxa"/>
            <w:gridSpan w:val="10"/>
            <w:vAlign w:val="center"/>
          </w:tcPr>
          <w:p>
            <w:pPr>
              <w:widowControl/>
              <w:topLinePunct w:val="0"/>
              <w:snapToGrid w:val="0"/>
              <w:spacing w:line="240" w:lineRule="auto"/>
              <w:ind w:firstLine="0" w:firstLineChars="0"/>
              <w:rPr>
                <w:rFonts w:ascii="Times New Roman" w:cs="Times New Roman"/>
                <w:kern w:val="2"/>
                <w:sz w:val="21"/>
                <w:szCs w:val="21"/>
              </w:rPr>
            </w:pPr>
            <w:r>
              <w:rPr>
                <w:rFonts w:ascii="Times New Roman" w:cs="Times New Roman"/>
                <w:kern w:val="2"/>
                <w:sz w:val="21"/>
                <w:szCs w:val="21"/>
              </w:rPr>
              <w:t>注：以P108-2H井井口中心为原点（0,0,0）。</w:t>
            </w:r>
          </w:p>
        </w:tc>
      </w:tr>
    </w:tbl>
    <w:p>
      <w:pPr>
        <w:topLinePunct w:val="0"/>
        <w:snapToGrid w:val="0"/>
        <w:spacing w:line="331" w:lineRule="auto"/>
        <w:ind w:firstLine="476" w:firstLineChars="0"/>
        <w:rPr>
          <w:rFonts w:ascii="Times New Roman" w:cs="Times New Roman"/>
          <w:kern w:val="2"/>
        </w:rPr>
      </w:pPr>
      <w:r>
        <w:rPr>
          <w:rFonts w:ascii="Times New Roman" w:cs="Times New Roman"/>
          <w:kern w:val="2"/>
        </w:rPr>
        <w:t>②预测结果</w:t>
      </w:r>
    </w:p>
    <w:p>
      <w:pPr>
        <w:widowControl/>
        <w:topLinePunct w:val="0"/>
        <w:snapToGrid w:val="0"/>
        <w:spacing w:line="331" w:lineRule="auto"/>
        <w:ind w:firstLine="480"/>
        <w:rPr>
          <w:rFonts w:ascii="Times New Roman" w:cs="Times New Roman"/>
          <w:kern w:val="2"/>
        </w:rPr>
      </w:pPr>
      <w:r>
        <w:rPr>
          <w:rFonts w:ascii="Times New Roman" w:cs="Times New Roman"/>
          <w:kern w:val="2"/>
        </w:rPr>
        <w:t>井场四周环境噪声预测结果见表</w:t>
      </w:r>
      <w:r>
        <w:rPr>
          <w:rFonts w:ascii="Times New Roman" w:cs="Times New Roman"/>
        </w:rPr>
        <w:t>6.1-1</w:t>
      </w:r>
      <w:r>
        <w:rPr>
          <w:rFonts w:hint="eastAsia" w:ascii="Times New Roman" w:cs="Times New Roman"/>
        </w:rPr>
        <w:t>7</w:t>
      </w:r>
      <w:r>
        <w:rPr>
          <w:rFonts w:ascii="Times New Roman" w:cs="Times New Roman"/>
          <w:kern w:val="2"/>
        </w:rPr>
        <w:t>。</w:t>
      </w:r>
    </w:p>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表6.1-1</w:t>
      </w:r>
      <w:r>
        <w:rPr>
          <w:rFonts w:hint="eastAsia" w:ascii="Times New Roman" w:cs="Times New Roman"/>
          <w:b/>
          <w:bCs/>
          <w:kern w:val="2"/>
          <w:sz w:val="21"/>
        </w:rPr>
        <w:t>7</w:t>
      </w:r>
      <w:r>
        <w:rPr>
          <w:rFonts w:ascii="Times New Roman" w:cs="Times New Roman"/>
          <w:b/>
          <w:bCs/>
          <w:kern w:val="2"/>
          <w:sz w:val="21"/>
        </w:rPr>
        <w:t xml:space="preserve">  </w:t>
      </w:r>
      <w:r>
        <w:rPr>
          <w:rFonts w:ascii="Times New Roman" w:cs="Times New Roman"/>
          <w:b/>
          <w:kern w:val="2"/>
          <w:sz w:val="21"/>
        </w:rPr>
        <w:t>钻井工程噪声预测（气体钻）</w:t>
      </w:r>
      <w:r>
        <w:rPr>
          <w:rFonts w:ascii="Times New Roman" w:cs="Times New Roman"/>
          <w:b/>
          <w:bCs/>
          <w:kern w:val="2"/>
          <w:sz w:val="21"/>
        </w:rPr>
        <w:t xml:space="preserve">    单位：dB(A)</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62"/>
        <w:gridCol w:w="1413"/>
        <w:gridCol w:w="1172"/>
        <w:gridCol w:w="1277"/>
        <w:gridCol w:w="1269"/>
        <w:gridCol w:w="960"/>
        <w:gridCol w:w="158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93" w:type="dxa"/>
            <w:vMerge w:val="restart"/>
            <w:shd w:val="clear" w:color="auto" w:fill="auto"/>
            <w:vAlign w:val="center"/>
          </w:tcPr>
          <w:p>
            <w:pPr>
              <w:topLinePunct w:val="0"/>
              <w:adjustRightInd/>
              <w:spacing w:line="240" w:lineRule="auto"/>
              <w:ind w:firstLine="0" w:firstLineChars="0"/>
              <w:jc w:val="center"/>
              <w:rPr>
                <w:rFonts w:ascii="Times New Roman" w:cs="Times New Roman"/>
                <w:b/>
                <w:kern w:val="2"/>
                <w:sz w:val="21"/>
              </w:rPr>
            </w:pPr>
            <w:r>
              <w:rPr>
                <w:rFonts w:ascii="Times New Roman" w:cs="Times New Roman"/>
                <w:b/>
                <w:kern w:val="2"/>
                <w:sz w:val="21"/>
              </w:rPr>
              <w:t>噪声源</w:t>
            </w:r>
          </w:p>
        </w:tc>
        <w:tc>
          <w:tcPr>
            <w:tcW w:w="1322" w:type="dxa"/>
            <w:vMerge w:val="restart"/>
            <w:shd w:val="clear" w:color="auto" w:fill="auto"/>
            <w:vAlign w:val="center"/>
          </w:tcPr>
          <w:p>
            <w:pPr>
              <w:topLinePunct w:val="0"/>
              <w:adjustRightInd/>
              <w:spacing w:line="240" w:lineRule="auto"/>
              <w:ind w:firstLine="0" w:firstLineChars="0"/>
              <w:jc w:val="center"/>
              <w:rPr>
                <w:rFonts w:ascii="Times New Roman" w:cs="Times New Roman"/>
                <w:b/>
                <w:kern w:val="2"/>
                <w:sz w:val="21"/>
              </w:rPr>
            </w:pPr>
            <w:r>
              <w:rPr>
                <w:rFonts w:ascii="Times New Roman" w:cs="Times New Roman"/>
                <w:b/>
                <w:kern w:val="2"/>
                <w:sz w:val="21"/>
              </w:rPr>
              <w:t>源强</w:t>
            </w:r>
          </w:p>
        </w:tc>
        <w:tc>
          <w:tcPr>
            <w:tcW w:w="4375" w:type="dxa"/>
            <w:gridSpan w:val="4"/>
            <w:shd w:val="clear" w:color="auto" w:fill="auto"/>
            <w:vAlign w:val="center"/>
          </w:tcPr>
          <w:p>
            <w:pPr>
              <w:topLinePunct w:val="0"/>
              <w:adjustRightInd/>
              <w:spacing w:line="240" w:lineRule="auto"/>
              <w:ind w:firstLine="0" w:firstLineChars="0"/>
              <w:jc w:val="center"/>
              <w:rPr>
                <w:rFonts w:ascii="Times New Roman" w:cs="Times New Roman"/>
                <w:b/>
                <w:kern w:val="2"/>
                <w:sz w:val="21"/>
              </w:rPr>
            </w:pPr>
            <w:r>
              <w:rPr>
                <w:rFonts w:ascii="Times New Roman" w:cs="Times New Roman"/>
                <w:b/>
                <w:kern w:val="2"/>
                <w:sz w:val="21"/>
              </w:rPr>
              <w:t>在各厂界噪声贡献值</w:t>
            </w:r>
          </w:p>
        </w:tc>
        <w:tc>
          <w:tcPr>
            <w:tcW w:w="1479" w:type="dxa"/>
            <w:vMerge w:val="restart"/>
            <w:shd w:val="clear" w:color="auto" w:fill="auto"/>
            <w:vAlign w:val="center"/>
          </w:tcPr>
          <w:p>
            <w:pPr>
              <w:topLinePunct w:val="0"/>
              <w:adjustRightInd/>
              <w:spacing w:line="240" w:lineRule="auto"/>
              <w:ind w:firstLine="0" w:firstLineChars="0"/>
              <w:jc w:val="center"/>
              <w:rPr>
                <w:rFonts w:ascii="Times New Roman" w:cs="Times New Roman"/>
                <w:b/>
                <w:kern w:val="2"/>
                <w:sz w:val="21"/>
              </w:rPr>
            </w:pPr>
            <w:r>
              <w:rPr>
                <w:rFonts w:ascii="Times New Roman" w:cs="Times New Roman"/>
                <w:b/>
                <w:kern w:val="2"/>
                <w:sz w:val="21"/>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93" w:type="dxa"/>
            <w:vMerge w:val="continue"/>
            <w:shd w:val="clear" w:color="auto" w:fill="auto"/>
            <w:vAlign w:val="center"/>
          </w:tcPr>
          <w:p>
            <w:pPr>
              <w:topLinePunct w:val="0"/>
              <w:adjustRightInd/>
              <w:spacing w:line="240" w:lineRule="auto"/>
              <w:ind w:firstLine="0" w:firstLineChars="0"/>
              <w:jc w:val="center"/>
              <w:rPr>
                <w:rFonts w:ascii="Times New Roman" w:cs="Times New Roman"/>
                <w:b/>
                <w:kern w:val="2"/>
                <w:sz w:val="21"/>
              </w:rPr>
            </w:pPr>
          </w:p>
        </w:tc>
        <w:tc>
          <w:tcPr>
            <w:tcW w:w="1322" w:type="dxa"/>
            <w:vMerge w:val="continue"/>
            <w:shd w:val="clear" w:color="auto" w:fill="auto"/>
            <w:vAlign w:val="center"/>
          </w:tcPr>
          <w:p>
            <w:pPr>
              <w:topLinePunct w:val="0"/>
              <w:adjustRightInd/>
              <w:spacing w:line="240" w:lineRule="auto"/>
              <w:ind w:firstLine="0" w:firstLineChars="0"/>
              <w:jc w:val="center"/>
              <w:rPr>
                <w:rFonts w:ascii="Times New Roman" w:cs="Times New Roman"/>
                <w:b/>
                <w:kern w:val="2"/>
                <w:sz w:val="21"/>
              </w:rPr>
            </w:pPr>
          </w:p>
        </w:tc>
        <w:tc>
          <w:tcPr>
            <w:tcW w:w="1096" w:type="dxa"/>
            <w:shd w:val="clear" w:color="auto" w:fill="auto"/>
            <w:vAlign w:val="center"/>
          </w:tcPr>
          <w:p>
            <w:pPr>
              <w:topLinePunct w:val="0"/>
              <w:adjustRightInd/>
              <w:spacing w:line="240" w:lineRule="auto"/>
              <w:ind w:firstLine="0" w:firstLineChars="0"/>
              <w:jc w:val="center"/>
              <w:rPr>
                <w:rFonts w:ascii="Times New Roman" w:cs="Times New Roman"/>
                <w:b/>
                <w:kern w:val="2"/>
                <w:sz w:val="21"/>
              </w:rPr>
            </w:pPr>
            <w:r>
              <w:rPr>
                <w:rFonts w:ascii="Times New Roman" w:cs="Times New Roman"/>
                <w:b/>
                <w:kern w:val="2"/>
                <w:sz w:val="21"/>
              </w:rPr>
              <w:t>东厂界</w:t>
            </w:r>
          </w:p>
        </w:tc>
        <w:tc>
          <w:tcPr>
            <w:tcW w:w="1194" w:type="dxa"/>
            <w:shd w:val="clear" w:color="auto" w:fill="auto"/>
            <w:vAlign w:val="center"/>
          </w:tcPr>
          <w:p>
            <w:pPr>
              <w:topLinePunct w:val="0"/>
              <w:adjustRightInd/>
              <w:spacing w:line="240" w:lineRule="auto"/>
              <w:ind w:firstLine="0" w:firstLineChars="0"/>
              <w:jc w:val="center"/>
              <w:rPr>
                <w:rFonts w:ascii="Times New Roman" w:cs="Times New Roman"/>
                <w:b/>
                <w:kern w:val="2"/>
                <w:sz w:val="21"/>
              </w:rPr>
            </w:pPr>
            <w:r>
              <w:rPr>
                <w:rFonts w:ascii="Times New Roman" w:cs="Times New Roman"/>
                <w:b/>
                <w:kern w:val="2"/>
                <w:sz w:val="21"/>
              </w:rPr>
              <w:t>南厂界</w:t>
            </w:r>
          </w:p>
        </w:tc>
        <w:tc>
          <w:tcPr>
            <w:tcW w:w="1187" w:type="dxa"/>
            <w:shd w:val="clear" w:color="auto" w:fill="auto"/>
            <w:vAlign w:val="center"/>
          </w:tcPr>
          <w:p>
            <w:pPr>
              <w:topLinePunct w:val="0"/>
              <w:adjustRightInd/>
              <w:spacing w:line="240" w:lineRule="auto"/>
              <w:ind w:firstLine="0" w:firstLineChars="0"/>
              <w:jc w:val="center"/>
              <w:rPr>
                <w:rFonts w:ascii="Times New Roman" w:cs="Times New Roman"/>
                <w:b/>
                <w:kern w:val="2"/>
                <w:sz w:val="21"/>
              </w:rPr>
            </w:pPr>
            <w:r>
              <w:rPr>
                <w:rFonts w:ascii="Times New Roman" w:cs="Times New Roman"/>
                <w:b/>
                <w:kern w:val="2"/>
                <w:sz w:val="21"/>
              </w:rPr>
              <w:t>西厂界</w:t>
            </w:r>
          </w:p>
        </w:tc>
        <w:tc>
          <w:tcPr>
            <w:tcW w:w="898" w:type="dxa"/>
            <w:shd w:val="clear" w:color="auto" w:fill="auto"/>
            <w:vAlign w:val="center"/>
          </w:tcPr>
          <w:p>
            <w:pPr>
              <w:topLinePunct w:val="0"/>
              <w:adjustRightInd/>
              <w:spacing w:line="240" w:lineRule="auto"/>
              <w:ind w:firstLine="0" w:firstLineChars="0"/>
              <w:jc w:val="center"/>
              <w:rPr>
                <w:rFonts w:ascii="Times New Roman" w:cs="Times New Roman"/>
                <w:b/>
                <w:kern w:val="2"/>
                <w:sz w:val="21"/>
              </w:rPr>
            </w:pPr>
            <w:r>
              <w:rPr>
                <w:rFonts w:ascii="Times New Roman" w:cs="Times New Roman"/>
                <w:b/>
                <w:kern w:val="2"/>
                <w:sz w:val="21"/>
              </w:rPr>
              <w:t>北厂界</w:t>
            </w:r>
          </w:p>
        </w:tc>
        <w:tc>
          <w:tcPr>
            <w:tcW w:w="1479" w:type="dxa"/>
            <w:vMerge w:val="continue"/>
            <w:shd w:val="clear" w:color="auto" w:fill="auto"/>
            <w:vAlign w:val="center"/>
          </w:tcPr>
          <w:p>
            <w:pPr>
              <w:topLinePunct w:val="0"/>
              <w:adjustRightInd/>
              <w:spacing w:line="240" w:lineRule="auto"/>
              <w:ind w:firstLine="0" w:firstLineChars="0"/>
              <w:jc w:val="center"/>
              <w:rPr>
                <w:rFonts w:ascii="Times New Roman" w:cs="Times New Roman"/>
                <w:b/>
                <w:kern w:val="2"/>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93" w:type="dxa"/>
            <w:shd w:val="clear" w:color="auto" w:fill="auto"/>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钻机</w:t>
            </w:r>
          </w:p>
        </w:tc>
        <w:tc>
          <w:tcPr>
            <w:tcW w:w="1322" w:type="dxa"/>
            <w:shd w:val="clear" w:color="auto" w:fill="auto"/>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eastAsia" w:ascii="Times New Roman" w:cs="Times New Roman"/>
                <w:kern w:val="2"/>
                <w:sz w:val="21"/>
                <w:szCs w:val="21"/>
                <w:lang w:val="en-US" w:eastAsia="zh-CN"/>
              </w:rPr>
              <w:t>85</w:t>
            </w:r>
          </w:p>
        </w:tc>
        <w:tc>
          <w:tcPr>
            <w:tcW w:w="1096" w:type="dxa"/>
            <w:shd w:val="clear" w:color="auto" w:fill="auto"/>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default" w:ascii="Times New Roman" w:eastAsia="宋体" w:cs="Times New Roman"/>
                <w:kern w:val="2"/>
                <w:sz w:val="21"/>
                <w:szCs w:val="21"/>
                <w:lang w:val="en-US" w:eastAsia="zh-CN"/>
              </w:rPr>
              <w:t xml:space="preserve">48.7 </w:t>
            </w:r>
          </w:p>
        </w:tc>
        <w:tc>
          <w:tcPr>
            <w:tcW w:w="1194" w:type="dxa"/>
            <w:shd w:val="clear" w:color="auto" w:fill="auto"/>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default" w:ascii="Times New Roman" w:eastAsia="宋体" w:cs="Times New Roman"/>
                <w:kern w:val="2"/>
                <w:sz w:val="21"/>
                <w:szCs w:val="21"/>
                <w:lang w:val="en-US" w:eastAsia="zh-CN"/>
              </w:rPr>
              <w:t xml:space="preserve">46.4 </w:t>
            </w:r>
          </w:p>
        </w:tc>
        <w:tc>
          <w:tcPr>
            <w:tcW w:w="1187" w:type="dxa"/>
            <w:shd w:val="clear" w:color="auto" w:fill="auto"/>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default" w:ascii="Times New Roman" w:eastAsia="宋体" w:cs="Times New Roman"/>
                <w:kern w:val="2"/>
                <w:sz w:val="21"/>
                <w:szCs w:val="21"/>
                <w:lang w:val="en-US" w:eastAsia="zh-CN"/>
              </w:rPr>
              <w:t xml:space="preserve">50.7 </w:t>
            </w:r>
          </w:p>
        </w:tc>
        <w:tc>
          <w:tcPr>
            <w:tcW w:w="898" w:type="dxa"/>
            <w:shd w:val="clear" w:color="auto" w:fill="auto"/>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default" w:ascii="Times New Roman" w:eastAsia="宋体" w:cs="Times New Roman"/>
                <w:kern w:val="2"/>
                <w:sz w:val="21"/>
                <w:szCs w:val="21"/>
                <w:lang w:val="en-US" w:eastAsia="zh-CN"/>
              </w:rPr>
              <w:t xml:space="preserve">49.7 </w:t>
            </w:r>
          </w:p>
        </w:tc>
        <w:tc>
          <w:tcPr>
            <w:tcW w:w="1479" w:type="dxa"/>
            <w:vMerge w:val="restart"/>
            <w:shd w:val="clear" w:color="auto" w:fill="auto"/>
            <w:vAlign w:val="center"/>
          </w:tcPr>
          <w:p>
            <w:pPr>
              <w:topLinePunct w:val="0"/>
              <w:adjustRightInd/>
              <w:spacing w:line="240" w:lineRule="auto"/>
              <w:ind w:firstLine="0" w:firstLineChars="0"/>
              <w:jc w:val="center"/>
              <w:rPr>
                <w:rFonts w:hint="default" w:ascii="Times New Roman" w:eastAsia="宋体" w:cs="Times New Roman"/>
                <w:kern w:val="2"/>
                <w:sz w:val="21"/>
                <w:lang w:val="en-US" w:eastAsia="zh-CN"/>
              </w:rPr>
            </w:pPr>
            <w:r>
              <w:rPr>
                <w:rFonts w:hint="eastAsia" w:ascii="Times New Roman" w:cs="Times New Roman"/>
                <w:kern w:val="2"/>
                <w:sz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93" w:type="dxa"/>
            <w:shd w:val="clear" w:color="auto" w:fill="auto"/>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空压机</w:t>
            </w:r>
          </w:p>
        </w:tc>
        <w:tc>
          <w:tcPr>
            <w:tcW w:w="1322" w:type="dxa"/>
            <w:shd w:val="clear" w:color="auto" w:fill="auto"/>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eastAsia" w:ascii="Times New Roman" w:cs="Times New Roman"/>
                <w:kern w:val="2"/>
                <w:sz w:val="21"/>
                <w:szCs w:val="21"/>
                <w:lang w:val="en-US" w:eastAsia="zh-CN"/>
              </w:rPr>
              <w:t>80</w:t>
            </w:r>
          </w:p>
        </w:tc>
        <w:tc>
          <w:tcPr>
            <w:tcW w:w="1096" w:type="dxa"/>
            <w:shd w:val="clear" w:color="auto" w:fill="auto"/>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default" w:ascii="Times New Roman" w:eastAsia="宋体" w:cs="Times New Roman"/>
                <w:kern w:val="2"/>
                <w:sz w:val="21"/>
                <w:szCs w:val="21"/>
                <w:lang w:val="en-US" w:eastAsia="zh-CN"/>
              </w:rPr>
              <w:t xml:space="preserve">45.0 </w:t>
            </w:r>
          </w:p>
        </w:tc>
        <w:tc>
          <w:tcPr>
            <w:tcW w:w="1194" w:type="dxa"/>
            <w:shd w:val="clear" w:color="auto" w:fill="auto"/>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default" w:ascii="Times New Roman" w:eastAsia="宋体" w:cs="Times New Roman"/>
                <w:kern w:val="2"/>
                <w:sz w:val="21"/>
                <w:szCs w:val="21"/>
                <w:lang w:val="en-US" w:eastAsia="zh-CN"/>
              </w:rPr>
              <w:t xml:space="preserve">40.5 </w:t>
            </w:r>
          </w:p>
        </w:tc>
        <w:tc>
          <w:tcPr>
            <w:tcW w:w="1187" w:type="dxa"/>
            <w:shd w:val="clear" w:color="auto" w:fill="auto"/>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default" w:ascii="Times New Roman" w:eastAsia="宋体" w:cs="Times New Roman"/>
                <w:kern w:val="2"/>
                <w:sz w:val="21"/>
                <w:szCs w:val="21"/>
                <w:lang w:val="en-US" w:eastAsia="zh-CN"/>
              </w:rPr>
              <w:t xml:space="preserve">42.2 </w:t>
            </w:r>
          </w:p>
        </w:tc>
        <w:tc>
          <w:tcPr>
            <w:tcW w:w="898" w:type="dxa"/>
            <w:shd w:val="clear" w:color="auto" w:fill="auto"/>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default" w:ascii="Times New Roman" w:eastAsia="宋体" w:cs="Times New Roman"/>
                <w:kern w:val="2"/>
                <w:sz w:val="21"/>
                <w:szCs w:val="21"/>
                <w:lang w:val="en-US" w:eastAsia="zh-CN"/>
              </w:rPr>
              <w:t xml:space="preserve">49.9 </w:t>
            </w:r>
          </w:p>
        </w:tc>
        <w:tc>
          <w:tcPr>
            <w:tcW w:w="1479" w:type="dxa"/>
            <w:vMerge w:val="continue"/>
            <w:shd w:val="clear" w:color="auto" w:fill="auto"/>
            <w:vAlign w:val="center"/>
          </w:tcPr>
          <w:p>
            <w:pPr>
              <w:topLinePunct w:val="0"/>
              <w:adjustRightInd/>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93" w:type="dxa"/>
            <w:shd w:val="clear" w:color="auto" w:fill="auto"/>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增压机</w:t>
            </w:r>
          </w:p>
        </w:tc>
        <w:tc>
          <w:tcPr>
            <w:tcW w:w="1322" w:type="dxa"/>
            <w:shd w:val="clear" w:color="auto" w:fill="auto"/>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eastAsia" w:ascii="Times New Roman" w:cs="Times New Roman"/>
                <w:kern w:val="2"/>
                <w:sz w:val="21"/>
                <w:szCs w:val="21"/>
                <w:lang w:val="en-US" w:eastAsia="zh-CN"/>
              </w:rPr>
              <w:t>80</w:t>
            </w:r>
          </w:p>
        </w:tc>
        <w:tc>
          <w:tcPr>
            <w:tcW w:w="1096" w:type="dxa"/>
            <w:shd w:val="clear" w:color="auto" w:fill="auto"/>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default" w:ascii="Times New Roman" w:eastAsia="宋体" w:cs="Times New Roman"/>
                <w:kern w:val="2"/>
                <w:sz w:val="21"/>
                <w:szCs w:val="21"/>
                <w:lang w:val="en-US" w:eastAsia="zh-CN"/>
              </w:rPr>
              <w:t xml:space="preserve">46.9 </w:t>
            </w:r>
          </w:p>
        </w:tc>
        <w:tc>
          <w:tcPr>
            <w:tcW w:w="1194" w:type="dxa"/>
            <w:shd w:val="clear" w:color="auto" w:fill="auto"/>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default" w:ascii="Times New Roman" w:eastAsia="宋体" w:cs="Times New Roman"/>
                <w:kern w:val="2"/>
                <w:sz w:val="21"/>
                <w:szCs w:val="21"/>
                <w:lang w:val="en-US" w:eastAsia="zh-CN"/>
              </w:rPr>
              <w:t xml:space="preserve">39.6 </w:t>
            </w:r>
          </w:p>
        </w:tc>
        <w:tc>
          <w:tcPr>
            <w:tcW w:w="1187" w:type="dxa"/>
            <w:shd w:val="clear" w:color="auto" w:fill="auto"/>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default" w:ascii="Times New Roman" w:eastAsia="宋体" w:cs="Times New Roman"/>
                <w:kern w:val="2"/>
                <w:sz w:val="21"/>
                <w:szCs w:val="21"/>
                <w:lang w:val="en-US" w:eastAsia="zh-CN"/>
              </w:rPr>
              <w:t xml:space="preserve">48.9 </w:t>
            </w:r>
          </w:p>
        </w:tc>
        <w:tc>
          <w:tcPr>
            <w:tcW w:w="898" w:type="dxa"/>
            <w:shd w:val="clear" w:color="auto" w:fill="auto"/>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default" w:ascii="Times New Roman" w:eastAsia="宋体" w:cs="Times New Roman"/>
                <w:kern w:val="2"/>
                <w:sz w:val="21"/>
                <w:szCs w:val="21"/>
                <w:lang w:val="en-US" w:eastAsia="zh-CN"/>
              </w:rPr>
              <w:t xml:space="preserve">42.6 </w:t>
            </w:r>
          </w:p>
        </w:tc>
        <w:tc>
          <w:tcPr>
            <w:tcW w:w="1479" w:type="dxa"/>
            <w:vMerge w:val="continue"/>
            <w:shd w:val="clear" w:color="auto" w:fill="auto"/>
            <w:vAlign w:val="center"/>
          </w:tcPr>
          <w:p>
            <w:pPr>
              <w:topLinePunct w:val="0"/>
              <w:adjustRightInd/>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15" w:type="dxa"/>
            <w:gridSpan w:val="2"/>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叠加值</w:t>
            </w:r>
          </w:p>
        </w:tc>
        <w:tc>
          <w:tcPr>
            <w:tcW w:w="1096" w:type="dxa"/>
            <w:shd w:val="clear" w:color="auto" w:fill="auto"/>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default" w:ascii="Times New Roman" w:eastAsia="宋体" w:cs="Times New Roman"/>
                <w:kern w:val="2"/>
                <w:sz w:val="21"/>
                <w:szCs w:val="21"/>
                <w:lang w:val="en-US" w:eastAsia="zh-CN"/>
              </w:rPr>
              <w:t xml:space="preserve">51.9 </w:t>
            </w:r>
          </w:p>
        </w:tc>
        <w:tc>
          <w:tcPr>
            <w:tcW w:w="1194" w:type="dxa"/>
            <w:shd w:val="clear" w:color="auto" w:fill="auto"/>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default" w:ascii="Times New Roman" w:eastAsia="宋体" w:cs="Times New Roman"/>
                <w:kern w:val="2"/>
                <w:sz w:val="21"/>
                <w:szCs w:val="21"/>
                <w:lang w:val="en-US" w:eastAsia="zh-CN"/>
              </w:rPr>
              <w:t xml:space="preserve">48.1 </w:t>
            </w:r>
          </w:p>
        </w:tc>
        <w:tc>
          <w:tcPr>
            <w:tcW w:w="1187" w:type="dxa"/>
            <w:shd w:val="clear" w:color="auto" w:fill="auto"/>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default" w:ascii="Times New Roman" w:eastAsia="宋体" w:cs="Times New Roman"/>
                <w:kern w:val="2"/>
                <w:sz w:val="21"/>
                <w:szCs w:val="21"/>
                <w:lang w:val="en-US" w:eastAsia="zh-CN"/>
              </w:rPr>
              <w:t xml:space="preserve">53.2 </w:t>
            </w:r>
          </w:p>
        </w:tc>
        <w:tc>
          <w:tcPr>
            <w:tcW w:w="898" w:type="dxa"/>
            <w:shd w:val="clear" w:color="auto" w:fill="auto"/>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default" w:ascii="Times New Roman" w:eastAsia="宋体" w:cs="Times New Roman"/>
                <w:kern w:val="2"/>
                <w:sz w:val="21"/>
                <w:szCs w:val="21"/>
                <w:lang w:val="en-US" w:eastAsia="zh-CN"/>
              </w:rPr>
              <w:t xml:space="preserve">53.2 </w:t>
            </w:r>
          </w:p>
        </w:tc>
        <w:tc>
          <w:tcPr>
            <w:tcW w:w="1479" w:type="dxa"/>
            <w:vMerge w:val="continue"/>
            <w:shd w:val="clear" w:color="auto" w:fill="auto"/>
            <w:vAlign w:val="center"/>
          </w:tcPr>
          <w:p>
            <w:pPr>
              <w:topLinePunct w:val="0"/>
              <w:adjustRightInd/>
              <w:spacing w:line="240" w:lineRule="auto"/>
              <w:ind w:firstLine="0" w:firstLineChars="0"/>
              <w:jc w:val="center"/>
              <w:rPr>
                <w:rFonts w:ascii="Times New Roman" w:cs="Times New Roman"/>
                <w:kern w:val="2"/>
                <w:sz w:val="21"/>
              </w:rPr>
            </w:pPr>
          </w:p>
        </w:tc>
      </w:tr>
    </w:tbl>
    <w:p>
      <w:pPr>
        <w:widowControl/>
        <w:topLinePunct w:val="0"/>
        <w:snapToGrid w:val="0"/>
        <w:spacing w:line="240" w:lineRule="auto"/>
        <w:ind w:firstLine="0" w:firstLineChars="0"/>
        <w:jc w:val="center"/>
        <w:rPr>
          <w:rFonts w:ascii="Times New Roman" w:cs="Times New Roman"/>
          <w:kern w:val="2"/>
        </w:rPr>
      </w:pPr>
      <w:r>
        <w:rPr>
          <w:rFonts w:ascii="Times New Roman" w:cs="Times New Roman"/>
          <w:kern w:val="2"/>
        </w:rPr>
        <w:drawing>
          <wp:inline distT="0" distB="0" distL="114300" distR="114300">
            <wp:extent cx="5579110" cy="3749675"/>
            <wp:effectExtent l="0" t="0" r="2540" b="3175"/>
            <wp:docPr id="7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
                    <pic:cNvPicPr>
                      <a:picLocks noChangeAspect="1"/>
                    </pic:cNvPicPr>
                  </pic:nvPicPr>
                  <pic:blipFill>
                    <a:blip r:embed="rId66"/>
                    <a:stretch>
                      <a:fillRect/>
                    </a:stretch>
                  </pic:blipFill>
                  <pic:spPr>
                    <a:xfrm>
                      <a:off x="0" y="0"/>
                      <a:ext cx="5579110" cy="3749675"/>
                    </a:xfrm>
                    <a:prstGeom prst="rect">
                      <a:avLst/>
                    </a:prstGeom>
                    <a:noFill/>
                    <a:ln>
                      <a:noFill/>
                    </a:ln>
                  </pic:spPr>
                </pic:pic>
              </a:graphicData>
            </a:graphic>
          </wp:inline>
        </w:drawing>
      </w:r>
    </w:p>
    <w:p>
      <w:pPr>
        <w:widowControl/>
        <w:topLinePunct w:val="0"/>
        <w:snapToGrid w:val="0"/>
        <w:spacing w:line="331" w:lineRule="auto"/>
        <w:ind w:firstLine="0" w:firstLineChars="0"/>
        <w:jc w:val="center"/>
        <w:rPr>
          <w:rFonts w:ascii="Times New Roman" w:cs="Times New Roman"/>
          <w:kern w:val="2"/>
        </w:rPr>
      </w:pPr>
      <w:r>
        <w:rPr>
          <w:rFonts w:ascii="Times New Roman" w:cs="Times New Roman"/>
          <w:b/>
          <w:bCs/>
          <w:kern w:val="2"/>
        </w:rPr>
        <w:t>图6.1-</w:t>
      </w:r>
      <w:r>
        <w:rPr>
          <w:rFonts w:hint="eastAsia" w:ascii="Times New Roman" w:cs="Times New Roman"/>
          <w:b/>
          <w:bCs/>
          <w:kern w:val="2"/>
        </w:rPr>
        <w:t>3</w:t>
      </w:r>
      <w:r>
        <w:rPr>
          <w:rFonts w:ascii="Times New Roman" w:cs="Times New Roman"/>
          <w:kern w:val="2"/>
        </w:rPr>
        <w:t xml:space="preserve"> </w:t>
      </w:r>
      <w:r>
        <w:rPr>
          <w:rFonts w:ascii="Times New Roman" w:cs="Times New Roman"/>
          <w:b/>
          <w:bCs/>
          <w:kern w:val="2"/>
        </w:rPr>
        <w:t>气体</w:t>
      </w:r>
      <w:r>
        <w:rPr>
          <w:rFonts w:ascii="Times New Roman" w:cs="Times New Roman"/>
          <w:b/>
          <w:bCs/>
        </w:rPr>
        <w:t>钻井过程噪声贡献值等声级线图</w:t>
      </w:r>
    </w:p>
    <w:p>
      <w:pPr>
        <w:topLinePunct w:val="0"/>
        <w:snapToGrid w:val="0"/>
        <w:ind w:firstLine="480"/>
        <w:rPr>
          <w:rFonts w:ascii="Times New Roman" w:cs="Times New Roman"/>
          <w:kern w:val="2"/>
        </w:rPr>
      </w:pPr>
      <w:r>
        <w:rPr>
          <w:rFonts w:ascii="Times New Roman" w:cs="Times New Roman"/>
          <w:kern w:val="2"/>
        </w:rPr>
        <w:t>预测结果表明：气体钻钻井过程中井场边界噪声贡献值满足《建筑施工场界环境噪声排放标准》（GB 12523-2011）（昼间70dB（A），夜间55dB（A））。本项目厂界200m范围内均无居民点，因此不进行噪声敏感点预测。</w:t>
      </w:r>
    </w:p>
    <w:p>
      <w:pPr>
        <w:topLinePunct w:val="0"/>
        <w:snapToGrid w:val="0"/>
        <w:ind w:firstLine="480"/>
        <w:rPr>
          <w:rFonts w:ascii="Times New Roman" w:cs="Times New Roman"/>
          <w:kern w:val="2"/>
        </w:rPr>
      </w:pPr>
      <w:r>
        <w:rPr>
          <w:rFonts w:ascii="Times New Roman" w:cs="Times New Roman"/>
          <w:kern w:val="2"/>
        </w:rPr>
        <w:t>施工期需采取的降噪措施：项目施工过程中采取合理安排施工时间、选用低噪声设备</w:t>
      </w:r>
      <w:r>
        <w:rPr>
          <w:rFonts w:hint="eastAsia" w:ascii="Times New Roman" w:cs="Times New Roman"/>
          <w:kern w:val="2"/>
          <w:lang w:eastAsia="zh-CN"/>
        </w:rPr>
        <w:t>，</w:t>
      </w:r>
      <w:r>
        <w:rPr>
          <w:rFonts w:hint="eastAsia" w:ascii="Times New Roman" w:cs="Times New Roman"/>
          <w:kern w:val="2"/>
          <w:lang w:val="en-US" w:eastAsia="zh-CN"/>
        </w:rPr>
        <w:t>并优先采</w:t>
      </w:r>
      <w:r>
        <w:rPr>
          <w:rFonts w:ascii="Times New Roman" w:cs="Times New Roman"/>
          <w:kern w:val="2"/>
        </w:rPr>
        <w:t>用网电</w:t>
      </w:r>
      <w:r>
        <w:rPr>
          <w:rFonts w:hint="eastAsia" w:ascii="Times New Roman" w:cs="Times New Roman"/>
          <w:kern w:val="2"/>
          <w:lang w:val="en-US" w:eastAsia="zh-CN"/>
        </w:rPr>
        <w:t>钻井</w:t>
      </w:r>
      <w:r>
        <w:rPr>
          <w:rFonts w:ascii="Times New Roman" w:cs="Times New Roman"/>
          <w:kern w:val="2"/>
        </w:rPr>
        <w:t>、加强施工管理和设备维护、控制汽车鸣笛等降噪措施。</w:t>
      </w:r>
    </w:p>
    <w:p>
      <w:pPr>
        <w:topLinePunct w:val="0"/>
        <w:snapToGrid w:val="0"/>
        <w:ind w:firstLine="482"/>
        <w:rPr>
          <w:rFonts w:ascii="Times New Roman" w:cs="Times New Roman"/>
          <w:kern w:val="2"/>
        </w:rPr>
      </w:pPr>
      <w:r>
        <w:rPr>
          <w:rFonts w:ascii="Times New Roman" w:cs="Times New Roman"/>
          <w:b/>
          <w:bCs/>
          <w:kern w:val="2"/>
        </w:rPr>
        <w:t>5、完井阶段噪声环境影响预测及分析</w:t>
      </w:r>
    </w:p>
    <w:p>
      <w:pPr>
        <w:topLinePunct w:val="0"/>
        <w:snapToGrid w:val="0"/>
        <w:ind w:firstLine="480"/>
        <w:rPr>
          <w:rFonts w:ascii="Times New Roman" w:cs="Times New Roman"/>
          <w:kern w:val="2"/>
        </w:rPr>
      </w:pPr>
      <w:r>
        <w:rPr>
          <w:rFonts w:ascii="Times New Roman" w:cs="Times New Roman"/>
          <w:kern w:val="2"/>
        </w:rPr>
        <w:t>1）压裂噪声环境影响预测及分析</w:t>
      </w:r>
    </w:p>
    <w:p>
      <w:pPr>
        <w:topLinePunct w:val="0"/>
        <w:snapToGrid w:val="0"/>
        <w:ind w:firstLine="476" w:firstLineChars="0"/>
        <w:rPr>
          <w:rFonts w:ascii="Times New Roman" w:cs="Times New Roman"/>
          <w:kern w:val="2"/>
        </w:rPr>
      </w:pPr>
      <w:r>
        <w:rPr>
          <w:rFonts w:ascii="Times New Roman" w:cs="Times New Roman"/>
          <w:kern w:val="2"/>
        </w:rPr>
        <w:t>①噪声源强</w:t>
      </w:r>
    </w:p>
    <w:p>
      <w:pPr>
        <w:widowControl/>
        <w:topLinePunct w:val="0"/>
        <w:snapToGrid w:val="0"/>
        <w:ind w:firstLine="480"/>
        <w:rPr>
          <w:rFonts w:ascii="Times New Roman" w:cs="Times New Roman"/>
          <w:kern w:val="2"/>
        </w:rPr>
      </w:pPr>
      <w:r>
        <w:rPr>
          <w:rFonts w:ascii="Times New Roman" w:cs="Times New Roman"/>
          <w:kern w:val="2"/>
        </w:rPr>
        <w:t>压裂作业时产生的噪声主要有压裂泵噪声。主要噪声源的噪声值见表</w:t>
      </w:r>
      <w:r>
        <w:rPr>
          <w:rFonts w:ascii="Times New Roman" w:cs="Times New Roman"/>
        </w:rPr>
        <w:t>6.1-1</w:t>
      </w:r>
      <w:r>
        <w:rPr>
          <w:rFonts w:hint="eastAsia" w:ascii="Times New Roman" w:cs="Times New Roman"/>
        </w:rPr>
        <w:t>8</w:t>
      </w:r>
      <w:r>
        <w:rPr>
          <w:rFonts w:ascii="Times New Roman" w:cs="Times New Roman"/>
          <w:kern w:val="2"/>
        </w:rPr>
        <w:t>。</w:t>
      </w:r>
    </w:p>
    <w:p>
      <w:pPr>
        <w:topLinePunct w:val="0"/>
        <w:snapToGrid w:val="0"/>
        <w:ind w:firstLine="480" w:firstLineChars="0"/>
        <w:jc w:val="center"/>
        <w:rPr>
          <w:rFonts w:ascii="Times New Roman" w:cs="Times New Roman"/>
          <w:b/>
          <w:kern w:val="2"/>
          <w:sz w:val="21"/>
          <w:szCs w:val="20"/>
        </w:rPr>
      </w:pPr>
      <w:bookmarkStart w:id="475" w:name="_Ref496288080"/>
      <w:r>
        <w:rPr>
          <w:rFonts w:ascii="Times New Roman" w:cs="Times New Roman"/>
          <w:b/>
          <w:kern w:val="2"/>
          <w:sz w:val="21"/>
          <w:szCs w:val="20"/>
        </w:rPr>
        <w:t>表6.1-</w:t>
      </w:r>
      <w:bookmarkEnd w:id="475"/>
      <w:r>
        <w:rPr>
          <w:rFonts w:ascii="Times New Roman" w:cs="Times New Roman"/>
          <w:b/>
          <w:kern w:val="2"/>
          <w:sz w:val="21"/>
          <w:szCs w:val="20"/>
        </w:rPr>
        <w:t>1</w:t>
      </w:r>
      <w:r>
        <w:rPr>
          <w:rFonts w:hint="eastAsia" w:ascii="Times New Roman" w:cs="Times New Roman"/>
          <w:b/>
          <w:kern w:val="2"/>
          <w:sz w:val="21"/>
          <w:szCs w:val="20"/>
        </w:rPr>
        <w:t>8</w:t>
      </w:r>
      <w:r>
        <w:rPr>
          <w:rFonts w:ascii="Times New Roman" w:cs="Times New Roman"/>
          <w:b/>
          <w:kern w:val="2"/>
          <w:sz w:val="21"/>
          <w:szCs w:val="20"/>
        </w:rPr>
        <w:t xml:space="preserve">  压裂作业过程中采取降噪措施后的噪声源强</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6" w:type="dxa"/>
          <w:bottom w:w="0" w:type="dxa"/>
          <w:right w:w="6" w:type="dxa"/>
        </w:tblCellMar>
      </w:tblPr>
      <w:tblGrid>
        <w:gridCol w:w="688"/>
        <w:gridCol w:w="676"/>
        <w:gridCol w:w="994"/>
        <w:gridCol w:w="791"/>
        <w:gridCol w:w="1088"/>
        <w:gridCol w:w="1088"/>
        <w:gridCol w:w="1258"/>
        <w:gridCol w:w="1024"/>
        <w:gridCol w:w="1193"/>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jc w:val="center"/>
        </w:trPr>
        <w:tc>
          <w:tcPr>
            <w:tcW w:w="688" w:type="dxa"/>
            <w:vMerge w:val="restart"/>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声源名称</w:t>
            </w:r>
          </w:p>
        </w:tc>
        <w:tc>
          <w:tcPr>
            <w:tcW w:w="676" w:type="dxa"/>
            <w:vMerge w:val="restart"/>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数量（台）</w:t>
            </w:r>
          </w:p>
        </w:tc>
        <w:tc>
          <w:tcPr>
            <w:tcW w:w="994" w:type="dxa"/>
            <w:vMerge w:val="restart"/>
            <w:vAlign w:val="center"/>
          </w:tcPr>
          <w:p>
            <w:pPr>
              <w:widowControl/>
              <w:topLinePunct w:val="0"/>
              <w:snapToGrid w:val="0"/>
              <w:spacing w:line="240" w:lineRule="auto"/>
              <w:ind w:firstLine="0" w:firstLineChars="0"/>
              <w:jc w:val="center"/>
              <w:rPr>
                <w:rFonts w:hint="eastAsia" w:ascii="Times New Roman" w:eastAsia="宋体" w:cs="Times New Roman"/>
                <w:b/>
                <w:kern w:val="2"/>
                <w:sz w:val="21"/>
                <w:szCs w:val="21"/>
                <w:lang w:val="en-US" w:eastAsia="zh-CN"/>
              </w:rPr>
            </w:pPr>
            <w:r>
              <w:rPr>
                <w:rFonts w:hint="eastAsia" w:ascii="Times New Roman" w:cs="Times New Roman"/>
                <w:b/>
                <w:kern w:val="2"/>
                <w:sz w:val="21"/>
                <w:szCs w:val="21"/>
                <w:lang w:val="en-US" w:eastAsia="zh-CN"/>
              </w:rPr>
              <w:t>型号</w:t>
            </w:r>
          </w:p>
        </w:tc>
        <w:tc>
          <w:tcPr>
            <w:tcW w:w="2967" w:type="dxa"/>
            <w:gridSpan w:val="3"/>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hint="eastAsia" w:ascii="Times New Roman" w:cs="Times New Roman"/>
                <w:b/>
                <w:kern w:val="2"/>
                <w:sz w:val="21"/>
                <w:szCs w:val="21"/>
              </w:rPr>
              <w:t>空间相对位置</w:t>
            </w:r>
          </w:p>
        </w:tc>
        <w:tc>
          <w:tcPr>
            <w:tcW w:w="1258" w:type="dxa"/>
            <w:vMerge w:val="restart"/>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hint="eastAsia" w:ascii="Times New Roman" w:cs="Times New Roman"/>
                <w:b/>
                <w:kern w:val="2"/>
                <w:sz w:val="21"/>
                <w:szCs w:val="21"/>
                <w:lang w:val="en-US" w:eastAsia="zh-CN"/>
              </w:rPr>
              <w:t>声压级/距声源距离（dB（A）/m）</w:t>
            </w:r>
          </w:p>
        </w:tc>
        <w:tc>
          <w:tcPr>
            <w:tcW w:w="1024" w:type="dxa"/>
            <w:vMerge w:val="restart"/>
            <w:vAlign w:val="center"/>
          </w:tcPr>
          <w:p>
            <w:pPr>
              <w:widowControl/>
              <w:topLinePunct w:val="0"/>
              <w:snapToGrid w:val="0"/>
              <w:spacing w:line="240" w:lineRule="auto"/>
              <w:ind w:firstLine="0" w:firstLineChars="0"/>
              <w:jc w:val="center"/>
              <w:rPr>
                <w:rFonts w:hint="eastAsia" w:ascii="Times New Roman" w:eastAsia="宋体" w:cs="Times New Roman"/>
                <w:b/>
                <w:kern w:val="2"/>
                <w:sz w:val="21"/>
                <w:szCs w:val="21"/>
                <w:lang w:val="en-US" w:eastAsia="zh-CN"/>
              </w:rPr>
            </w:pPr>
            <w:r>
              <w:rPr>
                <w:rFonts w:hint="eastAsia" w:ascii="Times New Roman" w:cs="Times New Roman"/>
                <w:b/>
                <w:kern w:val="2"/>
                <w:sz w:val="21"/>
                <w:szCs w:val="21"/>
                <w:lang w:val="en-US" w:eastAsia="zh-CN"/>
              </w:rPr>
              <w:t>降噪措施</w:t>
            </w:r>
          </w:p>
        </w:tc>
        <w:tc>
          <w:tcPr>
            <w:tcW w:w="1193" w:type="dxa"/>
            <w:vMerge w:val="restart"/>
            <w:vAlign w:val="center"/>
          </w:tcPr>
          <w:p>
            <w:pPr>
              <w:widowControl/>
              <w:topLinePunct w:val="0"/>
              <w:snapToGrid w:val="0"/>
              <w:spacing w:line="240" w:lineRule="auto"/>
              <w:ind w:firstLine="0" w:firstLineChars="0"/>
              <w:jc w:val="center"/>
              <w:rPr>
                <w:rFonts w:hint="eastAsia" w:ascii="Times New Roman" w:eastAsia="宋体" w:cs="Times New Roman"/>
                <w:b/>
                <w:kern w:val="2"/>
                <w:sz w:val="21"/>
                <w:szCs w:val="21"/>
                <w:lang w:val="en-US" w:eastAsia="zh-CN"/>
              </w:rPr>
            </w:pPr>
            <w:r>
              <w:rPr>
                <w:rFonts w:hint="eastAsia" w:ascii="Times New Roman" w:cs="Times New Roman"/>
                <w:b/>
                <w:kern w:val="2"/>
                <w:sz w:val="21"/>
                <w:szCs w:val="21"/>
                <w:lang w:val="en-US" w:eastAsia="zh-CN"/>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jc w:val="center"/>
        </w:trPr>
        <w:tc>
          <w:tcPr>
            <w:tcW w:w="688" w:type="dxa"/>
            <w:vMerge w:val="continue"/>
            <w:vAlign w:val="center"/>
          </w:tcPr>
          <w:p>
            <w:pPr>
              <w:widowControl/>
              <w:topLinePunct w:val="0"/>
              <w:snapToGrid w:val="0"/>
              <w:spacing w:line="240" w:lineRule="auto"/>
              <w:ind w:firstLine="0" w:firstLineChars="0"/>
              <w:jc w:val="center"/>
              <w:rPr>
                <w:rFonts w:ascii="Times New Roman" w:cs="Times New Roman"/>
                <w:b/>
                <w:kern w:val="2"/>
                <w:sz w:val="21"/>
                <w:szCs w:val="21"/>
              </w:rPr>
            </w:pPr>
          </w:p>
        </w:tc>
        <w:tc>
          <w:tcPr>
            <w:tcW w:w="676" w:type="dxa"/>
            <w:vMerge w:val="continue"/>
            <w:vAlign w:val="center"/>
          </w:tcPr>
          <w:p>
            <w:pPr>
              <w:widowControl/>
              <w:topLinePunct w:val="0"/>
              <w:snapToGrid w:val="0"/>
              <w:spacing w:line="240" w:lineRule="auto"/>
              <w:ind w:firstLine="0" w:firstLineChars="0"/>
              <w:jc w:val="center"/>
              <w:rPr>
                <w:rFonts w:ascii="Times New Roman" w:cs="Times New Roman"/>
                <w:b/>
                <w:kern w:val="2"/>
                <w:sz w:val="21"/>
                <w:szCs w:val="21"/>
              </w:rPr>
            </w:pPr>
          </w:p>
        </w:tc>
        <w:tc>
          <w:tcPr>
            <w:tcW w:w="994" w:type="dxa"/>
            <w:vMerge w:val="continue"/>
            <w:vAlign w:val="center"/>
          </w:tcPr>
          <w:p>
            <w:pPr>
              <w:widowControl/>
              <w:topLinePunct w:val="0"/>
              <w:snapToGrid w:val="0"/>
              <w:spacing w:line="240" w:lineRule="auto"/>
              <w:ind w:firstLine="0" w:firstLineChars="0"/>
              <w:jc w:val="center"/>
              <w:rPr>
                <w:rFonts w:ascii="Times New Roman" w:cs="Times New Roman"/>
                <w:b/>
                <w:kern w:val="2"/>
                <w:sz w:val="21"/>
                <w:szCs w:val="21"/>
              </w:rPr>
            </w:pPr>
          </w:p>
        </w:tc>
        <w:tc>
          <w:tcPr>
            <w:tcW w:w="791"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hint="eastAsia" w:ascii="Times New Roman" w:cs="Times New Roman"/>
                <w:b/>
                <w:kern w:val="2"/>
                <w:sz w:val="21"/>
                <w:szCs w:val="21"/>
              </w:rPr>
              <w:t>X</w:t>
            </w:r>
          </w:p>
        </w:tc>
        <w:tc>
          <w:tcPr>
            <w:tcW w:w="1088"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hint="eastAsia" w:ascii="Times New Roman" w:cs="Times New Roman"/>
                <w:b/>
                <w:kern w:val="2"/>
                <w:sz w:val="21"/>
                <w:szCs w:val="21"/>
              </w:rPr>
              <w:t>Y</w:t>
            </w:r>
          </w:p>
        </w:tc>
        <w:tc>
          <w:tcPr>
            <w:tcW w:w="1088"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hint="eastAsia" w:ascii="Times New Roman" w:cs="Times New Roman"/>
                <w:b/>
                <w:kern w:val="2"/>
                <w:sz w:val="21"/>
                <w:szCs w:val="21"/>
              </w:rPr>
              <w:t>Z</w:t>
            </w:r>
          </w:p>
        </w:tc>
        <w:tc>
          <w:tcPr>
            <w:tcW w:w="1258" w:type="dxa"/>
            <w:vMerge w:val="continue"/>
            <w:vAlign w:val="center"/>
          </w:tcPr>
          <w:p>
            <w:pPr>
              <w:widowControl/>
              <w:topLinePunct w:val="0"/>
              <w:snapToGrid w:val="0"/>
              <w:spacing w:line="240" w:lineRule="auto"/>
              <w:ind w:firstLine="0" w:firstLineChars="0"/>
              <w:jc w:val="center"/>
              <w:rPr>
                <w:rFonts w:ascii="Times New Roman" w:cs="Times New Roman"/>
                <w:b/>
                <w:kern w:val="2"/>
                <w:sz w:val="21"/>
                <w:szCs w:val="21"/>
              </w:rPr>
            </w:pPr>
          </w:p>
        </w:tc>
        <w:tc>
          <w:tcPr>
            <w:tcW w:w="1024" w:type="dxa"/>
            <w:vMerge w:val="continue"/>
            <w:vAlign w:val="center"/>
          </w:tcPr>
          <w:p>
            <w:pPr>
              <w:widowControl/>
              <w:topLinePunct w:val="0"/>
              <w:snapToGrid w:val="0"/>
              <w:spacing w:line="240" w:lineRule="auto"/>
              <w:ind w:firstLine="0" w:firstLineChars="0"/>
              <w:jc w:val="center"/>
              <w:rPr>
                <w:rFonts w:ascii="Times New Roman" w:cs="Times New Roman"/>
                <w:b/>
                <w:kern w:val="2"/>
                <w:sz w:val="21"/>
                <w:szCs w:val="21"/>
              </w:rPr>
            </w:pPr>
          </w:p>
        </w:tc>
        <w:tc>
          <w:tcPr>
            <w:tcW w:w="1193" w:type="dxa"/>
            <w:vMerge w:val="continue"/>
            <w:vAlign w:val="center"/>
          </w:tcPr>
          <w:p>
            <w:pPr>
              <w:widowControl/>
              <w:topLinePunct w:val="0"/>
              <w:snapToGrid w:val="0"/>
              <w:spacing w:line="240" w:lineRule="auto"/>
              <w:ind w:firstLine="0" w:firstLineChars="0"/>
              <w:jc w:val="center"/>
              <w:rPr>
                <w:rFonts w:ascii="Times New Roman" w:cs="Times New Roman"/>
                <w:b/>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jc w:val="center"/>
        </w:trPr>
        <w:tc>
          <w:tcPr>
            <w:tcW w:w="6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压裂泵</w:t>
            </w:r>
          </w:p>
        </w:tc>
        <w:tc>
          <w:tcPr>
            <w:tcW w:w="67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w:t>
            </w:r>
          </w:p>
        </w:tc>
        <w:tc>
          <w:tcPr>
            <w:tcW w:w="994" w:type="dxa"/>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eastAsia" w:ascii="Times New Roman" w:cs="Times New Roman"/>
                <w:kern w:val="2"/>
                <w:sz w:val="21"/>
                <w:szCs w:val="21"/>
                <w:lang w:val="en-US" w:eastAsia="zh-CN"/>
              </w:rPr>
              <w:t>/</w:t>
            </w:r>
          </w:p>
        </w:tc>
        <w:tc>
          <w:tcPr>
            <w:tcW w:w="79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-20</w:t>
            </w:r>
          </w:p>
        </w:tc>
        <w:tc>
          <w:tcPr>
            <w:tcW w:w="1088" w:type="dxa"/>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eastAsia" w:ascii="Times New Roman" w:cs="Times New Roman"/>
                <w:kern w:val="2"/>
                <w:sz w:val="21"/>
                <w:szCs w:val="21"/>
              </w:rPr>
              <w:t>-</w:t>
            </w:r>
            <w:r>
              <w:rPr>
                <w:rFonts w:hint="eastAsia" w:ascii="Times New Roman" w:cs="Times New Roman"/>
                <w:kern w:val="2"/>
                <w:sz w:val="21"/>
                <w:szCs w:val="21"/>
                <w:lang w:val="en-US" w:eastAsia="zh-CN"/>
              </w:rPr>
              <w:t>22</w:t>
            </w:r>
          </w:p>
        </w:tc>
        <w:tc>
          <w:tcPr>
            <w:tcW w:w="10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2</w:t>
            </w:r>
          </w:p>
        </w:tc>
        <w:tc>
          <w:tcPr>
            <w:tcW w:w="1258" w:type="dxa"/>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eastAsia" w:ascii="Times New Roman" w:cs="Times New Roman"/>
                <w:kern w:val="2"/>
                <w:sz w:val="21"/>
                <w:szCs w:val="21"/>
                <w:lang w:val="en-US" w:eastAsia="zh-CN"/>
              </w:rPr>
              <w:t>95/1</w:t>
            </w:r>
          </w:p>
        </w:tc>
        <w:tc>
          <w:tcPr>
            <w:tcW w:w="1024" w:type="dxa"/>
            <w:vAlign w:val="center"/>
          </w:tcPr>
          <w:p>
            <w:pPr>
              <w:widowControl/>
              <w:topLinePunct w:val="0"/>
              <w:snapToGrid w:val="0"/>
              <w:spacing w:line="240" w:lineRule="auto"/>
              <w:ind w:firstLine="0" w:firstLineChars="0"/>
              <w:jc w:val="center"/>
              <w:rPr>
                <w:rFonts w:hint="default" w:ascii="Times New Roman" w:eastAsia="宋体" w:cs="Times New Roman"/>
                <w:kern w:val="2"/>
                <w:sz w:val="21"/>
                <w:szCs w:val="21"/>
                <w:lang w:val="en-US" w:eastAsia="zh-CN"/>
              </w:rPr>
            </w:pPr>
            <w:r>
              <w:rPr>
                <w:rFonts w:hint="eastAsia" w:ascii="Times New Roman" w:cs="Times New Roman"/>
                <w:kern w:val="2"/>
                <w:sz w:val="21"/>
                <w:szCs w:val="21"/>
                <w:lang w:val="en-US" w:eastAsia="zh-CN"/>
              </w:rPr>
              <w:t>基础减震</w:t>
            </w:r>
          </w:p>
        </w:tc>
        <w:tc>
          <w:tcPr>
            <w:tcW w:w="1193" w:type="dxa"/>
            <w:vAlign w:val="center"/>
          </w:tcPr>
          <w:p>
            <w:pPr>
              <w:widowControl/>
              <w:topLinePunct w:val="0"/>
              <w:snapToGrid w:val="0"/>
              <w:spacing w:line="240" w:lineRule="auto"/>
              <w:ind w:firstLine="0" w:firstLineChars="0"/>
              <w:jc w:val="center"/>
              <w:rPr>
                <w:rFonts w:hint="eastAsia" w:ascii="Times New Roman" w:eastAsia="宋体" w:cs="Times New Roman"/>
                <w:kern w:val="2"/>
                <w:sz w:val="21"/>
                <w:szCs w:val="21"/>
                <w:lang w:val="en-US" w:eastAsia="zh-CN"/>
              </w:rPr>
            </w:pPr>
            <w:r>
              <w:rPr>
                <w:rFonts w:hint="eastAsia" w:ascii="Times New Roman" w:cs="Times New Roman"/>
                <w:kern w:val="2"/>
                <w:sz w:val="21"/>
                <w:szCs w:val="21"/>
                <w:lang w:val="en-US" w:eastAsia="zh-CN"/>
              </w:rPr>
              <w:t>压裂期间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jc w:val="center"/>
        </w:trPr>
        <w:tc>
          <w:tcPr>
            <w:tcW w:w="8800" w:type="dxa"/>
            <w:gridSpan w:val="9"/>
            <w:vAlign w:val="center"/>
          </w:tcPr>
          <w:p>
            <w:pPr>
              <w:widowControl/>
              <w:topLinePunct w:val="0"/>
              <w:snapToGrid w:val="0"/>
              <w:spacing w:line="240" w:lineRule="auto"/>
              <w:ind w:firstLine="0" w:firstLineChars="0"/>
              <w:rPr>
                <w:rFonts w:ascii="Times New Roman" w:cs="Times New Roman"/>
                <w:kern w:val="2"/>
                <w:sz w:val="21"/>
                <w:szCs w:val="21"/>
              </w:rPr>
            </w:pPr>
            <w:r>
              <w:rPr>
                <w:rFonts w:ascii="Times New Roman" w:cs="Times New Roman"/>
                <w:kern w:val="2"/>
                <w:sz w:val="21"/>
                <w:szCs w:val="21"/>
              </w:rPr>
              <w:t>注：以</w:t>
            </w:r>
            <w:r>
              <w:rPr>
                <w:rFonts w:hint="eastAsia" w:ascii="Times New Roman" w:cs="Times New Roman"/>
                <w:kern w:val="2"/>
                <w:sz w:val="21"/>
                <w:szCs w:val="21"/>
              </w:rPr>
              <w:t>P108-2H井</w:t>
            </w:r>
            <w:r>
              <w:rPr>
                <w:rFonts w:ascii="Times New Roman" w:cs="Times New Roman"/>
                <w:kern w:val="2"/>
                <w:sz w:val="21"/>
                <w:szCs w:val="21"/>
              </w:rPr>
              <w:t>井口中心为原点（0,0,0）。</w:t>
            </w:r>
          </w:p>
        </w:tc>
      </w:tr>
    </w:tbl>
    <w:p>
      <w:pPr>
        <w:topLinePunct w:val="0"/>
        <w:snapToGrid w:val="0"/>
        <w:spacing w:line="331" w:lineRule="auto"/>
        <w:ind w:firstLine="476" w:firstLineChars="0"/>
        <w:rPr>
          <w:rFonts w:ascii="Times New Roman" w:cs="Times New Roman"/>
          <w:kern w:val="2"/>
        </w:rPr>
      </w:pPr>
      <w:r>
        <w:rPr>
          <w:rFonts w:ascii="Times New Roman" w:cs="Times New Roman"/>
          <w:kern w:val="2"/>
        </w:rPr>
        <w:t>②预测结果</w:t>
      </w:r>
    </w:p>
    <w:p>
      <w:pPr>
        <w:widowControl/>
        <w:topLinePunct w:val="0"/>
        <w:snapToGrid w:val="0"/>
        <w:spacing w:line="331" w:lineRule="auto"/>
        <w:ind w:firstLine="480"/>
        <w:rPr>
          <w:rFonts w:ascii="Times New Roman" w:cs="Times New Roman"/>
          <w:kern w:val="2"/>
        </w:rPr>
      </w:pPr>
      <w:r>
        <w:rPr>
          <w:rFonts w:ascii="Times New Roman" w:cs="Times New Roman"/>
          <w:kern w:val="2"/>
        </w:rPr>
        <w:t>压裂作业过程井场边界四周环境噪声预测结果见表</w:t>
      </w:r>
      <w:r>
        <w:rPr>
          <w:rFonts w:ascii="Times New Roman" w:cs="Times New Roman"/>
        </w:rPr>
        <w:t>6.1-1</w:t>
      </w:r>
      <w:r>
        <w:rPr>
          <w:rFonts w:hint="eastAsia" w:ascii="Times New Roman" w:cs="Times New Roman"/>
        </w:rPr>
        <w:t>9</w:t>
      </w:r>
      <w:r>
        <w:rPr>
          <w:rFonts w:ascii="Times New Roman" w:cs="Times New Roman"/>
          <w:kern w:val="2"/>
        </w:rPr>
        <w:t>。</w:t>
      </w:r>
    </w:p>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表6.1-1</w:t>
      </w:r>
      <w:r>
        <w:rPr>
          <w:rFonts w:hint="eastAsia" w:ascii="Times New Roman" w:cs="Times New Roman"/>
          <w:b/>
          <w:bCs/>
          <w:kern w:val="2"/>
          <w:sz w:val="21"/>
        </w:rPr>
        <w:t>9</w:t>
      </w:r>
      <w:r>
        <w:rPr>
          <w:rFonts w:ascii="Times New Roman" w:cs="Times New Roman"/>
          <w:b/>
          <w:bCs/>
          <w:kern w:val="2"/>
          <w:sz w:val="21"/>
        </w:rPr>
        <w:t xml:space="preserve">  </w:t>
      </w:r>
      <w:r>
        <w:rPr>
          <w:rFonts w:ascii="Times New Roman" w:cs="Times New Roman"/>
          <w:b/>
          <w:kern w:val="2"/>
          <w:sz w:val="21"/>
        </w:rPr>
        <w:t>压裂作业过程噪声预测</w:t>
      </w:r>
      <w:r>
        <w:rPr>
          <w:rFonts w:ascii="Times New Roman" w:cs="Times New Roman"/>
          <w:b/>
          <w:bCs/>
          <w:kern w:val="2"/>
          <w:sz w:val="21"/>
        </w:rPr>
        <w:t xml:space="preserve">    单位：dB（A）</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09"/>
        <w:gridCol w:w="880"/>
        <w:gridCol w:w="900"/>
        <w:gridCol w:w="1073"/>
        <w:gridCol w:w="1130"/>
        <w:gridCol w:w="1362"/>
        <w:gridCol w:w="238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009" w:type="dxa"/>
            <w:vMerge w:val="restart"/>
            <w:shd w:val="clear" w:color="auto" w:fill="auto"/>
            <w:vAlign w:val="center"/>
          </w:tcPr>
          <w:p>
            <w:pPr>
              <w:topLinePunct w:val="0"/>
              <w:adjustRightInd/>
              <w:spacing w:line="240" w:lineRule="auto"/>
              <w:ind w:firstLine="0" w:firstLineChars="0"/>
              <w:jc w:val="center"/>
              <w:rPr>
                <w:rFonts w:ascii="Times New Roman" w:cs="Times New Roman"/>
                <w:b/>
                <w:kern w:val="2"/>
                <w:sz w:val="21"/>
              </w:rPr>
            </w:pPr>
            <w:r>
              <w:rPr>
                <w:rFonts w:ascii="Times New Roman" w:cs="Times New Roman"/>
                <w:b/>
                <w:kern w:val="2"/>
                <w:sz w:val="21"/>
              </w:rPr>
              <w:t>噪声源</w:t>
            </w:r>
          </w:p>
        </w:tc>
        <w:tc>
          <w:tcPr>
            <w:tcW w:w="880" w:type="dxa"/>
            <w:vMerge w:val="restart"/>
            <w:shd w:val="clear" w:color="auto" w:fill="auto"/>
            <w:vAlign w:val="center"/>
          </w:tcPr>
          <w:p>
            <w:pPr>
              <w:topLinePunct w:val="0"/>
              <w:adjustRightInd/>
              <w:spacing w:line="240" w:lineRule="auto"/>
              <w:ind w:firstLine="0" w:firstLineChars="0"/>
              <w:jc w:val="center"/>
              <w:rPr>
                <w:rFonts w:ascii="Times New Roman" w:cs="Times New Roman"/>
                <w:b/>
                <w:kern w:val="2"/>
                <w:sz w:val="21"/>
              </w:rPr>
            </w:pPr>
            <w:r>
              <w:rPr>
                <w:rFonts w:ascii="Times New Roman" w:cs="Times New Roman"/>
                <w:b/>
                <w:kern w:val="2"/>
                <w:sz w:val="21"/>
              </w:rPr>
              <w:t>源强</w:t>
            </w:r>
          </w:p>
        </w:tc>
        <w:tc>
          <w:tcPr>
            <w:tcW w:w="4465" w:type="dxa"/>
            <w:gridSpan w:val="4"/>
            <w:shd w:val="clear" w:color="auto" w:fill="auto"/>
            <w:vAlign w:val="center"/>
          </w:tcPr>
          <w:p>
            <w:pPr>
              <w:topLinePunct w:val="0"/>
              <w:adjustRightInd/>
              <w:spacing w:line="240" w:lineRule="auto"/>
              <w:ind w:firstLine="0" w:firstLineChars="0"/>
              <w:jc w:val="center"/>
              <w:rPr>
                <w:rFonts w:ascii="Times New Roman" w:cs="Times New Roman"/>
                <w:b/>
                <w:kern w:val="2"/>
                <w:sz w:val="21"/>
              </w:rPr>
            </w:pPr>
            <w:r>
              <w:rPr>
                <w:rFonts w:ascii="Times New Roman" w:cs="Times New Roman"/>
                <w:b/>
                <w:kern w:val="2"/>
                <w:sz w:val="21"/>
              </w:rPr>
              <w:t>在各厂界噪声贡献值</w:t>
            </w:r>
          </w:p>
        </w:tc>
        <w:tc>
          <w:tcPr>
            <w:tcW w:w="2380" w:type="dxa"/>
            <w:vMerge w:val="restart"/>
            <w:shd w:val="clear" w:color="auto" w:fill="auto"/>
            <w:vAlign w:val="center"/>
          </w:tcPr>
          <w:p>
            <w:pPr>
              <w:topLinePunct w:val="0"/>
              <w:adjustRightInd/>
              <w:spacing w:line="240" w:lineRule="auto"/>
              <w:ind w:firstLine="0" w:firstLineChars="0"/>
              <w:jc w:val="center"/>
              <w:rPr>
                <w:rFonts w:ascii="Times New Roman" w:cs="Times New Roman"/>
                <w:b/>
                <w:kern w:val="2"/>
                <w:sz w:val="21"/>
              </w:rPr>
            </w:pPr>
            <w:r>
              <w:rPr>
                <w:rFonts w:ascii="Times New Roman" w:cs="Times New Roman"/>
                <w:b/>
                <w:kern w:val="2"/>
                <w:sz w:val="21"/>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009" w:type="dxa"/>
            <w:vMerge w:val="continue"/>
            <w:shd w:val="clear" w:color="auto" w:fill="auto"/>
            <w:vAlign w:val="center"/>
          </w:tcPr>
          <w:p>
            <w:pPr>
              <w:topLinePunct w:val="0"/>
              <w:adjustRightInd/>
              <w:spacing w:line="240" w:lineRule="auto"/>
              <w:ind w:firstLine="0" w:firstLineChars="0"/>
              <w:jc w:val="center"/>
              <w:rPr>
                <w:rFonts w:ascii="Times New Roman" w:cs="Times New Roman"/>
                <w:b/>
                <w:kern w:val="2"/>
                <w:sz w:val="21"/>
              </w:rPr>
            </w:pPr>
          </w:p>
        </w:tc>
        <w:tc>
          <w:tcPr>
            <w:tcW w:w="880" w:type="dxa"/>
            <w:vMerge w:val="continue"/>
            <w:shd w:val="clear" w:color="auto" w:fill="auto"/>
            <w:vAlign w:val="center"/>
          </w:tcPr>
          <w:p>
            <w:pPr>
              <w:topLinePunct w:val="0"/>
              <w:adjustRightInd/>
              <w:spacing w:line="240" w:lineRule="auto"/>
              <w:ind w:firstLine="0" w:firstLineChars="0"/>
              <w:jc w:val="center"/>
              <w:rPr>
                <w:rFonts w:ascii="Times New Roman" w:cs="Times New Roman"/>
                <w:b/>
                <w:kern w:val="2"/>
                <w:sz w:val="21"/>
              </w:rPr>
            </w:pPr>
          </w:p>
        </w:tc>
        <w:tc>
          <w:tcPr>
            <w:tcW w:w="900" w:type="dxa"/>
            <w:shd w:val="clear" w:color="auto" w:fill="auto"/>
            <w:vAlign w:val="center"/>
          </w:tcPr>
          <w:p>
            <w:pPr>
              <w:topLinePunct w:val="0"/>
              <w:adjustRightInd/>
              <w:spacing w:line="240" w:lineRule="auto"/>
              <w:ind w:firstLine="0" w:firstLineChars="0"/>
              <w:jc w:val="center"/>
              <w:rPr>
                <w:rFonts w:ascii="Times New Roman" w:cs="Times New Roman"/>
                <w:b/>
                <w:kern w:val="2"/>
                <w:sz w:val="21"/>
              </w:rPr>
            </w:pPr>
            <w:r>
              <w:rPr>
                <w:rFonts w:ascii="Times New Roman" w:cs="Times New Roman"/>
                <w:b/>
                <w:kern w:val="2"/>
                <w:sz w:val="21"/>
              </w:rPr>
              <w:t>东厂界</w:t>
            </w:r>
          </w:p>
        </w:tc>
        <w:tc>
          <w:tcPr>
            <w:tcW w:w="1073" w:type="dxa"/>
            <w:shd w:val="clear" w:color="auto" w:fill="auto"/>
            <w:vAlign w:val="center"/>
          </w:tcPr>
          <w:p>
            <w:pPr>
              <w:topLinePunct w:val="0"/>
              <w:adjustRightInd/>
              <w:spacing w:line="240" w:lineRule="auto"/>
              <w:ind w:firstLine="0" w:firstLineChars="0"/>
              <w:jc w:val="center"/>
              <w:rPr>
                <w:rFonts w:ascii="Times New Roman" w:cs="Times New Roman"/>
                <w:b/>
                <w:kern w:val="2"/>
                <w:sz w:val="21"/>
              </w:rPr>
            </w:pPr>
            <w:r>
              <w:rPr>
                <w:rFonts w:ascii="Times New Roman" w:cs="Times New Roman"/>
                <w:b/>
                <w:kern w:val="2"/>
                <w:sz w:val="21"/>
              </w:rPr>
              <w:t>南厂界</w:t>
            </w:r>
          </w:p>
        </w:tc>
        <w:tc>
          <w:tcPr>
            <w:tcW w:w="1130" w:type="dxa"/>
            <w:shd w:val="clear" w:color="auto" w:fill="auto"/>
            <w:vAlign w:val="center"/>
          </w:tcPr>
          <w:p>
            <w:pPr>
              <w:topLinePunct w:val="0"/>
              <w:adjustRightInd/>
              <w:spacing w:line="240" w:lineRule="auto"/>
              <w:ind w:firstLine="0" w:firstLineChars="0"/>
              <w:jc w:val="center"/>
              <w:rPr>
                <w:rFonts w:ascii="Times New Roman" w:cs="Times New Roman"/>
                <w:b/>
                <w:kern w:val="2"/>
                <w:sz w:val="21"/>
              </w:rPr>
            </w:pPr>
            <w:r>
              <w:rPr>
                <w:rFonts w:ascii="Times New Roman" w:cs="Times New Roman"/>
                <w:b/>
                <w:kern w:val="2"/>
                <w:sz w:val="21"/>
              </w:rPr>
              <w:t>西厂界</w:t>
            </w:r>
          </w:p>
        </w:tc>
        <w:tc>
          <w:tcPr>
            <w:tcW w:w="1362" w:type="dxa"/>
            <w:shd w:val="clear" w:color="auto" w:fill="auto"/>
            <w:vAlign w:val="center"/>
          </w:tcPr>
          <w:p>
            <w:pPr>
              <w:topLinePunct w:val="0"/>
              <w:adjustRightInd/>
              <w:spacing w:line="240" w:lineRule="auto"/>
              <w:ind w:firstLine="0" w:firstLineChars="0"/>
              <w:jc w:val="center"/>
              <w:rPr>
                <w:rFonts w:ascii="Times New Roman" w:cs="Times New Roman"/>
                <w:b/>
                <w:kern w:val="2"/>
                <w:sz w:val="21"/>
              </w:rPr>
            </w:pPr>
            <w:r>
              <w:rPr>
                <w:rFonts w:ascii="Times New Roman" w:cs="Times New Roman"/>
                <w:b/>
                <w:kern w:val="2"/>
                <w:sz w:val="21"/>
              </w:rPr>
              <w:t>北厂界</w:t>
            </w:r>
          </w:p>
        </w:tc>
        <w:tc>
          <w:tcPr>
            <w:tcW w:w="2380" w:type="dxa"/>
            <w:vMerge w:val="continue"/>
            <w:shd w:val="clear" w:color="auto" w:fill="auto"/>
            <w:vAlign w:val="center"/>
          </w:tcPr>
          <w:p>
            <w:pPr>
              <w:topLinePunct w:val="0"/>
              <w:adjustRightInd/>
              <w:spacing w:line="240" w:lineRule="auto"/>
              <w:ind w:firstLine="0" w:firstLineChars="0"/>
              <w:jc w:val="center"/>
              <w:rPr>
                <w:rFonts w:ascii="Times New Roman" w:cs="Times New Roman"/>
                <w:b/>
                <w:kern w:val="2"/>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009" w:type="dxa"/>
            <w:shd w:val="clear" w:color="auto" w:fill="auto"/>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压裂泵</w:t>
            </w:r>
          </w:p>
        </w:tc>
        <w:tc>
          <w:tcPr>
            <w:tcW w:w="880" w:type="dxa"/>
            <w:shd w:val="clear" w:color="auto" w:fill="auto"/>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95</w:t>
            </w:r>
          </w:p>
        </w:tc>
        <w:tc>
          <w:tcPr>
            <w:tcW w:w="900" w:type="dxa"/>
            <w:shd w:val="clear" w:color="auto" w:fill="auto"/>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hint="default" w:ascii="Times New Roman" w:cs="Times New Roman"/>
                <w:kern w:val="2"/>
                <w:sz w:val="21"/>
                <w:szCs w:val="21"/>
                <w:lang w:val="en-US" w:eastAsia="zh-CN"/>
              </w:rPr>
              <w:t xml:space="preserve">65.7 </w:t>
            </w:r>
          </w:p>
        </w:tc>
        <w:tc>
          <w:tcPr>
            <w:tcW w:w="1073" w:type="dxa"/>
            <w:shd w:val="clear" w:color="auto" w:fill="auto"/>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hint="default" w:ascii="Times New Roman" w:cs="Times New Roman"/>
                <w:kern w:val="2"/>
                <w:sz w:val="21"/>
                <w:szCs w:val="21"/>
                <w:lang w:val="en-US" w:eastAsia="zh-CN"/>
              </w:rPr>
              <w:t xml:space="preserve">63.4 </w:t>
            </w:r>
          </w:p>
        </w:tc>
        <w:tc>
          <w:tcPr>
            <w:tcW w:w="1130" w:type="dxa"/>
            <w:shd w:val="clear" w:color="auto" w:fill="auto"/>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hint="default" w:ascii="Times New Roman" w:cs="Times New Roman"/>
                <w:kern w:val="2"/>
                <w:sz w:val="21"/>
                <w:szCs w:val="21"/>
                <w:lang w:val="en-US" w:eastAsia="zh-CN"/>
              </w:rPr>
              <w:t xml:space="preserve">67.7 </w:t>
            </w:r>
          </w:p>
        </w:tc>
        <w:tc>
          <w:tcPr>
            <w:tcW w:w="1362" w:type="dxa"/>
            <w:shd w:val="clear" w:color="auto" w:fill="auto"/>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hint="default" w:ascii="Times New Roman" w:cs="Times New Roman"/>
                <w:kern w:val="2"/>
                <w:sz w:val="21"/>
                <w:szCs w:val="21"/>
                <w:lang w:val="en-US" w:eastAsia="zh-CN"/>
              </w:rPr>
              <w:t xml:space="preserve">66.7 </w:t>
            </w:r>
          </w:p>
        </w:tc>
        <w:tc>
          <w:tcPr>
            <w:tcW w:w="2380" w:type="dxa"/>
            <w:shd w:val="clear" w:color="auto" w:fill="auto"/>
            <w:vAlign w:val="center"/>
          </w:tcPr>
          <w:p>
            <w:pPr>
              <w:topLinePunct w:val="0"/>
              <w:adjustRightInd/>
              <w:spacing w:line="240" w:lineRule="auto"/>
              <w:ind w:firstLine="0" w:firstLineChars="0"/>
              <w:jc w:val="center"/>
              <w:rPr>
                <w:rFonts w:hint="eastAsia" w:ascii="Times New Roman" w:eastAsia="宋体" w:cs="Times New Roman"/>
                <w:kern w:val="2"/>
                <w:sz w:val="21"/>
                <w:lang w:val="en-US" w:eastAsia="zh-CN"/>
              </w:rPr>
            </w:pPr>
            <w:r>
              <w:rPr>
                <w:rFonts w:hint="eastAsia" w:ascii="Times New Roman" w:cs="Times New Roman"/>
                <w:kern w:val="2"/>
                <w:sz w:val="21"/>
                <w:lang w:val="en-US" w:eastAsia="zh-CN"/>
              </w:rPr>
              <w:t>达标</w:t>
            </w:r>
          </w:p>
        </w:tc>
      </w:tr>
    </w:tbl>
    <w:p>
      <w:pPr>
        <w:widowControl/>
        <w:topLinePunct w:val="0"/>
        <w:snapToGrid w:val="0"/>
        <w:spacing w:line="240" w:lineRule="auto"/>
        <w:ind w:firstLine="0" w:firstLineChars="0"/>
        <w:jc w:val="center"/>
        <w:rPr>
          <w:rFonts w:ascii="Times New Roman" w:cs="Times New Roman"/>
        </w:rPr>
      </w:pPr>
      <w:r>
        <w:rPr>
          <w:rFonts w:ascii="Times New Roman" w:cs="Times New Roman"/>
        </w:rPr>
        <w:drawing>
          <wp:inline distT="0" distB="0" distL="114300" distR="114300">
            <wp:extent cx="5579745" cy="3977640"/>
            <wp:effectExtent l="0" t="0" r="1905" b="3810"/>
            <wp:docPr id="7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9"/>
                    <pic:cNvPicPr>
                      <a:picLocks noChangeAspect="1"/>
                    </pic:cNvPicPr>
                  </pic:nvPicPr>
                  <pic:blipFill>
                    <a:blip r:embed="rId67"/>
                    <a:stretch>
                      <a:fillRect/>
                    </a:stretch>
                  </pic:blipFill>
                  <pic:spPr>
                    <a:xfrm>
                      <a:off x="0" y="0"/>
                      <a:ext cx="5579745" cy="3977640"/>
                    </a:xfrm>
                    <a:prstGeom prst="rect">
                      <a:avLst/>
                    </a:prstGeom>
                    <a:noFill/>
                    <a:ln>
                      <a:noFill/>
                    </a:ln>
                  </pic:spPr>
                </pic:pic>
              </a:graphicData>
            </a:graphic>
          </wp:inline>
        </w:drawing>
      </w:r>
    </w:p>
    <w:p>
      <w:pPr>
        <w:widowControl/>
        <w:topLinePunct w:val="0"/>
        <w:snapToGrid w:val="0"/>
        <w:spacing w:line="331" w:lineRule="auto"/>
        <w:ind w:firstLine="0" w:firstLineChars="0"/>
        <w:jc w:val="center"/>
        <w:rPr>
          <w:rFonts w:ascii="Times New Roman" w:cs="Times New Roman"/>
        </w:rPr>
      </w:pPr>
      <w:r>
        <w:rPr>
          <w:rFonts w:ascii="Times New Roman" w:cs="Times New Roman"/>
          <w:b/>
          <w:bCs/>
          <w:kern w:val="2"/>
        </w:rPr>
        <w:t>图6.1-</w:t>
      </w:r>
      <w:r>
        <w:rPr>
          <w:rFonts w:hint="eastAsia" w:ascii="Times New Roman" w:cs="Times New Roman"/>
          <w:b/>
          <w:bCs/>
          <w:kern w:val="2"/>
        </w:rPr>
        <w:t>4</w:t>
      </w:r>
      <w:r>
        <w:rPr>
          <w:rFonts w:ascii="Times New Roman" w:cs="Times New Roman"/>
          <w:kern w:val="2"/>
        </w:rPr>
        <w:t xml:space="preserve"> </w:t>
      </w:r>
      <w:r>
        <w:rPr>
          <w:rFonts w:ascii="Times New Roman" w:cs="Times New Roman"/>
          <w:b/>
          <w:bCs/>
          <w:kern w:val="2"/>
        </w:rPr>
        <w:t>压裂</w:t>
      </w:r>
      <w:r>
        <w:rPr>
          <w:rFonts w:ascii="Times New Roman" w:cs="Times New Roman"/>
          <w:b/>
          <w:bCs/>
        </w:rPr>
        <w:t>过程噪声贡献值等声级线图</w:t>
      </w:r>
    </w:p>
    <w:p>
      <w:pPr>
        <w:widowControl/>
        <w:topLinePunct w:val="0"/>
        <w:snapToGrid w:val="0"/>
        <w:ind w:firstLine="480"/>
        <w:rPr>
          <w:rFonts w:ascii="Times New Roman" w:cs="Times New Roman"/>
          <w:kern w:val="2"/>
        </w:rPr>
      </w:pPr>
      <w:r>
        <w:rPr>
          <w:rFonts w:ascii="Times New Roman" w:cs="Times New Roman"/>
          <w:kern w:val="2"/>
        </w:rPr>
        <w:t>预测结果表明：压裂作业过程中井场东、南、西、北边界噪声贡献值昼间可以满足《建筑施工场界环境噪声排放标准》（GB 12523-2011）（昼间70dB（A）），夜间</w:t>
      </w:r>
      <w:r>
        <w:rPr>
          <w:rFonts w:hint="eastAsia" w:ascii="Times New Roman" w:cs="Times New Roman"/>
          <w:kern w:val="2"/>
        </w:rPr>
        <w:t>不进行压裂作业</w:t>
      </w:r>
      <w:r>
        <w:rPr>
          <w:rFonts w:ascii="Times New Roman" w:cs="Times New Roman"/>
          <w:kern w:val="2"/>
        </w:rPr>
        <w:t>，减少夜间施工对周围声环境的影响。本项目厂界200m范围内均无居民点，因此不进行噪声敏感点预测。</w:t>
      </w:r>
    </w:p>
    <w:p>
      <w:pPr>
        <w:widowControl/>
        <w:topLinePunct w:val="0"/>
        <w:snapToGrid w:val="0"/>
        <w:ind w:firstLine="480"/>
        <w:rPr>
          <w:rFonts w:ascii="Times New Roman" w:cs="Times New Roman"/>
          <w:kern w:val="2"/>
        </w:rPr>
      </w:pPr>
      <w:r>
        <w:rPr>
          <w:rFonts w:ascii="Times New Roman" w:cs="Times New Roman"/>
          <w:kern w:val="2"/>
        </w:rPr>
        <w:t>2）测试放喷噪声环境影响预测及分析</w:t>
      </w:r>
    </w:p>
    <w:p>
      <w:pPr>
        <w:topLinePunct w:val="0"/>
        <w:snapToGrid w:val="0"/>
        <w:ind w:firstLine="476" w:firstLineChars="0"/>
        <w:rPr>
          <w:rFonts w:ascii="Times New Roman" w:cs="Times New Roman"/>
          <w:kern w:val="2"/>
        </w:rPr>
      </w:pPr>
      <w:r>
        <w:rPr>
          <w:rFonts w:ascii="Times New Roman" w:cs="Times New Roman"/>
          <w:kern w:val="2"/>
        </w:rPr>
        <w:t>①噪声源强</w:t>
      </w:r>
    </w:p>
    <w:p>
      <w:pPr>
        <w:widowControl/>
        <w:topLinePunct w:val="0"/>
        <w:snapToGrid w:val="0"/>
        <w:ind w:firstLine="480"/>
        <w:rPr>
          <w:rFonts w:ascii="Times New Roman" w:cs="Times New Roman"/>
          <w:kern w:val="2"/>
        </w:rPr>
      </w:pPr>
      <w:r>
        <w:rPr>
          <w:rFonts w:ascii="Times New Roman" w:cs="Times New Roman"/>
          <w:kern w:val="2"/>
        </w:rPr>
        <w:t>测试放喷时产生的噪声主要有放喷气流噪声。主要噪声源的噪声值见表</w:t>
      </w:r>
      <w:r>
        <w:rPr>
          <w:rFonts w:ascii="Times New Roman" w:cs="Times New Roman"/>
        </w:rPr>
        <w:t>6.1-</w:t>
      </w:r>
      <w:r>
        <w:rPr>
          <w:rFonts w:hint="eastAsia" w:ascii="Times New Roman" w:cs="Times New Roman"/>
        </w:rPr>
        <w:t>20</w:t>
      </w:r>
      <w:r>
        <w:rPr>
          <w:rFonts w:ascii="Times New Roman" w:cs="Times New Roman"/>
          <w:kern w:val="2"/>
        </w:rPr>
        <w:t>。</w:t>
      </w:r>
    </w:p>
    <w:p>
      <w:pPr>
        <w:topLinePunct w:val="0"/>
        <w:snapToGrid w:val="0"/>
        <w:ind w:firstLine="480" w:firstLineChars="0"/>
        <w:jc w:val="center"/>
        <w:rPr>
          <w:rFonts w:ascii="Times New Roman" w:cs="Times New Roman"/>
          <w:b/>
          <w:kern w:val="2"/>
          <w:sz w:val="21"/>
          <w:szCs w:val="20"/>
        </w:rPr>
      </w:pPr>
      <w:bookmarkStart w:id="476" w:name="_Ref496288342"/>
      <w:r>
        <w:rPr>
          <w:rFonts w:ascii="Times New Roman" w:cs="Times New Roman"/>
          <w:b/>
          <w:kern w:val="2"/>
          <w:sz w:val="21"/>
          <w:szCs w:val="20"/>
        </w:rPr>
        <w:t>表</w:t>
      </w:r>
      <w:bookmarkEnd w:id="476"/>
      <w:r>
        <w:rPr>
          <w:rFonts w:ascii="Times New Roman" w:cs="Times New Roman"/>
          <w:b/>
          <w:kern w:val="2"/>
          <w:sz w:val="21"/>
          <w:szCs w:val="20"/>
        </w:rPr>
        <w:t>6.1-</w:t>
      </w:r>
      <w:r>
        <w:rPr>
          <w:rFonts w:hint="eastAsia" w:ascii="Times New Roman" w:cs="Times New Roman"/>
          <w:b/>
          <w:kern w:val="2"/>
          <w:sz w:val="21"/>
          <w:szCs w:val="20"/>
        </w:rPr>
        <w:t>20</w:t>
      </w:r>
      <w:r>
        <w:rPr>
          <w:rFonts w:ascii="Times New Roman" w:cs="Times New Roman"/>
          <w:b/>
          <w:kern w:val="2"/>
          <w:sz w:val="21"/>
          <w:szCs w:val="20"/>
        </w:rPr>
        <w:t xml:space="preserve">  测试放喷时噪声源强</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6" w:type="dxa"/>
          <w:bottom w:w="0" w:type="dxa"/>
          <w:right w:w="6" w:type="dxa"/>
        </w:tblCellMar>
      </w:tblPr>
      <w:tblGrid>
        <w:gridCol w:w="731"/>
        <w:gridCol w:w="1035"/>
        <w:gridCol w:w="738"/>
        <w:gridCol w:w="1477"/>
        <w:gridCol w:w="1181"/>
        <w:gridCol w:w="1515"/>
        <w:gridCol w:w="1859"/>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jc w:val="center"/>
        </w:trPr>
        <w:tc>
          <w:tcPr>
            <w:tcW w:w="704"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序号</w:t>
            </w:r>
          </w:p>
        </w:tc>
        <w:tc>
          <w:tcPr>
            <w:tcW w:w="997"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声源名称</w:t>
            </w:r>
          </w:p>
        </w:tc>
        <w:tc>
          <w:tcPr>
            <w:tcW w:w="711"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数量（台）</w:t>
            </w:r>
          </w:p>
        </w:tc>
        <w:tc>
          <w:tcPr>
            <w:tcW w:w="1423"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降噪前声级</w:t>
            </w:r>
          </w:p>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（dB（A））</w:t>
            </w:r>
          </w:p>
        </w:tc>
        <w:tc>
          <w:tcPr>
            <w:tcW w:w="1138" w:type="dxa"/>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声源高度（m）</w:t>
            </w:r>
          </w:p>
        </w:tc>
        <w:tc>
          <w:tcPr>
            <w:tcW w:w="1460" w:type="dxa"/>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降噪措施</w:t>
            </w:r>
          </w:p>
        </w:tc>
        <w:tc>
          <w:tcPr>
            <w:tcW w:w="1791" w:type="dxa"/>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降噪后声级</w:t>
            </w:r>
          </w:p>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jc w:val="center"/>
        </w:trPr>
        <w:tc>
          <w:tcPr>
            <w:tcW w:w="70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997" w:type="dxa"/>
            <w:vAlign w:val="center"/>
          </w:tcPr>
          <w:p>
            <w:pPr>
              <w:widowControl/>
              <w:topLinePunct w:val="0"/>
              <w:snapToGrid w:val="0"/>
              <w:spacing w:line="240" w:lineRule="auto"/>
              <w:ind w:firstLine="0" w:firstLineChars="0"/>
              <w:jc w:val="center"/>
              <w:rPr>
                <w:rFonts w:ascii="Times New Roman" w:cs="Times New Roman"/>
                <w:kern w:val="2"/>
                <w:sz w:val="21"/>
                <w:szCs w:val="21"/>
                <w:highlight w:val="yellow"/>
              </w:rPr>
            </w:pPr>
            <w:r>
              <w:rPr>
                <w:rFonts w:ascii="Times New Roman" w:cs="Times New Roman"/>
                <w:kern w:val="2"/>
                <w:sz w:val="21"/>
                <w:szCs w:val="21"/>
              </w:rPr>
              <w:t>测试放喷</w:t>
            </w:r>
          </w:p>
        </w:tc>
        <w:tc>
          <w:tcPr>
            <w:tcW w:w="711" w:type="dxa"/>
            <w:vAlign w:val="center"/>
          </w:tcPr>
          <w:p>
            <w:pPr>
              <w:widowControl/>
              <w:topLinePunct w:val="0"/>
              <w:snapToGrid w:val="0"/>
              <w:spacing w:line="240" w:lineRule="auto"/>
              <w:ind w:firstLine="0" w:firstLineChars="0"/>
              <w:jc w:val="center"/>
              <w:rPr>
                <w:rFonts w:ascii="Times New Roman" w:cs="Times New Roman"/>
                <w:kern w:val="2"/>
                <w:sz w:val="21"/>
                <w:szCs w:val="21"/>
                <w:highlight w:val="yellow"/>
              </w:rPr>
            </w:pPr>
            <w:r>
              <w:rPr>
                <w:rFonts w:ascii="Times New Roman" w:cs="Times New Roman"/>
                <w:kern w:val="2"/>
                <w:sz w:val="21"/>
                <w:szCs w:val="21"/>
              </w:rPr>
              <w:t>1</w:t>
            </w:r>
          </w:p>
        </w:tc>
        <w:tc>
          <w:tcPr>
            <w:tcW w:w="1423" w:type="dxa"/>
            <w:vAlign w:val="center"/>
          </w:tcPr>
          <w:p>
            <w:pPr>
              <w:widowControl/>
              <w:topLinePunct w:val="0"/>
              <w:snapToGrid w:val="0"/>
              <w:spacing w:line="240" w:lineRule="auto"/>
              <w:ind w:firstLine="0" w:firstLineChars="0"/>
              <w:jc w:val="center"/>
              <w:rPr>
                <w:rFonts w:ascii="Times New Roman" w:cs="Times New Roman"/>
                <w:kern w:val="2"/>
                <w:sz w:val="21"/>
                <w:szCs w:val="21"/>
                <w:highlight w:val="yellow"/>
              </w:rPr>
            </w:pPr>
            <w:r>
              <w:rPr>
                <w:rFonts w:ascii="Times New Roman" w:cs="Times New Roman"/>
                <w:kern w:val="2"/>
                <w:sz w:val="21"/>
                <w:szCs w:val="21"/>
              </w:rPr>
              <w:t>95～105</w:t>
            </w:r>
          </w:p>
        </w:tc>
        <w:tc>
          <w:tcPr>
            <w:tcW w:w="1138" w:type="dxa"/>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0.2</w:t>
            </w:r>
          </w:p>
        </w:tc>
        <w:tc>
          <w:tcPr>
            <w:tcW w:w="1460" w:type="dxa"/>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无</w:t>
            </w:r>
          </w:p>
        </w:tc>
        <w:tc>
          <w:tcPr>
            <w:tcW w:w="1791" w:type="dxa"/>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95～105</w:t>
            </w:r>
          </w:p>
        </w:tc>
      </w:tr>
    </w:tbl>
    <w:p>
      <w:pPr>
        <w:topLinePunct w:val="0"/>
        <w:snapToGrid w:val="0"/>
        <w:ind w:firstLine="476" w:firstLineChars="0"/>
        <w:rPr>
          <w:rFonts w:ascii="Times New Roman" w:cs="Times New Roman"/>
          <w:kern w:val="2"/>
        </w:rPr>
      </w:pPr>
      <w:r>
        <w:rPr>
          <w:rFonts w:ascii="Times New Roman" w:cs="Times New Roman"/>
          <w:kern w:val="2"/>
        </w:rPr>
        <w:t>②预测结果</w:t>
      </w:r>
    </w:p>
    <w:p>
      <w:pPr>
        <w:topLinePunct w:val="0"/>
        <w:snapToGrid w:val="0"/>
        <w:ind w:firstLine="476" w:firstLineChars="0"/>
        <w:rPr>
          <w:rFonts w:ascii="Times New Roman" w:cs="Times New Roman"/>
          <w:kern w:val="2"/>
        </w:rPr>
      </w:pPr>
      <w:r>
        <w:rPr>
          <w:rFonts w:ascii="Times New Roman" w:cs="Times New Roman"/>
          <w:kern w:val="2"/>
        </w:rPr>
        <w:t>本项目放喷池声评价范围内无声环境敏感点，因此，不进行敏感点噪声预测，根据相关规定，测试放喷之前，须临时疏散较近范围内的居民，且测试放喷时间较短，一般只有4h～6h。因此，测试放喷对周围居民影响较小。</w:t>
      </w:r>
    </w:p>
    <w:p>
      <w:pPr>
        <w:topLinePunct w:val="0"/>
        <w:snapToGrid w:val="0"/>
        <w:ind w:firstLine="470" w:firstLineChars="196"/>
        <w:rPr>
          <w:rFonts w:ascii="Times New Roman" w:cs="Times New Roman"/>
          <w:bCs/>
          <w:kern w:val="2"/>
        </w:rPr>
      </w:pPr>
      <w:r>
        <w:rPr>
          <w:rFonts w:ascii="Times New Roman" w:cs="Times New Roman"/>
          <w:bCs/>
          <w:kern w:val="2"/>
        </w:rPr>
        <w:t>3）影响人群分析</w:t>
      </w:r>
    </w:p>
    <w:p>
      <w:pPr>
        <w:widowControl/>
        <w:topLinePunct w:val="0"/>
        <w:snapToGrid w:val="0"/>
        <w:ind w:firstLine="480"/>
        <w:rPr>
          <w:rFonts w:ascii="Times New Roman" w:cs="Times New Roman"/>
          <w:kern w:val="2"/>
        </w:rPr>
      </w:pPr>
      <w:r>
        <w:rPr>
          <w:rFonts w:ascii="Times New Roman" w:cs="Times New Roman"/>
          <w:kern w:val="2"/>
        </w:rPr>
        <w:t>钻井作业期间无超标人群；放喷池测试放喷期间无超标人群。本项目超标范围内影响人群情况见表</w:t>
      </w:r>
      <w:r>
        <w:rPr>
          <w:rFonts w:ascii="Times New Roman" w:cs="Times New Roman"/>
        </w:rPr>
        <w:t>6.1-</w:t>
      </w:r>
      <w:r>
        <w:rPr>
          <w:rFonts w:hint="eastAsia" w:ascii="Times New Roman" w:cs="Times New Roman"/>
        </w:rPr>
        <w:t>21</w:t>
      </w:r>
      <w:r>
        <w:rPr>
          <w:rFonts w:ascii="Times New Roman" w:cs="Times New Roman"/>
          <w:kern w:val="2"/>
        </w:rPr>
        <w:t>。</w:t>
      </w:r>
    </w:p>
    <w:p>
      <w:pPr>
        <w:topLinePunct w:val="0"/>
        <w:snapToGrid w:val="0"/>
        <w:ind w:firstLine="480" w:firstLineChars="0"/>
        <w:jc w:val="center"/>
        <w:rPr>
          <w:rFonts w:ascii="Times New Roman" w:cs="Times New Roman"/>
          <w:b/>
          <w:kern w:val="2"/>
          <w:sz w:val="21"/>
          <w:szCs w:val="20"/>
        </w:rPr>
      </w:pPr>
      <w:bookmarkStart w:id="477" w:name="_Ref472067769"/>
      <w:r>
        <w:rPr>
          <w:rFonts w:ascii="Times New Roman" w:cs="Times New Roman"/>
          <w:b/>
          <w:kern w:val="2"/>
          <w:sz w:val="21"/>
          <w:szCs w:val="20"/>
        </w:rPr>
        <w:t>表</w:t>
      </w:r>
      <w:bookmarkEnd w:id="477"/>
      <w:r>
        <w:rPr>
          <w:rFonts w:ascii="Times New Roman" w:cs="Times New Roman"/>
          <w:b/>
          <w:kern w:val="2"/>
          <w:sz w:val="21"/>
          <w:szCs w:val="20"/>
        </w:rPr>
        <w:t>6.1-</w:t>
      </w:r>
      <w:r>
        <w:rPr>
          <w:rFonts w:hint="eastAsia" w:ascii="Times New Roman" w:cs="Times New Roman"/>
          <w:b/>
          <w:kern w:val="2"/>
          <w:sz w:val="21"/>
          <w:szCs w:val="20"/>
        </w:rPr>
        <w:t>21</w:t>
      </w:r>
      <w:r>
        <w:rPr>
          <w:rFonts w:ascii="Times New Roman" w:cs="Times New Roman"/>
          <w:b/>
          <w:kern w:val="2"/>
          <w:sz w:val="21"/>
          <w:szCs w:val="20"/>
        </w:rPr>
        <w:t xml:space="preserve">  噪声超标范围内影响人群情况</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653"/>
        <w:gridCol w:w="854"/>
        <w:gridCol w:w="854"/>
        <w:gridCol w:w="792"/>
        <w:gridCol w:w="918"/>
        <w:gridCol w:w="854"/>
        <w:gridCol w:w="1089"/>
        <w:gridCol w:w="622"/>
        <w:gridCol w:w="8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594" w:type="dxa"/>
            <w:vMerge w:val="restart"/>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项目</w:t>
            </w:r>
          </w:p>
        </w:tc>
        <w:tc>
          <w:tcPr>
            <w:tcW w:w="1648" w:type="dxa"/>
            <w:gridSpan w:val="2"/>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钻井作业</w:t>
            </w:r>
          </w:p>
        </w:tc>
        <w:tc>
          <w:tcPr>
            <w:tcW w:w="1649" w:type="dxa"/>
            <w:gridSpan w:val="2"/>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压裂作业</w:t>
            </w:r>
          </w:p>
        </w:tc>
        <w:tc>
          <w:tcPr>
            <w:tcW w:w="1874" w:type="dxa"/>
            <w:gridSpan w:val="2"/>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测试放喷（主）</w:t>
            </w:r>
          </w:p>
        </w:tc>
        <w:tc>
          <w:tcPr>
            <w:tcW w:w="1457" w:type="dxa"/>
            <w:gridSpan w:val="2"/>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测试放喷（副）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594" w:type="dxa"/>
            <w:vMerge w:val="continue"/>
            <w:vAlign w:val="center"/>
          </w:tcPr>
          <w:p>
            <w:pPr>
              <w:widowControl/>
              <w:topLinePunct w:val="0"/>
              <w:snapToGrid w:val="0"/>
              <w:spacing w:line="240" w:lineRule="auto"/>
              <w:ind w:firstLine="0" w:firstLineChars="0"/>
              <w:jc w:val="center"/>
              <w:rPr>
                <w:rFonts w:ascii="Times New Roman" w:cs="Times New Roman"/>
                <w:b/>
                <w:kern w:val="2"/>
                <w:sz w:val="21"/>
                <w:szCs w:val="21"/>
              </w:rPr>
            </w:pPr>
          </w:p>
        </w:tc>
        <w:tc>
          <w:tcPr>
            <w:tcW w:w="824"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昼间</w:t>
            </w:r>
          </w:p>
        </w:tc>
        <w:tc>
          <w:tcPr>
            <w:tcW w:w="824"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夜间</w:t>
            </w:r>
          </w:p>
        </w:tc>
        <w:tc>
          <w:tcPr>
            <w:tcW w:w="764"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昼间</w:t>
            </w:r>
          </w:p>
        </w:tc>
        <w:tc>
          <w:tcPr>
            <w:tcW w:w="885"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夜间</w:t>
            </w:r>
          </w:p>
        </w:tc>
        <w:tc>
          <w:tcPr>
            <w:tcW w:w="824"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昼间</w:t>
            </w:r>
          </w:p>
        </w:tc>
        <w:tc>
          <w:tcPr>
            <w:tcW w:w="1050"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夜间</w:t>
            </w:r>
          </w:p>
        </w:tc>
        <w:tc>
          <w:tcPr>
            <w:tcW w:w="600"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昼间</w:t>
            </w:r>
          </w:p>
        </w:tc>
        <w:tc>
          <w:tcPr>
            <w:tcW w:w="857"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59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受影响人群</w:t>
            </w:r>
          </w:p>
        </w:tc>
        <w:tc>
          <w:tcPr>
            <w:tcW w:w="82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w:t>
            </w:r>
          </w:p>
        </w:tc>
        <w:tc>
          <w:tcPr>
            <w:tcW w:w="82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w:t>
            </w:r>
          </w:p>
        </w:tc>
        <w:tc>
          <w:tcPr>
            <w:tcW w:w="76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w:t>
            </w:r>
          </w:p>
        </w:tc>
        <w:tc>
          <w:tcPr>
            <w:tcW w:w="8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w:t>
            </w:r>
          </w:p>
        </w:tc>
        <w:tc>
          <w:tcPr>
            <w:tcW w:w="82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w:t>
            </w:r>
          </w:p>
        </w:tc>
        <w:tc>
          <w:tcPr>
            <w:tcW w:w="105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w:t>
            </w:r>
          </w:p>
        </w:tc>
        <w:tc>
          <w:tcPr>
            <w:tcW w:w="60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w:t>
            </w:r>
          </w:p>
        </w:tc>
        <w:tc>
          <w:tcPr>
            <w:tcW w:w="85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59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标准值（dB（A））</w:t>
            </w:r>
          </w:p>
        </w:tc>
        <w:tc>
          <w:tcPr>
            <w:tcW w:w="82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60</w:t>
            </w:r>
          </w:p>
        </w:tc>
        <w:tc>
          <w:tcPr>
            <w:tcW w:w="82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50</w:t>
            </w:r>
          </w:p>
        </w:tc>
        <w:tc>
          <w:tcPr>
            <w:tcW w:w="76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60</w:t>
            </w:r>
          </w:p>
        </w:tc>
        <w:tc>
          <w:tcPr>
            <w:tcW w:w="8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50</w:t>
            </w:r>
          </w:p>
        </w:tc>
        <w:tc>
          <w:tcPr>
            <w:tcW w:w="82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60</w:t>
            </w:r>
          </w:p>
        </w:tc>
        <w:tc>
          <w:tcPr>
            <w:tcW w:w="105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50</w:t>
            </w:r>
          </w:p>
        </w:tc>
        <w:tc>
          <w:tcPr>
            <w:tcW w:w="60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60</w:t>
            </w:r>
          </w:p>
        </w:tc>
        <w:tc>
          <w:tcPr>
            <w:tcW w:w="85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50</w:t>
            </w:r>
          </w:p>
        </w:tc>
      </w:tr>
    </w:tbl>
    <w:p>
      <w:pPr>
        <w:pStyle w:val="114"/>
        <w:ind w:firstLine="480"/>
        <w:rPr>
          <w:szCs w:val="24"/>
        </w:rPr>
      </w:pPr>
      <w:r>
        <w:rPr>
          <w:kern w:val="2"/>
          <w:szCs w:val="24"/>
        </w:rPr>
        <w:t>测试放喷均应尽可能避开夜间施工。</w:t>
      </w:r>
    </w:p>
    <w:p>
      <w:pPr>
        <w:pStyle w:val="4"/>
        <w:rPr>
          <w:rFonts w:eastAsia="宋体"/>
        </w:rPr>
      </w:pPr>
      <w:bookmarkStart w:id="478" w:name="bookmark44"/>
      <w:bookmarkEnd w:id="478"/>
      <w:bookmarkStart w:id="479" w:name="bookmark45"/>
      <w:bookmarkEnd w:id="479"/>
      <w:bookmarkStart w:id="480" w:name="_Toc19816065"/>
      <w:bookmarkStart w:id="481" w:name="_Toc12288667"/>
      <w:r>
        <w:rPr>
          <w:rFonts w:eastAsia="宋体"/>
        </w:rPr>
        <w:t>6.1.6 施工期产生固体废物的影响</w:t>
      </w:r>
      <w:bookmarkEnd w:id="480"/>
      <w:bookmarkEnd w:id="481"/>
    </w:p>
    <w:p>
      <w:pPr>
        <w:pStyle w:val="114"/>
        <w:ind w:firstLine="480"/>
      </w:pPr>
      <w:r>
        <w:t>施工期产生的固体废物主要为生活垃圾、施工废料、土石方、钻井岩屑、废泥浆、废油等。</w:t>
      </w:r>
    </w:p>
    <w:p>
      <w:pPr>
        <w:pStyle w:val="114"/>
        <w:ind w:firstLine="482"/>
        <w:rPr>
          <w:b/>
          <w:bCs/>
        </w:rPr>
      </w:pPr>
      <w:bookmarkStart w:id="482" w:name="_Hlk82897241"/>
      <w:r>
        <w:rPr>
          <w:b/>
          <w:bCs/>
        </w:rPr>
        <w:t>1、生活垃圾</w:t>
      </w:r>
    </w:p>
    <w:p>
      <w:pPr>
        <w:pStyle w:val="114"/>
        <w:ind w:firstLine="480"/>
      </w:pPr>
      <w:r>
        <w:t>施工人员垃圾经垃圾收集设施收集，统一送环卫部门处理。因此，施工期施工人员生活垃圾不会对当地环境造成影响。</w:t>
      </w:r>
    </w:p>
    <w:p>
      <w:pPr>
        <w:pStyle w:val="114"/>
        <w:ind w:firstLine="482"/>
        <w:rPr>
          <w:b/>
          <w:bCs/>
        </w:rPr>
      </w:pPr>
      <w:r>
        <w:rPr>
          <w:b/>
          <w:bCs/>
        </w:rPr>
        <w:t>2、土石方</w:t>
      </w:r>
    </w:p>
    <w:p>
      <w:pPr>
        <w:pStyle w:val="114"/>
        <w:ind w:firstLine="480"/>
      </w:pPr>
      <w:r>
        <w:t>项目站场施工土石方挖填平衡，无弃方产生。</w:t>
      </w:r>
    </w:p>
    <w:p>
      <w:pPr>
        <w:pStyle w:val="114"/>
        <w:ind w:firstLine="482"/>
        <w:rPr>
          <w:b/>
          <w:bCs/>
        </w:rPr>
      </w:pPr>
      <w:r>
        <w:rPr>
          <w:b/>
          <w:bCs/>
        </w:rPr>
        <w:t>3、钻井岩屑</w:t>
      </w:r>
    </w:p>
    <w:p>
      <w:pPr>
        <w:pStyle w:val="553"/>
        <w:spacing w:line="360" w:lineRule="auto"/>
        <w:ind w:firstLine="480"/>
        <w:rPr>
          <w:rFonts w:ascii="Times New Roman" w:hAnsi="Times New Roman"/>
        </w:rPr>
      </w:pPr>
      <w:r>
        <w:rPr>
          <w:rFonts w:ascii="Times New Roman" w:hAnsi="Times New Roman"/>
        </w:rPr>
        <w:t>钻井岩屑的影响分析按两种情况进行分析。</w:t>
      </w:r>
    </w:p>
    <w:p>
      <w:pPr>
        <w:pStyle w:val="553"/>
        <w:spacing w:line="360" w:lineRule="auto"/>
        <w:ind w:firstLine="480"/>
        <w:rPr>
          <w:rFonts w:ascii="Times New Roman" w:hAnsi="Times New Roman"/>
        </w:rPr>
      </w:pPr>
      <w:r>
        <w:rPr>
          <w:rFonts w:ascii="Times New Roman" w:hAnsi="Times New Roman"/>
        </w:rPr>
        <w:t>（1）一~三开井段均采用水基钻井液</w:t>
      </w:r>
    </w:p>
    <w:p>
      <w:pPr>
        <w:pStyle w:val="553"/>
        <w:spacing w:line="360" w:lineRule="auto"/>
        <w:ind w:firstLine="480"/>
        <w:rPr>
          <w:rFonts w:ascii="Times New Roman" w:hAnsi="Times New Roman"/>
        </w:rPr>
      </w:pPr>
      <w:r>
        <w:rPr>
          <w:rFonts w:ascii="Times New Roman" w:hAnsi="Times New Roman"/>
        </w:rPr>
        <w:t>本项目采取清洁化操作平台，空气钻岩屑及时拉运填埋处理，废泥浆和与常规钻产生的岩屑</w:t>
      </w:r>
      <w:r>
        <w:rPr>
          <w:rFonts w:ascii="Times New Roman" w:hAnsi="Times New Roman"/>
          <w:bCs/>
          <w:spacing w:val="10"/>
        </w:rPr>
        <w:t>采用清洁化操作平台，并采取泥浆不落地措施</w:t>
      </w:r>
      <w:r>
        <w:rPr>
          <w:rFonts w:ascii="Times New Roman" w:hAnsi="Times New Roman"/>
        </w:rPr>
        <w:t>，待项目完成后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w:t>
      </w:r>
    </w:p>
    <w:p>
      <w:pPr>
        <w:pStyle w:val="553"/>
        <w:spacing w:line="360" w:lineRule="auto"/>
        <w:ind w:firstLine="480"/>
        <w:rPr>
          <w:rFonts w:ascii="Times New Roman" w:hAnsi="Times New Roman"/>
        </w:rPr>
      </w:pPr>
      <w:r>
        <w:rPr>
          <w:rFonts w:ascii="Times New Roman" w:hAnsi="Times New Roman"/>
        </w:rPr>
        <w:t>（2）三开井段采用白油基钻井液</w:t>
      </w:r>
    </w:p>
    <w:p>
      <w:pPr>
        <w:pStyle w:val="553"/>
        <w:spacing w:line="360" w:lineRule="auto"/>
        <w:ind w:firstLine="480"/>
        <w:rPr>
          <w:rFonts w:ascii="Times New Roman" w:hAnsi="Times New Roman"/>
        </w:rPr>
      </w:pPr>
      <w:r>
        <w:rPr>
          <w:rFonts w:ascii="Times New Roman" w:hAnsi="Times New Roman"/>
        </w:rPr>
        <w:t>若封堵性聚合物润滑防塌钻井液不能满足三开井段安全钻井要求，则更换为白油基钻井液体系。本项目</w:t>
      </w:r>
      <w:r>
        <w:rPr>
          <w:rFonts w:ascii="Times New Roman" w:hAnsi="Times New Roman"/>
          <w:bCs/>
        </w:rPr>
        <w:t>采用清洁化操作平台，并采取泥浆不落地措施，</w:t>
      </w:r>
      <w:r>
        <w:rPr>
          <w:rFonts w:ascii="Times New Roman" w:hAnsi="Times New Roman"/>
        </w:rPr>
        <w:t>水基岩屑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废油基岩屑袋装后暂存于危废暂存间，面积约</w:t>
      </w:r>
      <w:r>
        <w:rPr>
          <w:rFonts w:hint="eastAsia" w:ascii="Times New Roman" w:hAnsi="Times New Roman"/>
        </w:rPr>
        <w:t>2</w:t>
      </w:r>
      <w:r>
        <w:rPr>
          <w:rFonts w:ascii="Times New Roman" w:hAnsi="Times New Roman"/>
        </w:rPr>
        <w:t>5m</w:t>
      </w:r>
      <w:r>
        <w:rPr>
          <w:rFonts w:ascii="Times New Roman" w:hAnsi="Times New Roman"/>
          <w:vertAlign w:val="superscript"/>
        </w:rPr>
        <w:t>2</w:t>
      </w:r>
      <w:r>
        <w:rPr>
          <w:rFonts w:ascii="Times New Roman" w:hAnsi="Times New Roman"/>
        </w:rPr>
        <w:t>，暂存间地面采取必要的防护措施（防风、防雨、防晒、防渗、防漏、防腐）及其他环境污染防护措施，委托有资质单位处理。</w:t>
      </w:r>
    </w:p>
    <w:p>
      <w:pPr>
        <w:pStyle w:val="114"/>
        <w:ind w:firstLine="482"/>
        <w:rPr>
          <w:b/>
          <w:bCs/>
        </w:rPr>
      </w:pPr>
      <w:r>
        <w:rPr>
          <w:b/>
          <w:bCs/>
        </w:rPr>
        <w:t>4、废泥浆</w:t>
      </w:r>
    </w:p>
    <w:p>
      <w:pPr>
        <w:pStyle w:val="553"/>
        <w:spacing w:line="360" w:lineRule="auto"/>
        <w:ind w:firstLine="480"/>
        <w:rPr>
          <w:rFonts w:ascii="Times New Roman" w:hAnsi="Times New Roman"/>
        </w:rPr>
      </w:pPr>
      <w:r>
        <w:rPr>
          <w:rFonts w:ascii="Times New Roman" w:hAnsi="Times New Roman"/>
        </w:rPr>
        <w:t>废泥浆的影响分析按两种情况进行分析。</w:t>
      </w:r>
    </w:p>
    <w:p>
      <w:pPr>
        <w:pStyle w:val="553"/>
        <w:spacing w:line="360" w:lineRule="auto"/>
        <w:ind w:firstLine="480"/>
        <w:rPr>
          <w:rFonts w:ascii="Times New Roman" w:hAnsi="Times New Roman"/>
        </w:rPr>
      </w:pPr>
      <w:r>
        <w:rPr>
          <w:rFonts w:ascii="Times New Roman" w:hAnsi="Times New Roman"/>
        </w:rPr>
        <w:t>（1）一~三开井段均采用水基钻井液</w:t>
      </w:r>
    </w:p>
    <w:p>
      <w:pPr>
        <w:pStyle w:val="553"/>
        <w:spacing w:line="360" w:lineRule="auto"/>
        <w:ind w:firstLine="480"/>
        <w:rPr>
          <w:rFonts w:ascii="Times New Roman" w:hAnsi="Times New Roman"/>
        </w:rPr>
      </w:pPr>
      <w:r>
        <w:rPr>
          <w:rFonts w:ascii="Times New Roman" w:hAnsi="Times New Roman"/>
        </w:rPr>
        <w:t>废弃泥浆采用清洁化操作平台，并采取泥浆不落地措施，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w:t>
      </w:r>
    </w:p>
    <w:p>
      <w:pPr>
        <w:pStyle w:val="553"/>
        <w:spacing w:line="360" w:lineRule="auto"/>
        <w:ind w:firstLine="480"/>
        <w:rPr>
          <w:rFonts w:ascii="Times New Roman" w:hAnsi="Times New Roman"/>
        </w:rPr>
      </w:pPr>
      <w:r>
        <w:rPr>
          <w:rFonts w:ascii="Times New Roman" w:hAnsi="Times New Roman"/>
        </w:rPr>
        <w:t>（2）三开井段采用白油基钻井液</w:t>
      </w:r>
    </w:p>
    <w:p>
      <w:pPr>
        <w:pStyle w:val="553"/>
        <w:spacing w:line="360" w:lineRule="auto"/>
        <w:ind w:firstLine="480"/>
        <w:rPr>
          <w:rFonts w:ascii="Times New Roman" w:hAnsi="Times New Roman"/>
        </w:rPr>
      </w:pPr>
      <w:r>
        <w:rPr>
          <w:rFonts w:ascii="Times New Roman" w:hAnsi="Times New Roman"/>
        </w:rPr>
        <w:t>若封堵性聚合物润滑防塌钻井液不能满足三开井段安全钻井要求，则更换为白油基钻井液体系。本项目</w:t>
      </w:r>
      <w:r>
        <w:rPr>
          <w:rFonts w:ascii="Times New Roman" w:hAnsi="Times New Roman"/>
          <w:bCs/>
        </w:rPr>
        <w:t>采用清洁化操作平台，并采取泥浆不落地措施，</w:t>
      </w:r>
      <w:r>
        <w:rPr>
          <w:rFonts w:ascii="Times New Roman" w:hAnsi="Times New Roman"/>
        </w:rPr>
        <w:t>水基泥浆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废油基泥浆袋装后暂存于危废暂存间，面积约</w:t>
      </w:r>
      <w:r>
        <w:rPr>
          <w:rFonts w:hint="eastAsia" w:ascii="Times New Roman" w:hAnsi="Times New Roman"/>
        </w:rPr>
        <w:t>2</w:t>
      </w:r>
      <w:r>
        <w:rPr>
          <w:rFonts w:ascii="Times New Roman" w:hAnsi="Times New Roman"/>
        </w:rPr>
        <w:t>5m</w:t>
      </w:r>
      <w:r>
        <w:rPr>
          <w:rFonts w:ascii="Times New Roman" w:hAnsi="Times New Roman"/>
          <w:vertAlign w:val="superscript"/>
        </w:rPr>
        <w:t>2</w:t>
      </w:r>
      <w:r>
        <w:rPr>
          <w:rFonts w:ascii="Times New Roman" w:hAnsi="Times New Roman"/>
        </w:rPr>
        <w:t>，暂存间地面采取必要的防护措施（防风、防雨、防晒、防渗、防漏、防腐）及其他环境污染防护措施，委托有资质单位处理。</w:t>
      </w:r>
    </w:p>
    <w:p>
      <w:pPr>
        <w:pStyle w:val="114"/>
        <w:ind w:firstLine="482"/>
        <w:rPr>
          <w:b/>
          <w:bCs/>
        </w:rPr>
      </w:pPr>
      <w:r>
        <w:rPr>
          <w:b/>
          <w:bCs/>
        </w:rPr>
        <w:t>5、</w:t>
      </w:r>
      <w:r>
        <w:rPr>
          <w:b/>
        </w:rPr>
        <w:t>废油</w:t>
      </w:r>
    </w:p>
    <w:p>
      <w:pPr>
        <w:pStyle w:val="111"/>
        <w:ind w:firstLine="480"/>
      </w:pPr>
      <w:r>
        <w:t>钻井过程中废油暂存于危废暂存间，面积约</w:t>
      </w:r>
      <w:r>
        <w:rPr>
          <w:rFonts w:hint="eastAsia"/>
        </w:rPr>
        <w:t>2</w:t>
      </w:r>
      <w:r>
        <w:t>5m</w:t>
      </w:r>
      <w:r>
        <w:rPr>
          <w:vertAlign w:val="superscript"/>
        </w:rPr>
        <w:t>2</w:t>
      </w:r>
      <w:r>
        <w:t>，暂存间地面采取必要的防护措施（防风、防雨、防晒、防渗、防漏、防腐）及其他环境污染防护措施，并及时清运至企业净化厂危险废物贮存仓库，定期送有资质单位处理。废油属危险废物（《国家危险废物名录》（2021年1月1日）中HW08废矿物油与含矿物油废物），由有危险废物处置资质的单位代为处置。本项目对废油的收集、贮存和运输应满足《危险废物收集</w:t>
      </w:r>
      <w:r>
        <w:rPr>
          <w:rFonts w:hint="eastAsia"/>
        </w:rPr>
        <w:t xml:space="preserve"> </w:t>
      </w:r>
      <w:r>
        <w:t>贮存 运输技术规范》（HJ 2025-2012）的相关规定，建设单位做好钻井固废转移记录。</w:t>
      </w:r>
    </w:p>
    <w:bookmarkEnd w:id="482"/>
    <w:p>
      <w:pPr>
        <w:pStyle w:val="4"/>
        <w:rPr>
          <w:rFonts w:eastAsia="宋体"/>
        </w:rPr>
      </w:pPr>
      <w:r>
        <w:rPr>
          <w:rFonts w:eastAsia="宋体"/>
        </w:rPr>
        <w:t>6.1.7 对基础设施影响分析</w:t>
      </w:r>
    </w:p>
    <w:p>
      <w:pPr>
        <w:pStyle w:val="114"/>
        <w:ind w:firstLine="480"/>
      </w:pPr>
      <w:r>
        <w:t>本项目站场施工车辆进出施工场地会增加区域的道路交通量，提高交通噪声影响值，给周边居民的出行带来不便。本项目施工期较短，尽量减小对站场周围道路交通的影响。建设单位制定好施工方案和计划，减少对交通的影响，并提前向社会公布，对于出入施工场地的车辆，实施清洁工作，避免影响周边环境。施工期合理安排施工时间，把施工对居民的生活和出行造成的影响降到最低程度。</w:t>
      </w:r>
    </w:p>
    <w:p>
      <w:pPr>
        <w:pStyle w:val="3"/>
        <w:spacing w:before="120"/>
        <w:rPr>
          <w:rFonts w:cs="Times New Roman"/>
        </w:rPr>
      </w:pPr>
      <w:bookmarkStart w:id="483" w:name="_Toc5226"/>
      <w:r>
        <w:rPr>
          <w:rFonts w:cs="Times New Roman"/>
        </w:rPr>
        <w:t>6.2 试采期环境影响预测及评价</w:t>
      </w:r>
      <w:bookmarkEnd w:id="483"/>
    </w:p>
    <w:p>
      <w:pPr>
        <w:pStyle w:val="4"/>
        <w:rPr>
          <w:rFonts w:eastAsia="宋体"/>
        </w:rPr>
      </w:pPr>
      <w:r>
        <w:rPr>
          <w:rFonts w:eastAsia="宋体"/>
        </w:rPr>
        <w:t>6.2.1 试采期生态影响分析</w:t>
      </w:r>
    </w:p>
    <w:p>
      <w:pPr>
        <w:pStyle w:val="114"/>
        <w:ind w:firstLine="482"/>
        <w:rPr>
          <w:b/>
          <w:bCs/>
        </w:rPr>
      </w:pPr>
      <w:r>
        <w:rPr>
          <w:b/>
          <w:bCs/>
        </w:rPr>
        <w:t>1、对站场周围景观生态环境的影响</w:t>
      </w:r>
    </w:p>
    <w:p>
      <w:pPr>
        <w:pStyle w:val="114"/>
        <w:ind w:firstLine="480"/>
      </w:pPr>
      <w:r>
        <w:t>本项目施工结束后，站场周围扰动区内的农田可恢复农业生产。</w:t>
      </w:r>
    </w:p>
    <w:p>
      <w:pPr>
        <w:pStyle w:val="114"/>
        <w:ind w:firstLine="480"/>
      </w:pPr>
      <w:r>
        <w:t>总体而言，本项目运营后站场工程扰动区域内的原有人工植被及自然植被逐渐恢复，对站场周围区域景观生态环境影响相对较小。</w:t>
      </w:r>
    </w:p>
    <w:p>
      <w:pPr>
        <w:pStyle w:val="114"/>
        <w:ind w:firstLine="482"/>
        <w:rPr>
          <w:b/>
          <w:bCs/>
        </w:rPr>
      </w:pPr>
      <w:r>
        <w:rPr>
          <w:b/>
          <w:bCs/>
        </w:rPr>
        <w:t>2、对站场周围动植物的影响</w:t>
      </w:r>
    </w:p>
    <w:p>
      <w:pPr>
        <w:pStyle w:val="114"/>
        <w:ind w:firstLine="480"/>
      </w:pPr>
      <w:r>
        <w:t>试采期对动植物的影响从景观生态功能和生态关系角度分析，站场工程扰动区域地表及其周围一定范围区域造成一定的景观隔离；但从生物传播关系来看，这种隔离作用仅限于对土壤微生物及以根系作为传播途径的植物的影响，对以花粉、种子为传播途径的植物以及动物的生态隔离影响较小。从生态系统中的食物链关系以及更广范围的生物互惠关系来看，由于建设过程持续时间较短，项目在区域总面积中所占比重较小，其影响较小。因此项目的建设对站场周围的动植物影响较小。</w:t>
      </w:r>
    </w:p>
    <w:p>
      <w:pPr>
        <w:pStyle w:val="114"/>
        <w:ind w:firstLine="482"/>
        <w:rPr>
          <w:b/>
          <w:bCs/>
        </w:rPr>
      </w:pPr>
      <w:r>
        <w:rPr>
          <w:b/>
          <w:bCs/>
        </w:rPr>
        <w:t>3、对生态系统结构完整性和功能连续性的影响分析</w:t>
      </w:r>
    </w:p>
    <w:p>
      <w:pPr>
        <w:pStyle w:val="114"/>
        <w:ind w:firstLine="480"/>
      </w:pPr>
      <w:r>
        <w:t>站场周围区域主要植被类型为林地和农田植被。构成这些植被类型的种类为适应该区域的物种，具有种群数量大、适应性强的特点。项目建设过程不会造成项目所在区域植被类型分布状况和植物群落结构的改变。</w:t>
      </w:r>
    </w:p>
    <w:p>
      <w:pPr>
        <w:pStyle w:val="114"/>
        <w:ind w:firstLine="480"/>
      </w:pPr>
      <w:r>
        <w:t>对于森林植被而言，施工作业不会阻隔植物的散布。植物通过花粉流仍能进行基因交流，种子生产和种子库更新等过程也不会被打断，因此，现有植物群落的物种组成不会因此发生改变，生物多样性也不会受较大的影响。由不同植物群落组成的生态系统结构也不会发生改变，生态系统的物质循环和能量流动及其中的生态关系仍能延续。</w:t>
      </w:r>
    </w:p>
    <w:p>
      <w:pPr>
        <w:pStyle w:val="114"/>
        <w:ind w:firstLine="480"/>
      </w:pPr>
      <w:r>
        <w:t>对于农田生态系统而言，小麦、玉米、马铃薯及蔬菜等农作物均为常见的物种，因此不会改变农田生态系统的结构和功能，因此，农田生态系统的持续生产能力不会下降，系统的运行连续性不会破坏。</w:t>
      </w:r>
    </w:p>
    <w:p>
      <w:pPr>
        <w:pStyle w:val="114"/>
        <w:ind w:firstLine="480"/>
      </w:pPr>
      <w:r>
        <w:t>综上所述，本区域内绝大部分的植被面积和植被类型没有发生变化，亦即对本区域生态环境起控制作用的组分未变动，生境的异质性没有发生大的改变，因此，项目建设不会改变现有生态系统的完整性和功能的连续性。</w:t>
      </w:r>
    </w:p>
    <w:p>
      <w:pPr>
        <w:pStyle w:val="4"/>
        <w:rPr>
          <w:rFonts w:eastAsia="宋体"/>
        </w:rPr>
      </w:pPr>
      <w:r>
        <w:rPr>
          <w:rFonts w:eastAsia="宋体"/>
        </w:rPr>
        <w:t>6.2.2 环境空气影响分析</w:t>
      </w:r>
    </w:p>
    <w:p>
      <w:pPr>
        <w:pStyle w:val="114"/>
        <w:ind w:firstLine="482"/>
        <w:rPr>
          <w:b/>
          <w:bCs/>
        </w:rPr>
      </w:pPr>
      <w:r>
        <w:rPr>
          <w:b/>
          <w:bCs/>
        </w:rPr>
        <w:t>1、正常工况</w:t>
      </w:r>
    </w:p>
    <w:p>
      <w:pPr>
        <w:pStyle w:val="114"/>
        <w:ind w:firstLine="480"/>
      </w:pPr>
      <w:r>
        <w:t>由于本项目依托的输气管道敷设在地下，进行密闭输送，管道进行了防腐处理，在正常情况下，不会有废气排放，不会对大气环境造成不利影响。本项目依托P108集气站的水套加热炉，试采期本项目正常工况无</w:t>
      </w:r>
      <w:r>
        <w:rPr>
          <w:rFonts w:hint="eastAsia"/>
        </w:rPr>
        <w:t>新增</w:t>
      </w:r>
      <w:r>
        <w:t>废气排放。</w:t>
      </w:r>
    </w:p>
    <w:p>
      <w:pPr>
        <w:pStyle w:val="114"/>
        <w:ind w:firstLine="482"/>
        <w:rPr>
          <w:b/>
          <w:bCs/>
        </w:rPr>
      </w:pPr>
      <w:r>
        <w:rPr>
          <w:b/>
          <w:bCs/>
        </w:rPr>
        <w:t>2、非正常工况</w:t>
      </w:r>
    </w:p>
    <w:p>
      <w:pPr>
        <w:pStyle w:val="114"/>
        <w:ind w:firstLine="480"/>
      </w:pPr>
      <w:r>
        <w:t>非正常工况，在事故或检修放空期间会产生放空废气，本项目天然气中含硫，少量的天然气通过放空管燃烧后在放空区会产生氮氧化物和SO</w:t>
      </w:r>
      <w:r>
        <w:rPr>
          <w:vertAlign w:val="subscript"/>
        </w:rPr>
        <w:t>2</w:t>
      </w:r>
      <w:r>
        <w:t>，但由于事故及检修频率低，每次外排氮氧化物和SO</w:t>
      </w:r>
      <w:r>
        <w:rPr>
          <w:vertAlign w:val="subscript"/>
        </w:rPr>
        <w:t>2</w:t>
      </w:r>
      <w:r>
        <w:t>较少，通过放空区放空管高空排放，且放空区位于地势开阔的空旷地带，大气扩散条件良好，放空时疏散附近的居民，放空废气不会对周边大气环境造成明显不利影响。</w:t>
      </w:r>
    </w:p>
    <w:p>
      <w:pPr>
        <w:pStyle w:val="4"/>
        <w:rPr>
          <w:rFonts w:eastAsia="宋体"/>
        </w:rPr>
      </w:pPr>
      <w:r>
        <w:rPr>
          <w:rFonts w:eastAsia="宋体"/>
        </w:rPr>
        <w:t>6.2.3 地表水环境影响分析</w:t>
      </w:r>
    </w:p>
    <w:p>
      <w:pPr>
        <w:pStyle w:val="114"/>
        <w:ind w:firstLine="482"/>
        <w:rPr>
          <w:b/>
          <w:bCs/>
        </w:rPr>
      </w:pPr>
      <w:r>
        <w:rPr>
          <w:b/>
          <w:bCs/>
        </w:rPr>
        <w:t>1、评价等级判定</w:t>
      </w:r>
    </w:p>
    <w:p>
      <w:pPr>
        <w:pStyle w:val="114"/>
        <w:ind w:firstLine="480"/>
      </w:pPr>
      <w:r>
        <w:t>根据《环境影响评价技术导则 地表水环境》（HJ2.3-2018）中关于项目评价等级与评价范围的规定及工程分析。</w:t>
      </w:r>
      <w:r>
        <w:rPr>
          <w:szCs w:val="22"/>
        </w:rPr>
        <w:t>本项目试采期</w:t>
      </w:r>
      <w:r>
        <w:rPr>
          <w:rFonts w:hint="eastAsia"/>
          <w:szCs w:val="22"/>
        </w:rPr>
        <w:t>产生的气田水经酸液缓冲罐收集</w:t>
      </w:r>
      <w:r>
        <w:rPr>
          <w:szCs w:val="22"/>
        </w:rPr>
        <w:t>，然后通过密闭罐车拉运至大湾403污水站处理达到《气田水回注方法》（SY/T 6596-2016）中注入水基本要求后管输至毛开1井回注站回注处理，不外排</w:t>
      </w:r>
      <w:r>
        <w:t>。因此，本项目地表水环境影响评价等级定为水污染影响型三级B。</w:t>
      </w:r>
    </w:p>
    <w:p>
      <w:pPr>
        <w:pStyle w:val="114"/>
        <w:ind w:firstLine="482"/>
        <w:rPr>
          <w:b/>
          <w:bCs/>
        </w:rPr>
      </w:pPr>
      <w:r>
        <w:rPr>
          <w:b/>
          <w:bCs/>
        </w:rPr>
        <w:t>2、环境影响分析</w:t>
      </w:r>
    </w:p>
    <w:p>
      <w:pPr>
        <w:pStyle w:val="114"/>
        <w:ind w:firstLine="480"/>
      </w:pPr>
      <w:r>
        <w:rPr>
          <w:szCs w:val="22"/>
        </w:rPr>
        <w:t>本项目试采期</w:t>
      </w:r>
      <w:r>
        <w:rPr>
          <w:rFonts w:hint="eastAsia"/>
          <w:szCs w:val="22"/>
        </w:rPr>
        <w:t>分离的酸液经酸液缓冲罐收集后定期由密闭罐车拉运至大湾403污水站处理达到《气田水回注方法》（SY/T 6596-2016）中注入水基本要求后管输至毛开1井回注站回注处理。试采期</w:t>
      </w:r>
      <w:r>
        <w:rPr>
          <w:szCs w:val="22"/>
        </w:rPr>
        <w:t>产生的气田水经酸液缓冲罐收集，然后通过密闭罐车拉运至大湾403污水站处理达到《气田水回注方法》（SY/T 6596-2016）中注入水基本要求后管输至毛开1井回注站回注处理，不外排</w:t>
      </w:r>
      <w:r>
        <w:t>。</w:t>
      </w:r>
    </w:p>
    <w:p>
      <w:pPr>
        <w:pStyle w:val="4"/>
        <w:rPr>
          <w:rFonts w:eastAsia="宋体"/>
        </w:rPr>
      </w:pPr>
      <w:r>
        <w:rPr>
          <w:rFonts w:eastAsia="宋体"/>
        </w:rPr>
        <w:t>6.2.4 地下水环境影响分析</w:t>
      </w:r>
    </w:p>
    <w:p>
      <w:pPr>
        <w:pStyle w:val="114"/>
        <w:ind w:firstLine="480"/>
      </w:pPr>
      <w:r>
        <w:t xml:space="preserve">根据《环境影响评价技术导则 地下水环境》（HJ610-2016）中关于项目评价等级与评价范围的规定及工程分析。因本项目建设内容不涉及污水储存设施、污水处理构筑物新建，同时在发生管道破裂泄漏时，天然气将通过包气带土壤孔隙逸出进入大气，不会对地下水产生影响，天然气中所含少量的气田水为气态，如果发生上述泄漏，管道监测系统会立即切断并停止输气，所泄漏的气田水微乎其微，且同天然气一同扩散到大气中。 </w:t>
      </w:r>
    </w:p>
    <w:p>
      <w:pPr>
        <w:pStyle w:val="114"/>
        <w:ind w:firstLine="480"/>
      </w:pPr>
      <w:r>
        <w:t>同时根据建设单位提供P108集气站介质组份数据和类比区域内</w:t>
      </w:r>
      <w:r>
        <w:rPr>
          <w:rFonts w:hint="eastAsia"/>
        </w:rPr>
        <w:t>其他</w:t>
      </w:r>
      <w:r>
        <w:t>井气田水产生情况分析，来气水含量极低，开发配产天然气设计规模为</w:t>
      </w:r>
      <w:r>
        <w:rPr>
          <w:rFonts w:hint="eastAsia"/>
        </w:rPr>
        <w:t>20</w:t>
      </w:r>
      <w:r>
        <w:t>×10</w:t>
      </w:r>
      <w:r>
        <w:rPr>
          <w:vertAlign w:val="superscript"/>
        </w:rPr>
        <w:t>4</w:t>
      </w:r>
      <w:r>
        <w:t>m</w:t>
      </w:r>
      <w:r>
        <w:rPr>
          <w:vertAlign w:val="superscript"/>
        </w:rPr>
        <w:t>3</w:t>
      </w:r>
      <w:r>
        <w:t>/d，产生气田水量约5m</w:t>
      </w:r>
      <w:r>
        <w:rPr>
          <w:vertAlign w:val="superscript"/>
        </w:rPr>
        <w:t>3</w:t>
      </w:r>
      <w:r>
        <w:t>/d。因事故管道破裂泄漏时间较短，最多10min紧急切断装置启动切断输气，泄漏天然气占比日采气规模量极低，泄漏携带的水量极低。在高压状态，天然气中水以饱和水蒸气状态存在，结合前文工艺介绍，在P108-2H、P108-3井来气经二级节流后进入P108集气站已建工艺流程，已建工艺流程不在本项目评价范围内。故发生管道破裂泄漏时，天然气中所含少量的气田水，同天然气一同扩散到大气中，不会渗入地下水环境，故无相关地下水污染情景存在，无法进行情景设置、无法获取预测源强，导致预测模型概化无法实现，故不予开展相关预测评价。</w:t>
      </w:r>
    </w:p>
    <w:p>
      <w:pPr>
        <w:pStyle w:val="114"/>
        <w:ind w:firstLine="480"/>
      </w:pPr>
      <w:r>
        <w:t>试采期，正常工况下，由于拟建工程站内输气管线是全封闭系统，采用外防腐层和强制电流阴极保护联合方式，对地下水不会造成影响。在发生管道破裂泄漏时，天然气将通过包气带土壤孔隙逸出进入大气，不会对地下水产生影响，天然气中所含少量的气田水为气态，如果发生上述泄漏，井场监测系统会立即切断并停止输气，所泄漏的气田水微乎其微，且同天然气一同扩散到大气中，因此对</w:t>
      </w:r>
      <w:r>
        <w:rPr>
          <w:rFonts w:hint="eastAsia"/>
        </w:rPr>
        <w:t>地下</w:t>
      </w:r>
      <w:r>
        <w:t>水环境基本无影响。</w:t>
      </w:r>
    </w:p>
    <w:p>
      <w:pPr>
        <w:pStyle w:val="4"/>
        <w:rPr>
          <w:rFonts w:eastAsia="宋体"/>
        </w:rPr>
      </w:pPr>
      <w:r>
        <w:rPr>
          <w:rFonts w:eastAsia="宋体"/>
        </w:rPr>
        <w:t>6.2.5 声环境影响分析</w:t>
      </w:r>
    </w:p>
    <w:p>
      <w:pPr>
        <w:pStyle w:val="114"/>
        <w:ind w:firstLine="482"/>
        <w:rPr>
          <w:b/>
          <w:bCs/>
        </w:rPr>
      </w:pPr>
      <w:r>
        <w:rPr>
          <w:b/>
          <w:bCs/>
        </w:rPr>
        <w:t>1、站场正常生产噪声</w:t>
      </w:r>
    </w:p>
    <w:p>
      <w:pPr>
        <w:pStyle w:val="114"/>
        <w:ind w:firstLine="480"/>
      </w:pPr>
      <w:r>
        <w:t>本项目正常生产时站场内设备（分离器、水套加热炉、节流阀等）运行产生连续噪声，设备主要置于站场工艺装置区内，其噪声值约62~68dB（A）；在工艺设计中考虑了减少工艺管线的弯头、三通等管件，并选用低噪声设备，经过隔声、吸声、减振措施后，其噪声值降至55dB（A）以下。在不考虑空气吸收、声波反射，而只考虑声能随距离衰减的情况下，其噪声衰减公式如下：</w:t>
      </w:r>
    </w:p>
    <w:p>
      <w:pPr>
        <w:pStyle w:val="114"/>
        <w:ind w:firstLine="480"/>
      </w:pPr>
      <m:oMathPara>
        <m:oMath>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L</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−20</m:t>
          </m:r>
          <m:func>
            <m:funcPr>
              <m:ctrlPr>
                <w:rPr>
                  <w:rFonts w:ascii="Cambria Math" w:hAnsi="Cambria Math"/>
                </w:rPr>
              </m:ctrlPr>
            </m:funcPr>
            <m:fName>
              <m:r>
                <m:rPr>
                  <m:sty m:val="p"/>
                </m:rPr>
                <w:rPr>
                  <w:rFonts w:ascii="Cambria Math" w:hAnsi="Cambria Math"/>
                </w:rPr>
                <m:t>lg</m:t>
              </m:r>
              <m:ctrlPr>
                <w:rPr>
                  <w:rFonts w:ascii="Cambria Math" w:hAnsi="Cambria Math"/>
                </w:rPr>
              </m:ctrlPr>
            </m:fName>
            <m:e>
              <m:d>
                <m:dPr>
                  <m:ctrlPr>
                    <w:rPr>
                      <w:rFonts w:ascii="Cambria Math" w:hAnsi="Cambria Math"/>
                    </w:rPr>
                  </m:ctrlPr>
                </m:dPr>
                <m:e>
                  <m:f>
                    <m:fPr>
                      <m:type m:val="lin"/>
                      <m:ctrlPr>
                        <w:rPr>
                          <w:rFonts w:ascii="Cambria Math" w:hAnsi="Cambria Math"/>
                        </w:rPr>
                      </m:ctrlPr>
                    </m:fPr>
                    <m:num>
                      <m:r>
                        <m:rPr/>
                        <w:rPr>
                          <w:rFonts w:ascii="Cambria Math" w:hAnsi="Cambria Math"/>
                        </w:rPr>
                        <m:t>r</m:t>
                      </m:r>
                      <m:ctrlPr>
                        <w:rPr>
                          <w:rFonts w:ascii="Cambria Math" w:hAnsi="Cambria Math"/>
                        </w:rPr>
                      </m:ctrlPr>
                    </m:num>
                    <m:den>
                      <m:sSub>
                        <m:sSubPr>
                          <m:ctrlPr>
                            <w:rPr>
                              <w:rFonts w:ascii="Cambria Math" w:hAnsi="Cambria Math"/>
                            </w:rPr>
                          </m:ctrlPr>
                        </m:sSubPr>
                        <m:e>
                          <m:r>
                            <m:rPr/>
                            <w:rPr>
                              <w:rFonts w:ascii="Cambria Math" w:hAnsi="Cambria Math"/>
                            </w:rPr>
                            <m:t>r</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den>
                  </m:f>
                  <m:ctrlPr>
                    <w:rPr>
                      <w:rFonts w:ascii="Cambria Math" w:hAnsi="Cambria Math"/>
                    </w:rPr>
                  </m:ctrlPr>
                </m:e>
              </m:d>
              <m:ctrlPr>
                <w:rPr>
                  <w:rFonts w:ascii="Cambria Math" w:hAnsi="Cambria Math"/>
                </w:rPr>
              </m:ctrlPr>
            </m:e>
          </m:func>
        </m:oMath>
      </m:oMathPara>
    </w:p>
    <w:p>
      <w:pPr>
        <w:pStyle w:val="114"/>
        <w:ind w:firstLine="480"/>
      </w:pPr>
      <m:oMath>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m:t>
            </m:r>
            <m:ctrlPr>
              <w:rPr>
                <w:rFonts w:ascii="Cambria Math" w:hAnsi="Cambria Math"/>
              </w:rPr>
            </m:ctrlPr>
          </m:sub>
        </m:sSub>
      </m:oMath>
      <w:r>
        <w:t>——距离声源为r米处预测受声点噪声预测值，dB（A）；</w:t>
      </w:r>
    </w:p>
    <w:p>
      <w:pPr>
        <w:pStyle w:val="114"/>
        <w:ind w:firstLine="480"/>
      </w:pPr>
      <m:oMath>
        <m:sSub>
          <m:sSubPr>
            <m:ctrlPr>
              <w:rPr>
                <w:rFonts w:ascii="Cambria Math" w:hAnsi="Cambria Math"/>
              </w:rPr>
            </m:ctrlPr>
          </m:sSubPr>
          <m:e>
            <m:r>
              <m:rPr/>
              <w:rPr>
                <w:rFonts w:ascii="Cambria Math" w:hAnsi="Cambria Math"/>
              </w:rPr>
              <m:t>L</m:t>
            </m:r>
            <m:ctrlPr>
              <w:rPr>
                <w:rFonts w:ascii="Cambria Math" w:hAnsi="Cambria Math"/>
              </w:rPr>
            </m:ctrlPr>
          </m:e>
          <m:sub>
            <m:r>
              <m:rPr>
                <m:sty m:val="p"/>
              </m:rPr>
              <w:rPr>
                <w:rFonts w:ascii="Cambria Math" w:hAnsi="Cambria Math"/>
              </w:rPr>
              <m:t>0</m:t>
            </m:r>
            <m:ctrlPr>
              <w:rPr>
                <w:rFonts w:ascii="Cambria Math" w:hAnsi="Cambria Math"/>
              </w:rPr>
            </m:ctrlPr>
          </m:sub>
        </m:sSub>
      </m:oMath>
      <w:r>
        <w:t>——距离声源为r</w:t>
      </w:r>
      <w:r>
        <w:rPr>
          <w:vertAlign w:val="subscript"/>
        </w:rPr>
        <w:t>0</w:t>
      </w:r>
      <w:r>
        <w:t>米处声源的总声级值，dB（A）；</w:t>
      </w:r>
    </w:p>
    <w:p>
      <w:pPr>
        <w:pStyle w:val="114"/>
        <w:ind w:firstLine="480"/>
      </w:pPr>
      <m:oMath>
        <m:r>
          <m:rPr/>
          <w:rPr>
            <w:rFonts w:ascii="Cambria Math" w:hAnsi="Cambria Math"/>
          </w:rPr>
          <m:t>r</m:t>
        </m:r>
      </m:oMath>
      <w:r>
        <w:t>——预测受声点距离声源的预测距离，m；</w:t>
      </w:r>
    </w:p>
    <w:p>
      <w:pPr>
        <w:pStyle w:val="114"/>
        <w:ind w:firstLine="480"/>
      </w:pPr>
      <m:oMath>
        <m:sSub>
          <m:sSubPr>
            <m:ctrlPr>
              <w:rPr>
                <w:rFonts w:ascii="Cambria Math" w:hAnsi="Cambria Math"/>
              </w:rPr>
            </m:ctrlPr>
          </m:sSubPr>
          <m:e>
            <m:r>
              <m:rPr/>
              <w:rPr>
                <w:rFonts w:ascii="Cambria Math" w:hAnsi="Cambria Math"/>
              </w:rPr>
              <m:t>r</m:t>
            </m:r>
            <m:ctrlPr>
              <w:rPr>
                <w:rFonts w:ascii="Cambria Math" w:hAnsi="Cambria Math"/>
              </w:rPr>
            </m:ctrlPr>
          </m:e>
          <m:sub>
            <m:r>
              <m:rPr>
                <m:sty m:val="p"/>
              </m:rPr>
              <w:rPr>
                <w:rFonts w:ascii="Cambria Math" w:hAnsi="Cambria Math"/>
              </w:rPr>
              <m:t>0</m:t>
            </m:r>
            <m:ctrlPr>
              <w:rPr>
                <w:rFonts w:ascii="Cambria Math" w:hAnsi="Cambria Math"/>
              </w:rPr>
            </m:ctrlPr>
          </m:sub>
        </m:sSub>
      </m:oMath>
      <w:r>
        <w:t>——噪声受点r</w:t>
      </w:r>
      <w:r>
        <w:rPr>
          <w:vertAlign w:val="subscript"/>
        </w:rPr>
        <w:t>0</w:t>
      </w:r>
      <w:r>
        <w:t>处与噪声源的距离，m。</w:t>
      </w:r>
    </w:p>
    <w:p>
      <w:pPr>
        <w:pStyle w:val="114"/>
        <w:ind w:firstLine="480"/>
      </w:pPr>
      <w:r>
        <w:t>本项目依托的P108集气站内设置有水套炉等产噪设备，本次评价对P108集气站进行噪声预测，厂界噪声预测情况见表6.2-1。</w:t>
      </w:r>
    </w:p>
    <w:p>
      <w:pPr>
        <w:pStyle w:val="39"/>
        <w:rPr>
          <w:rFonts w:cs="Times New Roman"/>
        </w:rPr>
      </w:pPr>
      <w:r>
        <w:rPr>
          <w:rFonts w:cs="Times New Roman"/>
        </w:rPr>
        <w:t xml:space="preserve">表6.2-1 </w:t>
      </w:r>
      <w:r>
        <w:rPr>
          <w:rFonts w:hint="eastAsia" w:cs="Times New Roman"/>
        </w:rPr>
        <w:t xml:space="preserve"> </w:t>
      </w:r>
      <w:r>
        <w:rPr>
          <w:rFonts w:cs="Times New Roman"/>
        </w:rPr>
        <w:t>P108集气站厂界噪声预测情况   单位：dB（A）</w:t>
      </w:r>
    </w:p>
    <w:tbl>
      <w:tblPr>
        <w:tblStyle w:val="59"/>
        <w:tblW w:w="485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1335"/>
        <w:gridCol w:w="899"/>
        <w:gridCol w:w="678"/>
        <w:gridCol w:w="969"/>
        <w:gridCol w:w="970"/>
        <w:gridCol w:w="971"/>
        <w:gridCol w:w="972"/>
        <w:gridCol w:w="969"/>
        <w:gridCol w:w="971"/>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1345" w:type="dxa"/>
            <w:vMerge w:val="restart"/>
            <w:vAlign w:val="center"/>
          </w:tcPr>
          <w:p>
            <w:pPr>
              <w:pStyle w:val="114"/>
              <w:spacing w:line="240" w:lineRule="auto"/>
              <w:ind w:firstLine="0" w:firstLineChars="0"/>
              <w:jc w:val="center"/>
              <w:rPr>
                <w:b/>
                <w:bCs/>
                <w:kern w:val="2"/>
                <w:sz w:val="21"/>
                <w:szCs w:val="21"/>
              </w:rPr>
            </w:pPr>
            <w:r>
              <w:rPr>
                <w:b/>
                <w:bCs/>
                <w:kern w:val="2"/>
                <w:sz w:val="21"/>
                <w:szCs w:val="21"/>
              </w:rPr>
              <w:t>预测点位</w:t>
            </w:r>
          </w:p>
        </w:tc>
        <w:tc>
          <w:tcPr>
            <w:tcW w:w="900" w:type="dxa"/>
            <w:vMerge w:val="restart"/>
            <w:vAlign w:val="center"/>
          </w:tcPr>
          <w:p>
            <w:pPr>
              <w:pStyle w:val="114"/>
              <w:spacing w:line="240" w:lineRule="auto"/>
              <w:ind w:firstLine="0" w:firstLineChars="0"/>
              <w:jc w:val="center"/>
              <w:rPr>
                <w:b/>
                <w:bCs/>
                <w:kern w:val="2"/>
                <w:sz w:val="21"/>
                <w:szCs w:val="21"/>
              </w:rPr>
            </w:pPr>
            <w:r>
              <w:rPr>
                <w:b/>
                <w:bCs/>
                <w:kern w:val="2"/>
                <w:sz w:val="21"/>
                <w:szCs w:val="21"/>
              </w:rPr>
              <w:t>距离（m）</w:t>
            </w:r>
          </w:p>
        </w:tc>
        <w:tc>
          <w:tcPr>
            <w:tcW w:w="679" w:type="dxa"/>
            <w:vMerge w:val="restart"/>
            <w:vAlign w:val="center"/>
          </w:tcPr>
          <w:p>
            <w:pPr>
              <w:pStyle w:val="114"/>
              <w:spacing w:line="240" w:lineRule="auto"/>
              <w:ind w:firstLine="0" w:firstLineChars="0"/>
              <w:jc w:val="center"/>
              <w:rPr>
                <w:b/>
                <w:bCs/>
                <w:kern w:val="2"/>
                <w:sz w:val="21"/>
                <w:szCs w:val="21"/>
              </w:rPr>
            </w:pPr>
            <w:r>
              <w:rPr>
                <w:b/>
                <w:bCs/>
                <w:kern w:val="2"/>
                <w:sz w:val="21"/>
                <w:szCs w:val="21"/>
              </w:rPr>
              <w:t>贡献值</w:t>
            </w:r>
          </w:p>
        </w:tc>
        <w:tc>
          <w:tcPr>
            <w:tcW w:w="1951" w:type="dxa"/>
            <w:gridSpan w:val="2"/>
            <w:vAlign w:val="center"/>
          </w:tcPr>
          <w:p>
            <w:pPr>
              <w:pStyle w:val="114"/>
              <w:spacing w:line="240" w:lineRule="auto"/>
              <w:ind w:firstLine="0" w:firstLineChars="0"/>
              <w:jc w:val="center"/>
              <w:rPr>
                <w:b/>
                <w:bCs/>
                <w:kern w:val="2"/>
                <w:sz w:val="21"/>
                <w:szCs w:val="21"/>
              </w:rPr>
            </w:pPr>
            <w:r>
              <w:rPr>
                <w:b/>
                <w:bCs/>
                <w:kern w:val="2"/>
                <w:sz w:val="21"/>
                <w:szCs w:val="21"/>
              </w:rPr>
              <w:t>背景值</w:t>
            </w:r>
          </w:p>
        </w:tc>
        <w:tc>
          <w:tcPr>
            <w:tcW w:w="1951" w:type="dxa"/>
            <w:gridSpan w:val="2"/>
            <w:vAlign w:val="center"/>
          </w:tcPr>
          <w:p>
            <w:pPr>
              <w:pStyle w:val="114"/>
              <w:spacing w:line="240" w:lineRule="auto"/>
              <w:ind w:firstLine="0" w:firstLineChars="0"/>
              <w:jc w:val="center"/>
              <w:rPr>
                <w:b/>
                <w:bCs/>
                <w:kern w:val="2"/>
                <w:sz w:val="21"/>
                <w:szCs w:val="21"/>
              </w:rPr>
            </w:pPr>
            <w:r>
              <w:rPr>
                <w:b/>
                <w:bCs/>
                <w:kern w:val="2"/>
                <w:sz w:val="21"/>
                <w:szCs w:val="21"/>
              </w:rPr>
              <w:t>预测值</w:t>
            </w:r>
          </w:p>
        </w:tc>
        <w:tc>
          <w:tcPr>
            <w:tcW w:w="1951" w:type="dxa"/>
            <w:gridSpan w:val="2"/>
            <w:vAlign w:val="center"/>
          </w:tcPr>
          <w:p>
            <w:pPr>
              <w:pStyle w:val="114"/>
              <w:spacing w:line="240" w:lineRule="auto"/>
              <w:ind w:firstLine="0" w:firstLineChars="0"/>
              <w:jc w:val="center"/>
              <w:rPr>
                <w:b/>
                <w:bCs/>
                <w:kern w:val="2"/>
                <w:sz w:val="21"/>
                <w:szCs w:val="21"/>
              </w:rPr>
            </w:pPr>
            <w:r>
              <w:rPr>
                <w:b/>
                <w:bCs/>
                <w:kern w:val="2"/>
                <w:sz w:val="21"/>
                <w:szCs w:val="21"/>
              </w:rPr>
              <w:t>评价结果</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1345" w:type="dxa"/>
            <w:vMerge w:val="continue"/>
            <w:vAlign w:val="center"/>
          </w:tcPr>
          <w:p>
            <w:pPr>
              <w:pStyle w:val="114"/>
              <w:spacing w:line="240" w:lineRule="auto"/>
              <w:ind w:firstLine="0" w:firstLineChars="0"/>
              <w:jc w:val="center"/>
              <w:rPr>
                <w:b/>
                <w:bCs/>
                <w:kern w:val="2"/>
                <w:sz w:val="21"/>
                <w:szCs w:val="21"/>
              </w:rPr>
            </w:pPr>
          </w:p>
        </w:tc>
        <w:tc>
          <w:tcPr>
            <w:tcW w:w="900" w:type="dxa"/>
            <w:vMerge w:val="continue"/>
            <w:vAlign w:val="center"/>
          </w:tcPr>
          <w:p>
            <w:pPr>
              <w:pStyle w:val="114"/>
              <w:spacing w:line="240" w:lineRule="auto"/>
              <w:ind w:firstLine="0" w:firstLineChars="0"/>
              <w:jc w:val="center"/>
              <w:rPr>
                <w:b/>
                <w:bCs/>
                <w:kern w:val="2"/>
                <w:sz w:val="21"/>
                <w:szCs w:val="21"/>
              </w:rPr>
            </w:pPr>
          </w:p>
        </w:tc>
        <w:tc>
          <w:tcPr>
            <w:tcW w:w="679" w:type="dxa"/>
            <w:vMerge w:val="continue"/>
            <w:vAlign w:val="center"/>
          </w:tcPr>
          <w:p>
            <w:pPr>
              <w:pStyle w:val="114"/>
              <w:spacing w:line="240" w:lineRule="auto"/>
              <w:ind w:firstLine="0" w:firstLineChars="0"/>
              <w:jc w:val="center"/>
              <w:rPr>
                <w:b/>
                <w:bCs/>
                <w:kern w:val="2"/>
                <w:sz w:val="21"/>
                <w:szCs w:val="21"/>
              </w:rPr>
            </w:pPr>
          </w:p>
        </w:tc>
        <w:tc>
          <w:tcPr>
            <w:tcW w:w="975" w:type="dxa"/>
            <w:vAlign w:val="center"/>
          </w:tcPr>
          <w:p>
            <w:pPr>
              <w:pStyle w:val="114"/>
              <w:spacing w:line="240" w:lineRule="auto"/>
              <w:ind w:firstLine="0" w:firstLineChars="0"/>
              <w:jc w:val="center"/>
              <w:rPr>
                <w:b/>
                <w:bCs/>
                <w:kern w:val="2"/>
                <w:sz w:val="21"/>
                <w:szCs w:val="21"/>
              </w:rPr>
            </w:pPr>
            <w:r>
              <w:rPr>
                <w:b/>
                <w:bCs/>
                <w:kern w:val="2"/>
                <w:sz w:val="21"/>
                <w:szCs w:val="21"/>
              </w:rPr>
              <w:t>昼间</w:t>
            </w:r>
          </w:p>
        </w:tc>
        <w:tc>
          <w:tcPr>
            <w:tcW w:w="976" w:type="dxa"/>
            <w:vAlign w:val="center"/>
          </w:tcPr>
          <w:p>
            <w:pPr>
              <w:pStyle w:val="114"/>
              <w:spacing w:line="240" w:lineRule="auto"/>
              <w:ind w:firstLine="0" w:firstLineChars="0"/>
              <w:jc w:val="center"/>
              <w:rPr>
                <w:b/>
                <w:bCs/>
                <w:kern w:val="2"/>
                <w:sz w:val="21"/>
                <w:szCs w:val="21"/>
              </w:rPr>
            </w:pPr>
            <w:r>
              <w:rPr>
                <w:b/>
                <w:bCs/>
                <w:kern w:val="2"/>
                <w:sz w:val="21"/>
                <w:szCs w:val="21"/>
              </w:rPr>
              <w:t>夜间</w:t>
            </w:r>
          </w:p>
        </w:tc>
        <w:tc>
          <w:tcPr>
            <w:tcW w:w="975" w:type="dxa"/>
            <w:vAlign w:val="center"/>
          </w:tcPr>
          <w:p>
            <w:pPr>
              <w:pStyle w:val="114"/>
              <w:spacing w:line="240" w:lineRule="auto"/>
              <w:ind w:firstLine="0" w:firstLineChars="0"/>
              <w:jc w:val="center"/>
              <w:rPr>
                <w:b/>
                <w:bCs/>
                <w:kern w:val="2"/>
                <w:sz w:val="21"/>
                <w:szCs w:val="21"/>
              </w:rPr>
            </w:pPr>
            <w:r>
              <w:rPr>
                <w:b/>
                <w:bCs/>
                <w:kern w:val="2"/>
                <w:sz w:val="21"/>
                <w:szCs w:val="21"/>
              </w:rPr>
              <w:t>昼间</w:t>
            </w:r>
          </w:p>
        </w:tc>
        <w:tc>
          <w:tcPr>
            <w:tcW w:w="976" w:type="dxa"/>
            <w:vAlign w:val="center"/>
          </w:tcPr>
          <w:p>
            <w:pPr>
              <w:pStyle w:val="114"/>
              <w:spacing w:line="240" w:lineRule="auto"/>
              <w:ind w:firstLine="0" w:firstLineChars="0"/>
              <w:jc w:val="center"/>
              <w:rPr>
                <w:b/>
                <w:bCs/>
                <w:kern w:val="2"/>
                <w:sz w:val="21"/>
                <w:szCs w:val="21"/>
              </w:rPr>
            </w:pPr>
            <w:r>
              <w:rPr>
                <w:b/>
                <w:bCs/>
                <w:kern w:val="2"/>
                <w:sz w:val="21"/>
                <w:szCs w:val="21"/>
              </w:rPr>
              <w:t>夜间</w:t>
            </w:r>
          </w:p>
        </w:tc>
        <w:tc>
          <w:tcPr>
            <w:tcW w:w="975" w:type="dxa"/>
            <w:vAlign w:val="center"/>
          </w:tcPr>
          <w:p>
            <w:pPr>
              <w:pStyle w:val="114"/>
              <w:spacing w:line="240" w:lineRule="auto"/>
              <w:ind w:firstLine="0" w:firstLineChars="0"/>
              <w:jc w:val="center"/>
              <w:rPr>
                <w:b/>
                <w:bCs/>
                <w:kern w:val="2"/>
                <w:sz w:val="21"/>
                <w:szCs w:val="21"/>
              </w:rPr>
            </w:pPr>
            <w:r>
              <w:rPr>
                <w:b/>
                <w:bCs/>
                <w:kern w:val="2"/>
                <w:sz w:val="21"/>
                <w:szCs w:val="21"/>
              </w:rPr>
              <w:t>昼间</w:t>
            </w:r>
          </w:p>
        </w:tc>
        <w:tc>
          <w:tcPr>
            <w:tcW w:w="976" w:type="dxa"/>
            <w:vAlign w:val="center"/>
          </w:tcPr>
          <w:p>
            <w:pPr>
              <w:pStyle w:val="114"/>
              <w:spacing w:line="240" w:lineRule="auto"/>
              <w:ind w:firstLine="0" w:firstLineChars="0"/>
              <w:jc w:val="center"/>
              <w:rPr>
                <w:b/>
                <w:bCs/>
                <w:kern w:val="2"/>
                <w:sz w:val="21"/>
                <w:szCs w:val="21"/>
              </w:rPr>
            </w:pPr>
            <w:r>
              <w:rPr>
                <w:b/>
                <w:bCs/>
                <w:kern w:val="2"/>
                <w:sz w:val="21"/>
                <w:szCs w:val="21"/>
              </w:rPr>
              <w:t>夜间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1345" w:type="dxa"/>
            <w:vAlign w:val="center"/>
          </w:tcPr>
          <w:p>
            <w:pPr>
              <w:pStyle w:val="114"/>
              <w:spacing w:line="240" w:lineRule="auto"/>
              <w:ind w:firstLine="0" w:firstLineChars="0"/>
              <w:jc w:val="center"/>
              <w:rPr>
                <w:kern w:val="2"/>
                <w:sz w:val="21"/>
                <w:szCs w:val="21"/>
              </w:rPr>
            </w:pPr>
            <w:r>
              <w:rPr>
                <w:kern w:val="2"/>
                <w:sz w:val="21"/>
                <w:szCs w:val="21"/>
              </w:rPr>
              <w:t>东侧</w:t>
            </w:r>
          </w:p>
        </w:tc>
        <w:tc>
          <w:tcPr>
            <w:tcW w:w="900" w:type="dxa"/>
            <w:vAlign w:val="center"/>
          </w:tcPr>
          <w:p>
            <w:pPr>
              <w:pStyle w:val="114"/>
              <w:spacing w:line="240" w:lineRule="auto"/>
              <w:ind w:firstLine="0" w:firstLineChars="0"/>
              <w:jc w:val="center"/>
              <w:rPr>
                <w:kern w:val="2"/>
                <w:sz w:val="21"/>
                <w:szCs w:val="21"/>
              </w:rPr>
            </w:pPr>
            <w:r>
              <w:rPr>
                <w:kern w:val="2"/>
                <w:sz w:val="21"/>
                <w:szCs w:val="21"/>
              </w:rPr>
              <w:t>25</w:t>
            </w:r>
          </w:p>
        </w:tc>
        <w:tc>
          <w:tcPr>
            <w:tcW w:w="679" w:type="dxa"/>
            <w:vAlign w:val="center"/>
          </w:tcPr>
          <w:p>
            <w:pPr>
              <w:pStyle w:val="114"/>
              <w:spacing w:line="240" w:lineRule="auto"/>
              <w:ind w:firstLine="0" w:firstLineChars="0"/>
              <w:jc w:val="center"/>
              <w:rPr>
                <w:kern w:val="2"/>
                <w:sz w:val="21"/>
                <w:szCs w:val="21"/>
              </w:rPr>
            </w:pPr>
            <w:r>
              <w:rPr>
                <w:kern w:val="2"/>
                <w:sz w:val="21"/>
                <w:szCs w:val="21"/>
              </w:rPr>
              <w:t>42</w:t>
            </w:r>
          </w:p>
        </w:tc>
        <w:tc>
          <w:tcPr>
            <w:tcW w:w="975" w:type="dxa"/>
            <w:vAlign w:val="center"/>
          </w:tcPr>
          <w:p>
            <w:pPr>
              <w:pStyle w:val="114"/>
              <w:spacing w:line="240" w:lineRule="auto"/>
              <w:ind w:firstLine="0" w:firstLineChars="0"/>
              <w:jc w:val="center"/>
              <w:rPr>
                <w:kern w:val="2"/>
                <w:sz w:val="21"/>
                <w:szCs w:val="21"/>
              </w:rPr>
            </w:pPr>
            <w:r>
              <w:rPr>
                <w:kern w:val="2"/>
                <w:sz w:val="21"/>
                <w:szCs w:val="21"/>
              </w:rPr>
              <w:t>/</w:t>
            </w:r>
          </w:p>
        </w:tc>
        <w:tc>
          <w:tcPr>
            <w:tcW w:w="976" w:type="dxa"/>
            <w:vAlign w:val="center"/>
          </w:tcPr>
          <w:p>
            <w:pPr>
              <w:pStyle w:val="114"/>
              <w:spacing w:line="240" w:lineRule="auto"/>
              <w:ind w:firstLine="0" w:firstLineChars="0"/>
              <w:jc w:val="center"/>
              <w:rPr>
                <w:kern w:val="2"/>
                <w:sz w:val="21"/>
                <w:szCs w:val="21"/>
              </w:rPr>
            </w:pPr>
            <w:r>
              <w:rPr>
                <w:kern w:val="2"/>
                <w:sz w:val="21"/>
                <w:szCs w:val="21"/>
              </w:rPr>
              <w:t>/</w:t>
            </w:r>
          </w:p>
        </w:tc>
        <w:tc>
          <w:tcPr>
            <w:tcW w:w="975" w:type="dxa"/>
            <w:vAlign w:val="center"/>
          </w:tcPr>
          <w:p>
            <w:pPr>
              <w:pStyle w:val="114"/>
              <w:spacing w:line="240" w:lineRule="auto"/>
              <w:ind w:firstLine="0" w:firstLineChars="0"/>
              <w:jc w:val="center"/>
              <w:rPr>
                <w:kern w:val="2"/>
                <w:sz w:val="21"/>
                <w:szCs w:val="21"/>
              </w:rPr>
            </w:pPr>
            <w:r>
              <w:rPr>
                <w:kern w:val="2"/>
                <w:sz w:val="21"/>
                <w:szCs w:val="21"/>
              </w:rPr>
              <w:t>42</w:t>
            </w:r>
          </w:p>
        </w:tc>
        <w:tc>
          <w:tcPr>
            <w:tcW w:w="976" w:type="dxa"/>
            <w:vAlign w:val="center"/>
          </w:tcPr>
          <w:p>
            <w:pPr>
              <w:pStyle w:val="114"/>
              <w:spacing w:line="240" w:lineRule="auto"/>
              <w:ind w:firstLine="0" w:firstLineChars="0"/>
              <w:jc w:val="center"/>
              <w:rPr>
                <w:kern w:val="2"/>
                <w:sz w:val="21"/>
                <w:szCs w:val="21"/>
              </w:rPr>
            </w:pPr>
            <w:r>
              <w:rPr>
                <w:kern w:val="2"/>
                <w:sz w:val="21"/>
                <w:szCs w:val="21"/>
              </w:rPr>
              <w:t>42</w:t>
            </w:r>
          </w:p>
        </w:tc>
        <w:tc>
          <w:tcPr>
            <w:tcW w:w="975" w:type="dxa"/>
            <w:vAlign w:val="center"/>
          </w:tcPr>
          <w:p>
            <w:pPr>
              <w:pStyle w:val="114"/>
              <w:spacing w:line="240" w:lineRule="auto"/>
              <w:ind w:firstLine="0" w:firstLineChars="0"/>
              <w:jc w:val="center"/>
              <w:rPr>
                <w:kern w:val="2"/>
                <w:sz w:val="21"/>
                <w:szCs w:val="21"/>
              </w:rPr>
            </w:pPr>
            <w:r>
              <w:rPr>
                <w:kern w:val="2"/>
                <w:sz w:val="21"/>
                <w:szCs w:val="21"/>
              </w:rPr>
              <w:t>达标</w:t>
            </w:r>
          </w:p>
        </w:tc>
        <w:tc>
          <w:tcPr>
            <w:tcW w:w="976" w:type="dxa"/>
          </w:tcPr>
          <w:p>
            <w:pPr>
              <w:pStyle w:val="114"/>
              <w:spacing w:line="240" w:lineRule="auto"/>
              <w:ind w:firstLine="0" w:firstLineChars="0"/>
              <w:jc w:val="center"/>
              <w:rPr>
                <w:kern w:val="2"/>
                <w:sz w:val="21"/>
                <w:szCs w:val="21"/>
              </w:rPr>
            </w:pPr>
            <w:r>
              <w:rPr>
                <w:kern w:val="2"/>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1345" w:type="dxa"/>
            <w:vAlign w:val="center"/>
          </w:tcPr>
          <w:p>
            <w:pPr>
              <w:pStyle w:val="114"/>
              <w:spacing w:line="240" w:lineRule="auto"/>
              <w:ind w:firstLine="0" w:firstLineChars="0"/>
              <w:jc w:val="center"/>
              <w:rPr>
                <w:kern w:val="2"/>
                <w:sz w:val="21"/>
                <w:szCs w:val="21"/>
              </w:rPr>
            </w:pPr>
            <w:r>
              <w:rPr>
                <w:kern w:val="2"/>
                <w:sz w:val="21"/>
                <w:szCs w:val="21"/>
              </w:rPr>
              <w:t>南侧</w:t>
            </w:r>
          </w:p>
        </w:tc>
        <w:tc>
          <w:tcPr>
            <w:tcW w:w="900" w:type="dxa"/>
            <w:vAlign w:val="center"/>
          </w:tcPr>
          <w:p>
            <w:pPr>
              <w:pStyle w:val="114"/>
              <w:spacing w:line="240" w:lineRule="auto"/>
              <w:ind w:firstLine="0" w:firstLineChars="0"/>
              <w:jc w:val="center"/>
              <w:rPr>
                <w:kern w:val="2"/>
                <w:sz w:val="21"/>
                <w:szCs w:val="21"/>
              </w:rPr>
            </w:pPr>
            <w:r>
              <w:rPr>
                <w:kern w:val="2"/>
                <w:sz w:val="21"/>
                <w:szCs w:val="21"/>
              </w:rPr>
              <w:t>100</w:t>
            </w:r>
          </w:p>
        </w:tc>
        <w:tc>
          <w:tcPr>
            <w:tcW w:w="679" w:type="dxa"/>
            <w:vAlign w:val="center"/>
          </w:tcPr>
          <w:p>
            <w:pPr>
              <w:pStyle w:val="114"/>
              <w:spacing w:line="240" w:lineRule="auto"/>
              <w:ind w:firstLine="0" w:firstLineChars="0"/>
              <w:jc w:val="center"/>
              <w:rPr>
                <w:kern w:val="2"/>
                <w:sz w:val="21"/>
                <w:szCs w:val="21"/>
              </w:rPr>
            </w:pPr>
            <w:r>
              <w:rPr>
                <w:kern w:val="2"/>
                <w:sz w:val="21"/>
                <w:szCs w:val="21"/>
              </w:rPr>
              <w:t>30.1</w:t>
            </w:r>
          </w:p>
        </w:tc>
        <w:tc>
          <w:tcPr>
            <w:tcW w:w="975" w:type="dxa"/>
            <w:vAlign w:val="center"/>
          </w:tcPr>
          <w:p>
            <w:pPr>
              <w:pStyle w:val="114"/>
              <w:spacing w:line="240" w:lineRule="auto"/>
              <w:ind w:firstLine="0" w:firstLineChars="0"/>
              <w:jc w:val="center"/>
              <w:rPr>
                <w:kern w:val="2"/>
                <w:sz w:val="21"/>
                <w:szCs w:val="21"/>
              </w:rPr>
            </w:pPr>
            <w:r>
              <w:rPr>
                <w:kern w:val="2"/>
                <w:sz w:val="21"/>
                <w:szCs w:val="21"/>
              </w:rPr>
              <w:t>/</w:t>
            </w:r>
          </w:p>
        </w:tc>
        <w:tc>
          <w:tcPr>
            <w:tcW w:w="976" w:type="dxa"/>
            <w:vAlign w:val="center"/>
          </w:tcPr>
          <w:p>
            <w:pPr>
              <w:pStyle w:val="114"/>
              <w:spacing w:line="240" w:lineRule="auto"/>
              <w:ind w:firstLine="0" w:firstLineChars="0"/>
              <w:jc w:val="center"/>
              <w:rPr>
                <w:kern w:val="2"/>
                <w:sz w:val="21"/>
                <w:szCs w:val="21"/>
              </w:rPr>
            </w:pPr>
            <w:r>
              <w:rPr>
                <w:kern w:val="2"/>
                <w:sz w:val="21"/>
                <w:szCs w:val="21"/>
              </w:rPr>
              <w:t>/</w:t>
            </w:r>
          </w:p>
        </w:tc>
        <w:tc>
          <w:tcPr>
            <w:tcW w:w="975" w:type="dxa"/>
            <w:vAlign w:val="center"/>
          </w:tcPr>
          <w:p>
            <w:pPr>
              <w:pStyle w:val="114"/>
              <w:spacing w:line="240" w:lineRule="auto"/>
              <w:ind w:firstLine="0" w:firstLineChars="0"/>
              <w:jc w:val="center"/>
              <w:rPr>
                <w:kern w:val="2"/>
                <w:sz w:val="21"/>
                <w:szCs w:val="21"/>
              </w:rPr>
            </w:pPr>
            <w:r>
              <w:rPr>
                <w:kern w:val="2"/>
                <w:sz w:val="21"/>
                <w:szCs w:val="21"/>
              </w:rPr>
              <w:t>30.1</w:t>
            </w:r>
          </w:p>
        </w:tc>
        <w:tc>
          <w:tcPr>
            <w:tcW w:w="976" w:type="dxa"/>
            <w:vAlign w:val="center"/>
          </w:tcPr>
          <w:p>
            <w:pPr>
              <w:pStyle w:val="114"/>
              <w:spacing w:line="240" w:lineRule="auto"/>
              <w:ind w:firstLine="0" w:firstLineChars="0"/>
              <w:jc w:val="center"/>
              <w:rPr>
                <w:kern w:val="2"/>
                <w:sz w:val="21"/>
                <w:szCs w:val="21"/>
              </w:rPr>
            </w:pPr>
            <w:r>
              <w:rPr>
                <w:kern w:val="2"/>
                <w:sz w:val="21"/>
                <w:szCs w:val="21"/>
              </w:rPr>
              <w:t>30.1</w:t>
            </w:r>
          </w:p>
        </w:tc>
        <w:tc>
          <w:tcPr>
            <w:tcW w:w="975" w:type="dxa"/>
          </w:tcPr>
          <w:p>
            <w:pPr>
              <w:pStyle w:val="114"/>
              <w:spacing w:line="240" w:lineRule="auto"/>
              <w:ind w:firstLine="0" w:firstLineChars="0"/>
              <w:jc w:val="center"/>
              <w:rPr>
                <w:kern w:val="2"/>
                <w:sz w:val="21"/>
                <w:szCs w:val="21"/>
              </w:rPr>
            </w:pPr>
            <w:r>
              <w:rPr>
                <w:kern w:val="2"/>
                <w:sz w:val="21"/>
                <w:szCs w:val="21"/>
              </w:rPr>
              <w:t>达标</w:t>
            </w:r>
          </w:p>
        </w:tc>
        <w:tc>
          <w:tcPr>
            <w:tcW w:w="976" w:type="dxa"/>
          </w:tcPr>
          <w:p>
            <w:pPr>
              <w:pStyle w:val="114"/>
              <w:spacing w:line="240" w:lineRule="auto"/>
              <w:ind w:firstLine="0" w:firstLineChars="0"/>
              <w:jc w:val="center"/>
              <w:rPr>
                <w:kern w:val="2"/>
                <w:sz w:val="21"/>
                <w:szCs w:val="21"/>
              </w:rPr>
            </w:pPr>
            <w:r>
              <w:rPr>
                <w:kern w:val="2"/>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1345" w:type="dxa"/>
            <w:vAlign w:val="center"/>
          </w:tcPr>
          <w:p>
            <w:pPr>
              <w:pStyle w:val="114"/>
              <w:spacing w:line="240" w:lineRule="auto"/>
              <w:ind w:firstLine="0" w:firstLineChars="0"/>
              <w:jc w:val="center"/>
              <w:rPr>
                <w:kern w:val="2"/>
                <w:sz w:val="21"/>
                <w:szCs w:val="21"/>
              </w:rPr>
            </w:pPr>
            <w:r>
              <w:rPr>
                <w:kern w:val="2"/>
                <w:sz w:val="21"/>
                <w:szCs w:val="21"/>
              </w:rPr>
              <w:t>西侧</w:t>
            </w:r>
          </w:p>
        </w:tc>
        <w:tc>
          <w:tcPr>
            <w:tcW w:w="900" w:type="dxa"/>
            <w:vAlign w:val="center"/>
          </w:tcPr>
          <w:p>
            <w:pPr>
              <w:pStyle w:val="114"/>
              <w:spacing w:line="240" w:lineRule="auto"/>
              <w:ind w:firstLine="0" w:firstLineChars="0"/>
              <w:jc w:val="center"/>
              <w:rPr>
                <w:kern w:val="2"/>
                <w:sz w:val="21"/>
                <w:szCs w:val="21"/>
              </w:rPr>
            </w:pPr>
            <w:r>
              <w:rPr>
                <w:kern w:val="2"/>
                <w:sz w:val="21"/>
                <w:szCs w:val="21"/>
              </w:rPr>
              <w:t>30</w:t>
            </w:r>
          </w:p>
        </w:tc>
        <w:tc>
          <w:tcPr>
            <w:tcW w:w="679" w:type="dxa"/>
            <w:vAlign w:val="center"/>
          </w:tcPr>
          <w:p>
            <w:pPr>
              <w:pStyle w:val="114"/>
              <w:spacing w:line="240" w:lineRule="auto"/>
              <w:ind w:firstLine="0" w:firstLineChars="0"/>
              <w:jc w:val="center"/>
              <w:rPr>
                <w:kern w:val="2"/>
                <w:sz w:val="21"/>
                <w:szCs w:val="21"/>
              </w:rPr>
            </w:pPr>
            <w:r>
              <w:rPr>
                <w:kern w:val="2"/>
                <w:sz w:val="21"/>
                <w:szCs w:val="21"/>
              </w:rPr>
              <w:t>40.5</w:t>
            </w:r>
          </w:p>
        </w:tc>
        <w:tc>
          <w:tcPr>
            <w:tcW w:w="975" w:type="dxa"/>
            <w:vAlign w:val="center"/>
          </w:tcPr>
          <w:p>
            <w:pPr>
              <w:pStyle w:val="114"/>
              <w:spacing w:line="240" w:lineRule="auto"/>
              <w:ind w:firstLine="0" w:firstLineChars="0"/>
              <w:jc w:val="center"/>
              <w:rPr>
                <w:kern w:val="2"/>
                <w:sz w:val="21"/>
                <w:szCs w:val="21"/>
              </w:rPr>
            </w:pPr>
            <w:r>
              <w:rPr>
                <w:kern w:val="2"/>
                <w:sz w:val="21"/>
                <w:szCs w:val="21"/>
              </w:rPr>
              <w:t>/</w:t>
            </w:r>
          </w:p>
        </w:tc>
        <w:tc>
          <w:tcPr>
            <w:tcW w:w="976" w:type="dxa"/>
            <w:vAlign w:val="center"/>
          </w:tcPr>
          <w:p>
            <w:pPr>
              <w:pStyle w:val="114"/>
              <w:spacing w:line="240" w:lineRule="auto"/>
              <w:ind w:firstLine="0" w:firstLineChars="0"/>
              <w:jc w:val="center"/>
              <w:rPr>
                <w:kern w:val="2"/>
                <w:sz w:val="21"/>
                <w:szCs w:val="21"/>
              </w:rPr>
            </w:pPr>
            <w:r>
              <w:rPr>
                <w:kern w:val="2"/>
                <w:sz w:val="21"/>
                <w:szCs w:val="21"/>
              </w:rPr>
              <w:t>/</w:t>
            </w:r>
          </w:p>
        </w:tc>
        <w:tc>
          <w:tcPr>
            <w:tcW w:w="975" w:type="dxa"/>
            <w:vAlign w:val="center"/>
          </w:tcPr>
          <w:p>
            <w:pPr>
              <w:pStyle w:val="114"/>
              <w:spacing w:line="240" w:lineRule="auto"/>
              <w:ind w:firstLine="0" w:firstLineChars="0"/>
              <w:jc w:val="center"/>
              <w:rPr>
                <w:kern w:val="2"/>
                <w:sz w:val="21"/>
                <w:szCs w:val="21"/>
              </w:rPr>
            </w:pPr>
            <w:r>
              <w:rPr>
                <w:kern w:val="2"/>
                <w:sz w:val="21"/>
                <w:szCs w:val="21"/>
              </w:rPr>
              <w:t>40.5</w:t>
            </w:r>
          </w:p>
        </w:tc>
        <w:tc>
          <w:tcPr>
            <w:tcW w:w="976" w:type="dxa"/>
            <w:vAlign w:val="center"/>
          </w:tcPr>
          <w:p>
            <w:pPr>
              <w:pStyle w:val="114"/>
              <w:spacing w:line="240" w:lineRule="auto"/>
              <w:ind w:firstLine="0" w:firstLineChars="0"/>
              <w:jc w:val="center"/>
              <w:rPr>
                <w:kern w:val="2"/>
                <w:sz w:val="21"/>
                <w:szCs w:val="21"/>
              </w:rPr>
            </w:pPr>
            <w:r>
              <w:rPr>
                <w:kern w:val="2"/>
                <w:sz w:val="21"/>
                <w:szCs w:val="21"/>
              </w:rPr>
              <w:t>40.5</w:t>
            </w:r>
          </w:p>
        </w:tc>
        <w:tc>
          <w:tcPr>
            <w:tcW w:w="975" w:type="dxa"/>
          </w:tcPr>
          <w:p>
            <w:pPr>
              <w:pStyle w:val="114"/>
              <w:spacing w:line="240" w:lineRule="auto"/>
              <w:ind w:firstLine="0" w:firstLineChars="0"/>
              <w:jc w:val="center"/>
              <w:rPr>
                <w:kern w:val="2"/>
                <w:sz w:val="21"/>
                <w:szCs w:val="21"/>
              </w:rPr>
            </w:pPr>
            <w:r>
              <w:rPr>
                <w:kern w:val="2"/>
                <w:sz w:val="21"/>
                <w:szCs w:val="21"/>
              </w:rPr>
              <w:t>达标</w:t>
            </w:r>
          </w:p>
        </w:tc>
        <w:tc>
          <w:tcPr>
            <w:tcW w:w="976" w:type="dxa"/>
          </w:tcPr>
          <w:p>
            <w:pPr>
              <w:pStyle w:val="114"/>
              <w:spacing w:line="240" w:lineRule="auto"/>
              <w:ind w:firstLine="0" w:firstLineChars="0"/>
              <w:jc w:val="center"/>
              <w:rPr>
                <w:kern w:val="2"/>
                <w:sz w:val="21"/>
                <w:szCs w:val="21"/>
              </w:rPr>
            </w:pPr>
            <w:r>
              <w:rPr>
                <w:kern w:val="2"/>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1345" w:type="dxa"/>
            <w:vAlign w:val="center"/>
          </w:tcPr>
          <w:p>
            <w:pPr>
              <w:pStyle w:val="114"/>
              <w:spacing w:line="240" w:lineRule="auto"/>
              <w:ind w:firstLine="0" w:firstLineChars="0"/>
              <w:jc w:val="center"/>
              <w:rPr>
                <w:kern w:val="2"/>
                <w:sz w:val="21"/>
                <w:szCs w:val="21"/>
              </w:rPr>
            </w:pPr>
            <w:r>
              <w:rPr>
                <w:kern w:val="2"/>
                <w:sz w:val="21"/>
                <w:szCs w:val="21"/>
              </w:rPr>
              <w:t>北侧</w:t>
            </w:r>
          </w:p>
        </w:tc>
        <w:tc>
          <w:tcPr>
            <w:tcW w:w="900" w:type="dxa"/>
            <w:vAlign w:val="center"/>
          </w:tcPr>
          <w:p>
            <w:pPr>
              <w:pStyle w:val="114"/>
              <w:spacing w:line="240" w:lineRule="auto"/>
              <w:ind w:firstLine="0" w:firstLineChars="0"/>
              <w:jc w:val="center"/>
              <w:rPr>
                <w:kern w:val="2"/>
                <w:sz w:val="21"/>
                <w:szCs w:val="21"/>
              </w:rPr>
            </w:pPr>
            <w:r>
              <w:rPr>
                <w:kern w:val="2"/>
                <w:sz w:val="21"/>
                <w:szCs w:val="21"/>
              </w:rPr>
              <w:t>15</w:t>
            </w:r>
          </w:p>
        </w:tc>
        <w:tc>
          <w:tcPr>
            <w:tcW w:w="679" w:type="dxa"/>
            <w:vAlign w:val="center"/>
          </w:tcPr>
          <w:p>
            <w:pPr>
              <w:pStyle w:val="114"/>
              <w:spacing w:line="240" w:lineRule="auto"/>
              <w:ind w:firstLine="0" w:firstLineChars="0"/>
              <w:jc w:val="center"/>
              <w:rPr>
                <w:kern w:val="2"/>
                <w:sz w:val="21"/>
                <w:szCs w:val="21"/>
              </w:rPr>
            </w:pPr>
            <w:r>
              <w:rPr>
                <w:kern w:val="2"/>
                <w:sz w:val="21"/>
                <w:szCs w:val="21"/>
              </w:rPr>
              <w:t>46.5</w:t>
            </w:r>
          </w:p>
        </w:tc>
        <w:tc>
          <w:tcPr>
            <w:tcW w:w="975" w:type="dxa"/>
            <w:vAlign w:val="center"/>
          </w:tcPr>
          <w:p>
            <w:pPr>
              <w:pStyle w:val="114"/>
              <w:spacing w:line="240" w:lineRule="auto"/>
              <w:ind w:firstLine="0" w:firstLineChars="0"/>
              <w:jc w:val="center"/>
              <w:rPr>
                <w:kern w:val="2"/>
                <w:sz w:val="21"/>
                <w:szCs w:val="21"/>
              </w:rPr>
            </w:pPr>
            <w:r>
              <w:rPr>
                <w:kern w:val="2"/>
                <w:sz w:val="21"/>
                <w:szCs w:val="21"/>
              </w:rPr>
              <w:t>/</w:t>
            </w:r>
          </w:p>
        </w:tc>
        <w:tc>
          <w:tcPr>
            <w:tcW w:w="976" w:type="dxa"/>
            <w:vAlign w:val="center"/>
          </w:tcPr>
          <w:p>
            <w:pPr>
              <w:pStyle w:val="114"/>
              <w:spacing w:line="240" w:lineRule="auto"/>
              <w:ind w:firstLine="0" w:firstLineChars="0"/>
              <w:jc w:val="center"/>
              <w:rPr>
                <w:kern w:val="2"/>
                <w:sz w:val="21"/>
                <w:szCs w:val="21"/>
              </w:rPr>
            </w:pPr>
            <w:r>
              <w:rPr>
                <w:kern w:val="2"/>
                <w:sz w:val="21"/>
                <w:szCs w:val="21"/>
              </w:rPr>
              <w:t>/</w:t>
            </w:r>
          </w:p>
        </w:tc>
        <w:tc>
          <w:tcPr>
            <w:tcW w:w="975" w:type="dxa"/>
            <w:vAlign w:val="center"/>
          </w:tcPr>
          <w:p>
            <w:pPr>
              <w:pStyle w:val="114"/>
              <w:spacing w:line="240" w:lineRule="auto"/>
              <w:ind w:firstLine="0" w:firstLineChars="0"/>
              <w:jc w:val="center"/>
              <w:rPr>
                <w:kern w:val="2"/>
                <w:sz w:val="21"/>
                <w:szCs w:val="21"/>
              </w:rPr>
            </w:pPr>
            <w:r>
              <w:rPr>
                <w:kern w:val="2"/>
                <w:sz w:val="21"/>
                <w:szCs w:val="21"/>
              </w:rPr>
              <w:t>46.5</w:t>
            </w:r>
          </w:p>
        </w:tc>
        <w:tc>
          <w:tcPr>
            <w:tcW w:w="976" w:type="dxa"/>
            <w:vAlign w:val="center"/>
          </w:tcPr>
          <w:p>
            <w:pPr>
              <w:pStyle w:val="114"/>
              <w:spacing w:line="240" w:lineRule="auto"/>
              <w:ind w:firstLine="0" w:firstLineChars="0"/>
              <w:jc w:val="center"/>
              <w:rPr>
                <w:kern w:val="2"/>
                <w:sz w:val="21"/>
                <w:szCs w:val="21"/>
              </w:rPr>
            </w:pPr>
            <w:r>
              <w:rPr>
                <w:kern w:val="2"/>
                <w:sz w:val="21"/>
                <w:szCs w:val="21"/>
              </w:rPr>
              <w:t>46.5</w:t>
            </w:r>
          </w:p>
        </w:tc>
        <w:tc>
          <w:tcPr>
            <w:tcW w:w="975" w:type="dxa"/>
          </w:tcPr>
          <w:p>
            <w:pPr>
              <w:pStyle w:val="114"/>
              <w:spacing w:line="240" w:lineRule="auto"/>
              <w:ind w:firstLine="0" w:firstLineChars="0"/>
              <w:jc w:val="center"/>
              <w:rPr>
                <w:kern w:val="2"/>
                <w:sz w:val="21"/>
                <w:szCs w:val="21"/>
              </w:rPr>
            </w:pPr>
            <w:r>
              <w:rPr>
                <w:kern w:val="2"/>
                <w:sz w:val="21"/>
                <w:szCs w:val="21"/>
              </w:rPr>
              <w:t>达标</w:t>
            </w:r>
          </w:p>
        </w:tc>
        <w:tc>
          <w:tcPr>
            <w:tcW w:w="976" w:type="dxa"/>
          </w:tcPr>
          <w:p>
            <w:pPr>
              <w:pStyle w:val="114"/>
              <w:spacing w:line="240" w:lineRule="auto"/>
              <w:ind w:firstLine="0" w:firstLineChars="0"/>
              <w:jc w:val="center"/>
              <w:rPr>
                <w:kern w:val="2"/>
                <w:sz w:val="21"/>
                <w:szCs w:val="21"/>
              </w:rPr>
            </w:pPr>
            <w:r>
              <w:rPr>
                <w:kern w:val="2"/>
                <w:sz w:val="21"/>
                <w:szCs w:val="21"/>
              </w:rPr>
              <w:t>达标</w:t>
            </w:r>
          </w:p>
        </w:tc>
      </w:tr>
    </w:tbl>
    <w:p>
      <w:pPr>
        <w:pStyle w:val="114"/>
        <w:ind w:firstLine="480"/>
      </w:pPr>
      <w:r>
        <w:t>由表</w:t>
      </w:r>
      <w:r>
        <w:rPr>
          <w:rFonts w:eastAsia="Times New Roman"/>
        </w:rPr>
        <w:t>6.2-15</w:t>
      </w:r>
      <w:r>
        <w:t>结果可见，P108集气站厂界噪声均能满足《工业企业厂界环境噪声排放标准》（</w:t>
      </w:r>
      <w:r>
        <w:rPr>
          <w:rFonts w:eastAsia="Times New Roman"/>
        </w:rPr>
        <w:t>GB12348-2008</w:t>
      </w:r>
      <w:r>
        <w:t>）中</w:t>
      </w:r>
      <w:r>
        <w:rPr>
          <w:rFonts w:eastAsia="Times New Roman"/>
        </w:rPr>
        <w:t>2</w:t>
      </w:r>
      <w:r>
        <w:t>类标准。</w:t>
      </w:r>
    </w:p>
    <w:p>
      <w:pPr>
        <w:pStyle w:val="114"/>
        <w:ind w:firstLine="482"/>
        <w:rPr>
          <w:b/>
          <w:bCs/>
        </w:rPr>
      </w:pPr>
      <w:r>
        <w:rPr>
          <w:b/>
          <w:bCs/>
        </w:rPr>
        <w:t>2、放空噪声</w:t>
      </w:r>
    </w:p>
    <w:p>
      <w:pPr>
        <w:pStyle w:val="114"/>
        <w:ind w:firstLine="480"/>
      </w:pPr>
      <w:r>
        <w:t>此外，在事故或检修情况将对设备和管道内的天然气进行点火放空，此过程将产生放空噪声，放空噪声值约为90dB（A）；但放空噪声一年出现2~5次，属于偶发噪声，不属于正常工况下的噪声。P108集气站在检修和事故状态下，放空噪声对最近敏感点的预测结果见下表。</w:t>
      </w:r>
    </w:p>
    <w:p>
      <w:pPr>
        <w:pStyle w:val="39"/>
        <w:rPr>
          <w:rFonts w:cs="Times New Roman"/>
        </w:rPr>
      </w:pPr>
      <w:r>
        <w:rPr>
          <w:rFonts w:cs="Times New Roman"/>
        </w:rPr>
        <w:t xml:space="preserve">表6.2-2 </w:t>
      </w:r>
      <w:r>
        <w:rPr>
          <w:rFonts w:cs="Times New Roman"/>
          <w:szCs w:val="21"/>
        </w:rPr>
        <w:t>非正常工况下敏感目标噪声预测</w:t>
      </w:r>
    </w:p>
    <w:tbl>
      <w:tblPr>
        <w:tblStyle w:val="59"/>
        <w:tblW w:w="485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1335"/>
        <w:gridCol w:w="896"/>
        <w:gridCol w:w="678"/>
        <w:gridCol w:w="970"/>
        <w:gridCol w:w="971"/>
        <w:gridCol w:w="971"/>
        <w:gridCol w:w="972"/>
        <w:gridCol w:w="970"/>
        <w:gridCol w:w="971"/>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1345" w:type="dxa"/>
            <w:vMerge w:val="restart"/>
            <w:vAlign w:val="center"/>
          </w:tcPr>
          <w:p>
            <w:pPr>
              <w:pStyle w:val="114"/>
              <w:spacing w:line="240" w:lineRule="auto"/>
              <w:ind w:firstLine="0" w:firstLineChars="0"/>
              <w:jc w:val="center"/>
              <w:rPr>
                <w:b/>
                <w:bCs/>
                <w:kern w:val="2"/>
                <w:sz w:val="21"/>
                <w:szCs w:val="21"/>
              </w:rPr>
            </w:pPr>
            <w:r>
              <w:rPr>
                <w:b/>
                <w:bCs/>
                <w:kern w:val="2"/>
                <w:sz w:val="21"/>
                <w:szCs w:val="21"/>
              </w:rPr>
              <w:t>敏感点</w:t>
            </w:r>
          </w:p>
        </w:tc>
        <w:tc>
          <w:tcPr>
            <w:tcW w:w="900" w:type="dxa"/>
            <w:vMerge w:val="restart"/>
            <w:vAlign w:val="center"/>
          </w:tcPr>
          <w:p>
            <w:pPr>
              <w:pStyle w:val="114"/>
              <w:spacing w:line="240" w:lineRule="auto"/>
              <w:ind w:firstLine="0" w:firstLineChars="0"/>
              <w:jc w:val="center"/>
              <w:rPr>
                <w:b/>
                <w:bCs/>
                <w:kern w:val="2"/>
                <w:sz w:val="21"/>
                <w:szCs w:val="21"/>
              </w:rPr>
            </w:pPr>
            <w:r>
              <w:rPr>
                <w:b/>
                <w:bCs/>
                <w:kern w:val="2"/>
                <w:sz w:val="21"/>
                <w:szCs w:val="21"/>
              </w:rPr>
              <w:t>距离放空系统距离</w:t>
            </w:r>
          </w:p>
        </w:tc>
        <w:tc>
          <w:tcPr>
            <w:tcW w:w="679" w:type="dxa"/>
            <w:vMerge w:val="restart"/>
            <w:vAlign w:val="center"/>
          </w:tcPr>
          <w:p>
            <w:pPr>
              <w:pStyle w:val="114"/>
              <w:spacing w:line="240" w:lineRule="auto"/>
              <w:ind w:firstLine="0" w:firstLineChars="0"/>
              <w:jc w:val="center"/>
              <w:rPr>
                <w:b/>
                <w:bCs/>
                <w:kern w:val="2"/>
                <w:sz w:val="21"/>
                <w:szCs w:val="21"/>
              </w:rPr>
            </w:pPr>
            <w:r>
              <w:rPr>
                <w:b/>
                <w:bCs/>
                <w:kern w:val="2"/>
                <w:sz w:val="21"/>
                <w:szCs w:val="21"/>
              </w:rPr>
              <w:t>贡献值</w:t>
            </w:r>
          </w:p>
        </w:tc>
        <w:tc>
          <w:tcPr>
            <w:tcW w:w="1951" w:type="dxa"/>
            <w:gridSpan w:val="2"/>
            <w:vAlign w:val="center"/>
          </w:tcPr>
          <w:p>
            <w:pPr>
              <w:pStyle w:val="114"/>
              <w:spacing w:line="240" w:lineRule="auto"/>
              <w:ind w:firstLine="0" w:firstLineChars="0"/>
              <w:jc w:val="center"/>
              <w:rPr>
                <w:b/>
                <w:bCs/>
                <w:kern w:val="2"/>
                <w:sz w:val="21"/>
                <w:szCs w:val="21"/>
              </w:rPr>
            </w:pPr>
            <w:r>
              <w:rPr>
                <w:b/>
                <w:bCs/>
                <w:kern w:val="2"/>
                <w:sz w:val="21"/>
                <w:szCs w:val="21"/>
              </w:rPr>
              <w:t>背景值</w:t>
            </w:r>
          </w:p>
        </w:tc>
        <w:tc>
          <w:tcPr>
            <w:tcW w:w="1951" w:type="dxa"/>
            <w:gridSpan w:val="2"/>
            <w:vAlign w:val="center"/>
          </w:tcPr>
          <w:p>
            <w:pPr>
              <w:pStyle w:val="114"/>
              <w:spacing w:line="240" w:lineRule="auto"/>
              <w:ind w:firstLine="0" w:firstLineChars="0"/>
              <w:jc w:val="center"/>
              <w:rPr>
                <w:b/>
                <w:bCs/>
                <w:kern w:val="2"/>
                <w:sz w:val="21"/>
                <w:szCs w:val="21"/>
              </w:rPr>
            </w:pPr>
            <w:r>
              <w:rPr>
                <w:b/>
                <w:bCs/>
                <w:kern w:val="2"/>
                <w:sz w:val="21"/>
                <w:szCs w:val="21"/>
              </w:rPr>
              <w:t>预测值</w:t>
            </w:r>
          </w:p>
        </w:tc>
        <w:tc>
          <w:tcPr>
            <w:tcW w:w="1951" w:type="dxa"/>
            <w:gridSpan w:val="2"/>
            <w:vAlign w:val="center"/>
          </w:tcPr>
          <w:p>
            <w:pPr>
              <w:pStyle w:val="114"/>
              <w:spacing w:line="240" w:lineRule="auto"/>
              <w:ind w:firstLine="0" w:firstLineChars="0"/>
              <w:jc w:val="center"/>
              <w:rPr>
                <w:b/>
                <w:bCs/>
                <w:kern w:val="2"/>
                <w:sz w:val="21"/>
                <w:szCs w:val="21"/>
              </w:rPr>
            </w:pPr>
            <w:r>
              <w:rPr>
                <w:b/>
                <w:bCs/>
                <w:kern w:val="2"/>
                <w:sz w:val="21"/>
                <w:szCs w:val="21"/>
              </w:rPr>
              <w:t>评价结果</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1345" w:type="dxa"/>
            <w:vMerge w:val="continue"/>
            <w:vAlign w:val="center"/>
          </w:tcPr>
          <w:p>
            <w:pPr>
              <w:pStyle w:val="114"/>
              <w:spacing w:line="240" w:lineRule="auto"/>
              <w:ind w:firstLine="0" w:firstLineChars="0"/>
              <w:jc w:val="center"/>
              <w:rPr>
                <w:b/>
                <w:bCs/>
                <w:kern w:val="2"/>
                <w:sz w:val="21"/>
                <w:szCs w:val="21"/>
              </w:rPr>
            </w:pPr>
          </w:p>
        </w:tc>
        <w:tc>
          <w:tcPr>
            <w:tcW w:w="900" w:type="dxa"/>
            <w:vMerge w:val="continue"/>
            <w:vAlign w:val="center"/>
          </w:tcPr>
          <w:p>
            <w:pPr>
              <w:pStyle w:val="114"/>
              <w:spacing w:line="240" w:lineRule="auto"/>
              <w:ind w:firstLine="0" w:firstLineChars="0"/>
              <w:jc w:val="center"/>
              <w:rPr>
                <w:b/>
                <w:bCs/>
                <w:kern w:val="2"/>
                <w:sz w:val="21"/>
                <w:szCs w:val="21"/>
              </w:rPr>
            </w:pPr>
          </w:p>
        </w:tc>
        <w:tc>
          <w:tcPr>
            <w:tcW w:w="679" w:type="dxa"/>
            <w:vMerge w:val="continue"/>
            <w:vAlign w:val="center"/>
          </w:tcPr>
          <w:p>
            <w:pPr>
              <w:pStyle w:val="114"/>
              <w:spacing w:line="240" w:lineRule="auto"/>
              <w:ind w:firstLine="0" w:firstLineChars="0"/>
              <w:jc w:val="center"/>
              <w:rPr>
                <w:b/>
                <w:bCs/>
                <w:kern w:val="2"/>
                <w:sz w:val="21"/>
                <w:szCs w:val="21"/>
              </w:rPr>
            </w:pPr>
          </w:p>
        </w:tc>
        <w:tc>
          <w:tcPr>
            <w:tcW w:w="975" w:type="dxa"/>
            <w:vAlign w:val="center"/>
          </w:tcPr>
          <w:p>
            <w:pPr>
              <w:pStyle w:val="114"/>
              <w:spacing w:line="240" w:lineRule="auto"/>
              <w:ind w:firstLine="0" w:firstLineChars="0"/>
              <w:jc w:val="center"/>
              <w:rPr>
                <w:b/>
                <w:bCs/>
                <w:kern w:val="2"/>
                <w:sz w:val="21"/>
                <w:szCs w:val="21"/>
              </w:rPr>
            </w:pPr>
            <w:r>
              <w:rPr>
                <w:b/>
                <w:bCs/>
                <w:kern w:val="2"/>
                <w:sz w:val="21"/>
                <w:szCs w:val="21"/>
              </w:rPr>
              <w:t>昼间</w:t>
            </w:r>
          </w:p>
        </w:tc>
        <w:tc>
          <w:tcPr>
            <w:tcW w:w="976" w:type="dxa"/>
            <w:vAlign w:val="center"/>
          </w:tcPr>
          <w:p>
            <w:pPr>
              <w:pStyle w:val="114"/>
              <w:spacing w:line="240" w:lineRule="auto"/>
              <w:ind w:firstLine="0" w:firstLineChars="0"/>
              <w:jc w:val="center"/>
              <w:rPr>
                <w:b/>
                <w:bCs/>
                <w:kern w:val="2"/>
                <w:sz w:val="21"/>
                <w:szCs w:val="21"/>
              </w:rPr>
            </w:pPr>
            <w:r>
              <w:rPr>
                <w:b/>
                <w:bCs/>
                <w:kern w:val="2"/>
                <w:sz w:val="21"/>
                <w:szCs w:val="21"/>
              </w:rPr>
              <w:t>夜间</w:t>
            </w:r>
          </w:p>
        </w:tc>
        <w:tc>
          <w:tcPr>
            <w:tcW w:w="975" w:type="dxa"/>
            <w:vAlign w:val="center"/>
          </w:tcPr>
          <w:p>
            <w:pPr>
              <w:pStyle w:val="114"/>
              <w:spacing w:line="240" w:lineRule="auto"/>
              <w:ind w:firstLine="0" w:firstLineChars="0"/>
              <w:jc w:val="center"/>
              <w:rPr>
                <w:b/>
                <w:bCs/>
                <w:kern w:val="2"/>
                <w:sz w:val="21"/>
                <w:szCs w:val="21"/>
              </w:rPr>
            </w:pPr>
            <w:r>
              <w:rPr>
                <w:b/>
                <w:bCs/>
                <w:kern w:val="2"/>
                <w:sz w:val="21"/>
                <w:szCs w:val="21"/>
              </w:rPr>
              <w:t>昼间</w:t>
            </w:r>
          </w:p>
        </w:tc>
        <w:tc>
          <w:tcPr>
            <w:tcW w:w="976" w:type="dxa"/>
            <w:vAlign w:val="center"/>
          </w:tcPr>
          <w:p>
            <w:pPr>
              <w:pStyle w:val="114"/>
              <w:spacing w:line="240" w:lineRule="auto"/>
              <w:ind w:firstLine="0" w:firstLineChars="0"/>
              <w:jc w:val="center"/>
              <w:rPr>
                <w:b/>
                <w:bCs/>
                <w:kern w:val="2"/>
                <w:sz w:val="21"/>
                <w:szCs w:val="21"/>
              </w:rPr>
            </w:pPr>
            <w:r>
              <w:rPr>
                <w:b/>
                <w:bCs/>
                <w:kern w:val="2"/>
                <w:sz w:val="21"/>
                <w:szCs w:val="21"/>
              </w:rPr>
              <w:t>夜间</w:t>
            </w:r>
          </w:p>
        </w:tc>
        <w:tc>
          <w:tcPr>
            <w:tcW w:w="975" w:type="dxa"/>
            <w:vAlign w:val="center"/>
          </w:tcPr>
          <w:p>
            <w:pPr>
              <w:pStyle w:val="114"/>
              <w:spacing w:line="240" w:lineRule="auto"/>
              <w:ind w:firstLine="0" w:firstLineChars="0"/>
              <w:jc w:val="center"/>
              <w:rPr>
                <w:b/>
                <w:bCs/>
                <w:kern w:val="2"/>
                <w:sz w:val="21"/>
                <w:szCs w:val="21"/>
              </w:rPr>
            </w:pPr>
            <w:r>
              <w:rPr>
                <w:b/>
                <w:bCs/>
                <w:kern w:val="2"/>
                <w:sz w:val="21"/>
                <w:szCs w:val="21"/>
              </w:rPr>
              <w:t>昼间</w:t>
            </w:r>
          </w:p>
        </w:tc>
        <w:tc>
          <w:tcPr>
            <w:tcW w:w="976" w:type="dxa"/>
            <w:vAlign w:val="center"/>
          </w:tcPr>
          <w:p>
            <w:pPr>
              <w:pStyle w:val="114"/>
              <w:spacing w:line="240" w:lineRule="auto"/>
              <w:ind w:firstLine="0" w:firstLineChars="0"/>
              <w:jc w:val="center"/>
              <w:rPr>
                <w:b/>
                <w:bCs/>
                <w:kern w:val="2"/>
                <w:sz w:val="21"/>
                <w:szCs w:val="21"/>
              </w:rPr>
            </w:pPr>
            <w:r>
              <w:rPr>
                <w:b/>
                <w:bCs/>
                <w:kern w:val="2"/>
                <w:sz w:val="21"/>
                <w:szCs w:val="21"/>
              </w:rPr>
              <w:t>夜间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1345" w:type="dxa"/>
            <w:vAlign w:val="center"/>
          </w:tcPr>
          <w:p>
            <w:pPr>
              <w:pStyle w:val="114"/>
              <w:spacing w:line="240" w:lineRule="auto"/>
              <w:ind w:firstLine="0" w:firstLineChars="0"/>
              <w:jc w:val="center"/>
              <w:rPr>
                <w:kern w:val="2"/>
                <w:sz w:val="21"/>
                <w:szCs w:val="21"/>
              </w:rPr>
            </w:pPr>
            <w:r>
              <w:rPr>
                <w:kern w:val="2"/>
                <w:sz w:val="21"/>
                <w:szCs w:val="21"/>
              </w:rPr>
              <w:t>放空系统东南侧农户</w:t>
            </w:r>
          </w:p>
        </w:tc>
        <w:tc>
          <w:tcPr>
            <w:tcW w:w="900" w:type="dxa"/>
            <w:vAlign w:val="center"/>
          </w:tcPr>
          <w:p>
            <w:pPr>
              <w:pStyle w:val="114"/>
              <w:spacing w:line="240" w:lineRule="auto"/>
              <w:ind w:firstLine="0" w:firstLineChars="0"/>
              <w:jc w:val="center"/>
              <w:rPr>
                <w:kern w:val="2"/>
                <w:sz w:val="21"/>
                <w:szCs w:val="21"/>
              </w:rPr>
            </w:pPr>
            <w:r>
              <w:rPr>
                <w:kern w:val="2"/>
                <w:sz w:val="21"/>
                <w:szCs w:val="21"/>
              </w:rPr>
              <w:t>350</w:t>
            </w:r>
          </w:p>
        </w:tc>
        <w:tc>
          <w:tcPr>
            <w:tcW w:w="679" w:type="dxa"/>
            <w:vAlign w:val="center"/>
          </w:tcPr>
          <w:p>
            <w:pPr>
              <w:pStyle w:val="114"/>
              <w:spacing w:line="240" w:lineRule="auto"/>
              <w:ind w:firstLine="0" w:firstLineChars="0"/>
              <w:jc w:val="center"/>
              <w:rPr>
                <w:kern w:val="2"/>
                <w:sz w:val="21"/>
                <w:szCs w:val="21"/>
              </w:rPr>
            </w:pPr>
            <w:r>
              <w:rPr>
                <w:kern w:val="2"/>
                <w:sz w:val="21"/>
                <w:szCs w:val="21"/>
              </w:rPr>
              <w:t>39.1</w:t>
            </w:r>
          </w:p>
        </w:tc>
        <w:tc>
          <w:tcPr>
            <w:tcW w:w="975" w:type="dxa"/>
            <w:vAlign w:val="center"/>
          </w:tcPr>
          <w:p>
            <w:pPr>
              <w:pStyle w:val="114"/>
              <w:spacing w:line="240" w:lineRule="auto"/>
              <w:ind w:firstLine="0" w:firstLineChars="0"/>
              <w:jc w:val="center"/>
              <w:rPr>
                <w:kern w:val="2"/>
                <w:sz w:val="21"/>
                <w:szCs w:val="21"/>
              </w:rPr>
            </w:pPr>
            <w:r>
              <w:rPr>
                <w:kern w:val="2"/>
                <w:sz w:val="21"/>
                <w:szCs w:val="21"/>
              </w:rPr>
              <w:t>52</w:t>
            </w:r>
          </w:p>
        </w:tc>
        <w:tc>
          <w:tcPr>
            <w:tcW w:w="976" w:type="dxa"/>
            <w:vAlign w:val="center"/>
          </w:tcPr>
          <w:p>
            <w:pPr>
              <w:pStyle w:val="114"/>
              <w:spacing w:line="240" w:lineRule="auto"/>
              <w:ind w:firstLine="0" w:firstLineChars="0"/>
              <w:jc w:val="center"/>
              <w:rPr>
                <w:kern w:val="2"/>
                <w:sz w:val="21"/>
                <w:szCs w:val="21"/>
              </w:rPr>
            </w:pPr>
            <w:r>
              <w:rPr>
                <w:kern w:val="2"/>
                <w:sz w:val="21"/>
                <w:szCs w:val="21"/>
              </w:rPr>
              <w:t>45</w:t>
            </w:r>
          </w:p>
        </w:tc>
        <w:tc>
          <w:tcPr>
            <w:tcW w:w="975" w:type="dxa"/>
            <w:vAlign w:val="center"/>
          </w:tcPr>
          <w:p>
            <w:pPr>
              <w:pStyle w:val="114"/>
              <w:spacing w:line="240" w:lineRule="auto"/>
              <w:ind w:firstLine="0" w:firstLineChars="0"/>
              <w:jc w:val="center"/>
              <w:rPr>
                <w:kern w:val="2"/>
                <w:sz w:val="21"/>
                <w:szCs w:val="21"/>
              </w:rPr>
            </w:pPr>
            <w:r>
              <w:rPr>
                <w:kern w:val="2"/>
                <w:sz w:val="21"/>
                <w:szCs w:val="21"/>
              </w:rPr>
              <w:t>52.1</w:t>
            </w:r>
          </w:p>
        </w:tc>
        <w:tc>
          <w:tcPr>
            <w:tcW w:w="976" w:type="dxa"/>
            <w:vAlign w:val="center"/>
          </w:tcPr>
          <w:p>
            <w:pPr>
              <w:pStyle w:val="114"/>
              <w:spacing w:line="240" w:lineRule="auto"/>
              <w:ind w:firstLine="0" w:firstLineChars="0"/>
              <w:jc w:val="center"/>
              <w:rPr>
                <w:kern w:val="2"/>
                <w:sz w:val="21"/>
                <w:szCs w:val="21"/>
              </w:rPr>
            </w:pPr>
            <w:r>
              <w:rPr>
                <w:kern w:val="2"/>
                <w:sz w:val="21"/>
                <w:szCs w:val="21"/>
              </w:rPr>
              <w:t>46.1</w:t>
            </w:r>
          </w:p>
        </w:tc>
        <w:tc>
          <w:tcPr>
            <w:tcW w:w="975" w:type="dxa"/>
            <w:vAlign w:val="center"/>
          </w:tcPr>
          <w:p>
            <w:pPr>
              <w:pStyle w:val="114"/>
              <w:spacing w:line="240" w:lineRule="auto"/>
              <w:ind w:firstLine="0" w:firstLineChars="0"/>
              <w:jc w:val="center"/>
              <w:rPr>
                <w:kern w:val="2"/>
                <w:sz w:val="21"/>
                <w:szCs w:val="21"/>
              </w:rPr>
            </w:pPr>
            <w:r>
              <w:rPr>
                <w:kern w:val="2"/>
                <w:sz w:val="21"/>
                <w:szCs w:val="21"/>
              </w:rPr>
              <w:t>达标</w:t>
            </w:r>
          </w:p>
        </w:tc>
        <w:tc>
          <w:tcPr>
            <w:tcW w:w="976" w:type="dxa"/>
            <w:vAlign w:val="center"/>
          </w:tcPr>
          <w:p>
            <w:pPr>
              <w:pStyle w:val="114"/>
              <w:spacing w:line="240" w:lineRule="auto"/>
              <w:ind w:firstLine="0" w:firstLineChars="0"/>
              <w:jc w:val="center"/>
              <w:rPr>
                <w:kern w:val="2"/>
                <w:sz w:val="21"/>
                <w:szCs w:val="21"/>
              </w:rPr>
            </w:pPr>
            <w:r>
              <w:rPr>
                <w:kern w:val="2"/>
                <w:sz w:val="21"/>
                <w:szCs w:val="21"/>
              </w:rPr>
              <w:t>达标</w:t>
            </w:r>
          </w:p>
        </w:tc>
      </w:tr>
    </w:tbl>
    <w:p>
      <w:pPr>
        <w:pStyle w:val="114"/>
        <w:ind w:firstLine="480"/>
      </w:pPr>
      <w:r>
        <w:t>由表6.2-16预测结果可知，放空期间最近敏感点处噪声能够达标，放空噪声在昼夜间均不会对周围居民造成噪声扰民影响。且由于检修或事故放空是偶然发生的，频次很低，且持续时间很短，一旦点火放空结束，噪声对环境的影响立即消失，放空时及时疏散附近居民，不会对该范围内的居民生活造成长期影响。</w:t>
      </w:r>
    </w:p>
    <w:p>
      <w:pPr>
        <w:pStyle w:val="4"/>
        <w:rPr>
          <w:rFonts w:eastAsia="宋体"/>
        </w:rPr>
      </w:pPr>
      <w:r>
        <w:rPr>
          <w:rFonts w:eastAsia="宋体"/>
        </w:rPr>
        <w:t>6.2.6 固体废物影响分析</w:t>
      </w:r>
    </w:p>
    <w:p>
      <w:pPr>
        <w:pStyle w:val="114"/>
        <w:ind w:firstLine="480"/>
      </w:pPr>
      <w:r>
        <w:t>由于依托的输气管道敷设在地下，进行密闭输送，管道进行了防腐处理，在正常情况下，不会有固体废物产生。</w:t>
      </w:r>
    </w:p>
    <w:p>
      <w:pPr>
        <w:pStyle w:val="114"/>
        <w:ind w:firstLine="480"/>
      </w:pPr>
      <w:r>
        <w:t>本项目站场为无人值守站，人员依托P108集气站，试采期无生活垃圾产生。</w:t>
      </w:r>
    </w:p>
    <w:p>
      <w:pPr>
        <w:pStyle w:val="4"/>
        <w:rPr>
          <w:rFonts w:eastAsia="宋体"/>
        </w:rPr>
      </w:pPr>
      <w:r>
        <w:rPr>
          <w:rFonts w:eastAsia="宋体"/>
        </w:rPr>
        <w:t>6.2.7 土壤环境影响分析</w:t>
      </w:r>
    </w:p>
    <w:p>
      <w:pPr>
        <w:pStyle w:val="114"/>
        <w:ind w:firstLine="482"/>
        <w:rPr>
          <w:b/>
          <w:bCs/>
        </w:rPr>
      </w:pPr>
      <w:r>
        <w:rPr>
          <w:b/>
          <w:bCs/>
        </w:rPr>
        <w:t>1、土壤环境影响识别</w:t>
      </w:r>
    </w:p>
    <w:p>
      <w:pPr>
        <w:pStyle w:val="114"/>
        <w:ind w:firstLine="480"/>
      </w:pPr>
      <w:r>
        <w:t>（1）土壤环境影响类型与影响途径识别</w:t>
      </w:r>
    </w:p>
    <w:p>
      <w:pPr>
        <w:pStyle w:val="114"/>
        <w:ind w:firstLine="480"/>
      </w:pPr>
      <w:r>
        <w:t>本项目属于钻井工程和试采工程，土壤环境影响较小。项目站场对土壤环境影响最突出的主要体现事故状态下污水缓冲罐发生泄漏进入周边土壤环境，对土壤造成污染。污水缓冲罐为地上设置，主要污染影响型为地面漫流和垂直入渗。</w:t>
      </w:r>
    </w:p>
    <w:p>
      <w:pPr>
        <w:pStyle w:val="114"/>
        <w:ind w:firstLine="480"/>
      </w:pPr>
      <w:r>
        <w:t>项目土壤环境影响类型与途径见下表。</w:t>
      </w:r>
    </w:p>
    <w:p>
      <w:pPr>
        <w:pStyle w:val="39"/>
        <w:rPr>
          <w:rFonts w:cs="Times New Roman"/>
        </w:rPr>
      </w:pPr>
      <w:r>
        <w:rPr>
          <w:rFonts w:cs="Times New Roman"/>
        </w:rPr>
        <w:t>表</w:t>
      </w:r>
      <w:r>
        <w:rPr>
          <w:rFonts w:cs="Times New Roman"/>
          <w:bCs/>
        </w:rPr>
        <w:t xml:space="preserve">6.2-3  </w:t>
      </w:r>
      <w:r>
        <w:rPr>
          <w:rFonts w:cs="Times New Roman"/>
        </w:rPr>
        <w:t>土壤环境影响类型与影响途径表</w:t>
      </w:r>
    </w:p>
    <w:tbl>
      <w:tblPr>
        <w:tblStyle w:val="59"/>
        <w:tblW w:w="485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818"/>
        <w:gridCol w:w="1400"/>
        <w:gridCol w:w="1817"/>
        <w:gridCol w:w="1678"/>
        <w:gridCol w:w="202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843" w:type="dxa"/>
            <w:vMerge w:val="restart"/>
            <w:tcBorders>
              <w:tl2br w:val="nil"/>
              <w:tr2bl w:val="nil"/>
            </w:tcBorders>
            <w:vAlign w:val="center"/>
          </w:tcPr>
          <w:p>
            <w:pPr>
              <w:pStyle w:val="121"/>
              <w:jc w:val="center"/>
              <w:rPr>
                <w:rFonts w:ascii="Times New Roman" w:hAnsi="Times New Roman" w:cs="Times New Roman"/>
                <w:b/>
                <w:bCs/>
                <w:color w:val="auto"/>
                <w:kern w:val="2"/>
                <w:sz w:val="21"/>
                <w:szCs w:val="21"/>
              </w:rPr>
            </w:pPr>
            <w:r>
              <w:rPr>
                <w:rFonts w:ascii="Times New Roman" w:hAnsi="Times New Roman" w:cs="Times New Roman"/>
                <w:b/>
                <w:bCs/>
                <w:color w:val="auto"/>
                <w:kern w:val="2"/>
                <w:sz w:val="21"/>
                <w:szCs w:val="21"/>
              </w:rPr>
              <w:t>不同时段</w:t>
            </w:r>
          </w:p>
        </w:tc>
        <w:tc>
          <w:tcPr>
            <w:tcW w:w="7010" w:type="dxa"/>
            <w:gridSpan w:val="4"/>
            <w:tcBorders>
              <w:tl2br w:val="nil"/>
              <w:tr2bl w:val="nil"/>
            </w:tcBorders>
            <w:vAlign w:val="center"/>
          </w:tcPr>
          <w:p>
            <w:pPr>
              <w:pStyle w:val="121"/>
              <w:jc w:val="center"/>
              <w:rPr>
                <w:rFonts w:ascii="Times New Roman" w:hAnsi="Times New Roman" w:cs="Times New Roman"/>
                <w:b/>
                <w:bCs/>
                <w:color w:val="auto"/>
                <w:kern w:val="2"/>
                <w:sz w:val="21"/>
                <w:szCs w:val="21"/>
              </w:rPr>
            </w:pPr>
            <w:r>
              <w:rPr>
                <w:rFonts w:ascii="Times New Roman" w:hAnsi="Times New Roman" w:cs="Times New Roman"/>
                <w:b/>
                <w:bCs/>
                <w:color w:val="auto"/>
                <w:kern w:val="2"/>
                <w:sz w:val="21"/>
                <w:szCs w:val="21"/>
              </w:rPr>
              <w:t>污染影响型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843" w:type="dxa"/>
            <w:vMerge w:val="continue"/>
            <w:tcBorders>
              <w:tl2br w:val="nil"/>
              <w:tr2bl w:val="nil"/>
            </w:tcBorders>
            <w:vAlign w:val="center"/>
          </w:tcPr>
          <w:p>
            <w:pPr>
              <w:pStyle w:val="121"/>
              <w:jc w:val="center"/>
              <w:rPr>
                <w:rFonts w:ascii="Times New Roman" w:hAnsi="Times New Roman" w:cs="Times New Roman"/>
                <w:b/>
                <w:bCs/>
                <w:color w:val="auto"/>
                <w:kern w:val="2"/>
                <w:sz w:val="21"/>
                <w:szCs w:val="21"/>
              </w:rPr>
            </w:pPr>
          </w:p>
        </w:tc>
        <w:tc>
          <w:tcPr>
            <w:tcW w:w="1418" w:type="dxa"/>
            <w:tcBorders>
              <w:tl2br w:val="nil"/>
              <w:tr2bl w:val="nil"/>
            </w:tcBorders>
            <w:vAlign w:val="center"/>
          </w:tcPr>
          <w:p>
            <w:pPr>
              <w:pStyle w:val="121"/>
              <w:jc w:val="center"/>
              <w:rPr>
                <w:rFonts w:ascii="Times New Roman" w:hAnsi="Times New Roman" w:cs="Times New Roman"/>
                <w:b/>
                <w:bCs/>
                <w:color w:val="auto"/>
                <w:kern w:val="2"/>
                <w:sz w:val="21"/>
                <w:szCs w:val="21"/>
              </w:rPr>
            </w:pPr>
            <w:r>
              <w:rPr>
                <w:rFonts w:ascii="Times New Roman" w:hAnsi="Times New Roman" w:cs="Times New Roman"/>
                <w:b/>
                <w:bCs/>
                <w:color w:val="auto"/>
                <w:kern w:val="2"/>
                <w:sz w:val="21"/>
                <w:szCs w:val="21"/>
              </w:rPr>
              <w:t>大气沉降</w:t>
            </w:r>
          </w:p>
        </w:tc>
        <w:tc>
          <w:tcPr>
            <w:tcW w:w="1842" w:type="dxa"/>
            <w:tcBorders>
              <w:tl2br w:val="nil"/>
              <w:tr2bl w:val="nil"/>
            </w:tcBorders>
            <w:vAlign w:val="center"/>
          </w:tcPr>
          <w:p>
            <w:pPr>
              <w:pStyle w:val="121"/>
              <w:jc w:val="center"/>
              <w:rPr>
                <w:rFonts w:ascii="Times New Roman" w:hAnsi="Times New Roman" w:cs="Times New Roman"/>
                <w:b/>
                <w:bCs/>
                <w:color w:val="auto"/>
                <w:kern w:val="2"/>
                <w:sz w:val="21"/>
                <w:szCs w:val="21"/>
              </w:rPr>
            </w:pPr>
            <w:r>
              <w:rPr>
                <w:rFonts w:ascii="Times New Roman" w:hAnsi="Times New Roman" w:cs="Times New Roman"/>
                <w:b/>
                <w:bCs/>
                <w:color w:val="auto"/>
                <w:kern w:val="2"/>
                <w:sz w:val="21"/>
                <w:szCs w:val="21"/>
              </w:rPr>
              <w:t>地面漫流</w:t>
            </w:r>
          </w:p>
        </w:tc>
        <w:tc>
          <w:tcPr>
            <w:tcW w:w="1701" w:type="dxa"/>
            <w:tcBorders>
              <w:tl2br w:val="nil"/>
              <w:tr2bl w:val="nil"/>
            </w:tcBorders>
            <w:vAlign w:val="center"/>
          </w:tcPr>
          <w:p>
            <w:pPr>
              <w:pStyle w:val="121"/>
              <w:jc w:val="center"/>
              <w:rPr>
                <w:rFonts w:ascii="Times New Roman" w:hAnsi="Times New Roman" w:cs="Times New Roman"/>
                <w:b/>
                <w:bCs/>
                <w:color w:val="auto"/>
                <w:kern w:val="2"/>
                <w:sz w:val="21"/>
                <w:szCs w:val="21"/>
              </w:rPr>
            </w:pPr>
            <w:r>
              <w:rPr>
                <w:rFonts w:ascii="Times New Roman" w:hAnsi="Times New Roman" w:cs="Times New Roman"/>
                <w:b/>
                <w:bCs/>
                <w:color w:val="auto"/>
                <w:kern w:val="2"/>
                <w:sz w:val="21"/>
                <w:szCs w:val="21"/>
              </w:rPr>
              <w:t>垂直入渗</w:t>
            </w:r>
          </w:p>
        </w:tc>
        <w:tc>
          <w:tcPr>
            <w:tcW w:w="2049" w:type="dxa"/>
            <w:tcBorders>
              <w:tl2br w:val="nil"/>
              <w:tr2bl w:val="nil"/>
            </w:tcBorders>
          </w:tcPr>
          <w:p>
            <w:pPr>
              <w:pStyle w:val="121"/>
              <w:jc w:val="center"/>
              <w:rPr>
                <w:rFonts w:ascii="Times New Roman" w:hAnsi="Times New Roman" w:cs="Times New Roman"/>
                <w:b/>
                <w:bCs/>
                <w:color w:val="auto"/>
                <w:kern w:val="2"/>
                <w:sz w:val="21"/>
                <w:szCs w:val="21"/>
              </w:rPr>
            </w:pPr>
            <w:r>
              <w:rPr>
                <w:rFonts w:ascii="Times New Roman" w:hAnsi="Times New Roman" w:cs="Times New Roman"/>
                <w:b/>
                <w:bCs/>
                <w:color w:val="auto"/>
                <w:kern w:val="2"/>
                <w:sz w:val="21"/>
                <w:szCs w:val="21"/>
              </w:rPr>
              <w:t>其他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843" w:type="dxa"/>
            <w:tcBorders>
              <w:tl2br w:val="nil"/>
              <w:tr2bl w:val="nil"/>
            </w:tcBorders>
            <w:vAlign w:val="center"/>
          </w:tcPr>
          <w:p>
            <w:pPr>
              <w:pStyle w:val="121"/>
              <w:jc w:val="center"/>
              <w:rPr>
                <w:rFonts w:ascii="Times New Roman" w:hAnsi="Times New Roman" w:cs="Times New Roman"/>
                <w:b/>
                <w:bCs/>
                <w:color w:val="auto"/>
                <w:kern w:val="2"/>
                <w:sz w:val="21"/>
                <w:szCs w:val="21"/>
              </w:rPr>
            </w:pPr>
            <w:r>
              <w:rPr>
                <w:rFonts w:ascii="Times New Roman" w:hAnsi="Times New Roman" w:cs="Times New Roman"/>
                <w:color w:val="auto"/>
                <w:kern w:val="2"/>
                <w:sz w:val="21"/>
                <w:szCs w:val="21"/>
              </w:rPr>
              <w:t>建设期</w:t>
            </w:r>
          </w:p>
        </w:tc>
        <w:tc>
          <w:tcPr>
            <w:tcW w:w="1418" w:type="dxa"/>
            <w:tcBorders>
              <w:tl2br w:val="nil"/>
              <w:tr2bl w:val="nil"/>
            </w:tcBorders>
            <w:vAlign w:val="center"/>
          </w:tcPr>
          <w:p>
            <w:pPr>
              <w:pStyle w:val="121"/>
              <w:jc w:val="center"/>
              <w:rPr>
                <w:rFonts w:ascii="Times New Roman" w:hAnsi="Times New Roman" w:cs="Times New Roman"/>
                <w:b/>
                <w:bCs/>
                <w:color w:val="auto"/>
                <w:kern w:val="2"/>
                <w:sz w:val="21"/>
                <w:szCs w:val="21"/>
              </w:rPr>
            </w:pPr>
            <w:r>
              <w:rPr>
                <w:rFonts w:ascii="Times New Roman" w:hAnsi="Times New Roman" w:cs="Times New Roman"/>
                <w:b/>
                <w:bCs/>
                <w:color w:val="auto"/>
                <w:kern w:val="2"/>
                <w:sz w:val="21"/>
                <w:szCs w:val="21"/>
              </w:rPr>
              <w:t>—</w:t>
            </w:r>
          </w:p>
        </w:tc>
        <w:tc>
          <w:tcPr>
            <w:tcW w:w="1842" w:type="dxa"/>
            <w:tcBorders>
              <w:tl2br w:val="nil"/>
              <w:tr2bl w:val="nil"/>
            </w:tcBorders>
            <w:vAlign w:val="center"/>
          </w:tcPr>
          <w:p>
            <w:pPr>
              <w:pStyle w:val="121"/>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w:t>
            </w:r>
          </w:p>
        </w:tc>
        <w:tc>
          <w:tcPr>
            <w:tcW w:w="1701" w:type="dxa"/>
            <w:tcBorders>
              <w:tl2br w:val="nil"/>
              <w:tr2bl w:val="nil"/>
            </w:tcBorders>
            <w:vAlign w:val="center"/>
          </w:tcPr>
          <w:p>
            <w:pPr>
              <w:pStyle w:val="121"/>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w:t>
            </w:r>
          </w:p>
        </w:tc>
        <w:tc>
          <w:tcPr>
            <w:tcW w:w="2049" w:type="dxa"/>
            <w:tcBorders>
              <w:tl2br w:val="nil"/>
              <w:tr2bl w:val="nil"/>
            </w:tcBorders>
          </w:tcPr>
          <w:p>
            <w:pPr>
              <w:pStyle w:val="121"/>
              <w:jc w:val="center"/>
              <w:rPr>
                <w:rFonts w:ascii="Times New Roman" w:hAnsi="Times New Roman" w:cs="Times New Roman"/>
                <w:b/>
                <w:bCs/>
                <w:color w:val="auto"/>
                <w:kern w:val="2"/>
                <w:sz w:val="21"/>
                <w:szCs w:val="21"/>
              </w:rPr>
            </w:pPr>
            <w:r>
              <w:rPr>
                <w:rFonts w:ascii="Times New Roman" w:hAnsi="Times New Roman" w:cs="Times New Roman"/>
                <w:b/>
                <w:bCs/>
                <w:color w:val="auto"/>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843" w:type="dxa"/>
            <w:tcBorders>
              <w:tl2br w:val="nil"/>
              <w:tr2bl w:val="nil"/>
            </w:tcBorders>
            <w:vAlign w:val="center"/>
          </w:tcPr>
          <w:p>
            <w:pPr>
              <w:pStyle w:val="121"/>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试采期</w:t>
            </w:r>
          </w:p>
        </w:tc>
        <w:tc>
          <w:tcPr>
            <w:tcW w:w="1418" w:type="dxa"/>
            <w:tcBorders>
              <w:tl2br w:val="nil"/>
              <w:tr2bl w:val="nil"/>
            </w:tcBorders>
          </w:tcPr>
          <w:p>
            <w:pPr>
              <w:pStyle w:val="121"/>
              <w:jc w:val="center"/>
              <w:rPr>
                <w:rFonts w:ascii="Times New Roman" w:hAnsi="Times New Roman" w:cs="Times New Roman"/>
                <w:color w:val="auto"/>
                <w:kern w:val="2"/>
                <w:sz w:val="21"/>
                <w:szCs w:val="21"/>
              </w:rPr>
            </w:pPr>
            <w:r>
              <w:rPr>
                <w:rFonts w:ascii="Times New Roman" w:hAnsi="Times New Roman" w:cs="Times New Roman"/>
                <w:b/>
                <w:bCs/>
                <w:color w:val="auto"/>
                <w:kern w:val="2"/>
                <w:sz w:val="21"/>
                <w:szCs w:val="21"/>
              </w:rPr>
              <w:t>—</w:t>
            </w:r>
          </w:p>
        </w:tc>
        <w:tc>
          <w:tcPr>
            <w:tcW w:w="1842" w:type="dxa"/>
            <w:tcBorders>
              <w:tl2br w:val="nil"/>
              <w:tr2bl w:val="nil"/>
            </w:tcBorders>
            <w:vAlign w:val="center"/>
          </w:tcPr>
          <w:p>
            <w:pPr>
              <w:pStyle w:val="121"/>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w:t>
            </w:r>
          </w:p>
        </w:tc>
        <w:tc>
          <w:tcPr>
            <w:tcW w:w="1701" w:type="dxa"/>
            <w:tcBorders>
              <w:tl2br w:val="nil"/>
              <w:tr2bl w:val="nil"/>
            </w:tcBorders>
            <w:vAlign w:val="center"/>
          </w:tcPr>
          <w:p>
            <w:pPr>
              <w:pStyle w:val="121"/>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w:t>
            </w:r>
          </w:p>
        </w:tc>
        <w:tc>
          <w:tcPr>
            <w:tcW w:w="2049" w:type="dxa"/>
            <w:tcBorders>
              <w:tl2br w:val="nil"/>
              <w:tr2bl w:val="nil"/>
            </w:tcBorders>
          </w:tcPr>
          <w:p>
            <w:pPr>
              <w:pStyle w:val="121"/>
              <w:jc w:val="center"/>
              <w:rPr>
                <w:rFonts w:ascii="Times New Roman" w:hAnsi="Times New Roman" w:cs="Times New Roman"/>
                <w:color w:val="auto"/>
                <w:kern w:val="2"/>
                <w:sz w:val="21"/>
                <w:szCs w:val="21"/>
              </w:rPr>
            </w:pPr>
            <w:r>
              <w:rPr>
                <w:rFonts w:ascii="Times New Roman" w:hAnsi="Times New Roman" w:cs="Times New Roman"/>
                <w:b/>
                <w:bCs/>
                <w:color w:val="auto"/>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843" w:type="dxa"/>
            <w:tcBorders>
              <w:tl2br w:val="nil"/>
              <w:tr2bl w:val="nil"/>
            </w:tcBorders>
            <w:vAlign w:val="center"/>
          </w:tcPr>
          <w:p>
            <w:pPr>
              <w:pStyle w:val="121"/>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服务期满后</w:t>
            </w:r>
          </w:p>
        </w:tc>
        <w:tc>
          <w:tcPr>
            <w:tcW w:w="1418" w:type="dxa"/>
            <w:tcBorders>
              <w:tl2br w:val="nil"/>
              <w:tr2bl w:val="nil"/>
            </w:tcBorders>
          </w:tcPr>
          <w:p>
            <w:pPr>
              <w:pStyle w:val="121"/>
              <w:jc w:val="center"/>
              <w:rPr>
                <w:rFonts w:ascii="Times New Roman" w:hAnsi="Times New Roman" w:cs="Times New Roman"/>
                <w:color w:val="auto"/>
                <w:kern w:val="2"/>
                <w:sz w:val="21"/>
                <w:szCs w:val="21"/>
              </w:rPr>
            </w:pPr>
            <w:r>
              <w:rPr>
                <w:rFonts w:ascii="Times New Roman" w:hAnsi="Times New Roman" w:cs="Times New Roman"/>
                <w:b/>
                <w:bCs/>
                <w:color w:val="auto"/>
                <w:kern w:val="2"/>
                <w:sz w:val="21"/>
                <w:szCs w:val="21"/>
              </w:rPr>
              <w:t>—</w:t>
            </w:r>
          </w:p>
        </w:tc>
        <w:tc>
          <w:tcPr>
            <w:tcW w:w="1842" w:type="dxa"/>
            <w:tcBorders>
              <w:tl2br w:val="nil"/>
              <w:tr2bl w:val="nil"/>
            </w:tcBorders>
          </w:tcPr>
          <w:p>
            <w:pPr>
              <w:pStyle w:val="121"/>
              <w:jc w:val="center"/>
              <w:rPr>
                <w:rFonts w:ascii="Times New Roman" w:hAnsi="Times New Roman" w:cs="Times New Roman"/>
                <w:color w:val="auto"/>
                <w:kern w:val="2"/>
                <w:sz w:val="21"/>
                <w:szCs w:val="21"/>
              </w:rPr>
            </w:pPr>
            <w:r>
              <w:rPr>
                <w:rFonts w:ascii="Times New Roman" w:hAnsi="Times New Roman" w:cs="Times New Roman"/>
                <w:b/>
                <w:bCs/>
                <w:color w:val="auto"/>
                <w:kern w:val="2"/>
                <w:sz w:val="21"/>
                <w:szCs w:val="21"/>
              </w:rPr>
              <w:t>—</w:t>
            </w:r>
          </w:p>
        </w:tc>
        <w:tc>
          <w:tcPr>
            <w:tcW w:w="1701" w:type="dxa"/>
            <w:tcBorders>
              <w:tl2br w:val="nil"/>
              <w:tr2bl w:val="nil"/>
            </w:tcBorders>
          </w:tcPr>
          <w:p>
            <w:pPr>
              <w:pStyle w:val="121"/>
              <w:jc w:val="center"/>
              <w:rPr>
                <w:rFonts w:ascii="Times New Roman" w:hAnsi="Times New Roman" w:cs="Times New Roman"/>
                <w:color w:val="auto"/>
                <w:kern w:val="2"/>
                <w:sz w:val="21"/>
                <w:szCs w:val="21"/>
              </w:rPr>
            </w:pPr>
            <w:r>
              <w:rPr>
                <w:rFonts w:ascii="Times New Roman" w:hAnsi="Times New Roman" w:cs="Times New Roman"/>
                <w:b/>
                <w:bCs/>
                <w:color w:val="auto"/>
                <w:kern w:val="2"/>
                <w:sz w:val="21"/>
                <w:szCs w:val="21"/>
              </w:rPr>
              <w:t>—</w:t>
            </w:r>
          </w:p>
        </w:tc>
        <w:tc>
          <w:tcPr>
            <w:tcW w:w="2049" w:type="dxa"/>
            <w:tcBorders>
              <w:tl2br w:val="nil"/>
              <w:tr2bl w:val="nil"/>
            </w:tcBorders>
          </w:tcPr>
          <w:p>
            <w:pPr>
              <w:pStyle w:val="121"/>
              <w:jc w:val="center"/>
              <w:rPr>
                <w:rFonts w:ascii="Times New Roman" w:hAnsi="Times New Roman" w:cs="Times New Roman"/>
                <w:color w:val="auto"/>
                <w:kern w:val="2"/>
                <w:sz w:val="21"/>
                <w:szCs w:val="21"/>
              </w:rPr>
            </w:pPr>
            <w:r>
              <w:rPr>
                <w:rFonts w:ascii="Times New Roman" w:hAnsi="Times New Roman" w:cs="Times New Roman"/>
                <w:b/>
                <w:bCs/>
                <w:color w:val="auto"/>
                <w:kern w:val="2"/>
                <w:sz w:val="21"/>
                <w:szCs w:val="21"/>
              </w:rPr>
              <w:t>—</w:t>
            </w:r>
          </w:p>
        </w:tc>
      </w:tr>
    </w:tbl>
    <w:p>
      <w:pPr>
        <w:pStyle w:val="114"/>
        <w:ind w:firstLine="480"/>
      </w:pPr>
      <w:r>
        <w:t>（2）土壤环境影响源及影响因子识别</w:t>
      </w:r>
    </w:p>
    <w:p>
      <w:pPr>
        <w:pStyle w:val="114"/>
        <w:ind w:firstLine="480"/>
      </w:pPr>
      <w:r>
        <w:t>建设项目土壤环境影响源及影响因子见下表。</w:t>
      </w:r>
    </w:p>
    <w:p>
      <w:pPr>
        <w:pStyle w:val="39"/>
        <w:rPr>
          <w:rFonts w:cs="Times New Roman"/>
        </w:rPr>
      </w:pPr>
      <w:r>
        <w:rPr>
          <w:rFonts w:cs="Times New Roman"/>
        </w:rPr>
        <w:t>表</w:t>
      </w:r>
      <w:r>
        <w:rPr>
          <w:rFonts w:cs="Times New Roman"/>
          <w:bCs/>
        </w:rPr>
        <w:t xml:space="preserve">6.2-4  </w:t>
      </w:r>
      <w:r>
        <w:rPr>
          <w:rFonts w:cs="Times New Roman"/>
        </w:rPr>
        <w:t>土壤环境影响源及影响因子识别表</w:t>
      </w:r>
    </w:p>
    <w:tbl>
      <w:tblPr>
        <w:tblStyle w:val="59"/>
        <w:tblW w:w="485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98"/>
        <w:gridCol w:w="1536"/>
        <w:gridCol w:w="1259"/>
        <w:gridCol w:w="2100"/>
        <w:gridCol w:w="1398"/>
        <w:gridCol w:w="104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418" w:type="dxa"/>
            <w:tcBorders>
              <w:tl2br w:val="nil"/>
              <w:tr2bl w:val="nil"/>
            </w:tcBorders>
            <w:vAlign w:val="center"/>
          </w:tcPr>
          <w:p>
            <w:pPr>
              <w:pStyle w:val="121"/>
              <w:jc w:val="center"/>
              <w:rPr>
                <w:rFonts w:ascii="Times New Roman" w:hAnsi="Times New Roman" w:cs="Times New Roman"/>
                <w:b/>
                <w:bCs/>
                <w:color w:val="auto"/>
                <w:kern w:val="2"/>
                <w:sz w:val="21"/>
                <w:szCs w:val="21"/>
              </w:rPr>
            </w:pPr>
            <w:r>
              <w:rPr>
                <w:rFonts w:ascii="Times New Roman" w:hAnsi="Times New Roman" w:cs="Times New Roman"/>
                <w:b/>
                <w:bCs/>
                <w:color w:val="auto"/>
                <w:kern w:val="2"/>
                <w:sz w:val="21"/>
                <w:szCs w:val="21"/>
              </w:rPr>
              <w:t>污染源</w:t>
            </w:r>
          </w:p>
        </w:tc>
        <w:tc>
          <w:tcPr>
            <w:tcW w:w="1559" w:type="dxa"/>
            <w:tcBorders>
              <w:tl2br w:val="nil"/>
              <w:tr2bl w:val="nil"/>
            </w:tcBorders>
            <w:vAlign w:val="center"/>
          </w:tcPr>
          <w:p>
            <w:pPr>
              <w:pStyle w:val="121"/>
              <w:jc w:val="center"/>
              <w:rPr>
                <w:rFonts w:ascii="Times New Roman" w:hAnsi="Times New Roman" w:cs="Times New Roman"/>
                <w:b/>
                <w:bCs/>
                <w:color w:val="auto"/>
                <w:kern w:val="2"/>
                <w:sz w:val="21"/>
                <w:szCs w:val="21"/>
              </w:rPr>
            </w:pPr>
            <w:r>
              <w:rPr>
                <w:rFonts w:ascii="Times New Roman" w:hAnsi="Times New Roman" w:cs="Times New Roman"/>
                <w:b/>
                <w:bCs/>
                <w:color w:val="auto"/>
                <w:kern w:val="2"/>
                <w:sz w:val="21"/>
                <w:szCs w:val="21"/>
              </w:rPr>
              <w:t>工艺流程/节点</w:t>
            </w:r>
          </w:p>
        </w:tc>
        <w:tc>
          <w:tcPr>
            <w:tcW w:w="1276" w:type="dxa"/>
            <w:tcBorders>
              <w:tl2br w:val="nil"/>
              <w:tr2bl w:val="nil"/>
            </w:tcBorders>
            <w:vAlign w:val="center"/>
          </w:tcPr>
          <w:p>
            <w:pPr>
              <w:pStyle w:val="121"/>
              <w:jc w:val="center"/>
              <w:rPr>
                <w:rFonts w:ascii="Times New Roman" w:hAnsi="Times New Roman" w:cs="Times New Roman"/>
                <w:b/>
                <w:bCs/>
                <w:color w:val="auto"/>
                <w:kern w:val="2"/>
                <w:sz w:val="21"/>
                <w:szCs w:val="21"/>
              </w:rPr>
            </w:pPr>
            <w:r>
              <w:rPr>
                <w:rFonts w:ascii="Times New Roman" w:hAnsi="Times New Roman" w:cs="Times New Roman"/>
                <w:b/>
                <w:bCs/>
                <w:color w:val="auto"/>
                <w:kern w:val="2"/>
                <w:sz w:val="21"/>
                <w:szCs w:val="21"/>
              </w:rPr>
              <w:t>污染途径</w:t>
            </w:r>
          </w:p>
        </w:tc>
        <w:tc>
          <w:tcPr>
            <w:tcW w:w="2126" w:type="dxa"/>
            <w:tcBorders>
              <w:tl2br w:val="nil"/>
              <w:tr2bl w:val="nil"/>
            </w:tcBorders>
            <w:vAlign w:val="center"/>
          </w:tcPr>
          <w:p>
            <w:pPr>
              <w:pStyle w:val="121"/>
              <w:jc w:val="center"/>
              <w:rPr>
                <w:rFonts w:ascii="Times New Roman" w:hAnsi="Times New Roman" w:cs="Times New Roman"/>
                <w:b/>
                <w:bCs/>
                <w:color w:val="auto"/>
                <w:kern w:val="2"/>
                <w:sz w:val="21"/>
                <w:szCs w:val="21"/>
              </w:rPr>
            </w:pPr>
            <w:r>
              <w:rPr>
                <w:rFonts w:ascii="Times New Roman" w:hAnsi="Times New Roman" w:cs="Times New Roman"/>
                <w:b/>
                <w:bCs/>
                <w:color w:val="auto"/>
                <w:kern w:val="2"/>
                <w:sz w:val="21"/>
                <w:szCs w:val="21"/>
              </w:rPr>
              <w:t>全部污染物指标a</w:t>
            </w:r>
          </w:p>
        </w:tc>
        <w:tc>
          <w:tcPr>
            <w:tcW w:w="1418" w:type="dxa"/>
            <w:tcBorders>
              <w:tl2br w:val="nil"/>
              <w:tr2bl w:val="nil"/>
            </w:tcBorders>
            <w:vAlign w:val="center"/>
          </w:tcPr>
          <w:p>
            <w:pPr>
              <w:pStyle w:val="121"/>
              <w:jc w:val="center"/>
              <w:rPr>
                <w:rFonts w:ascii="Times New Roman" w:hAnsi="Times New Roman" w:cs="Times New Roman"/>
                <w:b/>
                <w:bCs/>
                <w:color w:val="auto"/>
                <w:kern w:val="2"/>
                <w:sz w:val="21"/>
                <w:szCs w:val="21"/>
              </w:rPr>
            </w:pPr>
            <w:r>
              <w:rPr>
                <w:rFonts w:ascii="Times New Roman" w:hAnsi="Times New Roman" w:cs="Times New Roman"/>
                <w:b/>
                <w:bCs/>
                <w:color w:val="auto"/>
                <w:kern w:val="2"/>
                <w:sz w:val="21"/>
                <w:szCs w:val="21"/>
              </w:rPr>
              <w:t>特征因子</w:t>
            </w:r>
          </w:p>
        </w:tc>
        <w:tc>
          <w:tcPr>
            <w:tcW w:w="1056" w:type="dxa"/>
            <w:tcBorders>
              <w:tl2br w:val="nil"/>
              <w:tr2bl w:val="nil"/>
            </w:tcBorders>
            <w:vAlign w:val="center"/>
          </w:tcPr>
          <w:p>
            <w:pPr>
              <w:pStyle w:val="121"/>
              <w:jc w:val="center"/>
              <w:rPr>
                <w:rFonts w:ascii="Times New Roman" w:hAnsi="Times New Roman" w:cs="Times New Roman"/>
                <w:b/>
                <w:bCs/>
                <w:color w:val="auto"/>
                <w:kern w:val="2"/>
                <w:sz w:val="21"/>
                <w:szCs w:val="21"/>
              </w:rPr>
            </w:pPr>
            <w:r>
              <w:rPr>
                <w:rFonts w:ascii="Times New Roman" w:hAnsi="Times New Roman" w:cs="Times New Roman"/>
                <w:b/>
                <w:bCs/>
                <w:color w:val="auto"/>
                <w:kern w:val="2"/>
                <w:sz w:val="21"/>
                <w:szCs w:val="21"/>
              </w:rPr>
              <w:t>备注b</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418" w:type="dxa"/>
            <w:tcBorders>
              <w:tl2br w:val="nil"/>
              <w:tr2bl w:val="nil"/>
            </w:tcBorders>
            <w:vAlign w:val="center"/>
          </w:tcPr>
          <w:p>
            <w:pPr>
              <w:pStyle w:val="121"/>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污水缓冲罐</w:t>
            </w:r>
          </w:p>
        </w:tc>
        <w:tc>
          <w:tcPr>
            <w:tcW w:w="1559" w:type="dxa"/>
            <w:tcBorders>
              <w:tl2br w:val="nil"/>
              <w:tr2bl w:val="nil"/>
            </w:tcBorders>
            <w:vAlign w:val="center"/>
          </w:tcPr>
          <w:p>
            <w:pPr>
              <w:pStyle w:val="121"/>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储存</w:t>
            </w:r>
          </w:p>
        </w:tc>
        <w:tc>
          <w:tcPr>
            <w:tcW w:w="1276" w:type="dxa"/>
            <w:tcBorders>
              <w:tl2br w:val="nil"/>
              <w:tr2bl w:val="nil"/>
            </w:tcBorders>
            <w:vAlign w:val="center"/>
          </w:tcPr>
          <w:p>
            <w:pPr>
              <w:pStyle w:val="121"/>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地面漫流</w:t>
            </w:r>
          </w:p>
        </w:tc>
        <w:tc>
          <w:tcPr>
            <w:tcW w:w="2126" w:type="dxa"/>
            <w:tcBorders>
              <w:tl2br w:val="nil"/>
              <w:tr2bl w:val="nil"/>
            </w:tcBorders>
            <w:vAlign w:val="center"/>
          </w:tcPr>
          <w:p>
            <w:pPr>
              <w:pStyle w:val="121"/>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COD、SS、石油烃、氯化物等</w:t>
            </w:r>
          </w:p>
        </w:tc>
        <w:tc>
          <w:tcPr>
            <w:tcW w:w="1418" w:type="dxa"/>
            <w:tcBorders>
              <w:tl2br w:val="nil"/>
              <w:tr2bl w:val="nil"/>
            </w:tcBorders>
            <w:vAlign w:val="center"/>
          </w:tcPr>
          <w:p>
            <w:pPr>
              <w:pStyle w:val="121"/>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石油烃</w:t>
            </w:r>
          </w:p>
        </w:tc>
        <w:tc>
          <w:tcPr>
            <w:tcW w:w="1056" w:type="dxa"/>
            <w:tcBorders>
              <w:tl2br w:val="nil"/>
              <w:tr2bl w:val="nil"/>
            </w:tcBorders>
            <w:vAlign w:val="center"/>
          </w:tcPr>
          <w:p>
            <w:pPr>
              <w:pStyle w:val="121"/>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事故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853" w:type="dxa"/>
            <w:gridSpan w:val="6"/>
            <w:tcBorders>
              <w:tl2br w:val="nil"/>
              <w:tr2bl w:val="nil"/>
            </w:tcBorders>
            <w:vAlign w:val="center"/>
          </w:tcPr>
          <w:p>
            <w:pPr>
              <w:pStyle w:val="121"/>
              <w:rPr>
                <w:rFonts w:ascii="Times New Roman" w:hAnsi="Times New Roman" w:cs="Times New Roman"/>
                <w:color w:val="auto"/>
                <w:kern w:val="2"/>
                <w:sz w:val="20"/>
                <w:szCs w:val="20"/>
              </w:rPr>
            </w:pPr>
            <w:r>
              <w:rPr>
                <w:rFonts w:ascii="Times New Roman" w:hAnsi="Times New Roman" w:cs="Times New Roman"/>
                <w:color w:val="auto"/>
                <w:kern w:val="2"/>
                <w:sz w:val="20"/>
                <w:szCs w:val="20"/>
              </w:rPr>
              <w:t>a.根据工程分析结果填写</w:t>
            </w:r>
          </w:p>
          <w:p>
            <w:pPr>
              <w:pStyle w:val="121"/>
              <w:rPr>
                <w:rFonts w:ascii="Times New Roman" w:hAnsi="Times New Roman" w:cs="Times New Roman"/>
                <w:color w:val="auto"/>
                <w:kern w:val="2"/>
                <w:sz w:val="21"/>
                <w:szCs w:val="21"/>
              </w:rPr>
            </w:pPr>
            <w:r>
              <w:rPr>
                <w:rFonts w:ascii="Times New Roman" w:hAnsi="Times New Roman" w:cs="Times New Roman"/>
                <w:color w:val="auto"/>
                <w:kern w:val="2"/>
                <w:sz w:val="20"/>
                <w:szCs w:val="20"/>
              </w:rPr>
              <w:t>b.应描述污染源特征，如连续、间断、正常、事故等；设计大气沉降途径的，应识别建设项目周边的土壤敏感目标</w:t>
            </w:r>
          </w:p>
        </w:tc>
      </w:tr>
    </w:tbl>
    <w:p>
      <w:pPr>
        <w:pStyle w:val="114"/>
        <w:ind w:firstLine="482"/>
        <w:rPr>
          <w:b/>
          <w:bCs/>
        </w:rPr>
      </w:pPr>
      <w:r>
        <w:rPr>
          <w:b/>
          <w:bCs/>
        </w:rPr>
        <w:t>2、土壤环境影响评价项目类别</w:t>
      </w:r>
    </w:p>
    <w:p>
      <w:pPr>
        <w:pStyle w:val="114"/>
        <w:ind w:firstLine="480"/>
      </w:pPr>
      <w:r>
        <w:t>根据《环境影响评价技术导则土壤环境（试行）》（HJ964-2018），本项目主要建设内容为钻井工程和试采工程，因此参照附录A中的“采矿业、天然气开采”类别，为Ⅱ类污染影响型建设项目。</w:t>
      </w:r>
    </w:p>
    <w:p>
      <w:pPr>
        <w:pStyle w:val="114"/>
        <w:ind w:firstLine="482"/>
        <w:rPr>
          <w:b/>
          <w:bCs/>
        </w:rPr>
      </w:pPr>
      <w:r>
        <w:rPr>
          <w:b/>
          <w:bCs/>
        </w:rPr>
        <w:t>3、污染影响型土壤评价等级</w:t>
      </w:r>
    </w:p>
    <w:p>
      <w:pPr>
        <w:pStyle w:val="114"/>
        <w:ind w:firstLine="480"/>
      </w:pPr>
      <w:r>
        <w:t>根据《环境影响评价技术导则 土壤环境（试行）》（HJ964-2018），“将建设项目占地规模分为大型（≥50hm</w:t>
      </w:r>
      <w:r>
        <w:rPr>
          <w:vertAlign w:val="superscript"/>
        </w:rPr>
        <w:t>2</w:t>
      </w:r>
      <w:r>
        <w:t>）、中型（5-50hm</w:t>
      </w:r>
      <w:r>
        <w:rPr>
          <w:vertAlign w:val="superscript"/>
        </w:rPr>
        <w:t>2</w:t>
      </w:r>
      <w:r>
        <w:t>）、小型（≤5hm</w:t>
      </w:r>
      <w:r>
        <w:rPr>
          <w:vertAlign w:val="superscript"/>
        </w:rPr>
        <w:t>2</w:t>
      </w:r>
      <w:r>
        <w:t>），建设项目占地主要为临时占地”。</w:t>
      </w:r>
      <w:r>
        <w:rPr>
          <w:rFonts w:hint="eastAsia"/>
        </w:rPr>
        <w:t>P108-1T集气站原占地面积为18475m</w:t>
      </w:r>
      <w:r>
        <w:rPr>
          <w:rFonts w:hint="eastAsia"/>
          <w:vertAlign w:val="superscript"/>
        </w:rPr>
        <w:t>2</w:t>
      </w:r>
      <w:r>
        <w:rPr>
          <w:rFonts w:hint="eastAsia"/>
        </w:rPr>
        <w:t>，本项目新增</w:t>
      </w:r>
      <w:r>
        <w:t>占地面积约为</w:t>
      </w:r>
      <w:r>
        <w:rPr>
          <w:rFonts w:hint="eastAsia"/>
        </w:rPr>
        <w:t>9568</w:t>
      </w:r>
      <w:r>
        <w:rPr>
          <w:bCs/>
        </w:rPr>
        <w:t>m</w:t>
      </w:r>
      <w:r>
        <w:rPr>
          <w:bCs/>
          <w:vertAlign w:val="superscript"/>
        </w:rPr>
        <w:t>2</w:t>
      </w:r>
      <w:r>
        <w:t>，小于5hm</w:t>
      </w:r>
      <w:r>
        <w:rPr>
          <w:vertAlign w:val="superscript"/>
        </w:rPr>
        <w:t>2</w:t>
      </w:r>
      <w:r>
        <w:t>，因此占地规模为小型。</w:t>
      </w:r>
    </w:p>
    <w:p>
      <w:pPr>
        <w:pStyle w:val="114"/>
        <w:ind w:firstLine="480"/>
      </w:pPr>
      <w:r>
        <w:t>根据《环境影响评价技术导则土壤环境（试行）》（HJ964-2018），由于本项目周边存在耕地，建设项目所在地土壤环境敏感程度为敏感，因此，建设项目土壤环境影响评价工作等级为二级。</w:t>
      </w:r>
    </w:p>
    <w:p>
      <w:pPr>
        <w:pStyle w:val="114"/>
        <w:ind w:firstLine="480"/>
      </w:pPr>
      <w:r>
        <w:t>（1）土壤调查评价范围</w:t>
      </w:r>
    </w:p>
    <w:p>
      <w:pPr>
        <w:pStyle w:val="114"/>
        <w:ind w:firstLine="480"/>
      </w:pPr>
      <w:r>
        <w:t>根据《环境影响评价技术导则 土壤环境（试行）》（HJ964-2018）“表5现状调查范围”，根据评价工作等级为二级的污染影响型项目，调查范围为场界外扩200m。</w:t>
      </w:r>
    </w:p>
    <w:p>
      <w:pPr>
        <w:pStyle w:val="114"/>
        <w:ind w:firstLine="480"/>
      </w:pPr>
      <w:r>
        <w:t>（2）土壤环境敏感目标</w:t>
      </w:r>
    </w:p>
    <w:p>
      <w:pPr>
        <w:pStyle w:val="114"/>
        <w:ind w:firstLine="480"/>
      </w:pPr>
      <w:r>
        <w:t>本项目站场位于四川省达州市宣汉县普光镇，根据现场勘察，项目调查评价范围内主要分布为旱地，本次土壤环境敏感目标见表1.9-3。</w:t>
      </w:r>
    </w:p>
    <w:p>
      <w:pPr>
        <w:pStyle w:val="114"/>
        <w:ind w:firstLine="482"/>
        <w:rPr>
          <w:b/>
          <w:bCs/>
        </w:rPr>
      </w:pPr>
      <w:r>
        <w:rPr>
          <w:b/>
          <w:bCs/>
        </w:rPr>
        <w:t>4、项目所在地土壤分类</w:t>
      </w:r>
    </w:p>
    <w:p>
      <w:pPr>
        <w:pStyle w:val="114"/>
        <w:ind w:firstLine="480"/>
      </w:pPr>
      <w:r>
        <w:t>根据国家土壤信息服务平台公布的数据，并结合现场踏勘情况可知，拟建地土壤属酸性紫色土。</w:t>
      </w:r>
    </w:p>
    <w:p>
      <w:pPr>
        <w:pStyle w:val="114"/>
        <w:ind w:firstLine="482"/>
        <w:rPr>
          <w:b/>
          <w:bCs/>
        </w:rPr>
      </w:pPr>
      <w:r>
        <w:rPr>
          <w:b/>
          <w:bCs/>
        </w:rPr>
        <w:t>5、土壤环境影响分析</w:t>
      </w:r>
    </w:p>
    <w:p>
      <w:pPr>
        <w:pStyle w:val="114"/>
        <w:ind w:firstLine="480"/>
      </w:pPr>
      <w:r>
        <w:t>（1）大气沉降影响分析</w:t>
      </w:r>
    </w:p>
    <w:p>
      <w:pPr>
        <w:pStyle w:val="114"/>
        <w:ind w:firstLine="480"/>
      </w:pPr>
      <w:r>
        <w:t>本项目水套炉采用返输净化后天然气（不含硫）作为燃料，依托燃气返输管线返输，产生的废气中主要污染因子为氮氧化物，排放量少，由于NO</w:t>
      </w:r>
      <w:r>
        <w:rPr>
          <w:sz w:val="16"/>
          <w:szCs w:val="16"/>
        </w:rPr>
        <w:t>X</w:t>
      </w:r>
      <w:r>
        <w:t>扩散能力较强，且比重较小，基本不会通过大气沉降对土壤环境造成影响。</w:t>
      </w:r>
    </w:p>
    <w:p>
      <w:pPr>
        <w:pStyle w:val="114"/>
        <w:ind w:firstLine="480"/>
      </w:pPr>
      <w:r>
        <w:t>（2）地表漫流影响分析</w:t>
      </w:r>
    </w:p>
    <w:p>
      <w:pPr>
        <w:pStyle w:val="114"/>
        <w:ind w:firstLine="480"/>
      </w:pPr>
      <w:r>
        <w:t>本项目正常情况下，压裂、洗井废水直接通过管道进入密闭的污水缓冲罐内，因此，正常情况下不会外溢或泄漏至外环境中产生地面漫流情况。通过站场四周设置了雨水排水沟，井场内雨水可及时排入周边，雨水漫流不会带走站场内的污染物，对周边土壤的影响也很小。</w:t>
      </w:r>
    </w:p>
    <w:p>
      <w:pPr>
        <w:pStyle w:val="114"/>
        <w:ind w:firstLine="480"/>
      </w:pPr>
      <w:r>
        <w:t>（3）垂直入渗影响分析</w:t>
      </w:r>
    </w:p>
    <w:p>
      <w:pPr>
        <w:pStyle w:val="114"/>
        <w:ind w:firstLine="480"/>
      </w:pPr>
      <w:r>
        <w:t>①预测评价范围、时段和情景设置</w:t>
      </w:r>
    </w:p>
    <w:p>
      <w:pPr>
        <w:pStyle w:val="114"/>
        <w:ind w:firstLine="480"/>
      </w:pPr>
      <w:r>
        <w:t>对于本项目主要考虑在非正常工况下，污水缓冲罐泄漏，通过垂直入渗途径污染土壤。本次评价情景设置为污水缓冲罐泄漏，产生渗透，直接污染周边土壤。</w:t>
      </w:r>
    </w:p>
    <w:p>
      <w:pPr>
        <w:pStyle w:val="114"/>
        <w:ind w:firstLine="480"/>
      </w:pPr>
      <w:r>
        <w:t>②预测因子及源强</w:t>
      </w:r>
    </w:p>
    <w:p>
      <w:pPr>
        <w:pStyle w:val="114"/>
        <w:ind w:firstLine="480"/>
      </w:pPr>
      <w:r>
        <w:t>根据工程分析及环境影响识别结果，本项目垂直入渗途径对土壤的影响主要考虑污染因子为石油烃。</w:t>
      </w:r>
    </w:p>
    <w:p>
      <w:pPr>
        <w:pStyle w:val="114"/>
        <w:ind w:firstLine="480"/>
      </w:pPr>
      <w:r>
        <w:t>本项目采取了有效的防渗措施，根据土壤环境影响识别可知，正常工况下基本不会对土壤造成影响，主要考虑污水缓冲罐破裂，引起事故泄漏形成垂直入渗，造成土壤污染的情况。</w:t>
      </w:r>
    </w:p>
    <w:p>
      <w:pPr>
        <w:pStyle w:val="114"/>
        <w:ind w:firstLine="480"/>
      </w:pPr>
      <w:r>
        <w:t>废水渗透地下属于有压渗透，假定包气带充满水，按达西公式计算源强，公式如下：</w:t>
      </w:r>
    </w:p>
    <w:p>
      <w:pPr>
        <w:pStyle w:val="114"/>
        <w:spacing w:line="240" w:lineRule="auto"/>
        <w:ind w:firstLine="0" w:firstLineChars="0"/>
        <w:jc w:val="center"/>
      </w:pPr>
      <w:r>
        <w:drawing>
          <wp:inline distT="0" distB="0" distL="0" distR="0">
            <wp:extent cx="1052830" cy="360045"/>
            <wp:effectExtent l="1905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68" cstate="print"/>
                    <a:srcRect/>
                    <a:stretch>
                      <a:fillRect/>
                    </a:stretch>
                  </pic:blipFill>
                  <pic:spPr>
                    <a:xfrm>
                      <a:off x="0" y="0"/>
                      <a:ext cx="1052830" cy="360045"/>
                    </a:xfrm>
                    <a:prstGeom prst="rect">
                      <a:avLst/>
                    </a:prstGeom>
                    <a:noFill/>
                    <a:ln w="9525">
                      <a:noFill/>
                      <a:miter lim="800000"/>
                      <a:headEnd/>
                      <a:tailEnd/>
                    </a:ln>
                  </pic:spPr>
                </pic:pic>
              </a:graphicData>
            </a:graphic>
          </wp:inline>
        </w:drawing>
      </w:r>
    </w:p>
    <w:p>
      <w:pPr>
        <w:pStyle w:val="114"/>
        <w:ind w:firstLine="480"/>
      </w:pPr>
      <w:r>
        <w:t>式中：Q—为渗入到地下水的污水量（m</w:t>
      </w:r>
      <w:r>
        <w:rPr>
          <w:vertAlign w:val="superscript"/>
        </w:rPr>
        <w:t>3</w:t>
      </w:r>
      <w:r>
        <w:t xml:space="preserve">/d）； </w:t>
      </w:r>
    </w:p>
    <w:p>
      <w:pPr>
        <w:pStyle w:val="114"/>
        <w:ind w:firstLine="1200" w:firstLineChars="500"/>
      </w:pPr>
      <w:r>
        <w:t>K—为地面垂向渗透系数（m/d），结合区域调查数据，同时分析20万水文地质、红层找水报告及相关文献资料，本次取0.</w:t>
      </w:r>
      <w:r>
        <w:rPr>
          <w:rFonts w:hint="eastAsia"/>
        </w:rPr>
        <w:t>1</w:t>
      </w:r>
      <w:r>
        <w:t xml:space="preserve">m/d。 </w:t>
      </w:r>
    </w:p>
    <w:p>
      <w:pPr>
        <w:pStyle w:val="114"/>
        <w:ind w:firstLine="1200" w:firstLineChars="500"/>
      </w:pPr>
      <w:r>
        <w:t xml:space="preserve">H—为水深（m），根据设计，本次取4m； </w:t>
      </w:r>
    </w:p>
    <w:p>
      <w:pPr>
        <w:pStyle w:val="114"/>
        <w:ind w:firstLine="1200" w:firstLineChars="500"/>
      </w:pPr>
      <w:r>
        <w:t>D—为地下水埋深（m），本次取</w:t>
      </w:r>
      <w:r>
        <w:rPr>
          <w:rFonts w:hint="eastAsia"/>
        </w:rPr>
        <w:t>30</w:t>
      </w:r>
      <w:r>
        <w:t xml:space="preserve">m； </w:t>
      </w:r>
    </w:p>
    <w:p>
      <w:pPr>
        <w:pStyle w:val="114"/>
        <w:ind w:firstLine="1200" w:firstLineChars="500"/>
      </w:pPr>
      <w:r>
        <w:t>A—为污水</w:t>
      </w:r>
      <w:r>
        <w:rPr>
          <w:rFonts w:hint="eastAsia"/>
        </w:rPr>
        <w:t>缓冲罐</w:t>
      </w:r>
      <w:r>
        <w:t>的泄漏面积（m</w:t>
      </w:r>
      <w:r>
        <w:rPr>
          <w:vertAlign w:val="superscript"/>
        </w:rPr>
        <w:t>2</w:t>
      </w:r>
      <w:r>
        <w:t>），本次取2.</w:t>
      </w:r>
      <w:r>
        <w:rPr>
          <w:rFonts w:hint="eastAsia"/>
        </w:rPr>
        <w:t>54</w:t>
      </w:r>
      <w:r>
        <w:t>m</w:t>
      </w:r>
      <w:r>
        <w:rPr>
          <w:vertAlign w:val="superscript"/>
        </w:rPr>
        <w:t>2</w:t>
      </w:r>
      <w:r>
        <w:t xml:space="preserve">。 </w:t>
      </w:r>
    </w:p>
    <w:p>
      <w:pPr>
        <w:pStyle w:val="114"/>
        <w:ind w:firstLine="480"/>
      </w:pPr>
      <w:r>
        <w:t>可计算污水缓冲罐渗漏至土壤废水量0.</w:t>
      </w:r>
      <w:r>
        <w:rPr>
          <w:rFonts w:hint="eastAsia"/>
        </w:rPr>
        <w:t>29</w:t>
      </w:r>
      <w:r>
        <w:t>m</w:t>
      </w:r>
      <w:r>
        <w:rPr>
          <w:vertAlign w:val="superscript"/>
        </w:rPr>
        <w:t>3</w:t>
      </w:r>
      <w:r>
        <w:t>/d，本次按照污水缓冲罐全部泄漏考虑（污水缓冲罐容积约25.12m</w:t>
      </w:r>
      <w:r>
        <w:rPr>
          <w:vertAlign w:val="superscript"/>
        </w:rPr>
        <w:t>3</w:t>
      </w:r>
      <w:r>
        <w:t>），即泄漏量为25.12m</w:t>
      </w:r>
      <w:r>
        <w:rPr>
          <w:vertAlign w:val="superscript"/>
        </w:rPr>
        <w:t>3</w:t>
      </w:r>
      <w:r>
        <w:t>。</w:t>
      </w:r>
    </w:p>
    <w:p>
      <w:pPr>
        <w:pStyle w:val="114"/>
        <w:ind w:firstLine="480"/>
      </w:pPr>
      <w:r>
        <w:t>污水缓冲罐暂存的废水为压裂、洗井废水，结合本报告预测的废水中石油类浓度约200mg/L，本报告取值200mg/L，可计算非正常工况下渗漏的石油类量=25.12m</w:t>
      </w:r>
      <w:r>
        <w:rPr>
          <w:vertAlign w:val="superscript"/>
        </w:rPr>
        <w:t>3</w:t>
      </w:r>
      <w:r>
        <w:t>×200mg/L=5.024kg。</w:t>
      </w:r>
    </w:p>
    <w:p>
      <w:pPr>
        <w:pStyle w:val="114"/>
        <w:ind w:firstLine="480"/>
      </w:pPr>
      <w:r>
        <w:t>③预测模式</w:t>
      </w:r>
    </w:p>
    <w:p>
      <w:pPr>
        <w:pStyle w:val="114"/>
        <w:ind w:firstLine="480"/>
      </w:pPr>
      <w:r>
        <w:t>本次预测采用《环境影响评价技术导则土壤环境（试行）》中E.1.3中预测方法进行计算。</w:t>
      </w:r>
    </w:p>
    <w:p>
      <w:pPr>
        <w:pStyle w:val="114"/>
        <w:ind w:firstLine="480"/>
      </w:pPr>
      <w:r>
        <w:t>a、单位质量土壤中某种物质的增量可用下式计算：</w:t>
      </w:r>
    </w:p>
    <w:p>
      <w:pPr>
        <w:pStyle w:val="114"/>
        <w:spacing w:line="240" w:lineRule="auto"/>
        <w:ind w:firstLine="0" w:firstLineChars="0"/>
        <w:jc w:val="center"/>
      </w:pPr>
      <w:r>
        <w:drawing>
          <wp:inline distT="0" distB="0" distL="0" distR="0">
            <wp:extent cx="2547620" cy="243840"/>
            <wp:effectExtent l="0" t="0" r="5080" b="381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69" cstate="print"/>
                    <a:srcRect/>
                    <a:stretch>
                      <a:fillRect/>
                    </a:stretch>
                  </pic:blipFill>
                  <pic:spPr>
                    <a:xfrm>
                      <a:off x="0" y="0"/>
                      <a:ext cx="2547620" cy="243840"/>
                    </a:xfrm>
                    <a:prstGeom prst="rect">
                      <a:avLst/>
                    </a:prstGeom>
                    <a:noFill/>
                    <a:ln w="9525">
                      <a:noFill/>
                      <a:miter lim="800000"/>
                      <a:headEnd/>
                      <a:tailEnd/>
                    </a:ln>
                  </pic:spPr>
                </pic:pic>
              </a:graphicData>
            </a:graphic>
          </wp:inline>
        </w:drawing>
      </w:r>
    </w:p>
    <w:p>
      <w:pPr>
        <w:pStyle w:val="114"/>
        <w:ind w:firstLine="480"/>
      </w:pPr>
      <w:r>
        <w:t>式中：</w:t>
      </w:r>
      <w:r>
        <w:rPr>
          <w:i/>
          <w:iCs/>
        </w:rPr>
        <w:t>ΔS</w:t>
      </w:r>
      <w:r>
        <w:t>——单位质量表层土壤中某种物质的增量，g/kg；</w:t>
      </w:r>
    </w:p>
    <w:p>
      <w:pPr>
        <w:pStyle w:val="114"/>
        <w:ind w:firstLine="1200" w:firstLineChars="500"/>
      </w:pPr>
      <w:r>
        <w:t>表层土壤中游离酸或游离碱浓度增量，mmol/kg；</w:t>
      </w:r>
    </w:p>
    <w:p>
      <w:pPr>
        <w:pStyle w:val="114"/>
        <w:ind w:firstLine="1200" w:firstLineChars="500"/>
      </w:pPr>
      <w:r>
        <w:rPr>
          <w:i/>
          <w:iCs/>
        </w:rPr>
        <w:t>I</w:t>
      </w:r>
      <w:r>
        <w:t>S ——预测评价范围内单位年份表层土壤中某种物质的输入量，g；</w:t>
      </w:r>
    </w:p>
    <w:p>
      <w:pPr>
        <w:pStyle w:val="114"/>
        <w:ind w:firstLine="1200" w:firstLineChars="500"/>
      </w:pPr>
      <w:r>
        <w:t>预测评价范围内单位年份表层土壤中游离酸、游离碱输入量，mmol；</w:t>
      </w:r>
    </w:p>
    <w:p>
      <w:pPr>
        <w:pStyle w:val="114"/>
        <w:ind w:firstLine="1200" w:firstLineChars="500"/>
      </w:pPr>
      <w:r>
        <w:rPr>
          <w:i/>
          <w:iCs/>
        </w:rPr>
        <w:t>L</w:t>
      </w:r>
      <w:r>
        <w:t>S——预测评价范围内单位年份表层土壤中某种物质经淋溶排出的量，g；</w:t>
      </w:r>
    </w:p>
    <w:p>
      <w:pPr>
        <w:pStyle w:val="114"/>
        <w:ind w:firstLine="1200" w:firstLineChars="500"/>
      </w:pPr>
      <w:r>
        <w:t>预测评价范围内单位年份表层土壤中经淋溶排出的游离酸、游离碱的量，mmol；</w:t>
      </w:r>
    </w:p>
    <w:p>
      <w:pPr>
        <w:pStyle w:val="114"/>
        <w:ind w:firstLine="1200" w:firstLineChars="500"/>
      </w:pPr>
      <w:r>
        <w:rPr>
          <w:i/>
          <w:iCs/>
        </w:rPr>
        <w:t>R</w:t>
      </w:r>
      <w:r>
        <w:t>S——预测评价范围内单位年份表层土壤中某种物质经径流排出的量，g；</w:t>
      </w:r>
    </w:p>
    <w:p>
      <w:pPr>
        <w:pStyle w:val="114"/>
        <w:ind w:firstLine="1200" w:firstLineChars="500"/>
      </w:pPr>
      <w:r>
        <w:t>预测评价范围内单位年份表层土壤中经径流排出的游离酸、游离碱的量，mmol；</w:t>
      </w:r>
    </w:p>
    <w:p>
      <w:pPr>
        <w:pStyle w:val="114"/>
        <w:ind w:firstLine="1200" w:firstLineChars="500"/>
      </w:pPr>
      <w:r>
        <w:rPr>
          <w:i/>
          <w:iCs/>
        </w:rPr>
        <w:t>ρ</w:t>
      </w:r>
      <w:r>
        <w:t>b——表层土壤容重，kg/m</w:t>
      </w:r>
      <w:r>
        <w:rPr>
          <w:vertAlign w:val="superscript"/>
        </w:rPr>
        <w:t>3</w:t>
      </w:r>
      <w:r>
        <w:t>。</w:t>
      </w:r>
    </w:p>
    <w:p>
      <w:pPr>
        <w:pStyle w:val="114"/>
        <w:ind w:firstLine="1200" w:firstLineChars="500"/>
      </w:pPr>
      <w:r>
        <w:rPr>
          <w:i/>
          <w:iCs/>
        </w:rPr>
        <w:t>A</w:t>
      </w:r>
      <w:r>
        <w:t>——预测评价范围，m</w:t>
      </w:r>
      <w:r>
        <w:rPr>
          <w:vertAlign w:val="superscript"/>
        </w:rPr>
        <w:t>2</w:t>
      </w:r>
      <w:r>
        <w:t>。</w:t>
      </w:r>
    </w:p>
    <w:p>
      <w:pPr>
        <w:pStyle w:val="114"/>
        <w:ind w:firstLine="1200" w:firstLineChars="500"/>
      </w:pPr>
      <w:r>
        <w:rPr>
          <w:i/>
          <w:iCs/>
        </w:rPr>
        <w:t>D</w:t>
      </w:r>
      <w:r>
        <w:t>——表层土壤深度，一般取0.2m，可根据实际情况适当调整；</w:t>
      </w:r>
    </w:p>
    <w:p>
      <w:pPr>
        <w:pStyle w:val="114"/>
        <w:ind w:firstLine="1200" w:firstLineChars="500"/>
      </w:pPr>
      <w:r>
        <w:rPr>
          <w:i/>
          <w:iCs/>
        </w:rPr>
        <w:t>n</w:t>
      </w:r>
      <w:r>
        <w:t>——持续年份，a。</w:t>
      </w:r>
    </w:p>
    <w:p>
      <w:pPr>
        <w:pStyle w:val="114"/>
        <w:ind w:firstLine="1200" w:firstLineChars="500"/>
      </w:pPr>
      <w:r>
        <w:t>b、单位质量土壤中某种物质的预测值可根据其增量叠加现状值进行计算：</w:t>
      </w:r>
    </w:p>
    <w:p>
      <w:pPr>
        <w:pStyle w:val="114"/>
        <w:spacing w:line="240" w:lineRule="auto"/>
        <w:ind w:firstLine="0" w:firstLineChars="0"/>
        <w:jc w:val="center"/>
      </w:pPr>
      <w:r>
        <w:drawing>
          <wp:inline distT="0" distB="0" distL="0" distR="0">
            <wp:extent cx="1073150" cy="231140"/>
            <wp:effectExtent l="0" t="0" r="12700" b="1651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70" cstate="print"/>
                    <a:srcRect/>
                    <a:stretch>
                      <a:fillRect/>
                    </a:stretch>
                  </pic:blipFill>
                  <pic:spPr>
                    <a:xfrm>
                      <a:off x="0" y="0"/>
                      <a:ext cx="1073150" cy="231140"/>
                    </a:xfrm>
                    <a:prstGeom prst="rect">
                      <a:avLst/>
                    </a:prstGeom>
                    <a:noFill/>
                    <a:ln w="9525">
                      <a:noFill/>
                      <a:miter lim="800000"/>
                      <a:headEnd/>
                      <a:tailEnd/>
                    </a:ln>
                  </pic:spPr>
                </pic:pic>
              </a:graphicData>
            </a:graphic>
          </wp:inline>
        </w:drawing>
      </w:r>
    </w:p>
    <w:p>
      <w:pPr>
        <w:pStyle w:val="114"/>
        <w:ind w:left="480" w:firstLine="0" w:firstLineChars="0"/>
      </w:pPr>
      <w:r>
        <w:t>式中：Sb——单位质量土壤中某种物质的现状值，g/kg；</w:t>
      </w:r>
    </w:p>
    <w:p>
      <w:pPr>
        <w:pStyle w:val="114"/>
        <w:ind w:firstLine="1200" w:firstLineChars="500"/>
      </w:pPr>
      <w:r>
        <w:t>S——单位质量土壤中某种物质的预测值，g/kg。</w:t>
      </w:r>
    </w:p>
    <w:p>
      <w:pPr>
        <w:pStyle w:val="114"/>
        <w:ind w:firstLine="480"/>
      </w:pPr>
      <w:r>
        <w:t xml:space="preserve">参数选取： </w:t>
      </w:r>
    </w:p>
    <w:p>
      <w:pPr>
        <w:pStyle w:val="114"/>
        <w:ind w:left="480" w:firstLine="0" w:firstLineChars="0"/>
      </w:pPr>
      <w:r>
        <w:t>a、单位年份表层土壤中某种物质的输入量</w:t>
      </w:r>
      <w:r>
        <w:rPr>
          <w:i/>
          <w:iCs/>
        </w:rPr>
        <w:t>I</w:t>
      </w:r>
      <w:r>
        <w:t xml:space="preserve">S </w:t>
      </w:r>
    </w:p>
    <w:p>
      <w:pPr>
        <w:pStyle w:val="114"/>
        <w:ind w:firstLine="480"/>
      </w:pPr>
      <w:r>
        <w:t>根据预测，取值2kg；</w:t>
      </w:r>
    </w:p>
    <w:p>
      <w:pPr>
        <w:pStyle w:val="114"/>
        <w:ind w:firstLine="480"/>
      </w:pPr>
      <w:r>
        <w:t xml:space="preserve">b、土壤容重 </w:t>
      </w:r>
    </w:p>
    <w:p>
      <w:pPr>
        <w:pStyle w:val="114"/>
        <w:ind w:firstLine="480"/>
      </w:pPr>
      <w:r>
        <w:t>采用地理科学第3期第29卷中《成渝经济区的耕地土壤质量特点及保护对策》中提出的耕层土壤容重&gt;1350kg/m</w:t>
      </w:r>
      <w:r>
        <w:rPr>
          <w:vertAlign w:val="superscript"/>
        </w:rPr>
        <w:t>3</w:t>
      </w:r>
      <w:r>
        <w:t>，评价取值1350kg/m</w:t>
      </w:r>
      <w:r>
        <w:rPr>
          <w:vertAlign w:val="superscript"/>
        </w:rPr>
        <w:t>3</w:t>
      </w:r>
      <w:r>
        <w:t xml:space="preserve">。 </w:t>
      </w:r>
    </w:p>
    <w:p>
      <w:pPr>
        <w:pStyle w:val="114"/>
        <w:ind w:firstLine="480"/>
      </w:pPr>
      <w:r>
        <w:t xml:space="preserve">c、评价范围 </w:t>
      </w:r>
    </w:p>
    <w:p>
      <w:pPr>
        <w:pStyle w:val="114"/>
        <w:ind w:firstLine="480"/>
      </w:pPr>
      <w:r>
        <w:t>以污水缓冲罐罐底面积=3.14×1m×1m=3.14m</w:t>
      </w:r>
      <w:r>
        <w:rPr>
          <w:vertAlign w:val="superscript"/>
        </w:rPr>
        <w:t>2</w:t>
      </w:r>
      <w:r>
        <w:t xml:space="preserve">。 </w:t>
      </w:r>
    </w:p>
    <w:p>
      <w:pPr>
        <w:pStyle w:val="114"/>
        <w:ind w:firstLine="480"/>
      </w:pPr>
      <w:r>
        <w:t>预测</w:t>
      </w:r>
      <w:r>
        <w:rPr>
          <w:b/>
          <w:bCs/>
        </w:rPr>
        <w:t>ΔS</w:t>
      </w:r>
      <w:r>
        <w:t>值：采用《环境影响评价技术导则土壤环境（试行）》中E.1.3中预测方法及选取的参数，可计算：</w:t>
      </w:r>
    </w:p>
    <w:p>
      <w:pPr>
        <w:pStyle w:val="114"/>
        <w:ind w:firstLine="480"/>
      </w:pPr>
      <w:r>
        <w:t>土层中石油类增量</w:t>
      </w:r>
      <w:r>
        <w:rPr>
          <w:i/>
          <w:iCs/>
        </w:rPr>
        <w:t>ΔS</w:t>
      </w:r>
      <w:r>
        <w:t>石油类=5.024kg/（1350kg/m</w:t>
      </w:r>
      <w:r>
        <w:rPr>
          <w:vertAlign w:val="superscript"/>
        </w:rPr>
        <w:t>3</w:t>
      </w:r>
      <w:r>
        <w:t>×3.14m</w:t>
      </w:r>
      <w:r>
        <w:rPr>
          <w:vertAlign w:val="superscript"/>
        </w:rPr>
        <w:t>2</w:t>
      </w:r>
      <w:r>
        <w:t>×0.2m）=0.006g/kg；</w:t>
      </w:r>
    </w:p>
    <w:p>
      <w:pPr>
        <w:pStyle w:val="114"/>
        <w:ind w:firstLine="480"/>
      </w:pPr>
      <w:r>
        <w:t>预测值</w:t>
      </w:r>
      <w:r>
        <w:rPr>
          <w:b/>
          <w:bCs/>
        </w:rPr>
        <w:t>S</w:t>
      </w:r>
      <w:r>
        <w:t>值：根据本次评价阶段的土壤监测数据，石油类（石油烃）最大浓度为0.026g/kg，土层中石油类预测值</w:t>
      </w:r>
      <w:r>
        <w:rPr>
          <w:i/>
          <w:iCs/>
        </w:rPr>
        <w:t>S</w:t>
      </w:r>
      <w:r>
        <w:t>为0.032g/kg。满足《土壤环境质量 建设用地土壤污染风险管控标准（试行）》（GB36600-2018）第二类用地筛选值。</w:t>
      </w:r>
    </w:p>
    <w:p>
      <w:pPr>
        <w:pStyle w:val="114"/>
        <w:ind w:firstLine="482"/>
        <w:rPr>
          <w:b/>
          <w:bCs/>
        </w:rPr>
      </w:pPr>
      <w:r>
        <w:rPr>
          <w:b/>
          <w:bCs/>
        </w:rPr>
        <w:t>6、小结</w:t>
      </w:r>
    </w:p>
    <w:p>
      <w:pPr>
        <w:pStyle w:val="114"/>
        <w:ind w:firstLine="480"/>
      </w:pPr>
      <w:r>
        <w:t>本项目正常工况下基本不会对土壤造成影响，主要考虑污水缓冲罐破裂，引起事故泄漏形成垂直入渗，有可能对土壤环境产生污染影响。因此，环评要求建设单位须做好管道的防腐防渗措施，定期检修污水缓冲罐，及时发现并修护泄漏破损问题。</w:t>
      </w:r>
    </w:p>
    <w:p>
      <w:pPr>
        <w:pStyle w:val="114"/>
        <w:ind w:firstLine="480"/>
      </w:pPr>
      <w:r>
        <w:t>根据调查，川渝地区实施的地面试采项目，在采取了妥善防范措施的情况下，均未发现对土壤产生明显污染影响的情况，也没有接到关于土壤污染环保投诉的试采项目，也印证了采取防范措施的情况下站场运行过程中没有对土壤环境质量产生明显的负面影响。</w:t>
      </w:r>
    </w:p>
    <w:p>
      <w:pPr>
        <w:pStyle w:val="114"/>
        <w:ind w:firstLine="480"/>
      </w:pPr>
    </w:p>
    <w:p>
      <w:pPr>
        <w:pStyle w:val="6"/>
        <w:ind w:firstLine="480"/>
        <w:rPr>
          <w:rFonts w:ascii="Times New Roman" w:cs="Times New Roman"/>
        </w:rPr>
        <w:sectPr>
          <w:pgSz w:w="11906" w:h="16838"/>
          <w:pgMar w:top="1417" w:right="1417" w:bottom="1417" w:left="1701" w:header="851" w:footer="992" w:gutter="0"/>
          <w:pgBorders>
            <w:top w:val="none" w:sz="0" w:space="0"/>
            <w:left w:val="none" w:sz="0" w:space="0"/>
            <w:bottom w:val="none" w:sz="0" w:space="0"/>
            <w:right w:val="none" w:sz="0" w:space="0"/>
          </w:pgBorders>
          <w:cols w:space="425" w:num="1"/>
          <w:docGrid w:type="lines" w:linePitch="312" w:charSpace="0"/>
        </w:sectPr>
      </w:pPr>
    </w:p>
    <w:p>
      <w:pPr>
        <w:pStyle w:val="2"/>
        <w:spacing w:before="0" w:beforeAutospacing="0" w:after="0" w:afterAutospacing="0"/>
        <w:rPr>
          <w:rFonts w:eastAsia="宋体"/>
          <w:b w:val="0"/>
          <w:bCs/>
          <w:kern w:val="0"/>
        </w:rPr>
      </w:pPr>
      <w:bookmarkStart w:id="484" w:name="_Toc19816091"/>
      <w:bookmarkStart w:id="485" w:name="_Toc15848"/>
      <w:bookmarkStart w:id="486" w:name="_Hlk56973055"/>
      <w:r>
        <w:rPr>
          <w:rFonts w:eastAsia="宋体"/>
          <w:bCs/>
          <w:kern w:val="0"/>
        </w:rPr>
        <w:t>7 环境风险分析</w:t>
      </w:r>
      <w:bookmarkEnd w:id="484"/>
      <w:bookmarkEnd w:id="485"/>
    </w:p>
    <w:p>
      <w:pPr>
        <w:pStyle w:val="3"/>
        <w:spacing w:before="120"/>
        <w:rPr>
          <w:rFonts w:cs="Times New Roman"/>
        </w:rPr>
      </w:pPr>
      <w:bookmarkStart w:id="487" w:name="_Toc24349"/>
      <w:r>
        <w:rPr>
          <w:rFonts w:cs="Times New Roman"/>
        </w:rPr>
        <w:t>7.1 评价依据</w:t>
      </w:r>
      <w:bookmarkEnd w:id="487"/>
    </w:p>
    <w:p>
      <w:pPr>
        <w:pStyle w:val="114"/>
        <w:ind w:firstLine="480"/>
      </w:pPr>
      <w:r>
        <w:t>本环评按照《建设项目环境风险评价技术导则》（HJ169-2018）、《关于进一步加强环境影响评价管理防范环境风险的通知》（环发〔2012〕77号）和《关于切实加强风险防范严格环境影响评价管理的通知》（环发〔2012〕98号）的精神，对本项目环境风险进行分析评价。</w:t>
      </w:r>
    </w:p>
    <w:p>
      <w:pPr>
        <w:pStyle w:val="3"/>
        <w:spacing w:before="120"/>
        <w:rPr>
          <w:rFonts w:cs="Times New Roman"/>
        </w:rPr>
      </w:pPr>
      <w:bookmarkStart w:id="488" w:name="_Toc24486"/>
      <w:r>
        <w:rPr>
          <w:rFonts w:cs="Times New Roman"/>
        </w:rPr>
        <w:t>7.2 一般性原则</w:t>
      </w:r>
      <w:bookmarkEnd w:id="488"/>
    </w:p>
    <w:p>
      <w:pPr>
        <w:pStyle w:val="114"/>
        <w:ind w:firstLine="480"/>
      </w:pPr>
      <w:r>
        <w:t>根据《建设项目环境风险评价技术导则》（HJ169-2018），环境风险评价是以突发性事故导致的危险物质环境及损害防控为目标，对建设项目的环境风险进行分析、预测和评估，提出环境风险预防、控制、减缓措施，明确环境风险监控及应急建议要求，为建设项目环境风险防控提供科学依据。</w:t>
      </w:r>
    </w:p>
    <w:p>
      <w:pPr>
        <w:pStyle w:val="3"/>
        <w:spacing w:before="120"/>
        <w:rPr>
          <w:rFonts w:cs="Times New Roman"/>
        </w:rPr>
      </w:pPr>
      <w:bookmarkStart w:id="489" w:name="_Toc14853"/>
      <w:r>
        <w:rPr>
          <w:rFonts w:cs="Times New Roman"/>
        </w:rPr>
        <w:t>7.3 评价目的及重点</w:t>
      </w:r>
      <w:bookmarkEnd w:id="489"/>
    </w:p>
    <w:p>
      <w:pPr>
        <w:pStyle w:val="6"/>
        <w:ind w:firstLine="480"/>
        <w:rPr>
          <w:rFonts w:ascii="Times New Roman" w:cs="Times New Roman"/>
        </w:rPr>
      </w:pPr>
      <w:r>
        <w:rPr>
          <w:rFonts w:ascii="Times New Roman" w:cs="Times New Roman"/>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根据本项目工程特点和周围的环境状况，确定把风险带来的环境影响问题作为风险评价工作重点。</w:t>
      </w:r>
    </w:p>
    <w:p>
      <w:pPr>
        <w:pStyle w:val="6"/>
        <w:ind w:firstLine="480"/>
        <w:rPr>
          <w:rFonts w:ascii="Times New Roman" w:cs="Times New Roman"/>
        </w:rPr>
      </w:pPr>
      <w:r>
        <w:rPr>
          <w:rFonts w:ascii="Times New Roman" w:cs="Times New Roman"/>
        </w:rPr>
        <w:t>根据本项</w:t>
      </w:r>
      <w:bookmarkStart w:id="737" w:name="_GoBack"/>
      <w:bookmarkEnd w:id="737"/>
      <w:r>
        <w:rPr>
          <w:rFonts w:ascii="Times New Roman" w:cs="Times New Roman"/>
        </w:rPr>
        <w:t>目特点，本报告主要针对普光气田P108-2H、P108-3井钻井及试采工程井喷过程天然气泄漏及泄漏引发的火灾事故、天然气输气管线发生天然气泄漏及泄漏引发的火灾事故、压裂、洗井废水泄漏引发的水环境污染事故、爆炸事故燃烧过程中产生的伴生/次生污染物对环境的影响进行评价。</w:t>
      </w:r>
    </w:p>
    <w:p>
      <w:pPr>
        <w:pStyle w:val="3"/>
        <w:spacing w:before="120"/>
        <w:rPr>
          <w:rFonts w:cs="Times New Roman"/>
        </w:rPr>
      </w:pPr>
      <w:bookmarkStart w:id="490" w:name="bookmark55"/>
      <w:bookmarkEnd w:id="490"/>
      <w:bookmarkStart w:id="491" w:name="_Toc19816092"/>
      <w:bookmarkStart w:id="492" w:name="_Toc15786"/>
      <w:bookmarkStart w:id="493" w:name="_Toc12288718"/>
      <w:r>
        <w:rPr>
          <w:rFonts w:cs="Times New Roman"/>
        </w:rPr>
        <w:t>7.4 风险调查</w:t>
      </w:r>
      <w:bookmarkEnd w:id="491"/>
      <w:bookmarkEnd w:id="492"/>
      <w:bookmarkEnd w:id="493"/>
    </w:p>
    <w:p>
      <w:pPr>
        <w:pStyle w:val="4"/>
        <w:rPr>
          <w:rFonts w:eastAsia="宋体"/>
        </w:rPr>
      </w:pPr>
      <w:bookmarkStart w:id="494" w:name="bookmark56"/>
      <w:bookmarkEnd w:id="494"/>
      <w:bookmarkStart w:id="495" w:name="_Toc19816093"/>
      <w:bookmarkStart w:id="496" w:name="_Toc12288719"/>
      <w:r>
        <w:rPr>
          <w:rFonts w:eastAsia="宋体"/>
        </w:rPr>
        <w:t>7.</w:t>
      </w:r>
      <w:r>
        <w:rPr>
          <w:rFonts w:hint="eastAsia" w:eastAsia="宋体"/>
        </w:rPr>
        <w:t>4</w:t>
      </w:r>
      <w:r>
        <w:rPr>
          <w:rFonts w:eastAsia="宋体"/>
        </w:rPr>
        <w:t>.1 风险源</w:t>
      </w:r>
      <w:bookmarkEnd w:id="495"/>
      <w:bookmarkEnd w:id="496"/>
    </w:p>
    <w:p>
      <w:pPr>
        <w:pStyle w:val="6"/>
        <w:ind w:firstLine="480"/>
        <w:rPr>
          <w:rFonts w:ascii="Times New Roman" w:cs="Times New Roman"/>
        </w:rPr>
      </w:pPr>
      <w:r>
        <w:rPr>
          <w:rFonts w:ascii="Times New Roman" w:cs="Times New Roman"/>
        </w:rPr>
        <w:t>本项目是天然气试采工程，本项目输送的介质为含硫化氢天然气，同时本项目涉及柴油储存，项目涉及的主要危险有害物质为甲烷、硫化氢、柴油。根据《建设项目环境风险评价技术导则》（HJ169-2018）附录B，本项目重点关注的危险物质主要为甲烷临界量为10t；硫化氢临临界量为2.5t；柴油临界量为2500t。由于压裂、洗井废水不属于《建设项目环境风险评价技术导则》（HJ169-2018），附录B中重点关注的危险物质，根据分析压裂、洗井废水属于危害水环境物质，但不属于急性毒性类别1中物质。故不作为环境风险等级判定物质，本次评价仅对其在储存过程中的风险提出措施。</w:t>
      </w:r>
    </w:p>
    <w:p>
      <w:pPr>
        <w:pStyle w:val="4"/>
        <w:rPr>
          <w:rFonts w:eastAsia="宋体"/>
        </w:rPr>
      </w:pPr>
      <w:bookmarkStart w:id="497" w:name="bookmark57"/>
      <w:bookmarkEnd w:id="497"/>
      <w:bookmarkStart w:id="498" w:name="_Toc12288720"/>
      <w:bookmarkStart w:id="499" w:name="_Toc19816094"/>
      <w:r>
        <w:rPr>
          <w:rFonts w:eastAsia="宋体"/>
        </w:rPr>
        <w:t>7.</w:t>
      </w:r>
      <w:r>
        <w:rPr>
          <w:rFonts w:hint="eastAsia" w:eastAsia="宋体"/>
        </w:rPr>
        <w:t>4</w:t>
      </w:r>
      <w:r>
        <w:rPr>
          <w:rFonts w:eastAsia="宋体"/>
        </w:rPr>
        <w:t>.2 环境敏感目标</w:t>
      </w:r>
      <w:bookmarkEnd w:id="498"/>
      <w:bookmarkEnd w:id="499"/>
    </w:p>
    <w:p>
      <w:pPr>
        <w:pStyle w:val="6"/>
        <w:ind w:firstLine="480"/>
        <w:rPr>
          <w:rFonts w:ascii="Times New Roman" w:cs="Times New Roman"/>
        </w:rPr>
      </w:pPr>
      <w:r>
        <w:rPr>
          <w:rFonts w:ascii="Times New Roman" w:cs="Times New Roman"/>
        </w:rPr>
        <w:t>通过现场踏勘，对管道主要环境风险敏感点进行调查，调查结果见章节——</w:t>
      </w:r>
      <w:r>
        <w:rPr>
          <w:rFonts w:ascii="Times New Roman" w:cs="Times New Roman"/>
          <w:b/>
          <w:bCs/>
        </w:rPr>
        <w:t>1.9.2环境保护目标</w:t>
      </w:r>
      <w:r>
        <w:rPr>
          <w:rFonts w:ascii="Times New Roman" w:cs="Times New Roman"/>
        </w:rPr>
        <w:t>。本项目在选址选线过程中就避开了居民集中区、风景名胜区、文物古迹等风险敏感点，项目的环境风险敏感点主要是P108</w:t>
      </w:r>
      <w:r>
        <w:rPr>
          <w:rFonts w:hint="eastAsia" w:ascii="Times New Roman" w:cs="Times New Roman"/>
        </w:rPr>
        <w:t>集气站</w:t>
      </w:r>
      <w:r>
        <w:rPr>
          <w:rFonts w:ascii="Times New Roman" w:cs="Times New Roman"/>
        </w:rPr>
        <w:t>5km范围内的居住户、社会关注点等。</w:t>
      </w:r>
    </w:p>
    <w:p>
      <w:pPr>
        <w:pStyle w:val="3"/>
        <w:spacing w:before="120"/>
        <w:rPr>
          <w:rFonts w:cs="Times New Roman"/>
        </w:rPr>
      </w:pPr>
      <w:bookmarkStart w:id="500" w:name="bookmark58"/>
      <w:bookmarkEnd w:id="500"/>
      <w:bookmarkStart w:id="501" w:name="_Toc18019"/>
      <w:bookmarkStart w:id="502" w:name="_Toc12288721"/>
      <w:bookmarkStart w:id="503" w:name="_Toc19816095"/>
      <w:r>
        <w:rPr>
          <w:rFonts w:cs="Times New Roman"/>
        </w:rPr>
        <w:t>7.</w:t>
      </w:r>
      <w:r>
        <w:rPr>
          <w:rFonts w:hint="eastAsia" w:cs="Times New Roman"/>
        </w:rPr>
        <w:t>5</w:t>
      </w:r>
      <w:r>
        <w:rPr>
          <w:rFonts w:cs="Times New Roman"/>
        </w:rPr>
        <w:t>环境风险潜势判定</w:t>
      </w:r>
      <w:bookmarkEnd w:id="501"/>
      <w:bookmarkEnd w:id="502"/>
      <w:bookmarkEnd w:id="503"/>
    </w:p>
    <w:p>
      <w:pPr>
        <w:pStyle w:val="6"/>
        <w:ind w:firstLine="480"/>
        <w:rPr>
          <w:rFonts w:ascii="Times New Roman" w:cs="Times New Roman"/>
        </w:rPr>
      </w:pPr>
      <w:r>
        <w:rPr>
          <w:rFonts w:ascii="Times New Roman" w:cs="Times New Roman"/>
        </w:rPr>
        <w:t>根据建设项目涉及的物质及工艺系统的危险性及其所在地的环境敏感程度，结合事故情形下环境硬性途径，对建设项目潜在环境危害程度进行概化分析，按下表确定环境风险潜势。</w:t>
      </w:r>
    </w:p>
    <w:p>
      <w:pPr>
        <w:topLinePunct w:val="0"/>
        <w:adjustRightInd/>
        <w:ind w:firstLine="0" w:firstLineChars="0"/>
        <w:jc w:val="center"/>
        <w:rPr>
          <w:rFonts w:ascii="Times New Roman" w:cs="Times New Roman"/>
          <w:b/>
          <w:bCs/>
          <w:kern w:val="2"/>
          <w:sz w:val="21"/>
        </w:rPr>
      </w:pPr>
      <w:r>
        <w:rPr>
          <w:rFonts w:ascii="Times New Roman" w:cs="Times New Roman"/>
          <w:b/>
          <w:kern w:val="2"/>
          <w:sz w:val="21"/>
        </w:rPr>
        <w:t>表7.</w:t>
      </w:r>
      <w:r>
        <w:rPr>
          <w:rFonts w:hint="eastAsia" w:ascii="Times New Roman" w:cs="Times New Roman"/>
          <w:b/>
          <w:kern w:val="2"/>
          <w:sz w:val="21"/>
        </w:rPr>
        <w:t>5</w:t>
      </w:r>
      <w:r>
        <w:rPr>
          <w:rFonts w:ascii="Times New Roman" w:cs="Times New Roman"/>
          <w:b/>
          <w:kern w:val="2"/>
          <w:sz w:val="21"/>
        </w:rPr>
        <w:t xml:space="preserve">-1   </w:t>
      </w:r>
      <w:r>
        <w:rPr>
          <w:rFonts w:ascii="Times New Roman" w:cs="Times New Roman"/>
          <w:b/>
          <w:bCs/>
          <w:kern w:val="2"/>
          <w:sz w:val="21"/>
        </w:rPr>
        <w:t>建设项目风险潜势的划分</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11"/>
        <w:gridCol w:w="1638"/>
        <w:gridCol w:w="1770"/>
        <w:gridCol w:w="1541"/>
        <w:gridCol w:w="17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62" w:type="dxa"/>
            <w:vMerge w:val="restart"/>
            <w:vAlign w:val="center"/>
          </w:tcPr>
          <w:p>
            <w:pPr>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环境敏感程度（E）</w:t>
            </w:r>
          </w:p>
        </w:tc>
        <w:tc>
          <w:tcPr>
            <w:tcW w:w="6560" w:type="dxa"/>
            <w:gridSpan w:val="4"/>
            <w:vAlign w:val="center"/>
          </w:tcPr>
          <w:p>
            <w:pPr>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危险物质及工艺系统危险性（P）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vAlign w:val="center"/>
          </w:tcPr>
          <w:p>
            <w:pPr>
              <w:widowControl/>
              <w:topLinePunct w:val="0"/>
              <w:snapToGrid w:val="0"/>
              <w:spacing w:line="240" w:lineRule="auto"/>
              <w:ind w:firstLine="0" w:firstLineChars="0"/>
              <w:jc w:val="center"/>
              <w:rPr>
                <w:rFonts w:ascii="Times New Roman" w:cs="Times New Roman"/>
                <w:b/>
                <w:kern w:val="2"/>
                <w:sz w:val="21"/>
                <w:szCs w:val="21"/>
              </w:rPr>
            </w:pPr>
          </w:p>
        </w:tc>
        <w:tc>
          <w:tcPr>
            <w:tcW w:w="1598" w:type="dxa"/>
            <w:vAlign w:val="center"/>
          </w:tcPr>
          <w:p>
            <w:pPr>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极高危害（P1）</w:t>
            </w:r>
          </w:p>
        </w:tc>
        <w:tc>
          <w:tcPr>
            <w:tcW w:w="1727" w:type="dxa"/>
            <w:vAlign w:val="center"/>
          </w:tcPr>
          <w:p>
            <w:pPr>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高度危害（P2）</w:t>
            </w:r>
          </w:p>
        </w:tc>
        <w:tc>
          <w:tcPr>
            <w:tcW w:w="1504" w:type="dxa"/>
            <w:vAlign w:val="center"/>
          </w:tcPr>
          <w:p>
            <w:pPr>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中度危害（P3）</w:t>
            </w:r>
          </w:p>
        </w:tc>
        <w:tc>
          <w:tcPr>
            <w:tcW w:w="1731" w:type="dxa"/>
            <w:vAlign w:val="center"/>
          </w:tcPr>
          <w:p>
            <w:pPr>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轻度危害（P4）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62" w:type="dxa"/>
            <w:vAlign w:val="center"/>
          </w:tcPr>
          <w:p>
            <w:pPr>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环境高度敏感区（E1）</w:t>
            </w:r>
          </w:p>
        </w:tc>
        <w:tc>
          <w:tcPr>
            <w:tcW w:w="1598" w:type="dxa"/>
            <w:vAlign w:val="center"/>
          </w:tcPr>
          <w:p>
            <w:pPr>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Ⅳ</w:t>
            </w:r>
            <w:r>
              <w:rPr>
                <w:rFonts w:ascii="Times New Roman" w:cs="Times New Roman"/>
                <w:kern w:val="2"/>
                <w:sz w:val="21"/>
                <w:szCs w:val="21"/>
                <w:vertAlign w:val="superscript"/>
              </w:rPr>
              <w:t>+</w:t>
            </w:r>
          </w:p>
        </w:tc>
        <w:tc>
          <w:tcPr>
            <w:tcW w:w="1727" w:type="dxa"/>
            <w:vAlign w:val="center"/>
          </w:tcPr>
          <w:p>
            <w:pPr>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Ⅳ</w:t>
            </w:r>
          </w:p>
        </w:tc>
        <w:tc>
          <w:tcPr>
            <w:tcW w:w="1504" w:type="dxa"/>
            <w:vAlign w:val="center"/>
          </w:tcPr>
          <w:p>
            <w:pPr>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Ⅲ</w:t>
            </w:r>
          </w:p>
        </w:tc>
        <w:tc>
          <w:tcPr>
            <w:tcW w:w="1731" w:type="dxa"/>
            <w:vAlign w:val="center"/>
          </w:tcPr>
          <w:p>
            <w:pPr>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62" w:type="dxa"/>
            <w:vAlign w:val="center"/>
          </w:tcPr>
          <w:p>
            <w:pPr>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环境中度敏感区（E2）</w:t>
            </w:r>
          </w:p>
        </w:tc>
        <w:tc>
          <w:tcPr>
            <w:tcW w:w="1598" w:type="dxa"/>
            <w:vAlign w:val="center"/>
          </w:tcPr>
          <w:p>
            <w:pPr>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Ⅳ</w:t>
            </w:r>
          </w:p>
        </w:tc>
        <w:tc>
          <w:tcPr>
            <w:tcW w:w="1727" w:type="dxa"/>
            <w:vAlign w:val="center"/>
          </w:tcPr>
          <w:p>
            <w:pPr>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Ⅲ</w:t>
            </w:r>
          </w:p>
        </w:tc>
        <w:tc>
          <w:tcPr>
            <w:tcW w:w="1504" w:type="dxa"/>
            <w:vAlign w:val="center"/>
          </w:tcPr>
          <w:p>
            <w:pPr>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Ⅲ</w:t>
            </w:r>
          </w:p>
        </w:tc>
        <w:tc>
          <w:tcPr>
            <w:tcW w:w="1731" w:type="dxa"/>
            <w:vAlign w:val="center"/>
          </w:tcPr>
          <w:p>
            <w:pPr>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62" w:type="dxa"/>
            <w:vAlign w:val="center"/>
          </w:tcPr>
          <w:p>
            <w:pPr>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环境低度敏感区（E3）</w:t>
            </w:r>
          </w:p>
        </w:tc>
        <w:tc>
          <w:tcPr>
            <w:tcW w:w="1598" w:type="dxa"/>
            <w:vAlign w:val="center"/>
          </w:tcPr>
          <w:p>
            <w:pPr>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Ⅲ</w:t>
            </w:r>
          </w:p>
        </w:tc>
        <w:tc>
          <w:tcPr>
            <w:tcW w:w="1727" w:type="dxa"/>
            <w:vAlign w:val="center"/>
          </w:tcPr>
          <w:p>
            <w:pPr>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Ⅲ</w:t>
            </w:r>
          </w:p>
        </w:tc>
        <w:tc>
          <w:tcPr>
            <w:tcW w:w="1504" w:type="dxa"/>
            <w:vAlign w:val="center"/>
          </w:tcPr>
          <w:p>
            <w:pPr>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Ⅱ</w:t>
            </w:r>
          </w:p>
        </w:tc>
        <w:tc>
          <w:tcPr>
            <w:tcW w:w="1731" w:type="dxa"/>
            <w:vAlign w:val="center"/>
          </w:tcPr>
          <w:p>
            <w:pPr>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22" w:type="dxa"/>
            <w:gridSpan w:val="5"/>
            <w:vAlign w:val="center"/>
          </w:tcPr>
          <w:p>
            <w:pPr>
              <w:topLinePunct w:val="0"/>
              <w:snapToGrid w:val="0"/>
              <w:spacing w:line="240" w:lineRule="auto"/>
              <w:ind w:firstLine="0" w:firstLineChars="0"/>
              <w:rPr>
                <w:rFonts w:ascii="Times New Roman" w:cs="Times New Roman"/>
                <w:kern w:val="2"/>
                <w:sz w:val="21"/>
                <w:szCs w:val="21"/>
              </w:rPr>
            </w:pPr>
            <w:r>
              <w:rPr>
                <w:rFonts w:ascii="Times New Roman" w:cs="Times New Roman"/>
                <w:kern w:val="2"/>
                <w:sz w:val="21"/>
                <w:szCs w:val="21"/>
              </w:rPr>
              <w:t>注：Ⅳ</w:t>
            </w:r>
            <w:r>
              <w:rPr>
                <w:rFonts w:ascii="Times New Roman" w:cs="Times New Roman"/>
                <w:kern w:val="2"/>
                <w:sz w:val="21"/>
                <w:szCs w:val="21"/>
                <w:vertAlign w:val="superscript"/>
              </w:rPr>
              <w:t>+</w:t>
            </w:r>
            <w:r>
              <w:rPr>
                <w:rFonts w:ascii="Times New Roman" w:cs="Times New Roman"/>
                <w:kern w:val="2"/>
                <w:sz w:val="21"/>
                <w:szCs w:val="21"/>
              </w:rPr>
              <w:t>为极高环境风险。</w:t>
            </w:r>
          </w:p>
        </w:tc>
      </w:tr>
    </w:tbl>
    <w:p>
      <w:pPr>
        <w:pStyle w:val="6"/>
        <w:ind w:firstLine="482"/>
        <w:rPr>
          <w:rFonts w:ascii="Times New Roman" w:cs="Times New Roman"/>
        </w:rPr>
      </w:pPr>
      <w:r>
        <w:rPr>
          <w:rFonts w:hint="eastAsia" w:ascii="Times New Roman" w:cs="Times New Roman"/>
          <w:b/>
          <w:bCs/>
        </w:rPr>
        <w:t>（1）</w:t>
      </w:r>
      <w:r>
        <w:rPr>
          <w:rFonts w:ascii="Times New Roman" w:cs="Times New Roman"/>
          <w:b/>
          <w:bCs/>
        </w:rPr>
        <w:t>P的分级确定</w:t>
      </w:r>
    </w:p>
    <w:p>
      <w:pPr>
        <w:pStyle w:val="6"/>
        <w:ind w:firstLine="480"/>
        <w:rPr>
          <w:rFonts w:ascii="Times New Roman" w:cs="Times New Roman"/>
          <w:sz w:val="21"/>
          <w:szCs w:val="21"/>
        </w:rPr>
      </w:pPr>
      <w:r>
        <w:rPr>
          <w:rFonts w:ascii="Times New Roman" w:cs="Times New Roman"/>
        </w:rPr>
        <w:t>危险物质及工艺系统危险性（P）等级通过定量分析危险物质数量与临近量的比值（Q）和所属行业及生产工艺特点（M），再对照HJ169-2018附录C中表C.2，由Q和M两项因子确定P。</w:t>
      </w:r>
    </w:p>
    <w:p>
      <w:pPr>
        <w:pStyle w:val="114"/>
        <w:ind w:firstLine="482"/>
        <w:rPr>
          <w:b/>
          <w:bCs/>
        </w:rPr>
      </w:pPr>
      <w:r>
        <w:rPr>
          <w:b/>
          <w:bCs/>
        </w:rPr>
        <w:t>（</w:t>
      </w:r>
      <w:r>
        <w:rPr>
          <w:rFonts w:hint="eastAsia"/>
          <w:b/>
          <w:bCs/>
        </w:rPr>
        <w:t>2</w:t>
      </w:r>
      <w:r>
        <w:rPr>
          <w:b/>
          <w:bCs/>
        </w:rPr>
        <w:t>）危险物质数量与临近量的比值（Q）</w:t>
      </w:r>
    </w:p>
    <w:p>
      <w:pPr>
        <w:ind w:firstLine="480"/>
        <w:rPr>
          <w:rFonts w:ascii="Times New Roman" w:cs="Times New Roman"/>
        </w:rPr>
      </w:pPr>
      <w:r>
        <w:rPr>
          <w:rFonts w:ascii="Times New Roman" w:cs="Times New Roman"/>
        </w:rPr>
        <w:t>本项目大气环境危险物质主要</w:t>
      </w:r>
      <w:r>
        <w:rPr>
          <w:rFonts w:hint="eastAsia" w:ascii="Times New Roman" w:cs="Times New Roman"/>
          <w:lang w:eastAsia="zh-CN"/>
        </w:rPr>
        <w:t>涉及</w:t>
      </w:r>
      <w:r>
        <w:rPr>
          <w:rFonts w:ascii="Times New Roman" w:cs="Times New Roman"/>
        </w:rPr>
        <w:t>甲烷（CH</w:t>
      </w:r>
      <w:r>
        <w:rPr>
          <w:rFonts w:ascii="Times New Roman" w:cs="Times New Roman"/>
          <w:vertAlign w:val="subscript"/>
        </w:rPr>
        <w:t>4</w:t>
      </w:r>
      <w:r>
        <w:rPr>
          <w:rFonts w:ascii="Times New Roman" w:cs="Times New Roman"/>
        </w:rPr>
        <w:t>）、硫化氢（H</w:t>
      </w:r>
      <w:r>
        <w:rPr>
          <w:rFonts w:ascii="Times New Roman" w:cs="Times New Roman"/>
          <w:vertAlign w:val="subscript"/>
        </w:rPr>
        <w:t>2</w:t>
      </w:r>
      <w:r>
        <w:rPr>
          <w:rFonts w:ascii="Times New Roman" w:cs="Times New Roman"/>
        </w:rPr>
        <w:t>S）和油类（柴油、废油）三类物质。根据普光分公司提供的相关资料</w:t>
      </w:r>
      <w:r>
        <w:rPr>
          <w:rFonts w:hint="eastAsia" w:ascii="Times New Roman" w:cs="Times New Roman"/>
        </w:rPr>
        <w:t>以及</w:t>
      </w:r>
      <w:r>
        <w:rPr>
          <w:rFonts w:ascii="Times New Roman" w:cs="Times New Roman"/>
        </w:rPr>
        <w:t>气藏地质</w:t>
      </w:r>
      <w:r>
        <w:rPr>
          <w:rFonts w:hint="eastAsia" w:ascii="Times New Roman" w:cs="Times New Roman"/>
        </w:rPr>
        <w:t>和</w:t>
      </w:r>
      <w:r>
        <w:rPr>
          <w:rFonts w:ascii="Times New Roman" w:cs="Times New Roman"/>
        </w:rPr>
        <w:t>气藏工程可行性研究报告获悉</w:t>
      </w:r>
      <w:r>
        <w:rPr>
          <w:rFonts w:hint="eastAsia" w:ascii="Times New Roman" w:cs="Times New Roman"/>
        </w:rPr>
        <w:t>，无阻流量一般为设计配产的5倍</w:t>
      </w:r>
      <w:r>
        <w:rPr>
          <w:rFonts w:ascii="Times New Roman" w:cs="Times New Roman"/>
        </w:rPr>
        <w:t>，</w:t>
      </w:r>
      <w:r>
        <w:rPr>
          <w:rFonts w:hint="eastAsia" w:ascii="Times New Roman" w:cs="Times New Roman"/>
        </w:rPr>
        <w:t>考虑P108</w:t>
      </w:r>
      <w:r>
        <w:rPr>
          <w:rFonts w:ascii="Times New Roman" w:cs="Times New Roman"/>
        </w:rPr>
        <w:t>-</w:t>
      </w:r>
      <w:r>
        <w:rPr>
          <w:rFonts w:hint="eastAsia" w:ascii="Times New Roman" w:cs="Times New Roman"/>
        </w:rPr>
        <w:t>2H、P108-3</w:t>
      </w:r>
      <w:r>
        <w:rPr>
          <w:rFonts w:ascii="Times New Roman" w:cs="Times New Roman"/>
        </w:rPr>
        <w:t>井</w:t>
      </w:r>
      <w:r>
        <w:rPr>
          <w:rFonts w:hint="eastAsia" w:ascii="Times New Roman" w:cs="Times New Roman"/>
        </w:rPr>
        <w:t>单井施工，因此</w:t>
      </w:r>
      <w:r>
        <w:rPr>
          <w:rFonts w:ascii="Times New Roman" w:cs="Times New Roman"/>
        </w:rPr>
        <w:t>酸化前无阻流量为</w:t>
      </w:r>
      <w:r>
        <w:rPr>
          <w:rFonts w:hint="eastAsia" w:ascii="Times New Roman" w:cs="Times New Roman"/>
        </w:rPr>
        <w:t>100</w:t>
      </w:r>
      <w:r>
        <w:rPr>
          <w:rFonts w:ascii="Times New Roman" w:cs="Times New Roman"/>
        </w:rPr>
        <w:t>×10</w:t>
      </w:r>
      <w:r>
        <w:rPr>
          <w:rFonts w:ascii="Times New Roman" w:cs="Times New Roman"/>
          <w:vertAlign w:val="superscript"/>
        </w:rPr>
        <w:t>4</w:t>
      </w:r>
      <w:r>
        <w:rPr>
          <w:rFonts w:ascii="Times New Roman" w:cs="Times New Roman"/>
        </w:rPr>
        <w:t>m</w:t>
      </w:r>
      <w:r>
        <w:rPr>
          <w:rFonts w:ascii="Times New Roman" w:cs="Times New Roman"/>
          <w:vertAlign w:val="superscript"/>
        </w:rPr>
        <w:t>3</w:t>
      </w:r>
      <w:r>
        <w:rPr>
          <w:rFonts w:ascii="Times New Roman" w:cs="Times New Roman"/>
        </w:rPr>
        <w:t>/d，15min井喷天然气量为</w:t>
      </w:r>
      <w:r>
        <w:rPr>
          <w:rFonts w:hint="eastAsia" w:ascii="Times New Roman" w:cs="Times New Roman"/>
        </w:rPr>
        <w:t>10417</w:t>
      </w:r>
      <w:r>
        <w:rPr>
          <w:rFonts w:ascii="Times New Roman" w:cs="Times New Roman"/>
        </w:rPr>
        <w:t>m</w:t>
      </w:r>
      <w:r>
        <w:rPr>
          <w:rFonts w:ascii="Times New Roman" w:cs="Times New Roman"/>
          <w:vertAlign w:val="superscript"/>
        </w:rPr>
        <w:t>3</w:t>
      </w:r>
      <w:r>
        <w:rPr>
          <w:rFonts w:ascii="Times New Roman" w:cs="Times New Roman"/>
        </w:rPr>
        <w:t>，按照环境风险管理规定，事故状态下在不超过15min内对井场可燃气体实施点火应急处置作业。H</w:t>
      </w:r>
      <w:r>
        <w:rPr>
          <w:rFonts w:ascii="Times New Roman" w:cs="Times New Roman"/>
          <w:vertAlign w:val="subscript"/>
        </w:rPr>
        <w:t>2</w:t>
      </w:r>
      <w:r>
        <w:rPr>
          <w:rFonts w:ascii="Times New Roman" w:cs="Times New Roman"/>
        </w:rPr>
        <w:t>S含量为</w:t>
      </w:r>
      <w:r>
        <w:rPr>
          <w:rFonts w:hint="eastAsia" w:ascii="Times New Roman" w:cs="Times New Roman"/>
        </w:rPr>
        <w:t>11.54</w:t>
      </w:r>
      <w:r>
        <w:rPr>
          <w:rFonts w:ascii="Times New Roman" w:cs="Times New Roman"/>
        </w:rPr>
        <w:t>mol％，</w:t>
      </w:r>
      <w:r>
        <w:rPr>
          <w:rFonts w:hint="eastAsia" w:ascii="Times New Roman" w:cs="Times New Roman"/>
        </w:rPr>
        <w:t>根据“表3.3-1 原料天然气气体组分表”估算H</w:t>
      </w:r>
      <w:r>
        <w:rPr>
          <w:rFonts w:hint="eastAsia" w:ascii="Times New Roman" w:cs="Times New Roman"/>
          <w:vertAlign w:val="subscript"/>
        </w:rPr>
        <w:t>2</w:t>
      </w:r>
      <w:r>
        <w:rPr>
          <w:rFonts w:hint="eastAsia" w:ascii="Times New Roman" w:cs="Times New Roman"/>
        </w:rPr>
        <w:t>S质量分数为18.2%</w:t>
      </w:r>
      <w:r>
        <w:rPr>
          <w:rFonts w:ascii="Times New Roman" w:cs="Times New Roman"/>
        </w:rPr>
        <w:t>，</w:t>
      </w:r>
      <w:r>
        <w:rPr>
          <w:rFonts w:hint="eastAsia" w:ascii="Times New Roman" w:cs="Times New Roman"/>
        </w:rPr>
        <w:t>因此</w:t>
      </w:r>
      <w:r>
        <w:rPr>
          <w:rFonts w:ascii="Times New Roman" w:cs="Times New Roman"/>
        </w:rPr>
        <w:t>15min井喷H</w:t>
      </w:r>
      <w:r>
        <w:rPr>
          <w:rFonts w:ascii="Times New Roman" w:cs="Times New Roman"/>
          <w:vertAlign w:val="subscript"/>
        </w:rPr>
        <w:t>2</w:t>
      </w:r>
      <w:r>
        <w:rPr>
          <w:rFonts w:ascii="Times New Roman" w:cs="Times New Roman"/>
        </w:rPr>
        <w:t>S量为</w:t>
      </w:r>
      <w:r>
        <w:rPr>
          <w:rFonts w:hint="eastAsia" w:ascii="Times New Roman" w:cs="Times New Roman"/>
        </w:rPr>
        <w:t>1.36</w:t>
      </w:r>
      <w:r>
        <w:rPr>
          <w:rFonts w:ascii="Times New Roman" w:cs="Times New Roman"/>
        </w:rPr>
        <w:t>t；CH</w:t>
      </w:r>
      <w:r>
        <w:rPr>
          <w:rFonts w:ascii="Times New Roman" w:cs="Times New Roman"/>
          <w:vertAlign w:val="subscript"/>
        </w:rPr>
        <w:t>4</w:t>
      </w:r>
      <w:r>
        <w:rPr>
          <w:rFonts w:ascii="Times New Roman" w:cs="Times New Roman"/>
        </w:rPr>
        <w:t>含量为74.33mol％</w:t>
      </w:r>
      <w:r>
        <w:rPr>
          <w:rFonts w:hint="eastAsia" w:ascii="Times New Roman" w:cs="Times New Roman"/>
        </w:rPr>
        <w:t>，</w:t>
      </w:r>
      <w:r>
        <w:rPr>
          <w:rFonts w:ascii="Times New Roman" w:cs="Times New Roman"/>
        </w:rPr>
        <w:t>根据“表3.3-1 原料天然气气体组分表”估算</w:t>
      </w:r>
      <w:r>
        <w:rPr>
          <w:rFonts w:hint="eastAsia" w:ascii="Times New Roman" w:cs="Times New Roman"/>
        </w:rPr>
        <w:t>CH</w:t>
      </w:r>
      <w:r>
        <w:rPr>
          <w:rFonts w:hint="eastAsia" w:ascii="Times New Roman" w:cs="Times New Roman"/>
          <w:vertAlign w:val="subscript"/>
        </w:rPr>
        <w:t>4</w:t>
      </w:r>
      <w:r>
        <w:rPr>
          <w:rFonts w:ascii="Times New Roman" w:cs="Times New Roman"/>
        </w:rPr>
        <w:t>质量分数为</w:t>
      </w:r>
      <w:r>
        <w:rPr>
          <w:rFonts w:hint="eastAsia" w:ascii="Times New Roman" w:cs="Times New Roman"/>
        </w:rPr>
        <w:t>54.8</w:t>
      </w:r>
      <w:r>
        <w:rPr>
          <w:rFonts w:ascii="Times New Roman" w:cs="Times New Roman"/>
        </w:rPr>
        <w:t>%</w:t>
      </w:r>
      <w:r>
        <w:rPr>
          <w:rFonts w:hint="eastAsia" w:ascii="Times New Roman" w:cs="Times New Roman"/>
        </w:rPr>
        <w:t>，</w:t>
      </w:r>
      <w:r>
        <w:rPr>
          <w:rFonts w:ascii="Times New Roman" w:cs="Times New Roman"/>
        </w:rPr>
        <w:t>即15min井喷</w:t>
      </w:r>
      <w:r>
        <w:rPr>
          <w:rFonts w:hint="eastAsia" w:ascii="Times New Roman" w:cs="Times New Roman"/>
        </w:rPr>
        <w:t>天然气中</w:t>
      </w:r>
      <w:r>
        <w:rPr>
          <w:rFonts w:ascii="Times New Roman" w:cs="Times New Roman"/>
        </w:rPr>
        <w:t>CH</w:t>
      </w:r>
      <w:r>
        <w:rPr>
          <w:rFonts w:ascii="Times New Roman" w:cs="Times New Roman"/>
          <w:vertAlign w:val="subscript"/>
        </w:rPr>
        <w:t>4</w:t>
      </w:r>
      <w:r>
        <w:rPr>
          <w:rFonts w:ascii="Times New Roman" w:cs="Times New Roman"/>
        </w:rPr>
        <w:t>量为</w:t>
      </w:r>
      <w:r>
        <w:rPr>
          <w:rFonts w:hint="eastAsia" w:ascii="Times New Roman" w:cs="Times New Roman"/>
        </w:rPr>
        <w:t>4.10</w:t>
      </w:r>
      <w:r>
        <w:rPr>
          <w:rFonts w:ascii="Times New Roman" w:cs="Times New Roman"/>
        </w:rPr>
        <w:t>t。</w:t>
      </w:r>
    </w:p>
    <w:p>
      <w:pPr>
        <w:ind w:firstLine="480"/>
        <w:rPr>
          <w:rFonts w:ascii="Times New Roman" w:cs="Times New Roman"/>
        </w:rPr>
      </w:pPr>
      <w:r>
        <w:rPr>
          <w:rFonts w:ascii="Times New Roman" w:cs="Times New Roman"/>
        </w:rPr>
        <w:t>施工期：本项目事故时CH</w:t>
      </w:r>
      <w:r>
        <w:rPr>
          <w:rFonts w:ascii="Times New Roman" w:cs="Times New Roman"/>
          <w:vertAlign w:val="subscript"/>
        </w:rPr>
        <w:t>4</w:t>
      </w:r>
      <w:r>
        <w:rPr>
          <w:rFonts w:ascii="Times New Roman" w:cs="Times New Roman"/>
        </w:rPr>
        <w:t>泄露量为</w:t>
      </w:r>
      <w:r>
        <w:rPr>
          <w:rFonts w:hint="eastAsia" w:ascii="Times New Roman" w:cs="Times New Roman"/>
        </w:rPr>
        <w:t>4.10</w:t>
      </w:r>
      <w:r>
        <w:rPr>
          <w:rFonts w:ascii="Times New Roman" w:cs="Times New Roman"/>
        </w:rPr>
        <w:t>t，小于其临界量10t；硫化氢泄露量为</w:t>
      </w:r>
      <w:r>
        <w:rPr>
          <w:rFonts w:hint="eastAsia" w:ascii="Times New Roman" w:cs="Times New Roman"/>
        </w:rPr>
        <w:t>1.36</w:t>
      </w:r>
      <w:r>
        <w:rPr>
          <w:rFonts w:ascii="Times New Roman" w:cs="Times New Roman"/>
        </w:rPr>
        <w:t xml:space="preserve">t，小于其临界量2.5t。钻井阶段现场柴油储存、使用量最大为4t；废油最大存在量为0.1t，远小于油类物质临界量为2500t。 </w:t>
      </w:r>
    </w:p>
    <w:p>
      <w:pPr>
        <w:ind w:firstLine="480"/>
        <w:rPr>
          <w:rFonts w:ascii="Times New Roman" w:cs="Times New Roman"/>
        </w:rPr>
      </w:pPr>
      <w:r>
        <w:rPr>
          <w:rFonts w:ascii="Times New Roman" w:cs="Times New Roman"/>
        </w:rPr>
        <w:t>试采期：根据工程设计获悉，P</w:t>
      </w:r>
      <w:r>
        <w:rPr>
          <w:rFonts w:hint="eastAsia" w:ascii="Times New Roman" w:cs="Times New Roman"/>
        </w:rPr>
        <w:t>108</w:t>
      </w:r>
      <w:r>
        <w:rPr>
          <w:rFonts w:ascii="Times New Roman" w:cs="Times New Roman"/>
        </w:rPr>
        <w:t>集气站内只新建</w:t>
      </w:r>
      <w:r>
        <w:rPr>
          <w:rFonts w:hint="eastAsia" w:ascii="Times New Roman" w:cs="Times New Roman"/>
        </w:rPr>
        <w:t>P108-2H、P108-3</w:t>
      </w:r>
      <w:r>
        <w:rPr>
          <w:rFonts w:ascii="Times New Roman" w:cs="Times New Roman"/>
        </w:rPr>
        <w:t>井采气井口、二级节流阀，不设置在线量工艺设备，站内链接管线长度较短、管径较小，在线天然可忽略不计，故拟建工程内容不涉及风险物质在线。</w:t>
      </w:r>
    </w:p>
    <w:p>
      <w:pPr>
        <w:pStyle w:val="114"/>
        <w:ind w:firstLine="480"/>
      </w:pPr>
      <w:r>
        <w:t>根据《建设项目环境风险评价技术导则》（HJ169-2018）中关于环境风险评价工作等级的划分方法，本项目井喷泄漏的天然气和酸气管线输送的介质为含硫天然气，燃气管线输送的介质为净化后天然气，项目涉及的主要危险有害物质为甲烷、硫化氢和</w:t>
      </w:r>
      <w:bookmarkStart w:id="504" w:name="OLE_LINK106"/>
      <w:bookmarkStart w:id="505" w:name="OLE_LINK105"/>
      <w:r>
        <w:t>压裂、洗井废水</w:t>
      </w:r>
      <w:bookmarkEnd w:id="504"/>
      <w:bookmarkEnd w:id="505"/>
      <w:r>
        <w:t>。由于压裂、洗井废水不属于《建设项目风险评价技术导则》（HJ169-2018），附录B中重点关注的危险物质，根据分析压裂、洗井废水属于危害水环境物质，但不属于急性毒性类别1中物质。故不作为环境风险等级判定物质，本次评价仅对其在储存过程中的风险提出措施。</w:t>
      </w:r>
    </w:p>
    <w:p>
      <w:pPr>
        <w:pStyle w:val="39"/>
        <w:ind w:firstLine="480"/>
        <w:rPr>
          <w:rFonts w:cs="Times New Roman"/>
        </w:rPr>
      </w:pPr>
      <w:r>
        <w:rPr>
          <w:rFonts w:cs="Times New Roman"/>
        </w:rPr>
        <w:t>表7.</w:t>
      </w:r>
      <w:r>
        <w:rPr>
          <w:rFonts w:hint="eastAsia" w:cs="Times New Roman"/>
        </w:rPr>
        <w:t>5</w:t>
      </w:r>
      <w:r>
        <w:rPr>
          <w:rFonts w:cs="Times New Roman"/>
        </w:rPr>
        <w:t>-2  本项目评价单元危险物质最大存在量</w:t>
      </w:r>
    </w:p>
    <w:tbl>
      <w:tblPr>
        <w:tblStyle w:val="59"/>
        <w:tblW w:w="485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1733"/>
        <w:gridCol w:w="1457"/>
        <w:gridCol w:w="3061"/>
        <w:gridCol w:w="144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8" w:type="dxa"/>
            <w:tcBorders>
              <w:top w:val="single" w:color="auto" w:sz="12" w:space="0"/>
            </w:tcBorders>
            <w:shd w:val="clear" w:color="auto" w:fill="auto"/>
            <w:vAlign w:val="center"/>
          </w:tcPr>
          <w:p>
            <w:pPr>
              <w:pStyle w:val="134"/>
              <w:rPr>
                <w:b/>
                <w:bCs/>
              </w:rPr>
            </w:pPr>
            <w:r>
              <w:rPr>
                <w:b/>
                <w:bCs/>
              </w:rPr>
              <w:t>序号</w:t>
            </w:r>
          </w:p>
        </w:tc>
        <w:tc>
          <w:tcPr>
            <w:tcW w:w="1686" w:type="dxa"/>
            <w:tcBorders>
              <w:top w:val="single" w:color="auto" w:sz="12" w:space="0"/>
            </w:tcBorders>
            <w:shd w:val="clear" w:color="auto" w:fill="auto"/>
            <w:vAlign w:val="center"/>
          </w:tcPr>
          <w:p>
            <w:pPr>
              <w:pStyle w:val="134"/>
              <w:rPr>
                <w:b/>
                <w:bCs/>
              </w:rPr>
            </w:pPr>
            <w:r>
              <w:rPr>
                <w:b/>
                <w:bCs/>
              </w:rPr>
              <w:t>名称</w:t>
            </w:r>
          </w:p>
        </w:tc>
        <w:tc>
          <w:tcPr>
            <w:tcW w:w="1417" w:type="dxa"/>
            <w:tcBorders>
              <w:top w:val="single" w:color="auto" w:sz="12" w:space="0"/>
            </w:tcBorders>
            <w:shd w:val="clear" w:color="auto" w:fill="auto"/>
            <w:vAlign w:val="center"/>
          </w:tcPr>
          <w:p>
            <w:pPr>
              <w:pStyle w:val="134"/>
              <w:rPr>
                <w:b/>
                <w:bCs/>
              </w:rPr>
            </w:pPr>
            <w:r>
              <w:rPr>
                <w:rFonts w:hint="eastAsia"/>
                <w:b/>
                <w:bCs/>
              </w:rPr>
              <w:t>临界量t</w:t>
            </w:r>
          </w:p>
        </w:tc>
        <w:tc>
          <w:tcPr>
            <w:tcW w:w="2977" w:type="dxa"/>
            <w:tcBorders>
              <w:top w:val="single" w:color="auto" w:sz="12" w:space="0"/>
              <w:right w:val="single" w:color="auto" w:sz="2" w:space="0"/>
            </w:tcBorders>
            <w:shd w:val="clear" w:color="auto" w:fill="auto"/>
            <w:vAlign w:val="center"/>
          </w:tcPr>
          <w:p>
            <w:pPr>
              <w:pStyle w:val="134"/>
              <w:rPr>
                <w:b/>
                <w:bCs/>
              </w:rPr>
            </w:pPr>
            <w:r>
              <w:rPr>
                <w:rFonts w:hint="eastAsia"/>
                <w:b/>
                <w:bCs/>
              </w:rPr>
              <w:t>最大储存量t</w:t>
            </w:r>
          </w:p>
        </w:tc>
        <w:tc>
          <w:tcPr>
            <w:tcW w:w="1407" w:type="dxa"/>
            <w:tcBorders>
              <w:top w:val="single" w:color="auto" w:sz="12" w:space="0"/>
              <w:left w:val="single" w:color="auto" w:sz="2" w:space="0"/>
            </w:tcBorders>
            <w:shd w:val="clear" w:color="auto" w:fill="auto"/>
            <w:vAlign w:val="center"/>
          </w:tcPr>
          <w:p>
            <w:pPr>
              <w:pStyle w:val="134"/>
              <w:rPr>
                <w:b/>
                <w:bCs/>
              </w:rPr>
            </w:pPr>
            <w:r>
              <w:rPr>
                <w:b/>
                <w:bCs/>
              </w:rPr>
              <w:t>qn/Qn</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8" w:type="dxa"/>
            <w:tcBorders>
              <w:top w:val="single" w:color="auto" w:sz="12" w:space="0"/>
            </w:tcBorders>
            <w:shd w:val="clear" w:color="auto" w:fill="auto"/>
            <w:vAlign w:val="center"/>
          </w:tcPr>
          <w:p>
            <w:pPr>
              <w:pStyle w:val="134"/>
            </w:pPr>
            <w:r>
              <w:t>1</w:t>
            </w:r>
          </w:p>
        </w:tc>
        <w:tc>
          <w:tcPr>
            <w:tcW w:w="1686" w:type="dxa"/>
            <w:tcBorders>
              <w:top w:val="single" w:color="auto" w:sz="12" w:space="0"/>
            </w:tcBorders>
            <w:shd w:val="clear" w:color="auto" w:fill="auto"/>
            <w:vAlign w:val="center"/>
          </w:tcPr>
          <w:p>
            <w:pPr>
              <w:pStyle w:val="134"/>
              <w:rPr>
                <w:bCs/>
              </w:rPr>
            </w:pPr>
            <w:r>
              <w:rPr>
                <w:rFonts w:hint="eastAsia"/>
                <w:bCs/>
              </w:rPr>
              <w:t>CH</w:t>
            </w:r>
            <w:r>
              <w:rPr>
                <w:rFonts w:hint="eastAsia"/>
                <w:bCs/>
                <w:vertAlign w:val="subscript"/>
              </w:rPr>
              <w:t>4</w:t>
            </w:r>
          </w:p>
        </w:tc>
        <w:tc>
          <w:tcPr>
            <w:tcW w:w="1417" w:type="dxa"/>
            <w:tcBorders>
              <w:top w:val="single" w:color="auto" w:sz="12" w:space="0"/>
            </w:tcBorders>
            <w:shd w:val="clear" w:color="auto" w:fill="auto"/>
            <w:vAlign w:val="center"/>
          </w:tcPr>
          <w:p>
            <w:pPr>
              <w:pStyle w:val="134"/>
              <w:rPr>
                <w:b/>
                <w:bCs/>
              </w:rPr>
            </w:pPr>
            <w:r>
              <w:rPr>
                <w:rFonts w:hint="eastAsia"/>
              </w:rPr>
              <w:t>10</w:t>
            </w:r>
          </w:p>
        </w:tc>
        <w:tc>
          <w:tcPr>
            <w:tcW w:w="2977" w:type="dxa"/>
            <w:tcBorders>
              <w:top w:val="single" w:color="auto" w:sz="12" w:space="0"/>
              <w:right w:val="single" w:color="auto" w:sz="2" w:space="0"/>
            </w:tcBorders>
            <w:shd w:val="clear" w:color="auto" w:fill="auto"/>
            <w:vAlign w:val="center"/>
          </w:tcPr>
          <w:p>
            <w:pPr>
              <w:pStyle w:val="134"/>
              <w:rPr>
                <w:bCs/>
              </w:rPr>
            </w:pPr>
            <w:r>
              <w:rPr>
                <w:rFonts w:hint="eastAsia"/>
                <w:bCs/>
              </w:rPr>
              <w:t>4.1</w:t>
            </w:r>
          </w:p>
        </w:tc>
        <w:tc>
          <w:tcPr>
            <w:tcW w:w="1407" w:type="dxa"/>
            <w:tcBorders>
              <w:top w:val="single" w:color="auto" w:sz="12" w:space="0"/>
              <w:left w:val="single" w:color="auto" w:sz="2" w:space="0"/>
            </w:tcBorders>
            <w:shd w:val="clear" w:color="auto" w:fill="auto"/>
            <w:vAlign w:val="center"/>
          </w:tcPr>
          <w:p>
            <w:pPr>
              <w:pStyle w:val="134"/>
              <w:rPr>
                <w:b/>
                <w:bCs/>
              </w:rPr>
            </w:pPr>
            <w:r>
              <w:t>0.41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8" w:type="dxa"/>
            <w:shd w:val="clear" w:color="auto" w:fill="auto"/>
            <w:vAlign w:val="center"/>
          </w:tcPr>
          <w:p>
            <w:pPr>
              <w:pStyle w:val="134"/>
            </w:pPr>
            <w:r>
              <w:t>2</w:t>
            </w:r>
          </w:p>
        </w:tc>
        <w:tc>
          <w:tcPr>
            <w:tcW w:w="1686" w:type="dxa"/>
            <w:shd w:val="clear" w:color="auto" w:fill="auto"/>
            <w:vAlign w:val="center"/>
          </w:tcPr>
          <w:p>
            <w:pPr>
              <w:pStyle w:val="134"/>
            </w:pPr>
            <w:r>
              <w:rPr>
                <w:rFonts w:hint="eastAsia"/>
              </w:rPr>
              <w:t>H</w:t>
            </w:r>
            <w:r>
              <w:rPr>
                <w:rFonts w:hint="eastAsia"/>
                <w:vertAlign w:val="subscript"/>
              </w:rPr>
              <w:t>2</w:t>
            </w:r>
            <w:r>
              <w:rPr>
                <w:rFonts w:hint="eastAsia"/>
              </w:rPr>
              <w:t>S</w:t>
            </w:r>
          </w:p>
        </w:tc>
        <w:tc>
          <w:tcPr>
            <w:tcW w:w="1417" w:type="dxa"/>
            <w:shd w:val="clear" w:color="auto" w:fill="auto"/>
            <w:vAlign w:val="center"/>
          </w:tcPr>
          <w:p>
            <w:pPr>
              <w:pStyle w:val="134"/>
            </w:pPr>
            <w:r>
              <w:rPr>
                <w:rFonts w:hint="eastAsia"/>
              </w:rPr>
              <w:t>2.5</w:t>
            </w:r>
          </w:p>
        </w:tc>
        <w:tc>
          <w:tcPr>
            <w:tcW w:w="2977" w:type="dxa"/>
            <w:tcBorders>
              <w:right w:val="single" w:color="auto" w:sz="2" w:space="0"/>
            </w:tcBorders>
            <w:shd w:val="clear" w:color="auto" w:fill="auto"/>
            <w:vAlign w:val="center"/>
          </w:tcPr>
          <w:p>
            <w:pPr>
              <w:pStyle w:val="134"/>
            </w:pPr>
            <w:r>
              <w:rPr>
                <w:rFonts w:hint="eastAsia"/>
              </w:rPr>
              <w:t>1.36</w:t>
            </w:r>
          </w:p>
        </w:tc>
        <w:tc>
          <w:tcPr>
            <w:tcW w:w="1407" w:type="dxa"/>
            <w:tcBorders>
              <w:left w:val="single" w:color="auto" w:sz="2" w:space="0"/>
            </w:tcBorders>
            <w:shd w:val="clear" w:color="auto" w:fill="auto"/>
            <w:vAlign w:val="center"/>
          </w:tcPr>
          <w:p>
            <w:pPr>
              <w:pStyle w:val="134"/>
            </w:pPr>
            <w:r>
              <w:t>0.544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8" w:type="dxa"/>
            <w:shd w:val="clear" w:color="auto" w:fill="auto"/>
            <w:vAlign w:val="center"/>
          </w:tcPr>
          <w:p>
            <w:pPr>
              <w:pStyle w:val="134"/>
            </w:pPr>
            <w:r>
              <w:t>3</w:t>
            </w:r>
          </w:p>
        </w:tc>
        <w:tc>
          <w:tcPr>
            <w:tcW w:w="1686" w:type="dxa"/>
            <w:shd w:val="clear" w:color="auto" w:fill="auto"/>
            <w:vAlign w:val="center"/>
          </w:tcPr>
          <w:p>
            <w:pPr>
              <w:pStyle w:val="134"/>
            </w:pPr>
            <w:r>
              <w:rPr>
                <w:rFonts w:hint="eastAsia"/>
              </w:rPr>
              <w:t>柴油</w:t>
            </w:r>
          </w:p>
        </w:tc>
        <w:tc>
          <w:tcPr>
            <w:tcW w:w="1417" w:type="dxa"/>
            <w:shd w:val="clear" w:color="auto" w:fill="auto"/>
            <w:vAlign w:val="center"/>
          </w:tcPr>
          <w:p>
            <w:pPr>
              <w:pStyle w:val="134"/>
            </w:pPr>
            <w:r>
              <w:rPr>
                <w:rFonts w:hint="eastAsia"/>
              </w:rPr>
              <w:t>2500</w:t>
            </w:r>
          </w:p>
        </w:tc>
        <w:tc>
          <w:tcPr>
            <w:tcW w:w="2977" w:type="dxa"/>
            <w:tcBorders>
              <w:right w:val="single" w:color="auto" w:sz="2" w:space="0"/>
            </w:tcBorders>
            <w:shd w:val="clear" w:color="auto" w:fill="auto"/>
            <w:vAlign w:val="center"/>
          </w:tcPr>
          <w:p>
            <w:pPr>
              <w:pStyle w:val="134"/>
            </w:pPr>
            <w:r>
              <w:rPr>
                <w:rFonts w:hint="eastAsia"/>
              </w:rPr>
              <w:t>4</w:t>
            </w:r>
          </w:p>
        </w:tc>
        <w:tc>
          <w:tcPr>
            <w:tcW w:w="1407" w:type="dxa"/>
            <w:tcBorders>
              <w:left w:val="single" w:color="auto" w:sz="2" w:space="0"/>
            </w:tcBorders>
            <w:shd w:val="clear" w:color="auto" w:fill="auto"/>
            <w:vAlign w:val="center"/>
          </w:tcPr>
          <w:p>
            <w:pPr>
              <w:pStyle w:val="134"/>
            </w:pPr>
            <w:r>
              <w:t>0.0016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8" w:type="dxa"/>
            <w:tcBorders>
              <w:bottom w:val="single" w:color="auto" w:sz="12" w:space="0"/>
            </w:tcBorders>
            <w:shd w:val="clear" w:color="auto" w:fill="auto"/>
            <w:vAlign w:val="center"/>
          </w:tcPr>
          <w:p>
            <w:pPr>
              <w:pStyle w:val="134"/>
            </w:pPr>
            <w:r>
              <w:t>4</w:t>
            </w:r>
          </w:p>
        </w:tc>
        <w:tc>
          <w:tcPr>
            <w:tcW w:w="1686" w:type="dxa"/>
            <w:tcBorders>
              <w:bottom w:val="single" w:color="auto" w:sz="12" w:space="0"/>
            </w:tcBorders>
            <w:shd w:val="clear" w:color="auto" w:fill="auto"/>
            <w:vAlign w:val="center"/>
          </w:tcPr>
          <w:p>
            <w:pPr>
              <w:pStyle w:val="134"/>
            </w:pPr>
            <w:r>
              <w:rPr>
                <w:rFonts w:hint="eastAsia"/>
              </w:rPr>
              <w:t>废油</w:t>
            </w:r>
          </w:p>
        </w:tc>
        <w:tc>
          <w:tcPr>
            <w:tcW w:w="1417" w:type="dxa"/>
            <w:tcBorders>
              <w:bottom w:val="single" w:color="auto" w:sz="12" w:space="0"/>
            </w:tcBorders>
            <w:shd w:val="clear" w:color="auto" w:fill="auto"/>
            <w:vAlign w:val="center"/>
          </w:tcPr>
          <w:p>
            <w:pPr>
              <w:pStyle w:val="134"/>
            </w:pPr>
            <w:r>
              <w:rPr>
                <w:rFonts w:hint="eastAsia"/>
              </w:rPr>
              <w:t>2500</w:t>
            </w:r>
          </w:p>
        </w:tc>
        <w:tc>
          <w:tcPr>
            <w:tcW w:w="2977" w:type="dxa"/>
            <w:tcBorders>
              <w:bottom w:val="single" w:color="auto" w:sz="12" w:space="0"/>
              <w:right w:val="single" w:color="auto" w:sz="2" w:space="0"/>
            </w:tcBorders>
            <w:shd w:val="clear" w:color="auto" w:fill="auto"/>
            <w:vAlign w:val="center"/>
          </w:tcPr>
          <w:p>
            <w:pPr>
              <w:pStyle w:val="134"/>
            </w:pPr>
            <w:r>
              <w:rPr>
                <w:rFonts w:hint="eastAsia"/>
              </w:rPr>
              <w:t>0.1</w:t>
            </w:r>
          </w:p>
        </w:tc>
        <w:tc>
          <w:tcPr>
            <w:tcW w:w="1407" w:type="dxa"/>
            <w:tcBorders>
              <w:left w:val="single" w:color="auto" w:sz="2" w:space="0"/>
              <w:bottom w:val="single" w:color="auto" w:sz="12" w:space="0"/>
            </w:tcBorders>
            <w:shd w:val="clear" w:color="auto" w:fill="auto"/>
            <w:vAlign w:val="center"/>
          </w:tcPr>
          <w:p>
            <w:pPr>
              <w:pStyle w:val="134"/>
            </w:pPr>
            <w:r>
              <w:t>0.00004</w:t>
            </w:r>
          </w:p>
        </w:tc>
      </w:tr>
    </w:tbl>
    <w:p>
      <w:pPr>
        <w:ind w:firstLine="480"/>
        <w:rPr>
          <w:rFonts w:ascii="Times New Roman" w:cs="Times New Roman"/>
        </w:rPr>
      </w:pPr>
      <w:r>
        <w:rPr>
          <w:rFonts w:ascii="Times New Roman" w:cs="Times New Roman"/>
        </w:rPr>
        <w:t>当存在多种危险物质时，则按下式计算物质总量与其临界量比值（</w:t>
      </w:r>
      <w:r>
        <w:rPr>
          <w:rFonts w:ascii="Times New Roman" w:cs="Times New Roman"/>
          <w:i/>
        </w:rPr>
        <w:t>Q</w:t>
      </w:r>
      <w:r>
        <w:rPr>
          <w:rFonts w:ascii="Times New Roman" w:cs="Times New Roman"/>
        </w:rPr>
        <w:t>）：</w:t>
      </w:r>
    </w:p>
    <w:p>
      <w:pPr>
        <w:spacing w:before="156" w:beforeLines="50" w:after="156" w:afterLines="50"/>
        <w:ind w:firstLine="480"/>
        <w:rPr>
          <w:rFonts w:ascii="Times New Roman" w:cs="Times New Roman"/>
          <w:i/>
        </w:rPr>
      </w:pPr>
      <m:oMathPara>
        <m:oMath>
          <m:r>
            <m:rPr/>
            <w:rPr>
              <w:rFonts w:ascii="Cambria Math" w:hAnsi="Cambria Math" w:cs="Times New Roman"/>
            </w:rPr>
            <m:t>Q=</m:t>
          </m:r>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ctrlPr>
                <w:rPr>
                  <w:rFonts w:ascii="Cambria Math" w:hAnsi="Cambria Math" w:cs="Times New Roman"/>
                  <w:i/>
                </w:rPr>
              </m:ctrlPr>
            </m:den>
          </m:f>
          <m:r>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Sub>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Sub>
              <m:ctrlPr>
                <w:rPr>
                  <w:rFonts w:ascii="Cambria Math" w:hAnsi="Cambria Math" w:cs="Times New Roman"/>
                  <w:i/>
                </w:rPr>
              </m:ctrlPr>
            </m:den>
          </m:f>
          <m:r>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w:rPr>
                      <w:rFonts w:ascii="Cambria Math" w:hAnsi="Cambria Math" w:cs="Times New Roman"/>
                    </w:rPr>
                    <m:t>n</m:t>
                  </m:r>
                  <m:ctrlPr>
                    <w:rPr>
                      <w:rFonts w:ascii="Cambria Math" w:hAnsi="Cambria Math" w:cs="Times New Roman"/>
                      <w:i/>
                    </w:rPr>
                  </m:ctrlPr>
                </m:sub>
              </m:sSub>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w:rPr>
                      <w:rFonts w:ascii="Cambria Math" w:hAnsi="Cambria Math" w:cs="Times New Roman"/>
                    </w:rPr>
                    <m:t>n</m:t>
                  </m:r>
                  <m:ctrlPr>
                    <w:rPr>
                      <w:rFonts w:ascii="Cambria Math" w:hAnsi="Cambria Math" w:cs="Times New Roman"/>
                      <w:i/>
                    </w:rPr>
                  </m:ctrlPr>
                </m:sub>
              </m:sSub>
              <m:ctrlPr>
                <w:rPr>
                  <w:rFonts w:ascii="Cambria Math" w:hAnsi="Cambria Math" w:cs="Times New Roman"/>
                  <w:i/>
                </w:rPr>
              </m:ctrlPr>
            </m:den>
          </m:f>
        </m:oMath>
      </m:oMathPara>
    </w:p>
    <w:p>
      <w:pPr>
        <w:snapToGrid w:val="0"/>
        <w:ind w:firstLine="480"/>
        <w:rPr>
          <w:rFonts w:ascii="Times New Roman" w:cs="Times New Roman"/>
        </w:rPr>
      </w:pPr>
      <w:r>
        <w:rPr>
          <w:rFonts w:ascii="Times New Roman" w:cs="Times New Roman"/>
        </w:rPr>
        <w:t>式中：</w:t>
      </w:r>
      <w:r>
        <w:rPr>
          <w:rFonts w:ascii="Times New Roman" w:cs="Times New Roman"/>
          <w:i/>
        </w:rPr>
        <w:t>q</w:t>
      </w:r>
      <w:r>
        <w:rPr>
          <w:rFonts w:ascii="Times New Roman" w:cs="Times New Roman"/>
          <w:i/>
          <w:vertAlign w:val="subscript"/>
        </w:rPr>
        <w:t>1</w:t>
      </w:r>
      <w:r>
        <w:rPr>
          <w:rFonts w:ascii="Times New Roman" w:cs="Times New Roman"/>
          <w:i/>
        </w:rPr>
        <w:t>、q</w:t>
      </w:r>
      <w:r>
        <w:rPr>
          <w:rFonts w:ascii="Times New Roman" w:cs="Times New Roman"/>
          <w:i/>
          <w:vertAlign w:val="subscript"/>
        </w:rPr>
        <w:t>2</w:t>
      </w:r>
      <w:r>
        <w:rPr>
          <w:rFonts w:ascii="Times New Roman" w:cs="Times New Roman"/>
          <w:i/>
        </w:rPr>
        <w:t>…q</w:t>
      </w:r>
      <w:r>
        <w:rPr>
          <w:rFonts w:ascii="Times New Roman" w:cs="Times New Roman"/>
          <w:i/>
          <w:vertAlign w:val="subscript"/>
        </w:rPr>
        <w:t>n</w:t>
      </w:r>
      <w:r>
        <w:rPr>
          <w:rFonts w:ascii="Times New Roman" w:cs="Times New Roman"/>
        </w:rPr>
        <w:t>——每种危险物质的最大存在总量，t；</w:t>
      </w:r>
    </w:p>
    <w:p>
      <w:pPr>
        <w:snapToGrid w:val="0"/>
        <w:ind w:firstLine="480"/>
        <w:rPr>
          <w:rFonts w:ascii="Times New Roman" w:cs="Times New Roman"/>
        </w:rPr>
      </w:pPr>
      <w:r>
        <w:rPr>
          <w:rFonts w:ascii="Times New Roman" w:cs="Times New Roman"/>
        </w:rPr>
        <w:t xml:space="preserve">      </w:t>
      </w:r>
      <w:r>
        <w:rPr>
          <w:rFonts w:ascii="Times New Roman" w:cs="Times New Roman"/>
          <w:i/>
        </w:rPr>
        <w:t>Q</w:t>
      </w:r>
      <w:r>
        <w:rPr>
          <w:rFonts w:ascii="Times New Roman" w:cs="Times New Roman"/>
          <w:i/>
          <w:vertAlign w:val="subscript"/>
        </w:rPr>
        <w:t>1</w:t>
      </w:r>
      <w:r>
        <w:rPr>
          <w:rFonts w:ascii="Times New Roman" w:cs="Times New Roman"/>
          <w:i/>
        </w:rPr>
        <w:t>、Q</w:t>
      </w:r>
      <w:r>
        <w:rPr>
          <w:rFonts w:ascii="Times New Roman" w:cs="Times New Roman"/>
          <w:i/>
          <w:vertAlign w:val="subscript"/>
        </w:rPr>
        <w:t>2</w:t>
      </w:r>
      <w:r>
        <w:rPr>
          <w:rFonts w:ascii="Times New Roman" w:cs="Times New Roman"/>
          <w:i/>
        </w:rPr>
        <w:t>…Q</w:t>
      </w:r>
      <w:r>
        <w:rPr>
          <w:rFonts w:ascii="Times New Roman" w:cs="Times New Roman"/>
          <w:i/>
          <w:vertAlign w:val="subscript"/>
        </w:rPr>
        <w:t>n</w:t>
      </w:r>
      <w:r>
        <w:rPr>
          <w:rFonts w:ascii="Times New Roman" w:cs="Times New Roman"/>
        </w:rPr>
        <w:t>——每种危险物质的临界量，t；</w:t>
      </w:r>
    </w:p>
    <w:p>
      <w:pPr>
        <w:snapToGrid w:val="0"/>
        <w:ind w:firstLine="480"/>
        <w:rPr>
          <w:rFonts w:ascii="Times New Roman" w:cs="Times New Roman"/>
        </w:rPr>
      </w:pPr>
      <w:r>
        <w:rPr>
          <w:rFonts w:ascii="Times New Roman" w:cs="Times New Roman"/>
        </w:rPr>
        <w:t>当</w:t>
      </w:r>
      <w:r>
        <w:rPr>
          <w:rFonts w:ascii="Times New Roman" w:cs="Times New Roman"/>
          <w:i/>
        </w:rPr>
        <w:t>Q</w:t>
      </w:r>
      <w:r>
        <w:rPr>
          <w:rFonts w:ascii="Times New Roman" w:cs="Times New Roman"/>
        </w:rPr>
        <w:t>＜1时，该项目环境风险潜势为</w:t>
      </w:r>
      <w:r>
        <w:rPr>
          <w:rFonts w:ascii="Times New Roman" w:cs="Times New Roman"/>
        </w:rPr>
        <w:fldChar w:fldCharType="begin"/>
      </w:r>
      <w:r>
        <w:rPr>
          <w:rFonts w:ascii="Times New Roman" w:cs="Times New Roman"/>
        </w:rPr>
        <w:instrText xml:space="preserve"> = 1 \* ROMAN </w:instrText>
      </w:r>
      <w:r>
        <w:rPr>
          <w:rFonts w:ascii="Times New Roman" w:cs="Times New Roman"/>
        </w:rPr>
        <w:fldChar w:fldCharType="separate"/>
      </w:r>
      <w:r>
        <w:rPr>
          <w:rFonts w:ascii="Times New Roman" w:cs="Times New Roman"/>
        </w:rPr>
        <w:t>I</w:t>
      </w:r>
      <w:r>
        <w:rPr>
          <w:rFonts w:ascii="Times New Roman" w:cs="Times New Roman"/>
        </w:rPr>
        <w:fldChar w:fldCharType="end"/>
      </w:r>
      <w:r>
        <w:rPr>
          <w:rFonts w:ascii="Times New Roman" w:cs="Times New Roman"/>
        </w:rPr>
        <w:t>。</w:t>
      </w:r>
    </w:p>
    <w:p>
      <w:pPr>
        <w:snapToGrid w:val="0"/>
        <w:ind w:firstLine="480"/>
        <w:rPr>
          <w:rFonts w:ascii="Times New Roman" w:cs="Times New Roman"/>
        </w:rPr>
      </w:pPr>
      <w:r>
        <w:rPr>
          <w:rFonts w:ascii="Times New Roman" w:cs="Times New Roman"/>
        </w:rPr>
        <w:t>当</w:t>
      </w:r>
      <w:r>
        <w:rPr>
          <w:rFonts w:ascii="Times New Roman" w:cs="Times New Roman"/>
          <w:i/>
        </w:rPr>
        <w:t>Q</w:t>
      </w:r>
      <w:r>
        <w:rPr>
          <w:rFonts w:ascii="Times New Roman" w:cs="Times New Roman"/>
        </w:rPr>
        <w:t>＞1时，将</w:t>
      </w:r>
      <w:r>
        <w:rPr>
          <w:rFonts w:ascii="Times New Roman" w:cs="Times New Roman"/>
          <w:i/>
        </w:rPr>
        <w:t>Q</w:t>
      </w:r>
      <w:r>
        <w:rPr>
          <w:rFonts w:ascii="Times New Roman" w:cs="Times New Roman"/>
        </w:rPr>
        <w:t>值划分为：（1）1≤</w:t>
      </w:r>
      <w:r>
        <w:rPr>
          <w:rFonts w:ascii="Times New Roman" w:cs="Times New Roman"/>
          <w:i/>
        </w:rPr>
        <w:t>Q</w:t>
      </w:r>
      <w:r>
        <w:rPr>
          <w:rFonts w:ascii="Times New Roman" w:cs="Times New Roman"/>
        </w:rPr>
        <w:t>＜10；（2）10≤</w:t>
      </w:r>
      <w:r>
        <w:rPr>
          <w:rFonts w:ascii="Times New Roman" w:cs="Times New Roman"/>
          <w:i/>
        </w:rPr>
        <w:t>Q</w:t>
      </w:r>
      <w:r>
        <w:rPr>
          <w:rFonts w:ascii="Times New Roman" w:cs="Times New Roman"/>
        </w:rPr>
        <w:t>＜100；（3）</w:t>
      </w:r>
      <w:r>
        <w:rPr>
          <w:rFonts w:ascii="Times New Roman" w:cs="Times New Roman"/>
          <w:i/>
        </w:rPr>
        <w:t>Q</w:t>
      </w:r>
      <w:r>
        <w:rPr>
          <w:rFonts w:ascii="Times New Roman" w:cs="Times New Roman"/>
        </w:rPr>
        <w:t>≥100</w:t>
      </w:r>
    </w:p>
    <w:p>
      <w:pPr>
        <w:pStyle w:val="114"/>
        <w:ind w:firstLine="480"/>
      </w:pPr>
      <w:r>
        <w:rPr>
          <w:rFonts w:hint="eastAsia"/>
        </w:rPr>
        <w:t>综上所述，</w:t>
      </w:r>
      <w:r>
        <w:t>根据《建设项目风险评价技术导则》（HJ169-2018），附录C进行Q值计算，本项目危险物质最大存在量Q=</w:t>
      </w:r>
      <w:r>
        <w:rPr>
          <w:rFonts w:hint="eastAsia"/>
        </w:rPr>
        <w:t>0.246+0.2448+0.0016+0.00004=0.96</w:t>
      </w:r>
      <w:r>
        <w:t>，Q值划分为Q</w:t>
      </w:r>
      <w:r>
        <w:rPr>
          <w:rFonts w:hint="eastAsia"/>
        </w:rPr>
        <w:t>＜1，该项目环境风险潜势为I。</w:t>
      </w:r>
    </w:p>
    <w:p>
      <w:pPr>
        <w:pStyle w:val="3"/>
        <w:spacing w:before="120"/>
        <w:rPr>
          <w:rFonts w:cs="Times New Roman"/>
        </w:rPr>
      </w:pPr>
      <w:bookmarkStart w:id="506" w:name="_Toc12288725"/>
      <w:bookmarkStart w:id="507" w:name="_Toc19816099"/>
      <w:bookmarkStart w:id="508" w:name="_Toc19820"/>
      <w:r>
        <w:rPr>
          <w:rFonts w:cs="Times New Roman"/>
        </w:rPr>
        <w:t>7.</w:t>
      </w:r>
      <w:r>
        <w:rPr>
          <w:rFonts w:hint="eastAsia" w:cs="Times New Roman"/>
        </w:rPr>
        <w:t>6</w:t>
      </w:r>
      <w:r>
        <w:rPr>
          <w:rFonts w:cs="Times New Roman"/>
        </w:rPr>
        <w:t xml:space="preserve"> 评价等级及评价范围</w:t>
      </w:r>
      <w:bookmarkEnd w:id="506"/>
      <w:bookmarkEnd w:id="507"/>
      <w:bookmarkEnd w:id="508"/>
    </w:p>
    <w:p>
      <w:pPr>
        <w:pStyle w:val="4"/>
        <w:rPr>
          <w:rFonts w:eastAsia="宋体"/>
        </w:rPr>
      </w:pPr>
      <w:bookmarkStart w:id="509" w:name="_Toc12288726"/>
      <w:bookmarkStart w:id="510" w:name="_Toc19816100"/>
      <w:r>
        <w:rPr>
          <w:rFonts w:eastAsia="宋体"/>
        </w:rPr>
        <w:t>7.</w:t>
      </w:r>
      <w:r>
        <w:rPr>
          <w:rFonts w:hint="eastAsia" w:eastAsia="宋体"/>
        </w:rPr>
        <w:t>6</w:t>
      </w:r>
      <w:r>
        <w:rPr>
          <w:rFonts w:eastAsia="宋体"/>
        </w:rPr>
        <w:t>.1 环境风险评价等级</w:t>
      </w:r>
      <w:bookmarkEnd w:id="509"/>
      <w:bookmarkEnd w:id="510"/>
    </w:p>
    <w:p>
      <w:pPr>
        <w:pStyle w:val="6"/>
        <w:ind w:firstLine="480"/>
        <w:rPr>
          <w:rFonts w:ascii="Times New Roman" w:cs="Times New Roman"/>
        </w:rPr>
      </w:pPr>
      <w:r>
        <w:rPr>
          <w:rFonts w:ascii="Times New Roman" w:cs="Times New Roman"/>
        </w:rPr>
        <w:t>根据《建设项目环境风险评价技术导则》（HJ169-2018）中关于环境风险评价工作等级的划分方法，风险潜势为Ⅳ及以上，进行一级评价；风险潜势为Ⅲ，进行二级评价；风险潜势为Ⅱ，进行三级评价；风险潜势为Ⅰ，可展开简单分析。</w:t>
      </w:r>
    </w:p>
    <w:p>
      <w:pPr>
        <w:pStyle w:val="39"/>
        <w:rPr>
          <w:rFonts w:cs="Times New Roman"/>
        </w:rPr>
      </w:pPr>
      <w:r>
        <w:rPr>
          <w:rFonts w:cs="Times New Roman"/>
        </w:rPr>
        <w:t>表7.5-1  环境风险评价工作等级划分</w:t>
      </w:r>
    </w:p>
    <w:tbl>
      <w:tblPr>
        <w:tblStyle w:val="59"/>
        <w:tblW w:w="4850" w:type="pct"/>
        <w:jc w:val="center"/>
        <w:tblLayout w:type="fixed"/>
        <w:tblCellMar>
          <w:top w:w="0" w:type="dxa"/>
          <w:left w:w="0" w:type="dxa"/>
          <w:bottom w:w="0" w:type="dxa"/>
          <w:right w:w="0" w:type="dxa"/>
        </w:tblCellMar>
      </w:tblPr>
      <w:tblGrid>
        <w:gridCol w:w="1693"/>
        <w:gridCol w:w="1255"/>
        <w:gridCol w:w="1980"/>
        <w:gridCol w:w="1867"/>
        <w:gridCol w:w="1729"/>
      </w:tblGrid>
      <w:tr>
        <w:tblPrEx>
          <w:tblCellMar>
            <w:top w:w="0" w:type="dxa"/>
            <w:left w:w="0" w:type="dxa"/>
            <w:bottom w:w="0" w:type="dxa"/>
            <w:right w:w="0" w:type="dxa"/>
          </w:tblCellMar>
        </w:tblPrEx>
        <w:trPr>
          <w:trHeight w:val="369" w:hRule="atLeast"/>
          <w:jc w:val="center"/>
        </w:trPr>
        <w:tc>
          <w:tcPr>
            <w:tcW w:w="1741" w:type="dxa"/>
            <w:tcBorders>
              <w:top w:val="single" w:color="000000" w:sz="12" w:space="0"/>
              <w:left w:val="nil"/>
              <w:bottom w:val="single" w:color="000000" w:sz="4" w:space="0"/>
              <w:right w:val="single" w:color="000000" w:sz="4" w:space="0"/>
            </w:tcBorders>
            <w:vAlign w:val="center"/>
          </w:tcPr>
          <w:p>
            <w:pPr>
              <w:pStyle w:val="103"/>
              <w:spacing w:line="240" w:lineRule="auto"/>
              <w:ind w:firstLine="0" w:firstLineChars="0"/>
              <w:rPr>
                <w:rFonts w:ascii="Times New Roman" w:cs="Times New Roman"/>
                <w:b/>
                <w:bCs/>
                <w:kern w:val="2"/>
                <w:sz w:val="21"/>
                <w:szCs w:val="21"/>
              </w:rPr>
            </w:pPr>
            <w:r>
              <w:rPr>
                <w:rFonts w:ascii="Times New Roman" w:cs="Times New Roman"/>
                <w:b/>
                <w:bCs/>
                <w:kern w:val="2"/>
                <w:sz w:val="21"/>
                <w:szCs w:val="21"/>
              </w:rPr>
              <w:t>环境风险潜势</w:t>
            </w:r>
          </w:p>
        </w:tc>
        <w:tc>
          <w:tcPr>
            <w:tcW w:w="1291" w:type="dxa"/>
            <w:tcBorders>
              <w:top w:val="single" w:color="000000" w:sz="12" w:space="0"/>
              <w:left w:val="single" w:color="000000" w:sz="4" w:space="0"/>
              <w:bottom w:val="single" w:color="000000" w:sz="4" w:space="0"/>
              <w:right w:val="single" w:color="000000" w:sz="4" w:space="0"/>
            </w:tcBorders>
            <w:vAlign w:val="center"/>
          </w:tcPr>
          <w:p>
            <w:pPr>
              <w:pStyle w:val="103"/>
              <w:spacing w:line="240" w:lineRule="auto"/>
              <w:ind w:firstLine="0" w:firstLineChars="0"/>
              <w:rPr>
                <w:rFonts w:ascii="Times New Roman" w:cs="Times New Roman"/>
                <w:b/>
                <w:bCs/>
                <w:kern w:val="2"/>
                <w:sz w:val="21"/>
                <w:szCs w:val="21"/>
              </w:rPr>
            </w:pPr>
            <w:r>
              <w:rPr>
                <w:rFonts w:ascii="Times New Roman" w:cs="Times New Roman"/>
                <w:b/>
                <w:bCs/>
                <w:kern w:val="2"/>
                <w:sz w:val="21"/>
                <w:szCs w:val="21"/>
              </w:rPr>
              <w:t>Ⅳ、Ⅳ＋</w:t>
            </w:r>
          </w:p>
        </w:tc>
        <w:tc>
          <w:tcPr>
            <w:tcW w:w="2037" w:type="dxa"/>
            <w:tcBorders>
              <w:top w:val="single" w:color="000000" w:sz="12" w:space="0"/>
              <w:left w:val="single" w:color="000000" w:sz="4" w:space="0"/>
              <w:bottom w:val="single" w:color="000000" w:sz="4" w:space="0"/>
              <w:right w:val="single" w:color="000000" w:sz="4" w:space="0"/>
            </w:tcBorders>
            <w:vAlign w:val="center"/>
          </w:tcPr>
          <w:p>
            <w:pPr>
              <w:pStyle w:val="103"/>
              <w:spacing w:line="240" w:lineRule="auto"/>
              <w:ind w:firstLine="0" w:firstLineChars="0"/>
              <w:rPr>
                <w:rFonts w:ascii="Times New Roman" w:cs="Times New Roman"/>
                <w:b/>
                <w:bCs/>
                <w:kern w:val="2"/>
                <w:sz w:val="21"/>
                <w:szCs w:val="21"/>
              </w:rPr>
            </w:pPr>
            <w:r>
              <w:rPr>
                <w:rFonts w:ascii="Times New Roman" w:cs="Times New Roman"/>
                <w:b/>
                <w:bCs/>
                <w:kern w:val="2"/>
                <w:sz w:val="21"/>
                <w:szCs w:val="21"/>
              </w:rPr>
              <w:t>Ⅲ</w:t>
            </w:r>
          </w:p>
        </w:tc>
        <w:tc>
          <w:tcPr>
            <w:tcW w:w="1921" w:type="dxa"/>
            <w:tcBorders>
              <w:top w:val="single" w:color="000000" w:sz="12" w:space="0"/>
              <w:left w:val="single" w:color="000000" w:sz="4" w:space="0"/>
              <w:bottom w:val="single" w:color="000000" w:sz="4" w:space="0"/>
              <w:right w:val="single" w:color="000000" w:sz="4" w:space="0"/>
            </w:tcBorders>
            <w:vAlign w:val="center"/>
          </w:tcPr>
          <w:p>
            <w:pPr>
              <w:pStyle w:val="103"/>
              <w:spacing w:line="240" w:lineRule="auto"/>
              <w:ind w:firstLine="0" w:firstLineChars="0"/>
              <w:rPr>
                <w:rFonts w:ascii="Times New Roman" w:cs="Times New Roman"/>
                <w:b/>
                <w:bCs/>
                <w:kern w:val="2"/>
                <w:sz w:val="21"/>
                <w:szCs w:val="21"/>
              </w:rPr>
            </w:pPr>
            <w:r>
              <w:rPr>
                <w:rFonts w:ascii="Times New Roman" w:cs="Times New Roman"/>
                <w:b/>
                <w:bCs/>
                <w:kern w:val="2"/>
                <w:sz w:val="21"/>
                <w:szCs w:val="21"/>
              </w:rPr>
              <w:t>Ⅱ</w:t>
            </w:r>
          </w:p>
        </w:tc>
        <w:tc>
          <w:tcPr>
            <w:tcW w:w="1779" w:type="dxa"/>
            <w:tcBorders>
              <w:top w:val="single" w:color="000000" w:sz="12" w:space="0"/>
              <w:left w:val="single" w:color="000000" w:sz="4" w:space="0"/>
              <w:bottom w:val="single" w:color="000000" w:sz="4" w:space="0"/>
              <w:right w:val="nil"/>
            </w:tcBorders>
            <w:vAlign w:val="center"/>
          </w:tcPr>
          <w:p>
            <w:pPr>
              <w:pStyle w:val="103"/>
              <w:spacing w:line="240" w:lineRule="auto"/>
              <w:ind w:firstLine="0" w:firstLineChars="0"/>
              <w:rPr>
                <w:rFonts w:ascii="Times New Roman" w:cs="Times New Roman"/>
                <w:b/>
                <w:bCs/>
                <w:kern w:val="2"/>
                <w:sz w:val="21"/>
                <w:szCs w:val="21"/>
              </w:rPr>
            </w:pPr>
            <w:r>
              <w:rPr>
                <w:rFonts w:ascii="Times New Roman" w:cs="Times New Roman"/>
                <w:b/>
                <w:bCs/>
                <w:kern w:val="2"/>
                <w:sz w:val="21"/>
                <w:szCs w:val="21"/>
              </w:rPr>
              <w:t>Ⅰ</w:t>
            </w:r>
          </w:p>
        </w:tc>
      </w:tr>
      <w:tr>
        <w:tblPrEx>
          <w:tblCellMar>
            <w:top w:w="0" w:type="dxa"/>
            <w:left w:w="0" w:type="dxa"/>
            <w:bottom w:w="0" w:type="dxa"/>
            <w:right w:w="0" w:type="dxa"/>
          </w:tblCellMar>
        </w:tblPrEx>
        <w:trPr>
          <w:trHeight w:val="369" w:hRule="atLeast"/>
          <w:jc w:val="center"/>
        </w:trPr>
        <w:tc>
          <w:tcPr>
            <w:tcW w:w="1741" w:type="dxa"/>
            <w:tcBorders>
              <w:top w:val="single" w:color="000000" w:sz="4" w:space="0"/>
              <w:left w:val="nil"/>
              <w:bottom w:val="single" w:color="000000" w:sz="12" w:space="0"/>
              <w:right w:val="single" w:color="000000"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评价工作等级</w:t>
            </w:r>
          </w:p>
        </w:tc>
        <w:tc>
          <w:tcPr>
            <w:tcW w:w="1291" w:type="dxa"/>
            <w:tcBorders>
              <w:top w:val="single" w:color="000000" w:sz="4" w:space="0"/>
              <w:left w:val="single" w:color="000000" w:sz="4" w:space="0"/>
              <w:bottom w:val="single" w:color="000000" w:sz="12" w:space="0"/>
              <w:right w:val="single" w:color="000000"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一</w:t>
            </w:r>
          </w:p>
        </w:tc>
        <w:tc>
          <w:tcPr>
            <w:tcW w:w="2037" w:type="dxa"/>
            <w:tcBorders>
              <w:top w:val="single" w:color="000000" w:sz="4" w:space="0"/>
              <w:left w:val="single" w:color="000000" w:sz="4" w:space="0"/>
              <w:bottom w:val="single" w:color="000000" w:sz="12" w:space="0"/>
              <w:right w:val="single" w:color="000000" w:sz="4" w:space="0"/>
            </w:tcBorders>
            <w:shd w:val="clear" w:color="auto" w:fill="auto"/>
            <w:vAlign w:val="center"/>
          </w:tcPr>
          <w:p>
            <w:pPr>
              <w:pStyle w:val="103"/>
              <w:spacing w:line="240" w:lineRule="auto"/>
              <w:ind w:firstLine="0" w:firstLineChars="0"/>
              <w:rPr>
                <w:rFonts w:ascii="Times New Roman" w:cs="Times New Roman"/>
                <w:b/>
                <w:kern w:val="2"/>
                <w:sz w:val="21"/>
                <w:szCs w:val="21"/>
              </w:rPr>
            </w:pPr>
            <w:r>
              <w:rPr>
                <w:rFonts w:ascii="Times New Roman" w:cs="Times New Roman"/>
                <w:b/>
                <w:kern w:val="2"/>
                <w:sz w:val="21"/>
                <w:szCs w:val="21"/>
              </w:rPr>
              <w:t>二</w:t>
            </w:r>
          </w:p>
        </w:tc>
        <w:tc>
          <w:tcPr>
            <w:tcW w:w="1921" w:type="dxa"/>
            <w:tcBorders>
              <w:top w:val="single" w:color="000000" w:sz="4" w:space="0"/>
              <w:left w:val="single" w:color="000000" w:sz="4" w:space="0"/>
              <w:bottom w:val="single" w:color="000000" w:sz="12" w:space="0"/>
              <w:right w:val="single" w:color="000000"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三</w:t>
            </w:r>
          </w:p>
        </w:tc>
        <w:tc>
          <w:tcPr>
            <w:tcW w:w="1779" w:type="dxa"/>
            <w:tcBorders>
              <w:top w:val="single" w:color="000000" w:sz="4" w:space="0"/>
              <w:left w:val="single" w:color="000000" w:sz="4" w:space="0"/>
              <w:bottom w:val="single" w:color="000000" w:sz="12" w:space="0"/>
              <w:right w:val="nil"/>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简单分析（√）</w:t>
            </w:r>
          </w:p>
        </w:tc>
      </w:tr>
    </w:tbl>
    <w:p>
      <w:pPr>
        <w:pStyle w:val="114"/>
        <w:ind w:firstLine="480"/>
      </w:pPr>
      <w:r>
        <w:t>根据《建设项目环境风险评价技术导则》（HJ169-2018）中关于环境风险评价工作等级的划分方法，确定本项目环境风险评价</w:t>
      </w:r>
      <w:r>
        <w:rPr>
          <w:rFonts w:hint="eastAsia"/>
        </w:rPr>
        <w:t>进行简单分析</w:t>
      </w:r>
      <w:r>
        <w:t>。考虑本项目天然气中含有H</w:t>
      </w:r>
      <w:r>
        <w:rPr>
          <w:vertAlign w:val="subscript"/>
        </w:rPr>
        <w:t>2</w:t>
      </w:r>
      <w:r>
        <w:t>S以及项目次生事故/爆炸事故中将产生CO</w:t>
      </w:r>
      <w:r>
        <w:rPr>
          <w:rFonts w:hint="eastAsia"/>
        </w:rPr>
        <w:t>，本次风险评价将重点评价井喷事故状态下环境风险预测。</w:t>
      </w:r>
    </w:p>
    <w:p>
      <w:pPr>
        <w:pStyle w:val="4"/>
        <w:rPr>
          <w:rFonts w:eastAsia="宋体"/>
        </w:rPr>
      </w:pPr>
      <w:bookmarkStart w:id="511" w:name="_Toc12288727"/>
      <w:bookmarkStart w:id="512" w:name="_Toc19816101"/>
      <w:bookmarkStart w:id="513" w:name="_Hlk41385142"/>
      <w:r>
        <w:rPr>
          <w:rFonts w:eastAsia="宋体"/>
        </w:rPr>
        <w:t>7.</w:t>
      </w:r>
      <w:r>
        <w:rPr>
          <w:rFonts w:hint="eastAsia" w:eastAsia="宋体"/>
        </w:rPr>
        <w:t>6</w:t>
      </w:r>
      <w:r>
        <w:rPr>
          <w:rFonts w:eastAsia="宋体"/>
        </w:rPr>
        <w:t>.2 环境风险评价范围</w:t>
      </w:r>
      <w:bookmarkEnd w:id="511"/>
      <w:bookmarkEnd w:id="512"/>
    </w:p>
    <w:bookmarkEnd w:id="513"/>
    <w:p>
      <w:pPr>
        <w:pStyle w:val="114"/>
        <w:ind w:firstLine="480"/>
        <w:rPr>
          <w:szCs w:val="24"/>
        </w:rPr>
      </w:pPr>
      <w:bookmarkStart w:id="514" w:name="bookmark60"/>
      <w:bookmarkEnd w:id="514"/>
      <w:bookmarkStart w:id="515" w:name="_Toc12288728"/>
      <w:bookmarkStart w:id="516" w:name="_Toc19816102"/>
      <w:r>
        <w:rPr>
          <w:rFonts w:hint="eastAsia"/>
          <w:szCs w:val="24"/>
        </w:rPr>
        <w:t>考虑本项目天然气中含有H</w:t>
      </w:r>
      <w:r>
        <w:rPr>
          <w:rFonts w:hint="eastAsia"/>
          <w:szCs w:val="24"/>
          <w:vertAlign w:val="subscript"/>
        </w:rPr>
        <w:t>2</w:t>
      </w:r>
      <w:r>
        <w:rPr>
          <w:rFonts w:hint="eastAsia"/>
          <w:szCs w:val="24"/>
        </w:rPr>
        <w:t>S以及项目次生事故/爆炸事故中将产生CO，本次</w:t>
      </w:r>
      <w:r>
        <w:rPr>
          <w:szCs w:val="24"/>
        </w:rPr>
        <w:t>风险评价范围</w:t>
      </w:r>
      <w:r>
        <w:rPr>
          <w:rFonts w:hint="eastAsia"/>
          <w:szCs w:val="24"/>
        </w:rPr>
        <w:t>取</w:t>
      </w:r>
      <w:r>
        <w:rPr>
          <w:szCs w:val="24"/>
        </w:rPr>
        <w:t>井场周边5km区域。</w:t>
      </w:r>
    </w:p>
    <w:p>
      <w:pPr>
        <w:pStyle w:val="3"/>
        <w:spacing w:before="120"/>
        <w:rPr>
          <w:rFonts w:cs="Times New Roman"/>
        </w:rPr>
      </w:pPr>
      <w:bookmarkStart w:id="517" w:name="_Toc37"/>
      <w:r>
        <w:rPr>
          <w:rFonts w:cs="Times New Roman"/>
        </w:rPr>
        <w:t>7.</w:t>
      </w:r>
      <w:r>
        <w:rPr>
          <w:rFonts w:hint="eastAsia" w:cs="Times New Roman"/>
        </w:rPr>
        <w:t>7</w:t>
      </w:r>
      <w:r>
        <w:rPr>
          <w:rFonts w:cs="Times New Roman"/>
        </w:rPr>
        <w:t xml:space="preserve"> 风险识别</w:t>
      </w:r>
      <w:bookmarkEnd w:id="515"/>
      <w:bookmarkEnd w:id="516"/>
      <w:bookmarkEnd w:id="517"/>
    </w:p>
    <w:p>
      <w:pPr>
        <w:ind w:firstLine="480"/>
        <w:rPr>
          <w:rFonts w:ascii="Times New Roman" w:cs="Times New Roman"/>
        </w:rPr>
      </w:pPr>
      <w:bookmarkStart w:id="518" w:name="_Toc19816103"/>
      <w:bookmarkStart w:id="519" w:name="_Toc12288729"/>
      <w:r>
        <w:rPr>
          <w:rFonts w:ascii="Times New Roman" w:cs="Times New Roman"/>
        </w:rPr>
        <w:t>根据《建设项目环境风险评价技术导则》（HJ169-2018），环境风险识别内容包括生产过程中涉及的物质危险性识别、生产系统危险性识别、危险物质向环境转移的途径识别。</w:t>
      </w:r>
    </w:p>
    <w:p>
      <w:pPr>
        <w:pStyle w:val="4"/>
        <w:rPr>
          <w:rFonts w:eastAsia="宋体"/>
        </w:rPr>
      </w:pPr>
      <w:r>
        <w:rPr>
          <w:rFonts w:eastAsia="宋体"/>
        </w:rPr>
        <w:t>7.</w:t>
      </w:r>
      <w:r>
        <w:rPr>
          <w:rFonts w:hint="eastAsia" w:eastAsia="宋体"/>
        </w:rPr>
        <w:t>7</w:t>
      </w:r>
      <w:r>
        <w:rPr>
          <w:rFonts w:eastAsia="宋体"/>
        </w:rPr>
        <w:t>.1 物质风险识别</w:t>
      </w:r>
      <w:bookmarkEnd w:id="518"/>
      <w:bookmarkEnd w:id="519"/>
    </w:p>
    <w:p>
      <w:pPr>
        <w:pStyle w:val="6"/>
        <w:ind w:firstLine="480"/>
        <w:rPr>
          <w:rFonts w:ascii="Times New Roman" w:cs="Times New Roman"/>
        </w:rPr>
      </w:pPr>
      <w:r>
        <w:rPr>
          <w:rFonts w:ascii="Times New Roman" w:cs="Times New Roman"/>
        </w:rPr>
        <w:t>按照《石油天然气工程设计防火规范》（GB50183-2004）标准，天然气属于甲B类火灾危险物质。</w:t>
      </w:r>
    </w:p>
    <w:p>
      <w:pPr>
        <w:pStyle w:val="114"/>
        <w:ind w:firstLine="480"/>
      </w:pPr>
      <w:r>
        <w:t>本项目涉及的危险物质主要是井喷及输送的天然气所含的甲烷、H</w:t>
      </w:r>
      <w:r>
        <w:rPr>
          <w:vertAlign w:val="subscript"/>
        </w:rPr>
        <w:t>2</w:t>
      </w:r>
      <w:r>
        <w:t>S以及柴油、压裂、洗井废水。</w:t>
      </w:r>
    </w:p>
    <w:p>
      <w:pPr>
        <w:pStyle w:val="114"/>
        <w:ind w:firstLine="482"/>
        <w:rPr>
          <w:b/>
        </w:rPr>
      </w:pPr>
      <w:r>
        <w:rPr>
          <w:b/>
        </w:rPr>
        <w:t>1、甲烷</w:t>
      </w:r>
    </w:p>
    <w:p>
      <w:pPr>
        <w:pStyle w:val="114"/>
        <w:ind w:firstLine="480"/>
      </w:pPr>
      <w:r>
        <w:t>天然气是一种易燃易爆混合性气体，其主要成分为甲烷，与空气混合能形成爆炸性混合物，天然气本身具有闪点低、易扩散、受热后迅速汽化，强热时剧烈汽化而喷发远射、燃烧值大、燃烧温度高、爆炸范围较宽且爆炸下限低等特点。主要物质甲烷的物理化学特性如表7.</w:t>
      </w:r>
      <w:r>
        <w:rPr>
          <w:rFonts w:hint="eastAsia"/>
        </w:rPr>
        <w:t>7</w:t>
      </w:r>
      <w:r>
        <w:t>-1。</w:t>
      </w:r>
    </w:p>
    <w:p>
      <w:pPr>
        <w:pStyle w:val="127"/>
        <w:rPr>
          <w:rFonts w:eastAsia="宋体"/>
        </w:rPr>
      </w:pPr>
      <w:r>
        <w:rPr>
          <w:rFonts w:eastAsia="宋体"/>
        </w:rPr>
        <w:t>表7.</w:t>
      </w:r>
      <w:r>
        <w:rPr>
          <w:rFonts w:hint="eastAsia" w:eastAsia="宋体"/>
        </w:rPr>
        <w:t>7</w:t>
      </w:r>
      <w:r>
        <w:rPr>
          <w:rFonts w:eastAsia="宋体"/>
        </w:rPr>
        <w:t>-1  甲烷物化性质表</w:t>
      </w:r>
    </w:p>
    <w:tbl>
      <w:tblPr>
        <w:tblStyle w:val="59"/>
        <w:tblW w:w="4850" w:type="pct"/>
        <w:jc w:val="center"/>
        <w:tblLayout w:type="fixed"/>
        <w:tblCellMar>
          <w:top w:w="0" w:type="dxa"/>
          <w:left w:w="0" w:type="dxa"/>
          <w:bottom w:w="0" w:type="dxa"/>
          <w:right w:w="0" w:type="dxa"/>
        </w:tblCellMar>
      </w:tblPr>
      <w:tblGrid>
        <w:gridCol w:w="464"/>
        <w:gridCol w:w="2918"/>
        <w:gridCol w:w="2748"/>
        <w:gridCol w:w="2394"/>
      </w:tblGrid>
      <w:tr>
        <w:tblPrEx>
          <w:tblCellMar>
            <w:top w:w="0" w:type="dxa"/>
            <w:left w:w="0" w:type="dxa"/>
            <w:bottom w:w="0" w:type="dxa"/>
            <w:right w:w="0" w:type="dxa"/>
          </w:tblCellMar>
        </w:tblPrEx>
        <w:trPr>
          <w:trHeight w:val="369" w:hRule="atLeast"/>
          <w:jc w:val="center"/>
        </w:trPr>
        <w:tc>
          <w:tcPr>
            <w:tcW w:w="474" w:type="dxa"/>
            <w:vMerge w:val="restart"/>
            <w:tcBorders>
              <w:top w:val="single" w:color="000000" w:sz="12" w:space="0"/>
              <w:left w:val="nil"/>
              <w:bottom w:val="single" w:color="000000" w:sz="2" w:space="0"/>
              <w:right w:val="single" w:color="000000" w:sz="2" w:space="0"/>
            </w:tcBorders>
            <w:vAlign w:val="center"/>
          </w:tcPr>
          <w:p>
            <w:pPr>
              <w:pStyle w:val="134"/>
            </w:pPr>
            <w:r>
              <w:t>标识</w:t>
            </w:r>
          </w:p>
        </w:tc>
        <w:tc>
          <w:tcPr>
            <w:tcW w:w="2988" w:type="dxa"/>
            <w:tcBorders>
              <w:top w:val="single" w:color="000000" w:sz="12" w:space="0"/>
              <w:left w:val="single" w:color="000000" w:sz="2" w:space="0"/>
              <w:bottom w:val="single" w:color="000000" w:sz="2" w:space="0"/>
              <w:right w:val="single" w:color="000000" w:sz="2" w:space="0"/>
            </w:tcBorders>
            <w:vAlign w:val="center"/>
          </w:tcPr>
          <w:p>
            <w:pPr>
              <w:pStyle w:val="134"/>
              <w:jc w:val="left"/>
            </w:pPr>
            <w:r>
              <w:t>中文名：甲烷</w:t>
            </w:r>
          </w:p>
        </w:tc>
        <w:tc>
          <w:tcPr>
            <w:tcW w:w="5264" w:type="dxa"/>
            <w:gridSpan w:val="2"/>
            <w:tcBorders>
              <w:top w:val="single" w:color="000000" w:sz="12" w:space="0"/>
              <w:left w:val="single" w:color="000000" w:sz="2" w:space="0"/>
              <w:bottom w:val="single" w:color="000000" w:sz="2" w:space="0"/>
              <w:right w:val="nil"/>
            </w:tcBorders>
            <w:vAlign w:val="center"/>
          </w:tcPr>
          <w:p>
            <w:pPr>
              <w:pStyle w:val="134"/>
              <w:jc w:val="left"/>
            </w:pPr>
            <w:r>
              <w:t>英文名：Methane</w:t>
            </w:r>
          </w:p>
        </w:tc>
      </w:tr>
      <w:tr>
        <w:tblPrEx>
          <w:tblCellMar>
            <w:top w:w="0" w:type="dxa"/>
            <w:left w:w="0" w:type="dxa"/>
            <w:bottom w:w="0" w:type="dxa"/>
            <w:right w:w="0" w:type="dxa"/>
          </w:tblCellMar>
        </w:tblPrEx>
        <w:trPr>
          <w:trHeight w:val="369"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4"/>
            </w:pP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4"/>
              <w:jc w:val="left"/>
            </w:pPr>
            <w:r>
              <w:t>分子式：CH</w:t>
            </w:r>
            <w:r>
              <w:rPr>
                <w:vertAlign w:val="subscript"/>
              </w:rPr>
              <w:t>4</w:t>
            </w:r>
          </w:p>
        </w:tc>
        <w:tc>
          <w:tcPr>
            <w:tcW w:w="2814" w:type="dxa"/>
            <w:tcBorders>
              <w:top w:val="single" w:color="000000" w:sz="2" w:space="0"/>
              <w:left w:val="single" w:color="000000" w:sz="2" w:space="0"/>
              <w:bottom w:val="single" w:color="000000" w:sz="2" w:space="0"/>
              <w:right w:val="single" w:color="000000" w:sz="2" w:space="0"/>
            </w:tcBorders>
            <w:vAlign w:val="center"/>
          </w:tcPr>
          <w:p>
            <w:pPr>
              <w:pStyle w:val="134"/>
              <w:jc w:val="left"/>
            </w:pPr>
            <w:r>
              <w:t>分子量：16.04</w:t>
            </w:r>
          </w:p>
        </w:tc>
        <w:tc>
          <w:tcPr>
            <w:tcW w:w="2450" w:type="dxa"/>
            <w:tcBorders>
              <w:top w:val="single" w:color="000000" w:sz="2" w:space="0"/>
              <w:left w:val="single" w:color="000000" w:sz="2" w:space="0"/>
              <w:bottom w:val="single" w:color="000000" w:sz="2" w:space="0"/>
              <w:right w:val="nil"/>
            </w:tcBorders>
            <w:vAlign w:val="center"/>
          </w:tcPr>
          <w:p>
            <w:pPr>
              <w:pStyle w:val="134"/>
              <w:jc w:val="left"/>
            </w:pPr>
            <w:r>
              <w:t>UN编号：1971</w:t>
            </w:r>
          </w:p>
        </w:tc>
      </w:tr>
      <w:tr>
        <w:tblPrEx>
          <w:tblCellMar>
            <w:top w:w="0" w:type="dxa"/>
            <w:left w:w="0" w:type="dxa"/>
            <w:bottom w:w="0" w:type="dxa"/>
            <w:right w:w="0" w:type="dxa"/>
          </w:tblCellMar>
        </w:tblPrEx>
        <w:trPr>
          <w:trHeight w:val="369"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4"/>
            </w:pP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4"/>
              <w:jc w:val="left"/>
            </w:pPr>
            <w:r>
              <w:t>危规号：21007</w:t>
            </w:r>
          </w:p>
        </w:tc>
        <w:tc>
          <w:tcPr>
            <w:tcW w:w="2814" w:type="dxa"/>
            <w:tcBorders>
              <w:top w:val="single" w:color="000000" w:sz="2" w:space="0"/>
              <w:left w:val="single" w:color="000000" w:sz="2" w:space="0"/>
              <w:bottom w:val="single" w:color="000000" w:sz="2" w:space="0"/>
              <w:right w:val="single" w:color="000000" w:sz="2" w:space="0"/>
            </w:tcBorders>
            <w:vAlign w:val="center"/>
          </w:tcPr>
          <w:p>
            <w:pPr>
              <w:pStyle w:val="134"/>
              <w:jc w:val="left"/>
            </w:pPr>
            <w:r>
              <w:t>RTEC号：PA1490000</w:t>
            </w:r>
          </w:p>
        </w:tc>
        <w:tc>
          <w:tcPr>
            <w:tcW w:w="2450" w:type="dxa"/>
            <w:tcBorders>
              <w:top w:val="single" w:color="000000" w:sz="2" w:space="0"/>
              <w:left w:val="single" w:color="000000" w:sz="2" w:space="0"/>
              <w:bottom w:val="single" w:color="000000" w:sz="2" w:space="0"/>
              <w:right w:val="nil"/>
            </w:tcBorders>
            <w:vAlign w:val="center"/>
          </w:tcPr>
          <w:p>
            <w:pPr>
              <w:pStyle w:val="134"/>
              <w:jc w:val="left"/>
            </w:pPr>
            <w:r>
              <w:t>CAS号：74-82-8</w:t>
            </w:r>
          </w:p>
        </w:tc>
      </w:tr>
      <w:tr>
        <w:tblPrEx>
          <w:tblCellMar>
            <w:top w:w="0" w:type="dxa"/>
            <w:left w:w="0" w:type="dxa"/>
            <w:bottom w:w="0" w:type="dxa"/>
            <w:right w:w="0" w:type="dxa"/>
          </w:tblCellMar>
        </w:tblPrEx>
        <w:trPr>
          <w:trHeight w:val="369"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4"/>
            </w:pP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4"/>
              <w:jc w:val="left"/>
            </w:pPr>
            <w:r>
              <w:t>危险性类别：第2.1类易燃气体</w:t>
            </w:r>
          </w:p>
        </w:tc>
        <w:tc>
          <w:tcPr>
            <w:tcW w:w="5264" w:type="dxa"/>
            <w:gridSpan w:val="2"/>
            <w:tcBorders>
              <w:top w:val="single" w:color="000000" w:sz="2" w:space="0"/>
              <w:left w:val="single" w:color="000000" w:sz="2" w:space="0"/>
              <w:bottom w:val="single" w:color="000000" w:sz="2" w:space="0"/>
              <w:right w:val="nil"/>
            </w:tcBorders>
            <w:vAlign w:val="center"/>
          </w:tcPr>
          <w:p>
            <w:pPr>
              <w:pStyle w:val="134"/>
              <w:jc w:val="left"/>
            </w:pPr>
            <w:r>
              <w:t>化学类别：烷烃</w:t>
            </w:r>
          </w:p>
        </w:tc>
      </w:tr>
      <w:tr>
        <w:tblPrEx>
          <w:tblCellMar>
            <w:top w:w="0" w:type="dxa"/>
            <w:left w:w="0" w:type="dxa"/>
            <w:bottom w:w="0" w:type="dxa"/>
            <w:right w:w="0" w:type="dxa"/>
          </w:tblCellMar>
        </w:tblPrEx>
        <w:trPr>
          <w:trHeight w:val="369" w:hRule="atLeast"/>
          <w:jc w:val="center"/>
        </w:trPr>
        <w:tc>
          <w:tcPr>
            <w:tcW w:w="474" w:type="dxa"/>
            <w:vMerge w:val="restart"/>
            <w:tcBorders>
              <w:top w:val="single" w:color="000000" w:sz="2" w:space="0"/>
              <w:left w:val="nil"/>
              <w:bottom w:val="single" w:color="000000" w:sz="2" w:space="0"/>
              <w:right w:val="single" w:color="000000" w:sz="2" w:space="0"/>
            </w:tcBorders>
            <w:vAlign w:val="center"/>
          </w:tcPr>
          <w:p>
            <w:pPr>
              <w:pStyle w:val="134"/>
            </w:pPr>
            <w:r>
              <w:t>理化性质</w:t>
            </w:r>
          </w:p>
        </w:tc>
        <w:tc>
          <w:tcPr>
            <w:tcW w:w="8253" w:type="dxa"/>
            <w:gridSpan w:val="3"/>
            <w:tcBorders>
              <w:top w:val="single" w:color="000000" w:sz="2" w:space="0"/>
              <w:left w:val="single" w:color="000000" w:sz="2" w:space="0"/>
              <w:bottom w:val="single" w:color="000000" w:sz="2" w:space="0"/>
              <w:right w:val="nil"/>
            </w:tcBorders>
            <w:vAlign w:val="center"/>
          </w:tcPr>
          <w:p>
            <w:pPr>
              <w:pStyle w:val="134"/>
              <w:jc w:val="left"/>
            </w:pPr>
            <w:r>
              <w:t>外观与性状：无色无臭气体</w:t>
            </w:r>
          </w:p>
        </w:tc>
      </w:tr>
      <w:tr>
        <w:tblPrEx>
          <w:tblCellMar>
            <w:top w:w="0" w:type="dxa"/>
            <w:left w:w="0" w:type="dxa"/>
            <w:bottom w:w="0" w:type="dxa"/>
            <w:right w:w="0" w:type="dxa"/>
          </w:tblCellMar>
        </w:tblPrEx>
        <w:trPr>
          <w:trHeight w:val="369"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4"/>
            </w:pP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4"/>
              <w:jc w:val="left"/>
            </w:pPr>
            <w:r>
              <w:t>熔点（℃）：-182.5</w:t>
            </w:r>
          </w:p>
        </w:tc>
        <w:tc>
          <w:tcPr>
            <w:tcW w:w="5264" w:type="dxa"/>
            <w:gridSpan w:val="2"/>
            <w:tcBorders>
              <w:top w:val="single" w:color="000000" w:sz="2" w:space="0"/>
              <w:left w:val="single" w:color="000000" w:sz="2" w:space="0"/>
              <w:bottom w:val="single" w:color="000000" w:sz="2" w:space="0"/>
              <w:right w:val="nil"/>
            </w:tcBorders>
            <w:vAlign w:val="center"/>
          </w:tcPr>
          <w:p>
            <w:pPr>
              <w:pStyle w:val="134"/>
              <w:jc w:val="left"/>
            </w:pPr>
            <w:r>
              <w:t>溶解性：微溶于水，溶于乙醇、乙醚</w:t>
            </w:r>
          </w:p>
        </w:tc>
      </w:tr>
      <w:tr>
        <w:tblPrEx>
          <w:tblCellMar>
            <w:top w:w="0" w:type="dxa"/>
            <w:left w:w="0" w:type="dxa"/>
            <w:bottom w:w="0" w:type="dxa"/>
            <w:right w:w="0" w:type="dxa"/>
          </w:tblCellMar>
        </w:tblPrEx>
        <w:trPr>
          <w:trHeight w:val="369"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4"/>
            </w:pP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4"/>
              <w:jc w:val="left"/>
            </w:pPr>
            <w:r>
              <w:t>沸点（℃）：-161.5</w:t>
            </w:r>
          </w:p>
        </w:tc>
        <w:tc>
          <w:tcPr>
            <w:tcW w:w="5264" w:type="dxa"/>
            <w:gridSpan w:val="2"/>
            <w:tcBorders>
              <w:top w:val="single" w:color="000000" w:sz="2" w:space="0"/>
              <w:left w:val="single" w:color="000000" w:sz="2" w:space="0"/>
              <w:bottom w:val="single" w:color="000000" w:sz="2" w:space="0"/>
              <w:right w:val="nil"/>
            </w:tcBorders>
            <w:vAlign w:val="center"/>
          </w:tcPr>
          <w:p>
            <w:pPr>
              <w:pStyle w:val="134"/>
              <w:jc w:val="left"/>
            </w:pPr>
            <w:r>
              <w:t>相对密度（水=1）：0.42/-164℃</w:t>
            </w:r>
          </w:p>
        </w:tc>
      </w:tr>
      <w:tr>
        <w:tblPrEx>
          <w:tblCellMar>
            <w:top w:w="0" w:type="dxa"/>
            <w:left w:w="0" w:type="dxa"/>
            <w:bottom w:w="0" w:type="dxa"/>
            <w:right w:w="0" w:type="dxa"/>
          </w:tblCellMar>
        </w:tblPrEx>
        <w:trPr>
          <w:trHeight w:val="369"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4"/>
            </w:pP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4"/>
              <w:jc w:val="left"/>
            </w:pPr>
            <w:r>
              <w:t>饱和蒸气压（KPa）：53.32/-168.8</w:t>
            </w:r>
          </w:p>
        </w:tc>
        <w:tc>
          <w:tcPr>
            <w:tcW w:w="5264" w:type="dxa"/>
            <w:gridSpan w:val="2"/>
            <w:tcBorders>
              <w:top w:val="single" w:color="000000" w:sz="2" w:space="0"/>
              <w:left w:val="single" w:color="000000" w:sz="2" w:space="0"/>
              <w:bottom w:val="single" w:color="000000" w:sz="2" w:space="0"/>
              <w:right w:val="nil"/>
            </w:tcBorders>
            <w:vAlign w:val="center"/>
          </w:tcPr>
          <w:p>
            <w:pPr>
              <w:pStyle w:val="134"/>
              <w:jc w:val="left"/>
            </w:pPr>
            <w:r>
              <w:t>相对密度（空气=1）：0.55</w:t>
            </w:r>
          </w:p>
        </w:tc>
      </w:tr>
      <w:tr>
        <w:tblPrEx>
          <w:tblCellMar>
            <w:top w:w="0" w:type="dxa"/>
            <w:left w:w="0" w:type="dxa"/>
            <w:bottom w:w="0" w:type="dxa"/>
            <w:right w:w="0" w:type="dxa"/>
          </w:tblCellMar>
        </w:tblPrEx>
        <w:trPr>
          <w:trHeight w:val="369"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4"/>
            </w:pP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4"/>
              <w:jc w:val="left"/>
            </w:pPr>
            <w:r>
              <w:t>临界温度（℃）：-82.6</w:t>
            </w:r>
          </w:p>
        </w:tc>
        <w:tc>
          <w:tcPr>
            <w:tcW w:w="5264" w:type="dxa"/>
            <w:gridSpan w:val="2"/>
            <w:tcBorders>
              <w:top w:val="single" w:color="000000" w:sz="2" w:space="0"/>
              <w:left w:val="single" w:color="000000" w:sz="2" w:space="0"/>
              <w:bottom w:val="single" w:color="000000" w:sz="2" w:space="0"/>
              <w:right w:val="nil"/>
            </w:tcBorders>
            <w:vAlign w:val="center"/>
          </w:tcPr>
          <w:p>
            <w:pPr>
              <w:pStyle w:val="134"/>
              <w:jc w:val="left"/>
            </w:pPr>
            <w:r>
              <w:t>燃烧热（kJ/mol）：889.5</w:t>
            </w:r>
          </w:p>
        </w:tc>
      </w:tr>
      <w:tr>
        <w:tblPrEx>
          <w:tblCellMar>
            <w:top w:w="0" w:type="dxa"/>
            <w:left w:w="0" w:type="dxa"/>
            <w:bottom w:w="0" w:type="dxa"/>
            <w:right w:w="0" w:type="dxa"/>
          </w:tblCellMar>
        </w:tblPrEx>
        <w:trPr>
          <w:trHeight w:val="369"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4"/>
            </w:pP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4"/>
              <w:jc w:val="left"/>
            </w:pPr>
            <w:r>
              <w:t>临界压力（MPa）：4.59</w:t>
            </w:r>
          </w:p>
        </w:tc>
        <w:tc>
          <w:tcPr>
            <w:tcW w:w="5264" w:type="dxa"/>
            <w:gridSpan w:val="2"/>
            <w:tcBorders>
              <w:top w:val="single" w:color="000000" w:sz="2" w:space="0"/>
              <w:left w:val="single" w:color="000000" w:sz="2" w:space="0"/>
              <w:bottom w:val="single" w:color="000000" w:sz="2" w:space="0"/>
              <w:right w:val="nil"/>
            </w:tcBorders>
            <w:vAlign w:val="center"/>
          </w:tcPr>
          <w:p>
            <w:pPr>
              <w:pStyle w:val="134"/>
              <w:jc w:val="left"/>
            </w:pPr>
            <w:r>
              <w:t>最小引燃能量（mJ）：0.28</w:t>
            </w:r>
          </w:p>
        </w:tc>
      </w:tr>
      <w:tr>
        <w:tblPrEx>
          <w:tblCellMar>
            <w:top w:w="0" w:type="dxa"/>
            <w:left w:w="0" w:type="dxa"/>
            <w:bottom w:w="0" w:type="dxa"/>
            <w:right w:w="0" w:type="dxa"/>
          </w:tblCellMar>
        </w:tblPrEx>
        <w:trPr>
          <w:trHeight w:val="369" w:hRule="atLeast"/>
          <w:jc w:val="center"/>
        </w:trPr>
        <w:tc>
          <w:tcPr>
            <w:tcW w:w="474" w:type="dxa"/>
            <w:vMerge w:val="restart"/>
            <w:tcBorders>
              <w:top w:val="single" w:color="000000" w:sz="2" w:space="0"/>
              <w:left w:val="nil"/>
              <w:bottom w:val="single" w:color="000000" w:sz="2" w:space="0"/>
              <w:right w:val="single" w:color="000000" w:sz="2" w:space="0"/>
            </w:tcBorders>
            <w:vAlign w:val="center"/>
          </w:tcPr>
          <w:p>
            <w:pPr>
              <w:pStyle w:val="134"/>
            </w:pPr>
            <w:r>
              <w:t>燃烧爆炸危险性</w:t>
            </w: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4"/>
              <w:jc w:val="left"/>
            </w:pPr>
            <w:r>
              <w:t>燃烧性：易燃气体</w:t>
            </w:r>
          </w:p>
        </w:tc>
        <w:tc>
          <w:tcPr>
            <w:tcW w:w="5264" w:type="dxa"/>
            <w:gridSpan w:val="2"/>
            <w:tcBorders>
              <w:top w:val="single" w:color="000000" w:sz="2" w:space="0"/>
              <w:left w:val="single" w:color="000000" w:sz="2" w:space="0"/>
              <w:bottom w:val="single" w:color="000000" w:sz="2" w:space="0"/>
              <w:right w:val="nil"/>
            </w:tcBorders>
            <w:vAlign w:val="center"/>
          </w:tcPr>
          <w:p>
            <w:pPr>
              <w:pStyle w:val="134"/>
              <w:jc w:val="left"/>
            </w:pPr>
            <w:r>
              <w:t>燃烧分解产物：CO、CO</w:t>
            </w:r>
            <w:r>
              <w:rPr>
                <w:vertAlign w:val="subscript"/>
              </w:rPr>
              <w:t>2</w:t>
            </w:r>
            <w:r>
              <w:t>、H</w:t>
            </w:r>
            <w:r>
              <w:rPr>
                <w:vertAlign w:val="subscript"/>
              </w:rPr>
              <w:t>2</w:t>
            </w:r>
            <w:r>
              <w:t>O</w:t>
            </w:r>
          </w:p>
        </w:tc>
      </w:tr>
      <w:tr>
        <w:tblPrEx>
          <w:tblCellMar>
            <w:top w:w="0" w:type="dxa"/>
            <w:left w:w="0" w:type="dxa"/>
            <w:bottom w:w="0" w:type="dxa"/>
            <w:right w:w="0" w:type="dxa"/>
          </w:tblCellMar>
        </w:tblPrEx>
        <w:trPr>
          <w:trHeight w:val="369"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4"/>
            </w:pP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4"/>
              <w:jc w:val="left"/>
            </w:pPr>
            <w:r>
              <w:t>闪点（℃）：＜-50</w:t>
            </w:r>
          </w:p>
        </w:tc>
        <w:tc>
          <w:tcPr>
            <w:tcW w:w="5264" w:type="dxa"/>
            <w:gridSpan w:val="2"/>
            <w:tcBorders>
              <w:top w:val="single" w:color="000000" w:sz="2" w:space="0"/>
              <w:left w:val="single" w:color="000000" w:sz="2" w:space="0"/>
              <w:bottom w:val="single" w:color="000000" w:sz="2" w:space="0"/>
              <w:right w:val="nil"/>
            </w:tcBorders>
            <w:vAlign w:val="center"/>
          </w:tcPr>
          <w:p>
            <w:pPr>
              <w:pStyle w:val="134"/>
              <w:jc w:val="left"/>
            </w:pPr>
            <w:r>
              <w:t>聚合危害：不会出现</w:t>
            </w:r>
          </w:p>
        </w:tc>
      </w:tr>
      <w:tr>
        <w:tblPrEx>
          <w:tblCellMar>
            <w:top w:w="0" w:type="dxa"/>
            <w:left w:w="0" w:type="dxa"/>
            <w:bottom w:w="0" w:type="dxa"/>
            <w:right w:w="0" w:type="dxa"/>
          </w:tblCellMar>
        </w:tblPrEx>
        <w:trPr>
          <w:trHeight w:val="369"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4"/>
            </w:pP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4"/>
              <w:jc w:val="left"/>
            </w:pPr>
            <w:r>
              <w:t>爆炸极限（V％）：5.3～15</w:t>
            </w:r>
          </w:p>
        </w:tc>
        <w:tc>
          <w:tcPr>
            <w:tcW w:w="5264" w:type="dxa"/>
            <w:gridSpan w:val="2"/>
            <w:tcBorders>
              <w:top w:val="single" w:color="000000" w:sz="2" w:space="0"/>
              <w:left w:val="single" w:color="000000" w:sz="2" w:space="0"/>
              <w:bottom w:val="single" w:color="000000" w:sz="2" w:space="0"/>
              <w:right w:val="nil"/>
            </w:tcBorders>
            <w:vAlign w:val="center"/>
          </w:tcPr>
          <w:p>
            <w:pPr>
              <w:pStyle w:val="134"/>
              <w:jc w:val="left"/>
            </w:pPr>
            <w:r>
              <w:t>稳定性：稳定</w:t>
            </w:r>
          </w:p>
        </w:tc>
      </w:tr>
      <w:tr>
        <w:tblPrEx>
          <w:tblCellMar>
            <w:top w:w="0" w:type="dxa"/>
            <w:left w:w="0" w:type="dxa"/>
            <w:bottom w:w="0" w:type="dxa"/>
            <w:right w:w="0" w:type="dxa"/>
          </w:tblCellMar>
        </w:tblPrEx>
        <w:trPr>
          <w:trHeight w:val="369"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4"/>
            </w:pP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4"/>
              <w:jc w:val="left"/>
            </w:pPr>
            <w:r>
              <w:t>自燃温度（℃）：538</w:t>
            </w:r>
          </w:p>
        </w:tc>
        <w:tc>
          <w:tcPr>
            <w:tcW w:w="5264" w:type="dxa"/>
            <w:gridSpan w:val="2"/>
            <w:tcBorders>
              <w:top w:val="single" w:color="000000" w:sz="2" w:space="0"/>
              <w:left w:val="single" w:color="000000" w:sz="2" w:space="0"/>
              <w:bottom w:val="single" w:color="000000" w:sz="2" w:space="0"/>
              <w:right w:val="nil"/>
            </w:tcBorders>
            <w:vAlign w:val="center"/>
          </w:tcPr>
          <w:p>
            <w:pPr>
              <w:pStyle w:val="134"/>
              <w:jc w:val="left"/>
            </w:pPr>
            <w:r>
              <w:t>禁忌物：强氧化剂、卤素</w:t>
            </w:r>
          </w:p>
        </w:tc>
      </w:tr>
      <w:tr>
        <w:tblPrEx>
          <w:tblCellMar>
            <w:top w:w="0" w:type="dxa"/>
            <w:left w:w="0" w:type="dxa"/>
            <w:bottom w:w="0" w:type="dxa"/>
            <w:right w:w="0" w:type="dxa"/>
          </w:tblCellMar>
        </w:tblPrEx>
        <w:trPr>
          <w:trHeight w:val="369"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4"/>
            </w:pPr>
          </w:p>
        </w:tc>
        <w:tc>
          <w:tcPr>
            <w:tcW w:w="8253" w:type="dxa"/>
            <w:gridSpan w:val="3"/>
            <w:tcBorders>
              <w:top w:val="single" w:color="000000" w:sz="2" w:space="0"/>
              <w:left w:val="single" w:color="000000" w:sz="2" w:space="0"/>
              <w:bottom w:val="single" w:color="000000" w:sz="2" w:space="0"/>
              <w:right w:val="nil"/>
            </w:tcBorders>
            <w:vAlign w:val="center"/>
          </w:tcPr>
          <w:p>
            <w:pPr>
              <w:pStyle w:val="134"/>
              <w:jc w:val="left"/>
            </w:pPr>
            <w:r>
              <w:t>危险特性：与空气混合形成爆炸性混合物，遇明火、高热能引起燃烧爆炸，与五氧化溴、氯气、次氯酸、三氟化氮及其它氧化剂接触剧烈反应。若遇高热，容器内压增大，有开裂和爆炸的危险。</w:t>
            </w:r>
          </w:p>
          <w:p>
            <w:pPr>
              <w:pStyle w:val="134"/>
              <w:jc w:val="left"/>
            </w:pPr>
            <w:r>
              <w:t>爆炸性气体分类、分级、分组：ⅡAT1</w:t>
            </w:r>
          </w:p>
        </w:tc>
      </w:tr>
      <w:tr>
        <w:tblPrEx>
          <w:tblCellMar>
            <w:top w:w="0" w:type="dxa"/>
            <w:left w:w="0" w:type="dxa"/>
            <w:bottom w:w="0" w:type="dxa"/>
            <w:right w:w="0" w:type="dxa"/>
          </w:tblCellMar>
        </w:tblPrEx>
        <w:trPr>
          <w:trHeight w:val="369"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4"/>
            </w:pPr>
          </w:p>
        </w:tc>
        <w:tc>
          <w:tcPr>
            <w:tcW w:w="8253" w:type="dxa"/>
            <w:gridSpan w:val="3"/>
            <w:tcBorders>
              <w:top w:val="single" w:color="000000" w:sz="2" w:space="0"/>
              <w:left w:val="single" w:color="000000" w:sz="2" w:space="0"/>
              <w:bottom w:val="single" w:color="000000" w:sz="2" w:space="0"/>
              <w:right w:val="nil"/>
            </w:tcBorders>
            <w:vAlign w:val="center"/>
          </w:tcPr>
          <w:p>
            <w:pPr>
              <w:pStyle w:val="134"/>
              <w:jc w:val="left"/>
            </w:pPr>
            <w:r>
              <w:t>灭火方法：切断气源。若不能立即切断气源，则不允许熄灭正在燃烧的气体。喷水冷却容器。</w:t>
            </w:r>
          </w:p>
          <w:p>
            <w:pPr>
              <w:pStyle w:val="134"/>
              <w:jc w:val="left"/>
            </w:pPr>
            <w:r>
              <w:t>灭火剂：雾状水、泡沫、二氧化碳、干粉。</w:t>
            </w:r>
          </w:p>
        </w:tc>
      </w:tr>
      <w:tr>
        <w:tblPrEx>
          <w:tblCellMar>
            <w:top w:w="0" w:type="dxa"/>
            <w:left w:w="0" w:type="dxa"/>
            <w:bottom w:w="0" w:type="dxa"/>
            <w:right w:w="0" w:type="dxa"/>
          </w:tblCellMar>
        </w:tblPrEx>
        <w:trPr>
          <w:trHeight w:val="369" w:hRule="atLeast"/>
          <w:jc w:val="center"/>
        </w:trPr>
        <w:tc>
          <w:tcPr>
            <w:tcW w:w="474" w:type="dxa"/>
            <w:vMerge w:val="restart"/>
            <w:tcBorders>
              <w:top w:val="single" w:color="000000" w:sz="2" w:space="0"/>
              <w:left w:val="nil"/>
              <w:bottom w:val="single" w:color="000000" w:sz="2" w:space="0"/>
              <w:right w:val="single" w:color="000000" w:sz="2" w:space="0"/>
            </w:tcBorders>
            <w:vAlign w:val="center"/>
          </w:tcPr>
          <w:p>
            <w:pPr>
              <w:pStyle w:val="134"/>
            </w:pPr>
            <w:r>
              <w:t>毒性</w:t>
            </w:r>
          </w:p>
        </w:tc>
        <w:tc>
          <w:tcPr>
            <w:tcW w:w="8253" w:type="dxa"/>
            <w:gridSpan w:val="3"/>
            <w:tcBorders>
              <w:top w:val="single" w:color="000000" w:sz="2" w:space="0"/>
              <w:left w:val="single" w:color="000000" w:sz="2" w:space="0"/>
              <w:bottom w:val="single" w:color="000000" w:sz="2" w:space="0"/>
              <w:right w:val="nil"/>
            </w:tcBorders>
            <w:vAlign w:val="center"/>
          </w:tcPr>
          <w:p>
            <w:pPr>
              <w:pStyle w:val="134"/>
              <w:jc w:val="left"/>
            </w:pPr>
            <w:r>
              <w:t>接触限值：中国：未制定</w:t>
            </w:r>
            <w:r>
              <w:rPr>
                <w:rFonts w:hint="eastAsia"/>
                <w:lang w:eastAsia="zh-CN"/>
              </w:rPr>
              <w:t>苏联</w:t>
            </w:r>
            <w:r>
              <w:t>MAC：300mg/m</w:t>
            </w:r>
            <w:r>
              <w:rPr>
                <w:vertAlign w:val="superscript"/>
              </w:rPr>
              <w:t>3</w:t>
            </w:r>
            <w:r>
              <w:t>美国TWA（ACGIH）：窒息性气体</w:t>
            </w:r>
          </w:p>
        </w:tc>
      </w:tr>
      <w:tr>
        <w:tblPrEx>
          <w:tblCellMar>
            <w:top w:w="0" w:type="dxa"/>
            <w:left w:w="0" w:type="dxa"/>
            <w:bottom w:w="0" w:type="dxa"/>
            <w:right w:w="0" w:type="dxa"/>
          </w:tblCellMar>
        </w:tblPrEx>
        <w:trPr>
          <w:trHeight w:val="369"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4"/>
            </w:pPr>
          </w:p>
        </w:tc>
        <w:tc>
          <w:tcPr>
            <w:tcW w:w="8253" w:type="dxa"/>
            <w:gridSpan w:val="3"/>
            <w:tcBorders>
              <w:top w:val="single" w:color="000000" w:sz="2" w:space="0"/>
              <w:left w:val="single" w:color="000000" w:sz="2" w:space="0"/>
              <w:bottom w:val="single" w:color="000000" w:sz="2" w:space="0"/>
              <w:right w:val="nil"/>
            </w:tcBorders>
            <w:vAlign w:val="center"/>
          </w:tcPr>
          <w:p>
            <w:pPr>
              <w:pStyle w:val="134"/>
              <w:jc w:val="left"/>
            </w:pPr>
            <w:r>
              <w:t>毒性：属低毒性</w:t>
            </w:r>
          </w:p>
        </w:tc>
      </w:tr>
      <w:tr>
        <w:tblPrEx>
          <w:tblCellMar>
            <w:top w:w="0" w:type="dxa"/>
            <w:left w:w="0" w:type="dxa"/>
            <w:bottom w:w="0" w:type="dxa"/>
            <w:right w:w="0" w:type="dxa"/>
          </w:tblCellMar>
        </w:tblPrEx>
        <w:trPr>
          <w:trHeight w:val="369"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4"/>
            </w:pPr>
          </w:p>
        </w:tc>
        <w:tc>
          <w:tcPr>
            <w:tcW w:w="8253" w:type="dxa"/>
            <w:gridSpan w:val="3"/>
            <w:tcBorders>
              <w:top w:val="single" w:color="000000" w:sz="2" w:space="0"/>
              <w:left w:val="single" w:color="000000" w:sz="2" w:space="0"/>
              <w:bottom w:val="single" w:color="000000" w:sz="2" w:space="0"/>
              <w:right w:val="nil"/>
            </w:tcBorders>
            <w:vAlign w:val="center"/>
          </w:tcPr>
          <w:p>
            <w:pPr>
              <w:pStyle w:val="134"/>
              <w:jc w:val="left"/>
            </w:pPr>
            <w:r>
              <w:t>侵入途径：吸入</w:t>
            </w:r>
          </w:p>
        </w:tc>
      </w:tr>
      <w:tr>
        <w:tblPrEx>
          <w:tblCellMar>
            <w:top w:w="0" w:type="dxa"/>
            <w:left w:w="0" w:type="dxa"/>
            <w:bottom w:w="0" w:type="dxa"/>
            <w:right w:w="0" w:type="dxa"/>
          </w:tblCellMar>
        </w:tblPrEx>
        <w:trPr>
          <w:trHeight w:val="369" w:hRule="atLeast"/>
          <w:jc w:val="center"/>
        </w:trPr>
        <w:tc>
          <w:tcPr>
            <w:tcW w:w="474" w:type="dxa"/>
            <w:tcBorders>
              <w:top w:val="single" w:color="000000" w:sz="2" w:space="0"/>
              <w:left w:val="nil"/>
              <w:bottom w:val="single" w:color="000000" w:sz="2" w:space="0"/>
              <w:right w:val="single" w:color="000000" w:sz="2" w:space="0"/>
            </w:tcBorders>
            <w:vAlign w:val="center"/>
          </w:tcPr>
          <w:p>
            <w:pPr>
              <w:pStyle w:val="134"/>
            </w:pPr>
            <w:r>
              <w:t>健康危害</w:t>
            </w:r>
          </w:p>
        </w:tc>
        <w:tc>
          <w:tcPr>
            <w:tcW w:w="8253" w:type="dxa"/>
            <w:gridSpan w:val="3"/>
            <w:tcBorders>
              <w:top w:val="single" w:color="000000" w:sz="2" w:space="0"/>
              <w:left w:val="single" w:color="000000" w:sz="2" w:space="0"/>
              <w:bottom w:val="single" w:color="000000" w:sz="2" w:space="0"/>
              <w:right w:val="nil"/>
            </w:tcBorders>
            <w:vAlign w:val="center"/>
          </w:tcPr>
          <w:p>
            <w:pPr>
              <w:pStyle w:val="134"/>
              <w:jc w:val="left"/>
            </w:pPr>
            <w:r>
              <w:t>空气中甲烷浓度过高，使人窒息，当空气中甲烷达25～30%时，可引起头痛、头晕乏力、注意力不集中、呼吸和心跳加快、精细动作障碍等，甚至因缺氧而窒息，昏迷，甲烷量高达2%时，工作人员应立即离开该区域。</w:t>
            </w:r>
          </w:p>
        </w:tc>
      </w:tr>
      <w:tr>
        <w:tblPrEx>
          <w:tblCellMar>
            <w:top w:w="0" w:type="dxa"/>
            <w:left w:w="0" w:type="dxa"/>
            <w:bottom w:w="0" w:type="dxa"/>
            <w:right w:w="0" w:type="dxa"/>
          </w:tblCellMar>
        </w:tblPrEx>
        <w:trPr>
          <w:trHeight w:val="369" w:hRule="atLeast"/>
          <w:jc w:val="center"/>
        </w:trPr>
        <w:tc>
          <w:tcPr>
            <w:tcW w:w="474" w:type="dxa"/>
            <w:tcBorders>
              <w:top w:val="single" w:color="000000" w:sz="2" w:space="0"/>
              <w:left w:val="nil"/>
              <w:bottom w:val="single" w:color="000000" w:sz="2" w:space="0"/>
              <w:right w:val="single" w:color="000000" w:sz="2" w:space="0"/>
            </w:tcBorders>
            <w:vAlign w:val="center"/>
          </w:tcPr>
          <w:p>
            <w:pPr>
              <w:pStyle w:val="134"/>
            </w:pPr>
            <w:r>
              <w:t>急救方案</w:t>
            </w:r>
          </w:p>
        </w:tc>
        <w:tc>
          <w:tcPr>
            <w:tcW w:w="8253" w:type="dxa"/>
            <w:gridSpan w:val="3"/>
            <w:tcBorders>
              <w:top w:val="single" w:color="000000" w:sz="2" w:space="0"/>
              <w:left w:val="single" w:color="000000" w:sz="2" w:space="0"/>
              <w:bottom w:val="single" w:color="000000" w:sz="2" w:space="0"/>
              <w:right w:val="nil"/>
            </w:tcBorders>
            <w:vAlign w:val="center"/>
          </w:tcPr>
          <w:p>
            <w:pPr>
              <w:pStyle w:val="134"/>
              <w:jc w:val="left"/>
            </w:pPr>
            <w:r>
              <w:t>吸入：应迅速离开现场至空气新鲜处，注意保暖，呼吸困难时给输氧。呼吸及心跳停止者应立即进行人工呼吸和心脏按压术。就医。对症治疗，注意防止脑水肿。</w:t>
            </w:r>
          </w:p>
          <w:p>
            <w:pPr>
              <w:pStyle w:val="134"/>
              <w:jc w:val="left"/>
            </w:pPr>
            <w:r>
              <w:t>皮肤接触：若有冻伤，就医治疗。</w:t>
            </w:r>
          </w:p>
        </w:tc>
      </w:tr>
      <w:tr>
        <w:tblPrEx>
          <w:tblCellMar>
            <w:top w:w="0" w:type="dxa"/>
            <w:left w:w="0" w:type="dxa"/>
            <w:bottom w:w="0" w:type="dxa"/>
            <w:right w:w="0" w:type="dxa"/>
          </w:tblCellMar>
        </w:tblPrEx>
        <w:trPr>
          <w:trHeight w:val="369" w:hRule="atLeast"/>
          <w:jc w:val="center"/>
        </w:trPr>
        <w:tc>
          <w:tcPr>
            <w:tcW w:w="474" w:type="dxa"/>
            <w:tcBorders>
              <w:top w:val="single" w:color="000000" w:sz="2" w:space="0"/>
              <w:left w:val="nil"/>
              <w:bottom w:val="single" w:color="000000" w:sz="2" w:space="0"/>
              <w:right w:val="single" w:color="000000" w:sz="2" w:space="0"/>
            </w:tcBorders>
            <w:vAlign w:val="center"/>
          </w:tcPr>
          <w:p>
            <w:pPr>
              <w:pStyle w:val="134"/>
            </w:pPr>
            <w:r>
              <w:t>防护措施</w:t>
            </w:r>
          </w:p>
        </w:tc>
        <w:tc>
          <w:tcPr>
            <w:tcW w:w="8253" w:type="dxa"/>
            <w:gridSpan w:val="3"/>
            <w:tcBorders>
              <w:top w:val="single" w:color="000000" w:sz="2" w:space="0"/>
              <w:left w:val="single" w:color="000000" w:sz="2" w:space="0"/>
              <w:bottom w:val="single" w:color="000000" w:sz="2" w:space="0"/>
              <w:right w:val="nil"/>
            </w:tcBorders>
            <w:vAlign w:val="center"/>
          </w:tcPr>
          <w:p>
            <w:pPr>
              <w:pStyle w:val="134"/>
              <w:jc w:val="left"/>
            </w:pPr>
            <w:r>
              <w:t>工程控制：生产过程密闭，全面通风。进入罐内或高浓度区作业，应有人监护。</w:t>
            </w:r>
          </w:p>
          <w:p>
            <w:pPr>
              <w:pStyle w:val="134"/>
              <w:jc w:val="left"/>
            </w:pPr>
            <w:r>
              <w:t>个体防护：高浓度环境，佩戴自给式呼吸器；一般可戴安全防护眼镜、防护手套、穿防静电工作服。</w:t>
            </w:r>
          </w:p>
          <w:p>
            <w:pPr>
              <w:pStyle w:val="134"/>
              <w:jc w:val="left"/>
            </w:pPr>
            <w:r>
              <w:t>其他：工作现场严禁吸烟。避免长期反复接触。进入限制性空间或其他高浓度作业区，须有人监护。</w:t>
            </w:r>
          </w:p>
        </w:tc>
      </w:tr>
      <w:tr>
        <w:tblPrEx>
          <w:tblCellMar>
            <w:top w:w="0" w:type="dxa"/>
            <w:left w:w="0" w:type="dxa"/>
            <w:bottom w:w="0" w:type="dxa"/>
            <w:right w:w="0" w:type="dxa"/>
          </w:tblCellMar>
        </w:tblPrEx>
        <w:trPr>
          <w:trHeight w:val="369" w:hRule="atLeast"/>
          <w:jc w:val="center"/>
        </w:trPr>
        <w:tc>
          <w:tcPr>
            <w:tcW w:w="474" w:type="dxa"/>
            <w:tcBorders>
              <w:top w:val="single" w:color="000000" w:sz="2" w:space="0"/>
              <w:left w:val="nil"/>
              <w:bottom w:val="single" w:color="000000" w:sz="12" w:space="0"/>
              <w:right w:val="single" w:color="000000" w:sz="2" w:space="0"/>
            </w:tcBorders>
            <w:vAlign w:val="center"/>
          </w:tcPr>
          <w:p>
            <w:pPr>
              <w:pStyle w:val="134"/>
            </w:pPr>
            <w:r>
              <w:t>泄漏处理</w:t>
            </w:r>
          </w:p>
        </w:tc>
        <w:tc>
          <w:tcPr>
            <w:tcW w:w="8253" w:type="dxa"/>
            <w:gridSpan w:val="3"/>
            <w:tcBorders>
              <w:top w:val="single" w:color="000000" w:sz="2" w:space="0"/>
              <w:left w:val="single" w:color="000000" w:sz="2" w:space="0"/>
              <w:bottom w:val="single" w:color="000000" w:sz="12" w:space="0"/>
              <w:right w:val="nil"/>
            </w:tcBorders>
            <w:vAlign w:val="center"/>
          </w:tcPr>
          <w:p>
            <w:pPr>
              <w:pStyle w:val="134"/>
              <w:jc w:val="left"/>
            </w:pPr>
            <w:r>
              <w:t>迅速撤离泄漏污染区人员至上风处，并进行隔离，严格限制出入。切断火源。尽可能切断泄漏源，合理通风，加速扩散。</w:t>
            </w:r>
          </w:p>
          <w:p>
            <w:pPr>
              <w:pStyle w:val="134"/>
              <w:jc w:val="left"/>
            </w:pPr>
            <w:r>
              <w:t>建议应急处理人员戴自给式呼吸器，穿一般消防防护服．切断气源，喷雾状水稀释、溶解，抽排（室内）或强力通风（室外）。如有可能，将漏出气用排风机送至空旷地方或装设适当喷头烧掉．也可以将漏气的容器移至空旷处，注意通风．漏气容器不能再用，且要经过技术处理以清除可能剩下的气体，修复、检验后再用。</w:t>
            </w:r>
          </w:p>
        </w:tc>
      </w:tr>
    </w:tbl>
    <w:p>
      <w:pPr>
        <w:pStyle w:val="114"/>
        <w:ind w:firstLine="480"/>
      </w:pPr>
      <w:r>
        <w:t>甲烷其危险有害因素分析如下：</w:t>
      </w:r>
    </w:p>
    <w:p>
      <w:pPr>
        <w:pStyle w:val="6"/>
        <w:ind w:firstLine="480"/>
        <w:rPr>
          <w:rFonts w:ascii="Times New Roman" w:cs="Times New Roman"/>
        </w:rPr>
      </w:pPr>
      <w:r>
        <w:rPr>
          <w:rFonts w:ascii="Times New Roman" w:cs="Times New Roman"/>
        </w:rPr>
        <w:t>（1）易燃性：天然气属于甲类火灾危险物质。对于石油蒸汽、天然气常常在作业场所或储存区弥散、扩散或在低洼处聚集，在空气中只要较小的点燃能量就会燃烧，因此具有较大的火灾危险性。</w:t>
      </w:r>
    </w:p>
    <w:p>
      <w:pPr>
        <w:pStyle w:val="6"/>
        <w:ind w:firstLine="480"/>
        <w:rPr>
          <w:rFonts w:ascii="Times New Roman" w:cs="Times New Roman"/>
        </w:rPr>
      </w:pPr>
      <w:r>
        <w:rPr>
          <w:rFonts w:ascii="Times New Roman" w:cs="Times New Roman"/>
        </w:rPr>
        <w:t>（2）易爆性：天然气与空气组成混合气体，其浓度处于一定范围时，连火即发生爆炸。天然气（甲烷）的爆炸极限范围为5%~14%，爆炸浓度极限范围愈宽，爆炸下限浓度值越低，物质爆炸危险性 就越大。上表列出了在0℃、101.325kPa条件下天然气主要成分的爆炸、燃烧特性。</w:t>
      </w:r>
    </w:p>
    <w:p>
      <w:pPr>
        <w:pStyle w:val="6"/>
        <w:ind w:firstLine="480"/>
        <w:rPr>
          <w:rFonts w:ascii="Times New Roman" w:cs="Times New Roman"/>
        </w:rPr>
      </w:pPr>
      <w:r>
        <w:rPr>
          <w:rFonts w:ascii="Times New Roman" w:cs="Times New Roman"/>
        </w:rPr>
        <w:t>（3）毒性：天然气为烃类混合物，属低毒性物质，但长期接触可导致神经衰弱综合症。甲烷属“单纯窒息性”气体，高浓度时因缺氧窒息而引起中毒，空气中甲烷浓度达到25%~30%时出现头晕，呼吸加速、运动失调。</w:t>
      </w:r>
    </w:p>
    <w:p>
      <w:pPr>
        <w:pStyle w:val="6"/>
        <w:ind w:firstLine="480"/>
        <w:rPr>
          <w:rFonts w:ascii="Times New Roman" w:cs="Times New Roman"/>
        </w:rPr>
      </w:pPr>
      <w:r>
        <w:rPr>
          <w:rFonts w:ascii="Times New Roman" w:cs="Times New Roman"/>
        </w:rPr>
        <w:t>（4）热膨胀性：石油及石油产品、天然气的体积随着温度的升高而膨胀，特别是天然气随温度升高膨胀特别明显．如果站场储存容器受暴晒或靠近高温热源，容器内的介质受热膨胀造成容器内压增大而膨胀。这种热胀冷缩作用往往损坏储存容器，造成介质泄漏。天然气储存容器在低温下还可能引起外压失稳。</w:t>
      </w:r>
    </w:p>
    <w:p>
      <w:pPr>
        <w:pStyle w:val="6"/>
        <w:ind w:firstLine="480"/>
        <w:rPr>
          <w:rFonts w:ascii="Times New Roman" w:cs="Times New Roman"/>
        </w:rPr>
      </w:pPr>
      <w:r>
        <w:rPr>
          <w:rFonts w:ascii="Times New Roman" w:cs="Times New Roman"/>
        </w:rPr>
        <w:t>（5）静电荷聚集性：虽然静电荷主要发生在油品的运输、流动、装卸等工艺中，但是压缩气体从管口或破损处高速喷出时，由于强烈的摩擦作用，也会产生静电；静电的危害主要是静电放电。如果静电放电产生的电火花能量达到或大于可燃物的最小点火能，就会立即引起燃烧、爆炸。</w:t>
      </w:r>
    </w:p>
    <w:p>
      <w:pPr>
        <w:pStyle w:val="6"/>
        <w:ind w:firstLine="480"/>
        <w:rPr>
          <w:rFonts w:ascii="Times New Roman" w:cs="Times New Roman"/>
        </w:rPr>
      </w:pPr>
      <w:r>
        <w:rPr>
          <w:rFonts w:ascii="Times New Roman" w:cs="Times New Roman"/>
        </w:rPr>
        <w:t>（6）易扩散性：天然气的泄漏不仅会影响管道的正常输送，污染周围的环境，甚至使人中毒，更为严重的是增加了火灾爆炸的危险。当管道系统密封不严时，天然气极易发生泄漏，并可随风四处扩散，遇到明火极易引起火灾或爆炸。甲烷特性见下表：</w:t>
      </w:r>
    </w:p>
    <w:p>
      <w:pPr>
        <w:pStyle w:val="127"/>
        <w:rPr>
          <w:rFonts w:eastAsia="宋体"/>
        </w:rPr>
      </w:pPr>
      <w:r>
        <w:rPr>
          <w:rFonts w:eastAsia="宋体"/>
        </w:rPr>
        <w:t>表7.</w:t>
      </w:r>
      <w:r>
        <w:rPr>
          <w:rFonts w:hint="eastAsia" w:eastAsia="宋体"/>
        </w:rPr>
        <w:t>7</w:t>
      </w:r>
      <w:r>
        <w:rPr>
          <w:rFonts w:eastAsia="宋体"/>
        </w:rPr>
        <w:t>-2  甲烷的危险特性</w:t>
      </w:r>
    </w:p>
    <w:tbl>
      <w:tblPr>
        <w:tblStyle w:val="59"/>
        <w:tblW w:w="485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704"/>
        <w:gridCol w:w="1013"/>
        <w:gridCol w:w="1641"/>
        <w:gridCol w:w="2569"/>
        <w:gridCol w:w="180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7" w:type="dxa"/>
            <w:gridSpan w:val="2"/>
            <w:vAlign w:val="center"/>
          </w:tcPr>
          <w:p>
            <w:pPr>
              <w:pStyle w:val="134"/>
            </w:pPr>
            <w:r>
              <w:t>临界温度℃</w:t>
            </w:r>
          </w:p>
        </w:tc>
        <w:tc>
          <w:tcPr>
            <w:tcW w:w="1657" w:type="dxa"/>
            <w:vAlign w:val="center"/>
          </w:tcPr>
          <w:p>
            <w:pPr>
              <w:pStyle w:val="134"/>
            </w:pPr>
            <w:r>
              <w:t>-79.48</w:t>
            </w:r>
          </w:p>
        </w:tc>
        <w:tc>
          <w:tcPr>
            <w:tcW w:w="2596" w:type="dxa"/>
            <w:vAlign w:val="center"/>
          </w:tcPr>
          <w:p>
            <w:pPr>
              <w:pStyle w:val="134"/>
            </w:pPr>
            <w:r>
              <w:t>燃烧热j/kmol</w:t>
            </w:r>
          </w:p>
        </w:tc>
        <w:tc>
          <w:tcPr>
            <w:tcW w:w="1821" w:type="dxa"/>
            <w:vAlign w:val="center"/>
          </w:tcPr>
          <w:p>
            <w:pPr>
              <w:pStyle w:val="134"/>
            </w:pPr>
            <w:r>
              <w:t>884768.6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7" w:type="dxa"/>
            <w:gridSpan w:val="2"/>
            <w:vAlign w:val="center"/>
          </w:tcPr>
          <w:p>
            <w:pPr>
              <w:pStyle w:val="134"/>
            </w:pPr>
            <w:r>
              <w:t>临界压力bar</w:t>
            </w:r>
          </w:p>
        </w:tc>
        <w:tc>
          <w:tcPr>
            <w:tcW w:w="1657" w:type="dxa"/>
            <w:vAlign w:val="center"/>
          </w:tcPr>
          <w:p>
            <w:pPr>
              <w:pStyle w:val="134"/>
            </w:pPr>
            <w:r>
              <w:t>46.5</w:t>
            </w:r>
          </w:p>
        </w:tc>
        <w:tc>
          <w:tcPr>
            <w:tcW w:w="2596" w:type="dxa"/>
            <w:vAlign w:val="center"/>
          </w:tcPr>
          <w:p>
            <w:pPr>
              <w:pStyle w:val="134"/>
            </w:pPr>
            <w:r>
              <w:t>LEF（%V/V）</w:t>
            </w:r>
          </w:p>
        </w:tc>
        <w:tc>
          <w:tcPr>
            <w:tcW w:w="1821" w:type="dxa"/>
            <w:vAlign w:val="center"/>
          </w:tcPr>
          <w:p>
            <w:pPr>
              <w:pStyle w:val="134"/>
            </w:pPr>
            <w:r>
              <w:t>4.56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7" w:type="dxa"/>
            <w:gridSpan w:val="2"/>
            <w:vAlign w:val="center"/>
          </w:tcPr>
          <w:p>
            <w:pPr>
              <w:pStyle w:val="134"/>
            </w:pPr>
            <w:r>
              <w:t>标准沸点℃</w:t>
            </w:r>
          </w:p>
        </w:tc>
        <w:tc>
          <w:tcPr>
            <w:tcW w:w="1657" w:type="dxa"/>
            <w:vAlign w:val="center"/>
          </w:tcPr>
          <w:p>
            <w:pPr>
              <w:pStyle w:val="134"/>
            </w:pPr>
            <w:r>
              <w:t>-161.5</w:t>
            </w:r>
          </w:p>
        </w:tc>
        <w:tc>
          <w:tcPr>
            <w:tcW w:w="2596" w:type="dxa"/>
            <w:vAlign w:val="center"/>
          </w:tcPr>
          <w:p>
            <w:pPr>
              <w:pStyle w:val="134"/>
            </w:pPr>
            <w:r>
              <w:t>UFL（%V/V）</w:t>
            </w:r>
          </w:p>
        </w:tc>
        <w:tc>
          <w:tcPr>
            <w:tcW w:w="1821" w:type="dxa"/>
            <w:vAlign w:val="center"/>
          </w:tcPr>
          <w:p>
            <w:pPr>
              <w:pStyle w:val="134"/>
            </w:pPr>
            <w:r>
              <w:t>19.13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7" w:type="dxa"/>
            <w:gridSpan w:val="2"/>
            <w:vAlign w:val="center"/>
          </w:tcPr>
          <w:p>
            <w:pPr>
              <w:pStyle w:val="134"/>
            </w:pPr>
            <w:r>
              <w:t>熔点℃</w:t>
            </w:r>
          </w:p>
        </w:tc>
        <w:tc>
          <w:tcPr>
            <w:tcW w:w="1657" w:type="dxa"/>
            <w:vAlign w:val="center"/>
          </w:tcPr>
          <w:p>
            <w:pPr>
              <w:pStyle w:val="134"/>
            </w:pPr>
            <w:r>
              <w:t>-182.5</w:t>
            </w:r>
          </w:p>
        </w:tc>
        <w:tc>
          <w:tcPr>
            <w:tcW w:w="2596" w:type="dxa"/>
            <w:vAlign w:val="center"/>
          </w:tcPr>
          <w:p>
            <w:pPr>
              <w:pStyle w:val="134"/>
            </w:pPr>
            <w:r>
              <w:t>分子量kg/kmol</w:t>
            </w:r>
          </w:p>
        </w:tc>
        <w:tc>
          <w:tcPr>
            <w:tcW w:w="1821" w:type="dxa"/>
            <w:vAlign w:val="center"/>
          </w:tcPr>
          <w:p>
            <w:pPr>
              <w:pStyle w:val="134"/>
            </w:pPr>
            <w:r>
              <w:t>16.98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7" w:type="dxa"/>
            <w:gridSpan w:val="2"/>
            <w:vAlign w:val="center"/>
          </w:tcPr>
          <w:p>
            <w:pPr>
              <w:pStyle w:val="134"/>
            </w:pPr>
            <w:r>
              <w:t>最大辐射能kw/m</w:t>
            </w:r>
            <w:r>
              <w:rPr>
                <w:vertAlign w:val="superscript"/>
              </w:rPr>
              <w:t>2</w:t>
            </w:r>
          </w:p>
        </w:tc>
        <w:tc>
          <w:tcPr>
            <w:tcW w:w="1657" w:type="dxa"/>
            <w:vAlign w:val="center"/>
          </w:tcPr>
          <w:p>
            <w:pPr>
              <w:pStyle w:val="134"/>
            </w:pPr>
            <w:r>
              <w:t>200.28</w:t>
            </w:r>
          </w:p>
        </w:tc>
        <w:tc>
          <w:tcPr>
            <w:tcW w:w="2596" w:type="dxa"/>
            <w:vAlign w:val="center"/>
          </w:tcPr>
          <w:p>
            <w:pPr>
              <w:pStyle w:val="134"/>
            </w:pPr>
            <w:r>
              <w:t>最大燃烧率kg/m</w:t>
            </w:r>
            <w:r>
              <w:rPr>
                <w:vertAlign w:val="superscript"/>
              </w:rPr>
              <w:t>2</w:t>
            </w:r>
            <w:r>
              <w:t>·s</w:t>
            </w:r>
          </w:p>
        </w:tc>
        <w:tc>
          <w:tcPr>
            <w:tcW w:w="1821" w:type="dxa"/>
            <w:vAlign w:val="center"/>
          </w:tcPr>
          <w:p>
            <w:pPr>
              <w:pStyle w:val="134"/>
            </w:pPr>
            <w:r>
              <w:t>0.13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723" w:type="dxa"/>
            <w:vMerge w:val="restart"/>
            <w:vAlign w:val="center"/>
          </w:tcPr>
          <w:p>
            <w:pPr>
              <w:pStyle w:val="134"/>
            </w:pPr>
            <w:r>
              <w:t>爆炸极限%（v）</w:t>
            </w:r>
          </w:p>
        </w:tc>
        <w:tc>
          <w:tcPr>
            <w:tcW w:w="1024" w:type="dxa"/>
            <w:vAlign w:val="center"/>
          </w:tcPr>
          <w:p>
            <w:pPr>
              <w:pStyle w:val="134"/>
            </w:pPr>
            <w:r>
              <w:t>上限</w:t>
            </w:r>
          </w:p>
        </w:tc>
        <w:tc>
          <w:tcPr>
            <w:tcW w:w="1657" w:type="dxa"/>
            <w:vAlign w:val="center"/>
          </w:tcPr>
          <w:p>
            <w:pPr>
              <w:pStyle w:val="134"/>
            </w:pPr>
            <w:r>
              <w:t>5.0</w:t>
            </w:r>
          </w:p>
        </w:tc>
        <w:tc>
          <w:tcPr>
            <w:tcW w:w="2596" w:type="dxa"/>
            <w:vAlign w:val="center"/>
          </w:tcPr>
          <w:p>
            <w:pPr>
              <w:pStyle w:val="134"/>
            </w:pPr>
            <w:r>
              <w:t>燃烧爆炸危险度</w:t>
            </w:r>
          </w:p>
        </w:tc>
        <w:tc>
          <w:tcPr>
            <w:tcW w:w="1821" w:type="dxa"/>
            <w:vAlign w:val="center"/>
          </w:tcPr>
          <w:p>
            <w:pPr>
              <w:pStyle w:val="134"/>
            </w:pPr>
            <w:r>
              <w:t>0.13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723" w:type="dxa"/>
            <w:vMerge w:val="continue"/>
            <w:vAlign w:val="center"/>
          </w:tcPr>
          <w:p>
            <w:pPr>
              <w:pStyle w:val="134"/>
            </w:pPr>
          </w:p>
        </w:tc>
        <w:tc>
          <w:tcPr>
            <w:tcW w:w="1024" w:type="dxa"/>
            <w:vAlign w:val="center"/>
          </w:tcPr>
          <w:p>
            <w:pPr>
              <w:pStyle w:val="134"/>
            </w:pPr>
            <w:r>
              <w:t>下限</w:t>
            </w:r>
          </w:p>
        </w:tc>
        <w:tc>
          <w:tcPr>
            <w:tcW w:w="1657" w:type="dxa"/>
            <w:vAlign w:val="center"/>
          </w:tcPr>
          <w:p>
            <w:pPr>
              <w:pStyle w:val="134"/>
            </w:pPr>
            <w:r>
              <w:t>14.0</w:t>
            </w:r>
          </w:p>
        </w:tc>
        <w:tc>
          <w:tcPr>
            <w:tcW w:w="2596" w:type="dxa"/>
            <w:vAlign w:val="center"/>
          </w:tcPr>
          <w:p>
            <w:pPr>
              <w:pStyle w:val="134"/>
            </w:pPr>
            <w:r>
              <w:t>危险性类别</w:t>
            </w:r>
          </w:p>
        </w:tc>
        <w:tc>
          <w:tcPr>
            <w:tcW w:w="1821" w:type="dxa"/>
            <w:vAlign w:val="center"/>
          </w:tcPr>
          <w:p>
            <w:pPr>
              <w:pStyle w:val="134"/>
            </w:pPr>
            <w:r>
              <w:t>1.8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7" w:type="dxa"/>
            <w:gridSpan w:val="2"/>
            <w:vAlign w:val="center"/>
          </w:tcPr>
          <w:p>
            <w:pPr>
              <w:pStyle w:val="134"/>
            </w:pPr>
            <w:r>
              <w:t>密度kg/m</w:t>
            </w:r>
            <w:r>
              <w:rPr>
                <w:vertAlign w:val="superscript"/>
              </w:rPr>
              <w:t>3</w:t>
            </w:r>
          </w:p>
        </w:tc>
        <w:tc>
          <w:tcPr>
            <w:tcW w:w="6075" w:type="dxa"/>
            <w:gridSpan w:val="3"/>
            <w:vAlign w:val="center"/>
          </w:tcPr>
          <w:p>
            <w:pPr>
              <w:pStyle w:val="134"/>
            </w:pPr>
            <w:r>
              <w:t>0.72（标准状态下）</w:t>
            </w:r>
          </w:p>
        </w:tc>
      </w:tr>
    </w:tbl>
    <w:p>
      <w:pPr>
        <w:pStyle w:val="114"/>
        <w:ind w:firstLine="482"/>
        <w:rPr>
          <w:b/>
        </w:rPr>
      </w:pPr>
      <w:r>
        <w:rPr>
          <w:b/>
        </w:rPr>
        <w:t>2、硫化氢</w:t>
      </w:r>
    </w:p>
    <w:p>
      <w:pPr>
        <w:pStyle w:val="114"/>
        <w:ind w:firstLine="480"/>
      </w:pPr>
      <w:r>
        <w:t>本项目天然气为含硫气，可能对环境造成危害的物质为硫化氢。硫化氢为强烈的神经性毒物，对</w:t>
      </w:r>
      <w:r>
        <w:rPr>
          <w:rFonts w:hint="eastAsia"/>
          <w:lang w:eastAsia="zh-CN"/>
        </w:rPr>
        <w:t>黏膜</w:t>
      </w:r>
      <w:r>
        <w:t>有强烈的刺激作用。硫化氢对人的生理影响及危害见表7.6-3。</w:t>
      </w:r>
    </w:p>
    <w:p>
      <w:pPr>
        <w:pStyle w:val="127"/>
        <w:rPr>
          <w:rFonts w:eastAsia="宋体"/>
        </w:rPr>
      </w:pPr>
      <w:r>
        <w:rPr>
          <w:rFonts w:eastAsia="宋体"/>
        </w:rPr>
        <w:t>表7.</w:t>
      </w:r>
      <w:r>
        <w:rPr>
          <w:rFonts w:hint="eastAsia" w:eastAsia="宋体"/>
        </w:rPr>
        <w:t>7</w:t>
      </w:r>
      <w:r>
        <w:rPr>
          <w:rFonts w:eastAsia="宋体"/>
        </w:rPr>
        <w:t>-3  硫化氢物化性质表</w:t>
      </w:r>
    </w:p>
    <w:tbl>
      <w:tblPr>
        <w:tblStyle w:val="59"/>
        <w:tblW w:w="4850" w:type="pct"/>
        <w:jc w:val="center"/>
        <w:tblLayout w:type="fixed"/>
        <w:tblCellMar>
          <w:top w:w="0" w:type="dxa"/>
          <w:left w:w="0" w:type="dxa"/>
          <w:bottom w:w="0" w:type="dxa"/>
          <w:right w:w="0" w:type="dxa"/>
        </w:tblCellMar>
      </w:tblPr>
      <w:tblGrid>
        <w:gridCol w:w="581"/>
        <w:gridCol w:w="1309"/>
        <w:gridCol w:w="2182"/>
        <w:gridCol w:w="2041"/>
        <w:gridCol w:w="17"/>
        <w:gridCol w:w="186"/>
        <w:gridCol w:w="2208"/>
      </w:tblGrid>
      <w:tr>
        <w:tblPrEx>
          <w:tblCellMar>
            <w:top w:w="0" w:type="dxa"/>
            <w:left w:w="0" w:type="dxa"/>
            <w:bottom w:w="0" w:type="dxa"/>
            <w:right w:w="0" w:type="dxa"/>
          </w:tblCellMar>
        </w:tblPrEx>
        <w:trPr>
          <w:trHeight w:val="369" w:hRule="atLeast"/>
          <w:jc w:val="center"/>
        </w:trPr>
        <w:tc>
          <w:tcPr>
            <w:tcW w:w="604" w:type="dxa"/>
            <w:vMerge w:val="restart"/>
            <w:tcBorders>
              <w:top w:val="single" w:color="000000" w:sz="12" w:space="0"/>
              <w:left w:val="nil"/>
              <w:bottom w:val="single" w:color="000000" w:sz="2" w:space="0"/>
              <w:right w:val="single" w:color="000000" w:sz="2" w:space="0"/>
            </w:tcBorders>
            <w:vAlign w:val="center"/>
          </w:tcPr>
          <w:p>
            <w:pPr>
              <w:pStyle w:val="134"/>
            </w:pPr>
            <w:r>
              <w:t>标识</w:t>
            </w:r>
          </w:p>
        </w:tc>
        <w:tc>
          <w:tcPr>
            <w:tcW w:w="1360" w:type="dxa"/>
            <w:tcBorders>
              <w:top w:val="single" w:color="000000" w:sz="12" w:space="0"/>
              <w:left w:val="single" w:color="000000" w:sz="2" w:space="0"/>
              <w:bottom w:val="single" w:color="000000" w:sz="2" w:space="0"/>
              <w:right w:val="single" w:color="000000" w:sz="2" w:space="0"/>
            </w:tcBorders>
            <w:vAlign w:val="center"/>
          </w:tcPr>
          <w:p>
            <w:pPr>
              <w:pStyle w:val="134"/>
            </w:pPr>
            <w:r>
              <w:t>中文名</w:t>
            </w:r>
          </w:p>
        </w:tc>
        <w:tc>
          <w:tcPr>
            <w:tcW w:w="2267" w:type="dxa"/>
            <w:tcBorders>
              <w:top w:val="single" w:color="000000" w:sz="12" w:space="0"/>
              <w:left w:val="single" w:color="000000" w:sz="2" w:space="0"/>
              <w:bottom w:val="single" w:color="000000" w:sz="2" w:space="0"/>
              <w:right w:val="single" w:color="000000" w:sz="2" w:space="0"/>
            </w:tcBorders>
            <w:vAlign w:val="center"/>
          </w:tcPr>
          <w:p>
            <w:pPr>
              <w:pStyle w:val="134"/>
            </w:pPr>
            <w:r>
              <w:t>硫化氢</w:t>
            </w:r>
          </w:p>
        </w:tc>
        <w:tc>
          <w:tcPr>
            <w:tcW w:w="2121" w:type="dxa"/>
            <w:tcBorders>
              <w:top w:val="single" w:color="000000" w:sz="12" w:space="0"/>
              <w:left w:val="single" w:color="000000" w:sz="2" w:space="0"/>
              <w:bottom w:val="single" w:color="000000" w:sz="2" w:space="0"/>
              <w:right w:val="single" w:color="000000" w:sz="2" w:space="0"/>
            </w:tcBorders>
            <w:vAlign w:val="center"/>
          </w:tcPr>
          <w:p>
            <w:pPr>
              <w:pStyle w:val="134"/>
            </w:pPr>
            <w:r>
              <w:t>英文名</w:t>
            </w:r>
          </w:p>
        </w:tc>
        <w:tc>
          <w:tcPr>
            <w:tcW w:w="2502" w:type="dxa"/>
            <w:gridSpan w:val="3"/>
            <w:tcBorders>
              <w:top w:val="single" w:color="000000" w:sz="12" w:space="0"/>
              <w:left w:val="single" w:color="000000" w:sz="2" w:space="0"/>
              <w:bottom w:val="single" w:color="000000" w:sz="2" w:space="0"/>
              <w:right w:val="nil"/>
            </w:tcBorders>
            <w:vAlign w:val="center"/>
          </w:tcPr>
          <w:p>
            <w:pPr>
              <w:pStyle w:val="134"/>
            </w:pPr>
            <w:r>
              <w:t>Hydrogen Sulfide</w:t>
            </w:r>
          </w:p>
        </w:tc>
      </w:tr>
      <w:tr>
        <w:tblPrEx>
          <w:tblCellMar>
            <w:top w:w="0" w:type="dxa"/>
            <w:left w:w="0" w:type="dxa"/>
            <w:bottom w:w="0" w:type="dxa"/>
            <w:right w:w="0" w:type="dxa"/>
          </w:tblCellMar>
        </w:tblPrEx>
        <w:trPr>
          <w:trHeight w:val="369" w:hRule="atLeast"/>
          <w:jc w:val="center"/>
        </w:trPr>
        <w:tc>
          <w:tcPr>
            <w:tcW w:w="604" w:type="dxa"/>
            <w:vMerge w:val="continue"/>
            <w:tcBorders>
              <w:top w:val="single" w:color="000000" w:sz="2" w:space="0"/>
              <w:left w:val="nil"/>
              <w:bottom w:val="single" w:color="000000" w:sz="2" w:space="0"/>
              <w:right w:val="single" w:color="000000" w:sz="2" w:space="0"/>
            </w:tcBorders>
            <w:vAlign w:val="center"/>
          </w:tcPr>
          <w:p>
            <w:pPr>
              <w:pStyle w:val="134"/>
            </w:pPr>
          </w:p>
        </w:tc>
        <w:tc>
          <w:tcPr>
            <w:tcW w:w="1360" w:type="dxa"/>
            <w:tcBorders>
              <w:top w:val="single" w:color="000000" w:sz="2" w:space="0"/>
              <w:left w:val="single" w:color="000000" w:sz="2" w:space="0"/>
              <w:bottom w:val="single" w:color="000000" w:sz="2" w:space="0"/>
              <w:right w:val="single" w:color="000000" w:sz="2" w:space="0"/>
            </w:tcBorders>
            <w:vAlign w:val="center"/>
          </w:tcPr>
          <w:p>
            <w:pPr>
              <w:pStyle w:val="134"/>
            </w:pPr>
            <w:r>
              <w:t>分子式</w:t>
            </w:r>
          </w:p>
        </w:tc>
        <w:tc>
          <w:tcPr>
            <w:tcW w:w="2267" w:type="dxa"/>
            <w:tcBorders>
              <w:top w:val="single" w:color="000000" w:sz="2" w:space="0"/>
              <w:left w:val="single" w:color="000000" w:sz="2" w:space="0"/>
              <w:bottom w:val="single" w:color="000000" w:sz="2" w:space="0"/>
              <w:right w:val="single" w:color="000000" w:sz="2" w:space="0"/>
            </w:tcBorders>
            <w:vAlign w:val="center"/>
          </w:tcPr>
          <w:p>
            <w:pPr>
              <w:pStyle w:val="134"/>
            </w:pPr>
            <w:r>
              <w:t>H</w:t>
            </w:r>
            <w:r>
              <w:rPr>
                <w:vertAlign w:val="subscript"/>
              </w:rPr>
              <w:t>2</w:t>
            </w:r>
            <w:r>
              <w:t>S</w:t>
            </w:r>
          </w:p>
        </w:tc>
        <w:tc>
          <w:tcPr>
            <w:tcW w:w="2138" w:type="dxa"/>
            <w:gridSpan w:val="2"/>
            <w:tcBorders>
              <w:top w:val="single" w:color="000000" w:sz="2" w:space="0"/>
              <w:left w:val="single" w:color="000000" w:sz="2" w:space="0"/>
              <w:bottom w:val="single" w:color="000000" w:sz="2" w:space="0"/>
              <w:right w:val="single" w:color="000000" w:sz="2" w:space="0"/>
            </w:tcBorders>
            <w:vAlign w:val="center"/>
          </w:tcPr>
          <w:p>
            <w:pPr>
              <w:pStyle w:val="134"/>
            </w:pPr>
            <w:r>
              <w:t>危险货物：UN编号</w:t>
            </w:r>
          </w:p>
        </w:tc>
        <w:tc>
          <w:tcPr>
            <w:tcW w:w="2486" w:type="dxa"/>
            <w:gridSpan w:val="2"/>
            <w:tcBorders>
              <w:top w:val="single" w:color="000000" w:sz="2" w:space="0"/>
              <w:left w:val="single" w:color="000000" w:sz="2" w:space="0"/>
              <w:bottom w:val="single" w:color="000000" w:sz="2" w:space="0"/>
              <w:right w:val="nil"/>
            </w:tcBorders>
            <w:vAlign w:val="center"/>
          </w:tcPr>
          <w:p>
            <w:pPr>
              <w:pStyle w:val="134"/>
            </w:pPr>
            <w:r>
              <w:t>21006:1053</w:t>
            </w:r>
          </w:p>
        </w:tc>
      </w:tr>
      <w:tr>
        <w:tblPrEx>
          <w:tblCellMar>
            <w:top w:w="0" w:type="dxa"/>
            <w:left w:w="0" w:type="dxa"/>
            <w:bottom w:w="0" w:type="dxa"/>
            <w:right w:w="0" w:type="dxa"/>
          </w:tblCellMar>
        </w:tblPrEx>
        <w:trPr>
          <w:trHeight w:val="369" w:hRule="atLeast"/>
          <w:jc w:val="center"/>
        </w:trPr>
        <w:tc>
          <w:tcPr>
            <w:tcW w:w="604" w:type="dxa"/>
            <w:vMerge w:val="continue"/>
            <w:tcBorders>
              <w:top w:val="single" w:color="000000" w:sz="2" w:space="0"/>
              <w:left w:val="nil"/>
              <w:bottom w:val="single" w:color="000000" w:sz="2" w:space="0"/>
              <w:right w:val="single" w:color="000000" w:sz="2" w:space="0"/>
            </w:tcBorders>
            <w:vAlign w:val="center"/>
          </w:tcPr>
          <w:p>
            <w:pPr>
              <w:pStyle w:val="134"/>
            </w:pPr>
          </w:p>
        </w:tc>
        <w:tc>
          <w:tcPr>
            <w:tcW w:w="1360" w:type="dxa"/>
            <w:tcBorders>
              <w:top w:val="single" w:color="000000" w:sz="2" w:space="0"/>
              <w:left w:val="single" w:color="000000" w:sz="2" w:space="0"/>
              <w:bottom w:val="single" w:color="000000" w:sz="2" w:space="0"/>
              <w:right w:val="single" w:color="000000" w:sz="2" w:space="0"/>
            </w:tcBorders>
            <w:vAlign w:val="center"/>
          </w:tcPr>
          <w:p>
            <w:pPr>
              <w:pStyle w:val="134"/>
            </w:pPr>
            <w:r>
              <w:t>沸点</w:t>
            </w:r>
          </w:p>
        </w:tc>
        <w:tc>
          <w:tcPr>
            <w:tcW w:w="2267" w:type="dxa"/>
            <w:tcBorders>
              <w:top w:val="single" w:color="000000" w:sz="2" w:space="0"/>
              <w:left w:val="single" w:color="000000" w:sz="2" w:space="0"/>
              <w:bottom w:val="single" w:color="000000" w:sz="2" w:space="0"/>
              <w:right w:val="single" w:color="000000" w:sz="2" w:space="0"/>
            </w:tcBorders>
            <w:vAlign w:val="center"/>
          </w:tcPr>
          <w:p>
            <w:pPr>
              <w:pStyle w:val="134"/>
            </w:pPr>
            <w:r>
              <w:t>-60.4℃</w:t>
            </w:r>
          </w:p>
        </w:tc>
        <w:tc>
          <w:tcPr>
            <w:tcW w:w="2138" w:type="dxa"/>
            <w:gridSpan w:val="2"/>
            <w:tcBorders>
              <w:top w:val="single" w:color="000000" w:sz="2" w:space="0"/>
              <w:left w:val="single" w:color="000000" w:sz="2" w:space="0"/>
              <w:bottom w:val="single" w:color="000000" w:sz="2" w:space="0"/>
              <w:right w:val="single" w:color="000000" w:sz="2" w:space="0"/>
            </w:tcBorders>
            <w:vAlign w:val="center"/>
          </w:tcPr>
          <w:p>
            <w:pPr>
              <w:pStyle w:val="134"/>
            </w:pPr>
            <w:r>
              <w:t>临界温度</w:t>
            </w:r>
          </w:p>
        </w:tc>
        <w:tc>
          <w:tcPr>
            <w:tcW w:w="2486" w:type="dxa"/>
            <w:gridSpan w:val="2"/>
            <w:tcBorders>
              <w:top w:val="single" w:color="000000" w:sz="2" w:space="0"/>
              <w:left w:val="single" w:color="000000" w:sz="2" w:space="0"/>
              <w:bottom w:val="single" w:color="000000" w:sz="2" w:space="0"/>
              <w:right w:val="nil"/>
            </w:tcBorders>
            <w:vAlign w:val="center"/>
          </w:tcPr>
          <w:p>
            <w:pPr>
              <w:pStyle w:val="134"/>
            </w:pPr>
            <w:r>
              <w:t>100.4℃</w:t>
            </w:r>
          </w:p>
        </w:tc>
      </w:tr>
      <w:tr>
        <w:tblPrEx>
          <w:tblCellMar>
            <w:top w:w="0" w:type="dxa"/>
            <w:left w:w="0" w:type="dxa"/>
            <w:bottom w:w="0" w:type="dxa"/>
            <w:right w:w="0" w:type="dxa"/>
          </w:tblCellMar>
        </w:tblPrEx>
        <w:trPr>
          <w:trHeight w:val="369" w:hRule="atLeast"/>
          <w:jc w:val="center"/>
        </w:trPr>
        <w:tc>
          <w:tcPr>
            <w:tcW w:w="604" w:type="dxa"/>
            <w:vMerge w:val="continue"/>
            <w:tcBorders>
              <w:top w:val="single" w:color="000000" w:sz="2" w:space="0"/>
              <w:left w:val="nil"/>
              <w:bottom w:val="single" w:color="000000" w:sz="2" w:space="0"/>
              <w:right w:val="single" w:color="000000" w:sz="2" w:space="0"/>
            </w:tcBorders>
            <w:vAlign w:val="center"/>
          </w:tcPr>
          <w:p>
            <w:pPr>
              <w:pStyle w:val="134"/>
            </w:pPr>
          </w:p>
        </w:tc>
        <w:tc>
          <w:tcPr>
            <w:tcW w:w="1360" w:type="dxa"/>
            <w:tcBorders>
              <w:top w:val="single" w:color="000000" w:sz="2" w:space="0"/>
              <w:left w:val="single" w:color="000000" w:sz="2" w:space="0"/>
              <w:bottom w:val="single" w:color="000000" w:sz="2" w:space="0"/>
              <w:right w:val="single" w:color="000000" w:sz="2" w:space="0"/>
            </w:tcBorders>
            <w:vAlign w:val="center"/>
          </w:tcPr>
          <w:p>
            <w:pPr>
              <w:pStyle w:val="134"/>
            </w:pPr>
            <w:r>
              <w:t>相对密度</w:t>
            </w:r>
          </w:p>
          <w:p>
            <w:pPr>
              <w:pStyle w:val="134"/>
            </w:pPr>
            <w:r>
              <w:t>（水=1）</w:t>
            </w:r>
          </w:p>
        </w:tc>
        <w:tc>
          <w:tcPr>
            <w:tcW w:w="2267" w:type="dxa"/>
            <w:tcBorders>
              <w:top w:val="single" w:color="000000" w:sz="2" w:space="0"/>
              <w:left w:val="single" w:color="000000" w:sz="2" w:space="0"/>
              <w:bottom w:val="single" w:color="000000" w:sz="2" w:space="0"/>
              <w:right w:val="single" w:color="000000" w:sz="2" w:space="0"/>
            </w:tcBorders>
            <w:vAlign w:val="center"/>
          </w:tcPr>
          <w:p>
            <w:pPr>
              <w:pStyle w:val="134"/>
            </w:pPr>
            <w:r>
              <w:t>/</w:t>
            </w:r>
          </w:p>
        </w:tc>
        <w:tc>
          <w:tcPr>
            <w:tcW w:w="2138" w:type="dxa"/>
            <w:gridSpan w:val="2"/>
            <w:tcBorders>
              <w:top w:val="single" w:color="000000" w:sz="2" w:space="0"/>
              <w:left w:val="single" w:color="000000" w:sz="2" w:space="0"/>
              <w:bottom w:val="single" w:color="000000" w:sz="2" w:space="0"/>
              <w:right w:val="single" w:color="000000" w:sz="2" w:space="0"/>
            </w:tcBorders>
            <w:vAlign w:val="center"/>
          </w:tcPr>
          <w:p>
            <w:pPr>
              <w:pStyle w:val="134"/>
            </w:pPr>
            <w:r>
              <w:t>相对密度</w:t>
            </w:r>
          </w:p>
          <w:p>
            <w:pPr>
              <w:pStyle w:val="134"/>
            </w:pPr>
            <w:r>
              <w:t>（空气=1）</w:t>
            </w:r>
          </w:p>
        </w:tc>
        <w:tc>
          <w:tcPr>
            <w:tcW w:w="2486" w:type="dxa"/>
            <w:gridSpan w:val="2"/>
            <w:tcBorders>
              <w:top w:val="single" w:color="000000" w:sz="2" w:space="0"/>
              <w:left w:val="single" w:color="000000" w:sz="2" w:space="0"/>
              <w:bottom w:val="single" w:color="000000" w:sz="2" w:space="0"/>
              <w:right w:val="nil"/>
            </w:tcBorders>
            <w:vAlign w:val="center"/>
          </w:tcPr>
          <w:p>
            <w:pPr>
              <w:pStyle w:val="134"/>
            </w:pPr>
            <w:r>
              <w:t>1.19</w:t>
            </w:r>
          </w:p>
        </w:tc>
      </w:tr>
      <w:tr>
        <w:tblPrEx>
          <w:tblCellMar>
            <w:top w:w="0" w:type="dxa"/>
            <w:left w:w="0" w:type="dxa"/>
            <w:bottom w:w="0" w:type="dxa"/>
            <w:right w:w="0" w:type="dxa"/>
          </w:tblCellMar>
        </w:tblPrEx>
        <w:trPr>
          <w:trHeight w:val="369" w:hRule="atLeast"/>
          <w:jc w:val="center"/>
        </w:trPr>
        <w:tc>
          <w:tcPr>
            <w:tcW w:w="604" w:type="dxa"/>
            <w:vMerge w:val="continue"/>
            <w:tcBorders>
              <w:top w:val="single" w:color="000000" w:sz="2" w:space="0"/>
              <w:left w:val="nil"/>
              <w:bottom w:val="single" w:color="000000" w:sz="2" w:space="0"/>
              <w:right w:val="single" w:color="000000" w:sz="2" w:space="0"/>
            </w:tcBorders>
            <w:vAlign w:val="center"/>
          </w:tcPr>
          <w:p>
            <w:pPr>
              <w:pStyle w:val="134"/>
            </w:pPr>
          </w:p>
        </w:tc>
        <w:tc>
          <w:tcPr>
            <w:tcW w:w="1360" w:type="dxa"/>
            <w:tcBorders>
              <w:top w:val="single" w:color="000000" w:sz="2" w:space="0"/>
              <w:left w:val="single" w:color="000000" w:sz="2" w:space="0"/>
              <w:bottom w:val="single" w:color="000000" w:sz="2" w:space="0"/>
              <w:right w:val="single" w:color="000000" w:sz="2" w:space="0"/>
            </w:tcBorders>
            <w:vAlign w:val="center"/>
          </w:tcPr>
          <w:p>
            <w:pPr>
              <w:pStyle w:val="134"/>
            </w:pPr>
            <w:r>
              <w:t>外观性状</w:t>
            </w:r>
          </w:p>
        </w:tc>
        <w:tc>
          <w:tcPr>
            <w:tcW w:w="6891" w:type="dxa"/>
            <w:gridSpan w:val="5"/>
            <w:tcBorders>
              <w:top w:val="single" w:color="000000" w:sz="2" w:space="0"/>
              <w:left w:val="single" w:color="000000" w:sz="2" w:space="0"/>
              <w:bottom w:val="single" w:color="000000" w:sz="2" w:space="0"/>
            </w:tcBorders>
            <w:vAlign w:val="center"/>
          </w:tcPr>
          <w:p>
            <w:pPr>
              <w:pStyle w:val="134"/>
            </w:pPr>
            <w:r>
              <w:t>无色、有恶臭的气体</w:t>
            </w:r>
          </w:p>
        </w:tc>
      </w:tr>
      <w:tr>
        <w:tblPrEx>
          <w:tblCellMar>
            <w:top w:w="0" w:type="dxa"/>
            <w:left w:w="0" w:type="dxa"/>
            <w:bottom w:w="0" w:type="dxa"/>
            <w:right w:w="0" w:type="dxa"/>
          </w:tblCellMar>
        </w:tblPrEx>
        <w:trPr>
          <w:trHeight w:val="369" w:hRule="atLeast"/>
          <w:jc w:val="center"/>
        </w:trPr>
        <w:tc>
          <w:tcPr>
            <w:tcW w:w="604" w:type="dxa"/>
            <w:vMerge w:val="continue"/>
            <w:tcBorders>
              <w:top w:val="single" w:color="000000" w:sz="2" w:space="0"/>
              <w:left w:val="nil"/>
              <w:bottom w:val="single" w:color="000000" w:sz="2" w:space="0"/>
              <w:right w:val="single" w:color="000000" w:sz="2" w:space="0"/>
            </w:tcBorders>
            <w:vAlign w:val="center"/>
          </w:tcPr>
          <w:p>
            <w:pPr>
              <w:pStyle w:val="134"/>
            </w:pPr>
          </w:p>
        </w:tc>
        <w:tc>
          <w:tcPr>
            <w:tcW w:w="1360" w:type="dxa"/>
            <w:tcBorders>
              <w:top w:val="single" w:color="000000" w:sz="2" w:space="0"/>
              <w:left w:val="single" w:color="000000" w:sz="2" w:space="0"/>
              <w:bottom w:val="single" w:color="000000" w:sz="2" w:space="0"/>
              <w:right w:val="single" w:color="000000" w:sz="2" w:space="0"/>
            </w:tcBorders>
            <w:vAlign w:val="center"/>
          </w:tcPr>
          <w:p>
            <w:pPr>
              <w:pStyle w:val="134"/>
            </w:pPr>
            <w:r>
              <w:t>溶解性</w:t>
            </w:r>
          </w:p>
        </w:tc>
        <w:tc>
          <w:tcPr>
            <w:tcW w:w="6891" w:type="dxa"/>
            <w:gridSpan w:val="5"/>
            <w:tcBorders>
              <w:top w:val="single" w:color="000000" w:sz="2" w:space="0"/>
              <w:left w:val="single" w:color="000000" w:sz="2" w:space="0"/>
              <w:bottom w:val="single" w:color="000000" w:sz="2" w:space="0"/>
            </w:tcBorders>
            <w:vAlign w:val="center"/>
          </w:tcPr>
          <w:p>
            <w:pPr>
              <w:pStyle w:val="134"/>
            </w:pPr>
            <w:r>
              <w:t>溶于水、乙醇</w:t>
            </w:r>
          </w:p>
        </w:tc>
      </w:tr>
      <w:tr>
        <w:tblPrEx>
          <w:tblCellMar>
            <w:top w:w="0" w:type="dxa"/>
            <w:left w:w="0" w:type="dxa"/>
            <w:bottom w:w="0" w:type="dxa"/>
            <w:right w:w="0" w:type="dxa"/>
          </w:tblCellMar>
        </w:tblPrEx>
        <w:trPr>
          <w:trHeight w:val="369" w:hRule="atLeast"/>
          <w:jc w:val="center"/>
        </w:trPr>
        <w:tc>
          <w:tcPr>
            <w:tcW w:w="604" w:type="dxa"/>
            <w:vMerge w:val="continue"/>
            <w:tcBorders>
              <w:top w:val="single" w:color="000000" w:sz="2" w:space="0"/>
              <w:left w:val="nil"/>
              <w:bottom w:val="single" w:color="000000" w:sz="2" w:space="0"/>
              <w:right w:val="single" w:color="000000" w:sz="2" w:space="0"/>
            </w:tcBorders>
            <w:vAlign w:val="center"/>
          </w:tcPr>
          <w:p>
            <w:pPr>
              <w:pStyle w:val="134"/>
            </w:pPr>
          </w:p>
        </w:tc>
        <w:tc>
          <w:tcPr>
            <w:tcW w:w="8252" w:type="dxa"/>
            <w:gridSpan w:val="6"/>
            <w:tcBorders>
              <w:top w:val="single" w:color="000000" w:sz="2" w:space="0"/>
              <w:left w:val="single" w:color="000000" w:sz="2" w:space="0"/>
              <w:bottom w:val="single" w:color="000000" w:sz="2" w:space="0"/>
              <w:right w:val="nil"/>
            </w:tcBorders>
            <w:vAlign w:val="center"/>
          </w:tcPr>
          <w:p>
            <w:pPr>
              <w:pStyle w:val="134"/>
            </w:pPr>
            <w:r>
              <w:t>外观与性状：无色无臭气体</w:t>
            </w:r>
          </w:p>
        </w:tc>
      </w:tr>
      <w:tr>
        <w:tblPrEx>
          <w:tblCellMar>
            <w:top w:w="0" w:type="dxa"/>
            <w:left w:w="0" w:type="dxa"/>
            <w:bottom w:w="0" w:type="dxa"/>
            <w:right w:w="0" w:type="dxa"/>
          </w:tblCellMar>
        </w:tblPrEx>
        <w:trPr>
          <w:trHeight w:val="369" w:hRule="atLeast"/>
          <w:jc w:val="center"/>
        </w:trPr>
        <w:tc>
          <w:tcPr>
            <w:tcW w:w="604" w:type="dxa"/>
            <w:vMerge w:val="restart"/>
            <w:tcBorders>
              <w:top w:val="single" w:color="000000" w:sz="2" w:space="0"/>
              <w:left w:val="nil"/>
              <w:bottom w:val="single" w:color="000000" w:sz="2" w:space="0"/>
              <w:right w:val="single" w:color="000000" w:sz="2" w:space="0"/>
            </w:tcBorders>
            <w:vAlign w:val="center"/>
          </w:tcPr>
          <w:p>
            <w:pPr>
              <w:pStyle w:val="134"/>
            </w:pPr>
            <w:r>
              <w:t>危险性参数</w:t>
            </w:r>
          </w:p>
        </w:tc>
        <w:tc>
          <w:tcPr>
            <w:tcW w:w="1360" w:type="dxa"/>
            <w:tcBorders>
              <w:top w:val="single" w:color="000000" w:sz="2" w:space="0"/>
              <w:left w:val="single" w:color="000000" w:sz="2" w:space="0"/>
              <w:bottom w:val="single" w:color="000000" w:sz="2" w:space="0"/>
              <w:right w:val="single" w:color="000000" w:sz="2" w:space="0"/>
            </w:tcBorders>
            <w:vAlign w:val="center"/>
          </w:tcPr>
          <w:p>
            <w:pPr>
              <w:pStyle w:val="134"/>
            </w:pPr>
            <w:r>
              <w:t>闪点</w:t>
            </w:r>
          </w:p>
        </w:tc>
        <w:tc>
          <w:tcPr>
            <w:tcW w:w="2267" w:type="dxa"/>
            <w:tcBorders>
              <w:top w:val="single" w:color="000000" w:sz="2" w:space="0"/>
              <w:left w:val="single" w:color="000000" w:sz="2" w:space="0"/>
              <w:bottom w:val="single" w:color="000000" w:sz="2" w:space="0"/>
              <w:right w:val="single" w:color="000000" w:sz="2" w:space="0"/>
            </w:tcBorders>
            <w:vAlign w:val="center"/>
          </w:tcPr>
          <w:p>
            <w:pPr>
              <w:pStyle w:val="134"/>
            </w:pPr>
            <w:r>
              <w:t>/</w:t>
            </w:r>
          </w:p>
        </w:tc>
        <w:tc>
          <w:tcPr>
            <w:tcW w:w="2331" w:type="dxa"/>
            <w:gridSpan w:val="3"/>
            <w:tcBorders>
              <w:top w:val="single" w:color="000000" w:sz="2" w:space="0"/>
              <w:left w:val="single" w:color="000000" w:sz="2" w:space="0"/>
              <w:bottom w:val="single" w:color="000000" w:sz="2" w:space="0"/>
              <w:right w:val="single" w:color="000000" w:sz="2" w:space="0"/>
            </w:tcBorders>
            <w:vAlign w:val="center"/>
          </w:tcPr>
          <w:p>
            <w:pPr>
              <w:pStyle w:val="134"/>
            </w:pPr>
            <w:r>
              <w:t>爆炸上限</w:t>
            </w:r>
          </w:p>
        </w:tc>
        <w:tc>
          <w:tcPr>
            <w:tcW w:w="2292" w:type="dxa"/>
            <w:tcBorders>
              <w:top w:val="single" w:color="000000" w:sz="2" w:space="0"/>
              <w:left w:val="single" w:color="000000" w:sz="2" w:space="0"/>
              <w:bottom w:val="single" w:color="000000" w:sz="2" w:space="0"/>
              <w:right w:val="nil"/>
            </w:tcBorders>
            <w:vAlign w:val="center"/>
          </w:tcPr>
          <w:p>
            <w:pPr>
              <w:pStyle w:val="134"/>
            </w:pPr>
            <w:r>
              <w:t>46%(V/V)</w:t>
            </w:r>
          </w:p>
        </w:tc>
      </w:tr>
      <w:tr>
        <w:tblPrEx>
          <w:tblCellMar>
            <w:top w:w="0" w:type="dxa"/>
            <w:left w:w="0" w:type="dxa"/>
            <w:bottom w:w="0" w:type="dxa"/>
            <w:right w:w="0" w:type="dxa"/>
          </w:tblCellMar>
        </w:tblPrEx>
        <w:trPr>
          <w:trHeight w:val="369" w:hRule="atLeast"/>
          <w:jc w:val="center"/>
        </w:trPr>
        <w:tc>
          <w:tcPr>
            <w:tcW w:w="604" w:type="dxa"/>
            <w:vMerge w:val="continue"/>
            <w:tcBorders>
              <w:top w:val="single" w:color="000000" w:sz="2" w:space="0"/>
              <w:left w:val="nil"/>
              <w:bottom w:val="single" w:color="000000" w:sz="2" w:space="0"/>
              <w:right w:val="single" w:color="000000" w:sz="2" w:space="0"/>
            </w:tcBorders>
            <w:vAlign w:val="center"/>
          </w:tcPr>
          <w:p>
            <w:pPr>
              <w:pStyle w:val="134"/>
            </w:pPr>
          </w:p>
        </w:tc>
        <w:tc>
          <w:tcPr>
            <w:tcW w:w="1360" w:type="dxa"/>
            <w:tcBorders>
              <w:top w:val="single" w:color="000000" w:sz="2" w:space="0"/>
              <w:left w:val="single" w:color="000000" w:sz="2" w:space="0"/>
              <w:bottom w:val="single" w:color="000000" w:sz="2" w:space="0"/>
              <w:right w:val="single" w:color="000000" w:sz="2" w:space="0"/>
            </w:tcBorders>
            <w:vAlign w:val="center"/>
          </w:tcPr>
          <w:p>
            <w:pPr>
              <w:pStyle w:val="134"/>
            </w:pPr>
            <w:r>
              <w:t>引燃温度</w:t>
            </w:r>
          </w:p>
        </w:tc>
        <w:tc>
          <w:tcPr>
            <w:tcW w:w="2267" w:type="dxa"/>
            <w:tcBorders>
              <w:top w:val="single" w:color="000000" w:sz="2" w:space="0"/>
              <w:left w:val="single" w:color="000000" w:sz="2" w:space="0"/>
              <w:bottom w:val="single" w:color="000000" w:sz="2" w:space="0"/>
              <w:right w:val="single" w:color="000000" w:sz="2" w:space="0"/>
            </w:tcBorders>
            <w:vAlign w:val="center"/>
          </w:tcPr>
          <w:p>
            <w:pPr>
              <w:pStyle w:val="134"/>
            </w:pPr>
            <w:r>
              <w:t>260℃</w:t>
            </w:r>
          </w:p>
        </w:tc>
        <w:tc>
          <w:tcPr>
            <w:tcW w:w="2331" w:type="dxa"/>
            <w:gridSpan w:val="3"/>
            <w:tcBorders>
              <w:top w:val="single" w:color="000000" w:sz="2" w:space="0"/>
              <w:left w:val="single" w:color="000000" w:sz="2" w:space="0"/>
              <w:bottom w:val="single" w:color="000000" w:sz="2" w:space="0"/>
              <w:right w:val="single" w:color="000000" w:sz="2" w:space="0"/>
            </w:tcBorders>
            <w:vAlign w:val="center"/>
          </w:tcPr>
          <w:p>
            <w:pPr>
              <w:pStyle w:val="134"/>
            </w:pPr>
            <w:r>
              <w:t>爆炸下限</w:t>
            </w:r>
          </w:p>
        </w:tc>
        <w:tc>
          <w:tcPr>
            <w:tcW w:w="2292" w:type="dxa"/>
            <w:tcBorders>
              <w:top w:val="single" w:color="000000" w:sz="2" w:space="0"/>
              <w:left w:val="single" w:color="000000" w:sz="2" w:space="0"/>
              <w:bottom w:val="single" w:color="000000" w:sz="2" w:space="0"/>
              <w:right w:val="nil"/>
            </w:tcBorders>
            <w:vAlign w:val="center"/>
          </w:tcPr>
          <w:p>
            <w:pPr>
              <w:pStyle w:val="134"/>
            </w:pPr>
            <w:r>
              <w:t>4%(V/V)</w:t>
            </w:r>
          </w:p>
        </w:tc>
      </w:tr>
      <w:tr>
        <w:tblPrEx>
          <w:tblCellMar>
            <w:top w:w="0" w:type="dxa"/>
            <w:left w:w="0" w:type="dxa"/>
            <w:bottom w:w="0" w:type="dxa"/>
            <w:right w:w="0" w:type="dxa"/>
          </w:tblCellMar>
        </w:tblPrEx>
        <w:trPr>
          <w:trHeight w:val="369" w:hRule="atLeast"/>
          <w:jc w:val="center"/>
        </w:trPr>
        <w:tc>
          <w:tcPr>
            <w:tcW w:w="604" w:type="dxa"/>
            <w:vMerge w:val="continue"/>
            <w:tcBorders>
              <w:top w:val="single" w:color="000000" w:sz="2" w:space="0"/>
              <w:left w:val="nil"/>
              <w:bottom w:val="single" w:color="000000" w:sz="2" w:space="0"/>
              <w:right w:val="single" w:color="000000" w:sz="2" w:space="0"/>
            </w:tcBorders>
            <w:vAlign w:val="center"/>
          </w:tcPr>
          <w:p>
            <w:pPr>
              <w:pStyle w:val="134"/>
            </w:pPr>
          </w:p>
        </w:tc>
        <w:tc>
          <w:tcPr>
            <w:tcW w:w="1360" w:type="dxa"/>
            <w:tcBorders>
              <w:top w:val="single" w:color="000000" w:sz="2" w:space="0"/>
              <w:left w:val="single" w:color="000000" w:sz="2" w:space="0"/>
              <w:bottom w:val="single" w:color="000000" w:sz="2" w:space="0"/>
              <w:right w:val="single" w:color="000000" w:sz="2" w:space="0"/>
            </w:tcBorders>
            <w:vAlign w:val="center"/>
          </w:tcPr>
          <w:p>
            <w:pPr>
              <w:pStyle w:val="134"/>
            </w:pPr>
            <w:r>
              <w:t>危险特性</w:t>
            </w:r>
          </w:p>
        </w:tc>
        <w:tc>
          <w:tcPr>
            <w:tcW w:w="6891" w:type="dxa"/>
            <w:gridSpan w:val="5"/>
            <w:tcBorders>
              <w:top w:val="single" w:color="000000" w:sz="2" w:space="0"/>
              <w:left w:val="single" w:color="000000" w:sz="2" w:space="0"/>
              <w:bottom w:val="single" w:color="000000" w:sz="2" w:space="0"/>
            </w:tcBorders>
            <w:vAlign w:val="center"/>
          </w:tcPr>
          <w:p>
            <w:pPr>
              <w:pStyle w:val="134"/>
              <w:jc w:val="left"/>
            </w:pPr>
            <w:r>
              <w:t>易燃，与空气混合能形成爆炸性混合物，遇明火、高热能引起燃烧爆炸。与浓硝酸、发烟硝酸或其它强氧化剂剧烈反应，发生爆炸。气体比空气重，能在较低处扩散到相当远的地方，遇火源会着火回燃。</w:t>
            </w:r>
          </w:p>
        </w:tc>
      </w:tr>
      <w:tr>
        <w:tblPrEx>
          <w:tblCellMar>
            <w:top w:w="0" w:type="dxa"/>
            <w:left w:w="0" w:type="dxa"/>
            <w:bottom w:w="0" w:type="dxa"/>
            <w:right w:w="0" w:type="dxa"/>
          </w:tblCellMar>
        </w:tblPrEx>
        <w:trPr>
          <w:trHeight w:val="369" w:hRule="atLeast"/>
          <w:jc w:val="center"/>
        </w:trPr>
        <w:tc>
          <w:tcPr>
            <w:tcW w:w="604" w:type="dxa"/>
            <w:vMerge w:val="continue"/>
            <w:tcBorders>
              <w:top w:val="single" w:color="000000" w:sz="2" w:space="0"/>
              <w:left w:val="nil"/>
              <w:bottom w:val="single" w:color="000000" w:sz="2" w:space="0"/>
              <w:right w:val="single" w:color="000000" w:sz="2" w:space="0"/>
            </w:tcBorders>
            <w:vAlign w:val="center"/>
          </w:tcPr>
          <w:p>
            <w:pPr>
              <w:pStyle w:val="134"/>
            </w:pPr>
          </w:p>
        </w:tc>
        <w:tc>
          <w:tcPr>
            <w:tcW w:w="1360" w:type="dxa"/>
            <w:tcBorders>
              <w:top w:val="single" w:color="000000" w:sz="2" w:space="0"/>
              <w:left w:val="single" w:color="000000" w:sz="2" w:space="0"/>
              <w:bottom w:val="single" w:color="000000" w:sz="2" w:space="0"/>
              <w:right w:val="single" w:color="000000" w:sz="2" w:space="0"/>
            </w:tcBorders>
            <w:vAlign w:val="center"/>
          </w:tcPr>
          <w:p>
            <w:pPr>
              <w:pStyle w:val="134"/>
            </w:pPr>
            <w:r>
              <w:t>燃烧产物</w:t>
            </w:r>
          </w:p>
        </w:tc>
        <w:tc>
          <w:tcPr>
            <w:tcW w:w="6891" w:type="dxa"/>
            <w:gridSpan w:val="5"/>
            <w:tcBorders>
              <w:top w:val="single" w:color="000000" w:sz="2" w:space="0"/>
              <w:left w:val="single" w:color="000000" w:sz="2" w:space="0"/>
              <w:bottom w:val="single" w:color="000000" w:sz="2" w:space="0"/>
            </w:tcBorders>
            <w:vAlign w:val="center"/>
          </w:tcPr>
          <w:p>
            <w:pPr>
              <w:pStyle w:val="134"/>
              <w:jc w:val="left"/>
            </w:pPr>
            <w:r>
              <w:t>二氧化硫</w:t>
            </w:r>
          </w:p>
        </w:tc>
      </w:tr>
      <w:tr>
        <w:tblPrEx>
          <w:tblCellMar>
            <w:top w:w="0" w:type="dxa"/>
            <w:left w:w="0" w:type="dxa"/>
            <w:bottom w:w="0" w:type="dxa"/>
            <w:right w:w="0" w:type="dxa"/>
          </w:tblCellMar>
        </w:tblPrEx>
        <w:trPr>
          <w:trHeight w:val="369" w:hRule="atLeast"/>
          <w:jc w:val="center"/>
        </w:trPr>
        <w:tc>
          <w:tcPr>
            <w:tcW w:w="604" w:type="dxa"/>
            <w:vMerge w:val="restart"/>
            <w:tcBorders>
              <w:top w:val="single" w:color="000000" w:sz="2" w:space="0"/>
              <w:left w:val="nil"/>
              <w:bottom w:val="single" w:color="000000" w:sz="2" w:space="0"/>
              <w:right w:val="single" w:color="000000" w:sz="2" w:space="0"/>
            </w:tcBorders>
            <w:vAlign w:val="center"/>
          </w:tcPr>
          <w:p>
            <w:pPr>
              <w:pStyle w:val="134"/>
            </w:pPr>
            <w:r>
              <w:t>灭火</w:t>
            </w:r>
          </w:p>
        </w:tc>
        <w:tc>
          <w:tcPr>
            <w:tcW w:w="1360" w:type="dxa"/>
            <w:tcBorders>
              <w:top w:val="single" w:color="000000" w:sz="2" w:space="0"/>
              <w:left w:val="single" w:color="000000" w:sz="2" w:space="0"/>
              <w:bottom w:val="single" w:color="000000" w:sz="2" w:space="0"/>
              <w:right w:val="single" w:color="000000" w:sz="2" w:space="0"/>
            </w:tcBorders>
            <w:vAlign w:val="center"/>
          </w:tcPr>
          <w:p>
            <w:pPr>
              <w:pStyle w:val="134"/>
            </w:pPr>
            <w:r>
              <w:t>灭火剂</w:t>
            </w:r>
          </w:p>
        </w:tc>
        <w:tc>
          <w:tcPr>
            <w:tcW w:w="6891" w:type="dxa"/>
            <w:gridSpan w:val="5"/>
            <w:tcBorders>
              <w:top w:val="single" w:color="000000" w:sz="2" w:space="0"/>
              <w:left w:val="single" w:color="000000" w:sz="2" w:space="0"/>
              <w:bottom w:val="single" w:color="000000" w:sz="2" w:space="0"/>
            </w:tcBorders>
            <w:vAlign w:val="center"/>
          </w:tcPr>
          <w:p>
            <w:pPr>
              <w:pStyle w:val="134"/>
              <w:jc w:val="left"/>
            </w:pPr>
            <w:r>
              <w:t>雾状水、抗溶性泡沫、干粉。</w:t>
            </w:r>
          </w:p>
        </w:tc>
      </w:tr>
      <w:tr>
        <w:tblPrEx>
          <w:tblCellMar>
            <w:top w:w="0" w:type="dxa"/>
            <w:left w:w="0" w:type="dxa"/>
            <w:bottom w:w="0" w:type="dxa"/>
            <w:right w:w="0" w:type="dxa"/>
          </w:tblCellMar>
        </w:tblPrEx>
        <w:trPr>
          <w:trHeight w:val="369" w:hRule="atLeast"/>
          <w:jc w:val="center"/>
        </w:trPr>
        <w:tc>
          <w:tcPr>
            <w:tcW w:w="604" w:type="dxa"/>
            <w:vMerge w:val="continue"/>
            <w:tcBorders>
              <w:top w:val="single" w:color="000000" w:sz="2" w:space="0"/>
              <w:left w:val="nil"/>
              <w:bottom w:val="single" w:color="000000" w:sz="2" w:space="0"/>
              <w:right w:val="single" w:color="000000" w:sz="2" w:space="0"/>
            </w:tcBorders>
            <w:vAlign w:val="center"/>
          </w:tcPr>
          <w:p>
            <w:pPr>
              <w:pStyle w:val="134"/>
            </w:pPr>
          </w:p>
        </w:tc>
        <w:tc>
          <w:tcPr>
            <w:tcW w:w="1360" w:type="dxa"/>
            <w:tcBorders>
              <w:top w:val="single" w:color="000000" w:sz="2" w:space="0"/>
              <w:left w:val="single" w:color="000000" w:sz="2" w:space="0"/>
              <w:bottom w:val="single" w:color="000000" w:sz="2" w:space="0"/>
              <w:right w:val="single" w:color="000000" w:sz="2" w:space="0"/>
            </w:tcBorders>
            <w:vAlign w:val="center"/>
          </w:tcPr>
          <w:p>
            <w:pPr>
              <w:pStyle w:val="134"/>
            </w:pPr>
            <w:r>
              <w:t>灭火方法</w:t>
            </w:r>
          </w:p>
        </w:tc>
        <w:tc>
          <w:tcPr>
            <w:tcW w:w="6891" w:type="dxa"/>
            <w:gridSpan w:val="5"/>
            <w:tcBorders>
              <w:top w:val="single" w:color="000000" w:sz="2" w:space="0"/>
              <w:left w:val="single" w:color="000000" w:sz="2" w:space="0"/>
              <w:bottom w:val="single" w:color="000000" w:sz="2" w:space="0"/>
            </w:tcBorders>
            <w:vAlign w:val="center"/>
          </w:tcPr>
          <w:p>
            <w:pPr>
              <w:pStyle w:val="134"/>
              <w:jc w:val="left"/>
            </w:pPr>
            <w:r>
              <w:t>消防人员必须穿全身防火防毒服，在上风向灭火。切断气源。若不能切断气源，则不允许熄灭泄漏处的火焰。喷水冷却容器，可能的话将容器从火场移至空旷处。</w:t>
            </w:r>
          </w:p>
        </w:tc>
      </w:tr>
      <w:tr>
        <w:tblPrEx>
          <w:tblCellMar>
            <w:top w:w="0" w:type="dxa"/>
            <w:left w:w="0" w:type="dxa"/>
            <w:bottom w:w="0" w:type="dxa"/>
            <w:right w:w="0" w:type="dxa"/>
          </w:tblCellMar>
        </w:tblPrEx>
        <w:trPr>
          <w:trHeight w:val="369" w:hRule="atLeast"/>
          <w:jc w:val="center"/>
        </w:trPr>
        <w:tc>
          <w:tcPr>
            <w:tcW w:w="604" w:type="dxa"/>
            <w:vMerge w:val="restart"/>
            <w:tcBorders>
              <w:top w:val="single" w:color="000000" w:sz="2" w:space="0"/>
              <w:left w:val="nil"/>
              <w:bottom w:val="single" w:color="000000" w:sz="2" w:space="0"/>
              <w:right w:val="single" w:color="000000" w:sz="2" w:space="0"/>
            </w:tcBorders>
            <w:vAlign w:val="center"/>
          </w:tcPr>
          <w:p>
            <w:pPr>
              <w:pStyle w:val="134"/>
            </w:pPr>
            <w:r>
              <w:t>毒性及健康危害</w:t>
            </w:r>
          </w:p>
        </w:tc>
        <w:tc>
          <w:tcPr>
            <w:tcW w:w="1360" w:type="dxa"/>
            <w:tcBorders>
              <w:top w:val="single" w:color="000000" w:sz="2" w:space="0"/>
              <w:left w:val="single" w:color="000000" w:sz="2" w:space="0"/>
              <w:bottom w:val="single" w:color="000000" w:sz="2" w:space="0"/>
              <w:right w:val="single" w:color="000000" w:sz="2" w:space="0"/>
            </w:tcBorders>
            <w:vAlign w:val="center"/>
          </w:tcPr>
          <w:p>
            <w:pPr>
              <w:pStyle w:val="134"/>
            </w:pPr>
            <w:r>
              <w:rPr>
                <w:szCs w:val="21"/>
              </w:rPr>
              <w:t>毒性</w:t>
            </w:r>
          </w:p>
        </w:tc>
        <w:tc>
          <w:tcPr>
            <w:tcW w:w="6891" w:type="dxa"/>
            <w:gridSpan w:val="5"/>
            <w:tcBorders>
              <w:top w:val="single" w:color="000000" w:sz="2" w:space="0"/>
              <w:left w:val="single" w:color="000000" w:sz="2" w:space="0"/>
              <w:bottom w:val="single" w:color="000000" w:sz="2" w:space="0"/>
            </w:tcBorders>
            <w:vAlign w:val="center"/>
          </w:tcPr>
          <w:p>
            <w:pPr>
              <w:pStyle w:val="134"/>
              <w:jc w:val="left"/>
            </w:pPr>
            <w:r>
              <w:t>LC50：618mg/m</w:t>
            </w:r>
            <w:r>
              <w:rPr>
                <w:vertAlign w:val="superscript"/>
              </w:rPr>
              <w:t>3</w:t>
            </w:r>
            <w:r>
              <w:t>(大鼠吸入)</w:t>
            </w:r>
          </w:p>
        </w:tc>
      </w:tr>
      <w:tr>
        <w:tblPrEx>
          <w:tblCellMar>
            <w:top w:w="0" w:type="dxa"/>
            <w:left w:w="0" w:type="dxa"/>
            <w:bottom w:w="0" w:type="dxa"/>
            <w:right w:w="0" w:type="dxa"/>
          </w:tblCellMar>
        </w:tblPrEx>
        <w:trPr>
          <w:trHeight w:val="369" w:hRule="atLeast"/>
          <w:jc w:val="center"/>
        </w:trPr>
        <w:tc>
          <w:tcPr>
            <w:tcW w:w="604" w:type="dxa"/>
            <w:vMerge w:val="continue"/>
            <w:tcBorders>
              <w:top w:val="single" w:color="000000" w:sz="2" w:space="0"/>
              <w:left w:val="nil"/>
              <w:bottom w:val="single" w:color="000000" w:sz="2" w:space="0"/>
              <w:right w:val="single" w:color="000000" w:sz="2" w:space="0"/>
            </w:tcBorders>
            <w:vAlign w:val="center"/>
          </w:tcPr>
          <w:p>
            <w:pPr>
              <w:pStyle w:val="134"/>
            </w:pPr>
          </w:p>
        </w:tc>
        <w:tc>
          <w:tcPr>
            <w:tcW w:w="1360" w:type="dxa"/>
            <w:tcBorders>
              <w:top w:val="single" w:color="000000" w:sz="2" w:space="0"/>
              <w:left w:val="single" w:color="000000" w:sz="2" w:space="0"/>
              <w:bottom w:val="single" w:color="000000" w:sz="2" w:space="0"/>
              <w:right w:val="single" w:color="000000" w:sz="2" w:space="0"/>
            </w:tcBorders>
            <w:vAlign w:val="center"/>
          </w:tcPr>
          <w:p>
            <w:pPr>
              <w:pStyle w:val="134"/>
            </w:pPr>
            <w:r>
              <w:t>健康危害</w:t>
            </w:r>
          </w:p>
        </w:tc>
        <w:tc>
          <w:tcPr>
            <w:tcW w:w="6891" w:type="dxa"/>
            <w:gridSpan w:val="5"/>
            <w:tcBorders>
              <w:top w:val="single" w:color="000000" w:sz="2" w:space="0"/>
              <w:left w:val="single" w:color="000000" w:sz="2" w:space="0"/>
              <w:bottom w:val="single" w:color="000000" w:sz="2" w:space="0"/>
            </w:tcBorders>
            <w:vAlign w:val="center"/>
          </w:tcPr>
          <w:p>
            <w:pPr>
              <w:pStyle w:val="134"/>
              <w:jc w:val="left"/>
            </w:pPr>
            <w:r>
              <w:t>本品是强烈的神经毒物，对</w:t>
            </w:r>
            <w:r>
              <w:rPr>
                <w:rFonts w:hint="eastAsia"/>
                <w:lang w:eastAsia="zh-CN"/>
              </w:rPr>
              <w:t>黏膜</w:t>
            </w:r>
            <w:r>
              <w:t>有强烈刺激作用。急性中毒：短期内吸入高浓度硫化氢后出现流泪、眼痛、眼内异物感、畏光、视物模糊、流涕、咽喉部灼热感、咳嗽、胸闷、头痛、头晕、乏力、意识模糊等。部分患者可有心肌损害。重者可出现脑水肿、肺水肿。极高浓度(1000mg/m</w:t>
            </w:r>
            <w:r>
              <w:rPr>
                <w:vertAlign w:val="superscript"/>
              </w:rPr>
              <w:t>3</w:t>
            </w:r>
            <w:r>
              <w:t>以上)时可在数秒钟内突然昏迷，呼吸和心跳骤停，发生闪电型死亡。高浓度接触眼结膜发生水肿和角膜溃疡。长期低浓度接触，引起神经衰弱综合征和植物神经功能紊乱。</w:t>
            </w:r>
          </w:p>
        </w:tc>
      </w:tr>
      <w:tr>
        <w:tblPrEx>
          <w:tblCellMar>
            <w:top w:w="0" w:type="dxa"/>
            <w:left w:w="0" w:type="dxa"/>
            <w:bottom w:w="0" w:type="dxa"/>
            <w:right w:w="0" w:type="dxa"/>
          </w:tblCellMar>
        </w:tblPrEx>
        <w:trPr>
          <w:trHeight w:val="369" w:hRule="atLeast"/>
          <w:jc w:val="center"/>
        </w:trPr>
        <w:tc>
          <w:tcPr>
            <w:tcW w:w="604" w:type="dxa"/>
            <w:vMerge w:val="restart"/>
            <w:tcBorders>
              <w:top w:val="single" w:color="000000" w:sz="2" w:space="0"/>
              <w:left w:val="nil"/>
              <w:bottom w:val="single" w:color="000000" w:sz="2" w:space="0"/>
              <w:right w:val="single" w:color="000000" w:sz="2" w:space="0"/>
            </w:tcBorders>
            <w:vAlign w:val="center"/>
          </w:tcPr>
          <w:p>
            <w:pPr>
              <w:pStyle w:val="134"/>
            </w:pPr>
            <w:r>
              <w:t>应急处理处置方法</w:t>
            </w:r>
          </w:p>
        </w:tc>
        <w:tc>
          <w:tcPr>
            <w:tcW w:w="1360" w:type="dxa"/>
            <w:tcBorders>
              <w:top w:val="single" w:color="000000" w:sz="2" w:space="0"/>
              <w:left w:val="single" w:color="000000" w:sz="2" w:space="0"/>
              <w:bottom w:val="single" w:color="000000" w:sz="2" w:space="0"/>
              <w:right w:val="single" w:color="000000" w:sz="2" w:space="0"/>
            </w:tcBorders>
            <w:vAlign w:val="center"/>
          </w:tcPr>
          <w:p>
            <w:pPr>
              <w:pStyle w:val="134"/>
            </w:pPr>
            <w:r>
              <w:t>泄漏应急处理</w:t>
            </w:r>
          </w:p>
        </w:tc>
        <w:tc>
          <w:tcPr>
            <w:tcW w:w="6891" w:type="dxa"/>
            <w:gridSpan w:val="5"/>
            <w:tcBorders>
              <w:top w:val="single" w:color="000000" w:sz="2" w:space="0"/>
              <w:left w:val="single" w:color="000000" w:sz="2" w:space="0"/>
              <w:bottom w:val="single" w:color="000000" w:sz="2" w:space="0"/>
            </w:tcBorders>
            <w:vAlign w:val="center"/>
          </w:tcPr>
          <w:p>
            <w:pPr>
              <w:pStyle w:val="134"/>
              <w:jc w:val="left"/>
            </w:pPr>
            <w:r>
              <w:t>迅速撤离泄漏污染区人员至上风处，并立即进行隔离，小泄漏时隔离150m，大泄漏时隔离300m，严格限制出入。切断火源。建议应急处理人员戴自给正压式呼吸器，穿防静电工作服。从上风处进入现场。尽可能切断泄漏源。合理通风，加速扩散。喷雾状水稀释、溶解。构筑围堤或挖坑收容产生的大量废水。如有可能，将残余气或漏出气用排风机送至水洗塔或与塔相连的通风橱内。或使其通过三氯化铁水溶液，管路装止回装置以防溶液吸回。漏气容器要妥善处理，修复、检验后再用。</w:t>
            </w:r>
          </w:p>
        </w:tc>
      </w:tr>
      <w:tr>
        <w:tblPrEx>
          <w:tblCellMar>
            <w:top w:w="0" w:type="dxa"/>
            <w:left w:w="0" w:type="dxa"/>
            <w:bottom w:w="0" w:type="dxa"/>
            <w:right w:w="0" w:type="dxa"/>
          </w:tblCellMar>
        </w:tblPrEx>
        <w:trPr>
          <w:trHeight w:val="369" w:hRule="atLeast"/>
          <w:jc w:val="center"/>
        </w:trPr>
        <w:tc>
          <w:tcPr>
            <w:tcW w:w="604" w:type="dxa"/>
            <w:vMerge w:val="continue"/>
            <w:tcBorders>
              <w:top w:val="single" w:color="000000" w:sz="2" w:space="0"/>
              <w:left w:val="nil"/>
              <w:bottom w:val="single" w:color="000000" w:sz="2" w:space="0"/>
              <w:right w:val="single" w:color="000000" w:sz="2" w:space="0"/>
            </w:tcBorders>
            <w:vAlign w:val="center"/>
          </w:tcPr>
          <w:p>
            <w:pPr>
              <w:pStyle w:val="134"/>
            </w:pPr>
          </w:p>
        </w:tc>
        <w:tc>
          <w:tcPr>
            <w:tcW w:w="1360" w:type="dxa"/>
            <w:tcBorders>
              <w:top w:val="single" w:color="000000" w:sz="2" w:space="0"/>
              <w:left w:val="single" w:color="000000" w:sz="2" w:space="0"/>
              <w:bottom w:val="single" w:color="000000" w:sz="2" w:space="0"/>
              <w:right w:val="single" w:color="000000" w:sz="2" w:space="0"/>
            </w:tcBorders>
            <w:vAlign w:val="center"/>
          </w:tcPr>
          <w:p>
            <w:pPr>
              <w:pStyle w:val="134"/>
            </w:pPr>
            <w:r>
              <w:t>眼睛接触</w:t>
            </w:r>
          </w:p>
        </w:tc>
        <w:tc>
          <w:tcPr>
            <w:tcW w:w="6891" w:type="dxa"/>
            <w:gridSpan w:val="5"/>
            <w:tcBorders>
              <w:top w:val="single" w:color="000000" w:sz="2" w:space="0"/>
              <w:left w:val="single" w:color="000000" w:sz="2" w:space="0"/>
              <w:bottom w:val="single" w:color="000000" w:sz="2" w:space="0"/>
            </w:tcBorders>
            <w:vAlign w:val="center"/>
          </w:tcPr>
          <w:p>
            <w:pPr>
              <w:pStyle w:val="134"/>
              <w:jc w:val="left"/>
            </w:pPr>
            <w:r>
              <w:t>立即提起眼睑，用大量流动清水或生理盐水彻底冲洗至少15分钟。就医。</w:t>
            </w:r>
          </w:p>
        </w:tc>
      </w:tr>
      <w:tr>
        <w:tblPrEx>
          <w:tblCellMar>
            <w:top w:w="0" w:type="dxa"/>
            <w:left w:w="0" w:type="dxa"/>
            <w:bottom w:w="0" w:type="dxa"/>
            <w:right w:w="0" w:type="dxa"/>
          </w:tblCellMar>
        </w:tblPrEx>
        <w:trPr>
          <w:trHeight w:val="369" w:hRule="atLeast"/>
          <w:jc w:val="center"/>
        </w:trPr>
        <w:tc>
          <w:tcPr>
            <w:tcW w:w="604" w:type="dxa"/>
            <w:vMerge w:val="continue"/>
            <w:tcBorders>
              <w:top w:val="single" w:color="000000" w:sz="2" w:space="0"/>
              <w:left w:val="nil"/>
              <w:bottom w:val="single" w:color="000000" w:sz="12" w:space="0"/>
              <w:right w:val="single" w:color="000000" w:sz="2" w:space="0"/>
            </w:tcBorders>
            <w:vAlign w:val="center"/>
          </w:tcPr>
          <w:p>
            <w:pPr>
              <w:pStyle w:val="134"/>
            </w:pPr>
          </w:p>
        </w:tc>
        <w:tc>
          <w:tcPr>
            <w:tcW w:w="1360" w:type="dxa"/>
            <w:tcBorders>
              <w:top w:val="single" w:color="000000" w:sz="2" w:space="0"/>
              <w:left w:val="single" w:color="000000" w:sz="2" w:space="0"/>
              <w:bottom w:val="single" w:color="000000" w:sz="12" w:space="0"/>
              <w:right w:val="single" w:color="000000" w:sz="2" w:space="0"/>
            </w:tcBorders>
            <w:vAlign w:val="center"/>
          </w:tcPr>
          <w:p>
            <w:pPr>
              <w:pStyle w:val="134"/>
            </w:pPr>
            <w:r>
              <w:t>吸入</w:t>
            </w:r>
          </w:p>
        </w:tc>
        <w:tc>
          <w:tcPr>
            <w:tcW w:w="6891" w:type="dxa"/>
            <w:gridSpan w:val="5"/>
            <w:tcBorders>
              <w:top w:val="single" w:color="000000" w:sz="2" w:space="0"/>
              <w:left w:val="single" w:color="000000" w:sz="2" w:space="0"/>
              <w:bottom w:val="single" w:color="000000" w:sz="12" w:space="0"/>
            </w:tcBorders>
            <w:vAlign w:val="center"/>
          </w:tcPr>
          <w:p>
            <w:pPr>
              <w:pStyle w:val="134"/>
              <w:jc w:val="left"/>
            </w:pPr>
            <w:r>
              <w:t>迅速脱离现场至空气新鲜处。保持呼吸道通畅。如呼吸困难，给输氧。如呼吸停止，立即进行人工呼吸。就医。</w:t>
            </w:r>
          </w:p>
        </w:tc>
      </w:tr>
    </w:tbl>
    <w:p>
      <w:pPr>
        <w:pStyle w:val="127"/>
        <w:rPr>
          <w:rFonts w:eastAsia="宋体"/>
        </w:rPr>
      </w:pPr>
      <w:r>
        <w:rPr>
          <w:rFonts w:eastAsia="宋体"/>
        </w:rPr>
        <w:t>表7.</w:t>
      </w:r>
      <w:r>
        <w:rPr>
          <w:rFonts w:hint="eastAsia" w:eastAsia="宋体"/>
        </w:rPr>
        <w:t>7</w:t>
      </w:r>
      <w:r>
        <w:rPr>
          <w:rFonts w:eastAsia="宋体"/>
        </w:rPr>
        <w:t>-4  硫化氢对人的生理影响及危害</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12"/>
        <w:gridCol w:w="2589"/>
        <w:gridCol w:w="32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3" w:type="dxa"/>
            <w:vAlign w:val="center"/>
          </w:tcPr>
          <w:p>
            <w:pPr>
              <w:pStyle w:val="134"/>
              <w:rPr>
                <w:b/>
              </w:rPr>
            </w:pPr>
            <w:r>
              <w:rPr>
                <w:b/>
              </w:rPr>
              <w:t>空气中H</w:t>
            </w:r>
            <w:r>
              <w:rPr>
                <w:b/>
                <w:vertAlign w:val="subscript"/>
              </w:rPr>
              <w:t>2</w:t>
            </w:r>
            <w:r>
              <w:rPr>
                <w:b/>
              </w:rPr>
              <w:t>S浓度（mg/m</w:t>
            </w:r>
            <w:r>
              <w:rPr>
                <w:b/>
                <w:vertAlign w:val="superscript"/>
              </w:rPr>
              <w:t>3</w:t>
            </w:r>
            <w:r>
              <w:rPr>
                <w:b/>
              </w:rPr>
              <w:t>）</w:t>
            </w:r>
          </w:p>
        </w:tc>
        <w:tc>
          <w:tcPr>
            <w:tcW w:w="2608" w:type="dxa"/>
            <w:vAlign w:val="center"/>
          </w:tcPr>
          <w:p>
            <w:pPr>
              <w:pStyle w:val="134"/>
              <w:rPr>
                <w:b/>
              </w:rPr>
            </w:pPr>
            <w:r>
              <w:rPr>
                <w:b/>
              </w:rPr>
              <w:t>接触时间</w:t>
            </w:r>
          </w:p>
        </w:tc>
        <w:tc>
          <w:tcPr>
            <w:tcW w:w="3257" w:type="dxa"/>
            <w:vAlign w:val="center"/>
          </w:tcPr>
          <w:p>
            <w:pPr>
              <w:pStyle w:val="134"/>
              <w:rPr>
                <w:b/>
              </w:rPr>
            </w:pPr>
            <w:r>
              <w:rPr>
                <w:b/>
              </w:rPr>
              <w:t>生理影响及危害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3" w:type="dxa"/>
            <w:vAlign w:val="center"/>
          </w:tcPr>
          <w:p>
            <w:pPr>
              <w:pStyle w:val="134"/>
            </w:pPr>
            <w:r>
              <w:t>0.04</w:t>
            </w:r>
          </w:p>
        </w:tc>
        <w:tc>
          <w:tcPr>
            <w:tcW w:w="2608" w:type="dxa"/>
            <w:vAlign w:val="center"/>
          </w:tcPr>
          <w:p>
            <w:pPr>
              <w:pStyle w:val="134"/>
            </w:pPr>
            <w:r>
              <w:t>/</w:t>
            </w:r>
          </w:p>
        </w:tc>
        <w:tc>
          <w:tcPr>
            <w:tcW w:w="3257" w:type="dxa"/>
            <w:vAlign w:val="center"/>
          </w:tcPr>
          <w:p>
            <w:pPr>
              <w:pStyle w:val="134"/>
            </w:pPr>
            <w:r>
              <w:t>感到臭味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3" w:type="dxa"/>
            <w:vAlign w:val="center"/>
          </w:tcPr>
          <w:p>
            <w:pPr>
              <w:pStyle w:val="134"/>
            </w:pPr>
            <w:r>
              <w:t>0.5</w:t>
            </w:r>
          </w:p>
        </w:tc>
        <w:tc>
          <w:tcPr>
            <w:tcW w:w="2608" w:type="dxa"/>
            <w:vAlign w:val="center"/>
          </w:tcPr>
          <w:p>
            <w:pPr>
              <w:pStyle w:val="134"/>
            </w:pPr>
            <w:r>
              <w:t>/</w:t>
            </w:r>
          </w:p>
        </w:tc>
        <w:tc>
          <w:tcPr>
            <w:tcW w:w="3257" w:type="dxa"/>
            <w:vAlign w:val="center"/>
          </w:tcPr>
          <w:p>
            <w:pPr>
              <w:pStyle w:val="134"/>
            </w:pPr>
            <w:r>
              <w:t>感到明显臭味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3" w:type="dxa"/>
            <w:vAlign w:val="center"/>
          </w:tcPr>
          <w:p>
            <w:pPr>
              <w:pStyle w:val="134"/>
            </w:pPr>
            <w:r>
              <w:t>5.0</w:t>
            </w:r>
          </w:p>
        </w:tc>
        <w:tc>
          <w:tcPr>
            <w:tcW w:w="2608" w:type="dxa"/>
            <w:vAlign w:val="center"/>
          </w:tcPr>
          <w:p>
            <w:pPr>
              <w:pStyle w:val="134"/>
            </w:pPr>
            <w:r>
              <w:t>/</w:t>
            </w:r>
          </w:p>
        </w:tc>
        <w:tc>
          <w:tcPr>
            <w:tcW w:w="3257" w:type="dxa"/>
            <w:vAlign w:val="center"/>
          </w:tcPr>
          <w:p>
            <w:pPr>
              <w:pStyle w:val="134"/>
            </w:pPr>
            <w:r>
              <w:t>有强烈臭味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3" w:type="dxa"/>
            <w:vAlign w:val="center"/>
          </w:tcPr>
          <w:p>
            <w:pPr>
              <w:pStyle w:val="134"/>
            </w:pPr>
            <w:r>
              <w:t>7.5</w:t>
            </w:r>
          </w:p>
        </w:tc>
        <w:tc>
          <w:tcPr>
            <w:tcW w:w="2608" w:type="dxa"/>
            <w:vAlign w:val="center"/>
          </w:tcPr>
          <w:p>
            <w:pPr>
              <w:pStyle w:val="134"/>
            </w:pPr>
            <w:r>
              <w:t>/</w:t>
            </w:r>
          </w:p>
        </w:tc>
        <w:tc>
          <w:tcPr>
            <w:tcW w:w="3257" w:type="dxa"/>
            <w:vAlign w:val="center"/>
          </w:tcPr>
          <w:p>
            <w:pPr>
              <w:pStyle w:val="134"/>
            </w:pPr>
            <w:r>
              <w:t>有不快感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3" w:type="dxa"/>
            <w:vAlign w:val="center"/>
          </w:tcPr>
          <w:p>
            <w:pPr>
              <w:pStyle w:val="134"/>
            </w:pPr>
            <w:r>
              <w:t>15</w:t>
            </w:r>
          </w:p>
        </w:tc>
        <w:tc>
          <w:tcPr>
            <w:tcW w:w="2608" w:type="dxa"/>
            <w:vAlign w:val="center"/>
          </w:tcPr>
          <w:p>
            <w:pPr>
              <w:pStyle w:val="134"/>
            </w:pPr>
            <w:r>
              <w:t>/</w:t>
            </w:r>
          </w:p>
        </w:tc>
        <w:tc>
          <w:tcPr>
            <w:tcW w:w="3257" w:type="dxa"/>
            <w:vAlign w:val="center"/>
          </w:tcPr>
          <w:p>
            <w:pPr>
              <w:pStyle w:val="134"/>
            </w:pPr>
            <w:r>
              <w:t>刺激眼睛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3" w:type="dxa"/>
            <w:vAlign w:val="center"/>
          </w:tcPr>
          <w:p>
            <w:pPr>
              <w:pStyle w:val="134"/>
            </w:pPr>
            <w:r>
              <w:t>35～45</w:t>
            </w:r>
          </w:p>
        </w:tc>
        <w:tc>
          <w:tcPr>
            <w:tcW w:w="2608" w:type="dxa"/>
            <w:vAlign w:val="center"/>
          </w:tcPr>
          <w:p>
            <w:pPr>
              <w:pStyle w:val="134"/>
            </w:pPr>
            <w:r>
              <w:t>/</w:t>
            </w:r>
          </w:p>
        </w:tc>
        <w:tc>
          <w:tcPr>
            <w:tcW w:w="3257" w:type="dxa"/>
            <w:vAlign w:val="center"/>
          </w:tcPr>
          <w:p>
            <w:pPr>
              <w:pStyle w:val="134"/>
              <w:rPr>
                <w:rFonts w:hint="eastAsia" w:eastAsia="宋体"/>
                <w:lang w:eastAsia="zh-CN"/>
              </w:rPr>
            </w:pPr>
            <w:r>
              <w:t>强烈刺激</w:t>
            </w:r>
            <w:r>
              <w:rPr>
                <w:rFonts w:hint="eastAsia"/>
                <w:lang w:eastAsia="zh-CN"/>
              </w:rPr>
              <w:t>黏膜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3" w:type="dxa"/>
            <w:vAlign w:val="center"/>
          </w:tcPr>
          <w:p>
            <w:pPr>
              <w:pStyle w:val="134"/>
            </w:pPr>
            <w:r>
              <w:t>75～150</w:t>
            </w:r>
          </w:p>
        </w:tc>
        <w:tc>
          <w:tcPr>
            <w:tcW w:w="2608" w:type="dxa"/>
            <w:vAlign w:val="center"/>
          </w:tcPr>
          <w:p>
            <w:pPr>
              <w:pStyle w:val="134"/>
            </w:pPr>
            <w:r>
              <w:t>/</w:t>
            </w:r>
          </w:p>
        </w:tc>
        <w:tc>
          <w:tcPr>
            <w:tcW w:w="3257" w:type="dxa"/>
            <w:vAlign w:val="center"/>
          </w:tcPr>
          <w:p>
            <w:pPr>
              <w:pStyle w:val="134"/>
            </w:pPr>
            <w:r>
              <w:t>刺激呼吸道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3" w:type="dxa"/>
            <w:vAlign w:val="center"/>
          </w:tcPr>
          <w:p>
            <w:pPr>
              <w:pStyle w:val="134"/>
            </w:pPr>
            <w:r>
              <w:t>150～300</w:t>
            </w:r>
          </w:p>
        </w:tc>
        <w:tc>
          <w:tcPr>
            <w:tcW w:w="2608" w:type="dxa"/>
            <w:vAlign w:val="center"/>
          </w:tcPr>
          <w:p>
            <w:pPr>
              <w:pStyle w:val="134"/>
            </w:pPr>
            <w:r>
              <w:t>15min</w:t>
            </w:r>
          </w:p>
        </w:tc>
        <w:tc>
          <w:tcPr>
            <w:tcW w:w="3257" w:type="dxa"/>
            <w:vAlign w:val="center"/>
          </w:tcPr>
          <w:p>
            <w:pPr>
              <w:pStyle w:val="134"/>
            </w:pPr>
            <w:r>
              <w:t>嗅觉麻痹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3" w:type="dxa"/>
            <w:vAlign w:val="center"/>
          </w:tcPr>
          <w:p>
            <w:pPr>
              <w:pStyle w:val="134"/>
            </w:pPr>
            <w:r>
              <w:t>300</w:t>
            </w:r>
          </w:p>
        </w:tc>
        <w:tc>
          <w:tcPr>
            <w:tcW w:w="2608" w:type="dxa"/>
            <w:vAlign w:val="center"/>
          </w:tcPr>
          <w:p>
            <w:pPr>
              <w:pStyle w:val="134"/>
            </w:pPr>
            <w:r>
              <w:t>/</w:t>
            </w:r>
          </w:p>
        </w:tc>
        <w:tc>
          <w:tcPr>
            <w:tcW w:w="3257" w:type="dxa"/>
            <w:vAlign w:val="center"/>
          </w:tcPr>
          <w:p>
            <w:pPr>
              <w:pStyle w:val="134"/>
            </w:pPr>
            <w:r>
              <w:t>暴露时间长有中毒症状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3" w:type="dxa"/>
            <w:vAlign w:val="center"/>
          </w:tcPr>
          <w:p>
            <w:pPr>
              <w:pStyle w:val="134"/>
            </w:pPr>
            <w:r>
              <w:t>300～450</w:t>
            </w:r>
          </w:p>
        </w:tc>
        <w:tc>
          <w:tcPr>
            <w:tcW w:w="2608" w:type="dxa"/>
            <w:vAlign w:val="center"/>
          </w:tcPr>
          <w:p>
            <w:pPr>
              <w:pStyle w:val="134"/>
            </w:pPr>
            <w:r>
              <w:t>1h</w:t>
            </w:r>
          </w:p>
        </w:tc>
        <w:tc>
          <w:tcPr>
            <w:tcW w:w="3257" w:type="dxa"/>
            <w:vAlign w:val="center"/>
          </w:tcPr>
          <w:p>
            <w:pPr>
              <w:pStyle w:val="134"/>
            </w:pPr>
            <w:r>
              <w:t>引起亚急性中毒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3" w:type="dxa"/>
            <w:vAlign w:val="center"/>
          </w:tcPr>
          <w:p>
            <w:pPr>
              <w:pStyle w:val="134"/>
            </w:pPr>
            <w:r>
              <w:t>375～525</w:t>
            </w:r>
          </w:p>
        </w:tc>
        <w:tc>
          <w:tcPr>
            <w:tcW w:w="2608" w:type="dxa"/>
            <w:vAlign w:val="center"/>
          </w:tcPr>
          <w:p>
            <w:pPr>
              <w:pStyle w:val="134"/>
            </w:pPr>
            <w:r>
              <w:t>4～8h</w:t>
            </w:r>
          </w:p>
        </w:tc>
        <w:tc>
          <w:tcPr>
            <w:tcW w:w="3257" w:type="dxa"/>
            <w:vAlign w:val="center"/>
          </w:tcPr>
          <w:p>
            <w:pPr>
              <w:pStyle w:val="134"/>
            </w:pPr>
            <w:r>
              <w:t>有生命危险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3" w:type="dxa"/>
            <w:vAlign w:val="center"/>
          </w:tcPr>
          <w:p>
            <w:pPr>
              <w:pStyle w:val="134"/>
            </w:pPr>
            <w:r>
              <w:t>525～600</w:t>
            </w:r>
          </w:p>
        </w:tc>
        <w:tc>
          <w:tcPr>
            <w:tcW w:w="2608" w:type="dxa"/>
            <w:vAlign w:val="center"/>
          </w:tcPr>
          <w:p>
            <w:pPr>
              <w:pStyle w:val="134"/>
            </w:pPr>
            <w:r>
              <w:t>1～4h</w:t>
            </w:r>
          </w:p>
        </w:tc>
        <w:tc>
          <w:tcPr>
            <w:tcW w:w="3257" w:type="dxa"/>
            <w:vAlign w:val="center"/>
          </w:tcPr>
          <w:p>
            <w:pPr>
              <w:pStyle w:val="134"/>
            </w:pPr>
            <w:r>
              <w:t>有生命危险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3" w:type="dxa"/>
            <w:vAlign w:val="center"/>
          </w:tcPr>
          <w:p>
            <w:pPr>
              <w:pStyle w:val="134"/>
            </w:pPr>
            <w:r>
              <w:t>900</w:t>
            </w:r>
          </w:p>
        </w:tc>
        <w:tc>
          <w:tcPr>
            <w:tcW w:w="2608" w:type="dxa"/>
            <w:vAlign w:val="center"/>
          </w:tcPr>
          <w:p>
            <w:pPr>
              <w:pStyle w:val="134"/>
            </w:pPr>
            <w:r>
              <w:t>30min</w:t>
            </w:r>
          </w:p>
        </w:tc>
        <w:tc>
          <w:tcPr>
            <w:tcW w:w="3257" w:type="dxa"/>
            <w:vAlign w:val="center"/>
          </w:tcPr>
          <w:p>
            <w:pPr>
              <w:pStyle w:val="134"/>
            </w:pPr>
            <w:r>
              <w:t>引起致命性中毒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3" w:type="dxa"/>
            <w:vAlign w:val="center"/>
          </w:tcPr>
          <w:p>
            <w:pPr>
              <w:pStyle w:val="134"/>
            </w:pPr>
            <w:r>
              <w:t>1500</w:t>
            </w:r>
          </w:p>
        </w:tc>
        <w:tc>
          <w:tcPr>
            <w:tcW w:w="2608" w:type="dxa"/>
            <w:vAlign w:val="center"/>
          </w:tcPr>
          <w:p>
            <w:pPr>
              <w:pStyle w:val="134"/>
            </w:pPr>
            <w:r>
              <w:t>/</w:t>
            </w:r>
          </w:p>
        </w:tc>
        <w:tc>
          <w:tcPr>
            <w:tcW w:w="3257" w:type="dxa"/>
            <w:vAlign w:val="center"/>
          </w:tcPr>
          <w:p>
            <w:pPr>
              <w:pStyle w:val="134"/>
            </w:pPr>
            <w:r>
              <w:t>引起呼吸道麻痹、有生命危险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3" w:type="dxa"/>
            <w:vAlign w:val="center"/>
          </w:tcPr>
          <w:p>
            <w:pPr>
              <w:pStyle w:val="134"/>
            </w:pPr>
            <w:r>
              <w:t>1500～2250</w:t>
            </w:r>
          </w:p>
        </w:tc>
        <w:tc>
          <w:tcPr>
            <w:tcW w:w="2608" w:type="dxa"/>
            <w:vAlign w:val="center"/>
          </w:tcPr>
          <w:p>
            <w:pPr>
              <w:pStyle w:val="134"/>
            </w:pPr>
            <w:r>
              <w:t>数分钟</w:t>
            </w:r>
          </w:p>
        </w:tc>
        <w:tc>
          <w:tcPr>
            <w:tcW w:w="3257" w:type="dxa"/>
            <w:vAlign w:val="center"/>
          </w:tcPr>
          <w:p>
            <w:pPr>
              <w:pStyle w:val="134"/>
            </w:pPr>
            <w:r>
              <w:t>死亡</w:t>
            </w:r>
          </w:p>
        </w:tc>
      </w:tr>
    </w:tbl>
    <w:p>
      <w:pPr>
        <w:pStyle w:val="114"/>
        <w:ind w:firstLine="482"/>
        <w:rPr>
          <w:b/>
        </w:rPr>
      </w:pPr>
      <w:bookmarkStart w:id="520" w:name="_Toc19816104"/>
      <w:bookmarkStart w:id="521" w:name="_Toc12288731"/>
      <w:r>
        <w:rPr>
          <w:b/>
        </w:rPr>
        <w:t>3、CO 理化性质及危险性</w:t>
      </w:r>
    </w:p>
    <w:p>
      <w:pPr>
        <w:pStyle w:val="114"/>
        <w:ind w:firstLine="0" w:firstLineChars="0"/>
        <w:jc w:val="center"/>
        <w:rPr>
          <w:b/>
        </w:rPr>
      </w:pPr>
      <w:r>
        <w:rPr>
          <w:b/>
        </w:rPr>
        <w:t>表7.</w:t>
      </w:r>
      <w:r>
        <w:rPr>
          <w:rFonts w:hint="eastAsia"/>
          <w:b/>
        </w:rPr>
        <w:t>7</w:t>
      </w:r>
      <w:r>
        <w:rPr>
          <w:b/>
        </w:rPr>
        <w:t>-5   CO 理化性质及危险性一览表</w:t>
      </w:r>
    </w:p>
    <w:tbl>
      <w:tblPr>
        <w:tblStyle w:val="60"/>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7"/>
        <w:gridCol w:w="1238"/>
        <w:gridCol w:w="1256"/>
        <w:gridCol w:w="1238"/>
        <w:gridCol w:w="1252"/>
        <w:gridCol w:w="1239"/>
        <w:gridCol w:w="12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7" w:type="dxa"/>
            <w:tcBorders>
              <w:tl2br w:val="nil"/>
              <w:tr2bl w:val="nil"/>
            </w:tcBorders>
            <w:vAlign w:val="center"/>
          </w:tcPr>
          <w:p>
            <w:pPr>
              <w:pStyle w:val="134"/>
            </w:pPr>
            <w:r>
              <w:t>品名</w:t>
            </w:r>
          </w:p>
        </w:tc>
        <w:tc>
          <w:tcPr>
            <w:tcW w:w="1238" w:type="dxa"/>
            <w:tcBorders>
              <w:tl2br w:val="nil"/>
              <w:tr2bl w:val="nil"/>
            </w:tcBorders>
            <w:vAlign w:val="center"/>
          </w:tcPr>
          <w:p>
            <w:pPr>
              <w:pStyle w:val="134"/>
            </w:pPr>
            <w:r>
              <w:t>一氧化碳</w:t>
            </w:r>
          </w:p>
        </w:tc>
        <w:tc>
          <w:tcPr>
            <w:tcW w:w="1256" w:type="dxa"/>
            <w:tcBorders>
              <w:tl2br w:val="nil"/>
              <w:tr2bl w:val="nil"/>
            </w:tcBorders>
            <w:vAlign w:val="center"/>
          </w:tcPr>
          <w:p>
            <w:pPr>
              <w:pStyle w:val="134"/>
            </w:pPr>
            <w:r>
              <w:t>别名</w:t>
            </w:r>
          </w:p>
        </w:tc>
        <w:tc>
          <w:tcPr>
            <w:tcW w:w="1238" w:type="dxa"/>
            <w:tcBorders>
              <w:tl2br w:val="nil"/>
              <w:tr2bl w:val="nil"/>
            </w:tcBorders>
            <w:vAlign w:val="center"/>
          </w:tcPr>
          <w:p>
            <w:pPr>
              <w:pStyle w:val="134"/>
            </w:pPr>
            <w:r>
              <w:t>-</w:t>
            </w:r>
          </w:p>
        </w:tc>
        <w:tc>
          <w:tcPr>
            <w:tcW w:w="1252" w:type="dxa"/>
            <w:tcBorders>
              <w:tl2br w:val="nil"/>
              <w:tr2bl w:val="nil"/>
            </w:tcBorders>
            <w:vAlign w:val="center"/>
          </w:tcPr>
          <w:p>
            <w:pPr>
              <w:pStyle w:val="134"/>
            </w:pPr>
            <w:r>
              <w:t>-</w:t>
            </w:r>
          </w:p>
        </w:tc>
        <w:tc>
          <w:tcPr>
            <w:tcW w:w="1239" w:type="dxa"/>
            <w:tcBorders>
              <w:tl2br w:val="nil"/>
              <w:tr2bl w:val="nil"/>
            </w:tcBorders>
            <w:vAlign w:val="center"/>
          </w:tcPr>
          <w:p>
            <w:pPr>
              <w:pStyle w:val="134"/>
            </w:pPr>
            <w:r>
              <w:t>英文名</w:t>
            </w:r>
          </w:p>
        </w:tc>
        <w:tc>
          <w:tcPr>
            <w:tcW w:w="1274" w:type="dxa"/>
            <w:tcBorders>
              <w:tl2br w:val="nil"/>
              <w:tr2bl w:val="nil"/>
            </w:tcBorders>
            <w:vAlign w:val="center"/>
          </w:tcPr>
          <w:p>
            <w:pPr>
              <w:pStyle w:val="134"/>
            </w:pPr>
            <w:r>
              <w:t>Carbon monoxide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7" w:type="dxa"/>
            <w:vMerge w:val="restart"/>
            <w:tcBorders>
              <w:tl2br w:val="nil"/>
              <w:tr2bl w:val="nil"/>
            </w:tcBorders>
            <w:vAlign w:val="center"/>
          </w:tcPr>
          <w:p>
            <w:pPr>
              <w:pStyle w:val="134"/>
            </w:pPr>
            <w:r>
              <w:t>理化性质</w:t>
            </w:r>
          </w:p>
        </w:tc>
        <w:tc>
          <w:tcPr>
            <w:tcW w:w="1238" w:type="dxa"/>
            <w:tcBorders>
              <w:tl2br w:val="nil"/>
              <w:tr2bl w:val="nil"/>
            </w:tcBorders>
            <w:vAlign w:val="center"/>
          </w:tcPr>
          <w:p>
            <w:pPr>
              <w:pStyle w:val="134"/>
            </w:pPr>
            <w:r>
              <w:t>分子式</w:t>
            </w:r>
          </w:p>
        </w:tc>
        <w:tc>
          <w:tcPr>
            <w:tcW w:w="1256" w:type="dxa"/>
            <w:tcBorders>
              <w:tl2br w:val="nil"/>
              <w:tr2bl w:val="nil"/>
            </w:tcBorders>
            <w:vAlign w:val="center"/>
          </w:tcPr>
          <w:p>
            <w:pPr>
              <w:pStyle w:val="134"/>
            </w:pPr>
            <w:r>
              <w:t>CO</w:t>
            </w:r>
          </w:p>
        </w:tc>
        <w:tc>
          <w:tcPr>
            <w:tcW w:w="1238" w:type="dxa"/>
            <w:tcBorders>
              <w:tl2br w:val="nil"/>
              <w:tr2bl w:val="nil"/>
            </w:tcBorders>
            <w:vAlign w:val="center"/>
          </w:tcPr>
          <w:p>
            <w:pPr>
              <w:pStyle w:val="134"/>
            </w:pPr>
            <w:r>
              <w:t>分子量</w:t>
            </w:r>
          </w:p>
        </w:tc>
        <w:tc>
          <w:tcPr>
            <w:tcW w:w="1252" w:type="dxa"/>
            <w:tcBorders>
              <w:tl2br w:val="nil"/>
              <w:tr2bl w:val="nil"/>
            </w:tcBorders>
            <w:vAlign w:val="center"/>
          </w:tcPr>
          <w:p>
            <w:pPr>
              <w:pStyle w:val="134"/>
            </w:pPr>
            <w:r>
              <w:t>28.01</w:t>
            </w:r>
          </w:p>
        </w:tc>
        <w:tc>
          <w:tcPr>
            <w:tcW w:w="1239" w:type="dxa"/>
            <w:tcBorders>
              <w:tl2br w:val="nil"/>
              <w:tr2bl w:val="nil"/>
            </w:tcBorders>
            <w:vAlign w:val="center"/>
          </w:tcPr>
          <w:p>
            <w:pPr>
              <w:pStyle w:val="134"/>
            </w:pPr>
            <w:r>
              <w:t>危险标识</w:t>
            </w:r>
          </w:p>
        </w:tc>
        <w:tc>
          <w:tcPr>
            <w:tcW w:w="1274" w:type="dxa"/>
            <w:tcBorders>
              <w:tl2br w:val="nil"/>
              <w:tr2bl w:val="nil"/>
            </w:tcBorders>
            <w:vAlign w:val="center"/>
          </w:tcPr>
          <w:p>
            <w:pPr>
              <w:pStyle w:val="134"/>
            </w:pPr>
            <w:r>
              <w:t>4（易燃气体）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7" w:type="dxa"/>
            <w:vMerge w:val="continue"/>
            <w:tcBorders>
              <w:tl2br w:val="nil"/>
              <w:tr2bl w:val="nil"/>
            </w:tcBorders>
            <w:vAlign w:val="center"/>
          </w:tcPr>
          <w:p>
            <w:pPr>
              <w:pStyle w:val="134"/>
            </w:pPr>
          </w:p>
        </w:tc>
        <w:tc>
          <w:tcPr>
            <w:tcW w:w="1238" w:type="dxa"/>
            <w:tcBorders>
              <w:tl2br w:val="nil"/>
              <w:tr2bl w:val="nil"/>
            </w:tcBorders>
            <w:vAlign w:val="center"/>
          </w:tcPr>
          <w:p>
            <w:pPr>
              <w:pStyle w:val="134"/>
            </w:pPr>
            <w:r>
              <w:t>沸点</w:t>
            </w:r>
          </w:p>
        </w:tc>
        <w:tc>
          <w:tcPr>
            <w:tcW w:w="1256" w:type="dxa"/>
            <w:tcBorders>
              <w:tl2br w:val="nil"/>
              <w:tr2bl w:val="nil"/>
            </w:tcBorders>
            <w:vAlign w:val="center"/>
          </w:tcPr>
          <w:p>
            <w:pPr>
              <w:pStyle w:val="134"/>
            </w:pPr>
            <w:r>
              <w:t>-191.4</w:t>
            </w:r>
          </w:p>
        </w:tc>
        <w:tc>
          <w:tcPr>
            <w:tcW w:w="1238" w:type="dxa"/>
            <w:tcBorders>
              <w:tl2br w:val="nil"/>
              <w:tr2bl w:val="nil"/>
            </w:tcBorders>
            <w:vAlign w:val="center"/>
          </w:tcPr>
          <w:p>
            <w:pPr>
              <w:pStyle w:val="134"/>
            </w:pPr>
            <w:r>
              <w:t>闪点</w:t>
            </w:r>
          </w:p>
        </w:tc>
        <w:tc>
          <w:tcPr>
            <w:tcW w:w="3765" w:type="dxa"/>
            <w:gridSpan w:val="3"/>
            <w:tcBorders>
              <w:tl2br w:val="nil"/>
              <w:tr2bl w:val="nil"/>
            </w:tcBorders>
            <w:vAlign w:val="center"/>
          </w:tcPr>
          <w:p>
            <w:pPr>
              <w:pStyle w:val="134"/>
            </w:pPr>
            <w: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7" w:type="dxa"/>
            <w:vMerge w:val="continue"/>
            <w:tcBorders>
              <w:tl2br w:val="nil"/>
              <w:tr2bl w:val="nil"/>
            </w:tcBorders>
            <w:vAlign w:val="center"/>
          </w:tcPr>
          <w:p>
            <w:pPr>
              <w:pStyle w:val="134"/>
            </w:pPr>
          </w:p>
        </w:tc>
        <w:tc>
          <w:tcPr>
            <w:tcW w:w="1238" w:type="dxa"/>
            <w:tcBorders>
              <w:tl2br w:val="nil"/>
              <w:tr2bl w:val="nil"/>
            </w:tcBorders>
            <w:vAlign w:val="center"/>
          </w:tcPr>
          <w:p>
            <w:pPr>
              <w:pStyle w:val="134"/>
            </w:pPr>
            <w:r>
              <w:t>熔点</w:t>
            </w:r>
          </w:p>
        </w:tc>
        <w:tc>
          <w:tcPr>
            <w:tcW w:w="1256" w:type="dxa"/>
            <w:tcBorders>
              <w:tl2br w:val="nil"/>
              <w:tr2bl w:val="nil"/>
            </w:tcBorders>
            <w:vAlign w:val="center"/>
          </w:tcPr>
          <w:p>
            <w:pPr>
              <w:pStyle w:val="134"/>
            </w:pPr>
            <w:r>
              <w:t>199.1</w:t>
            </w:r>
          </w:p>
        </w:tc>
        <w:tc>
          <w:tcPr>
            <w:tcW w:w="1238" w:type="dxa"/>
            <w:tcBorders>
              <w:tl2br w:val="nil"/>
              <w:tr2bl w:val="nil"/>
            </w:tcBorders>
            <w:vAlign w:val="center"/>
          </w:tcPr>
          <w:p>
            <w:pPr>
              <w:pStyle w:val="134"/>
            </w:pPr>
            <w:r>
              <w:t>密度</w:t>
            </w:r>
          </w:p>
        </w:tc>
        <w:tc>
          <w:tcPr>
            <w:tcW w:w="3765" w:type="dxa"/>
            <w:gridSpan w:val="3"/>
            <w:tcBorders>
              <w:tl2br w:val="nil"/>
              <w:tr2bl w:val="nil"/>
            </w:tcBorders>
            <w:vAlign w:val="center"/>
          </w:tcPr>
          <w:p>
            <w:pPr>
              <w:pStyle w:val="134"/>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7" w:type="dxa"/>
            <w:vMerge w:val="continue"/>
            <w:tcBorders>
              <w:tl2br w:val="nil"/>
              <w:tr2bl w:val="nil"/>
            </w:tcBorders>
            <w:vAlign w:val="center"/>
          </w:tcPr>
          <w:p>
            <w:pPr>
              <w:pStyle w:val="134"/>
            </w:pPr>
          </w:p>
        </w:tc>
        <w:tc>
          <w:tcPr>
            <w:tcW w:w="1238" w:type="dxa"/>
            <w:tcBorders>
              <w:tl2br w:val="nil"/>
              <w:tr2bl w:val="nil"/>
            </w:tcBorders>
            <w:vAlign w:val="center"/>
          </w:tcPr>
          <w:p>
            <w:pPr>
              <w:pStyle w:val="134"/>
            </w:pPr>
            <w:r>
              <w:t>外观气味</w:t>
            </w:r>
          </w:p>
        </w:tc>
        <w:tc>
          <w:tcPr>
            <w:tcW w:w="6259" w:type="dxa"/>
            <w:gridSpan w:val="5"/>
            <w:tcBorders>
              <w:tl2br w:val="nil"/>
              <w:tr2bl w:val="nil"/>
            </w:tcBorders>
            <w:vAlign w:val="center"/>
          </w:tcPr>
          <w:p>
            <w:pPr>
              <w:pStyle w:val="134"/>
            </w:pPr>
            <w:r>
              <w:t>无色无臭气体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7" w:type="dxa"/>
            <w:vMerge w:val="continue"/>
            <w:tcBorders>
              <w:tl2br w:val="nil"/>
              <w:tr2bl w:val="nil"/>
            </w:tcBorders>
            <w:vAlign w:val="center"/>
          </w:tcPr>
          <w:p>
            <w:pPr>
              <w:pStyle w:val="134"/>
            </w:pPr>
          </w:p>
        </w:tc>
        <w:tc>
          <w:tcPr>
            <w:tcW w:w="1238" w:type="dxa"/>
            <w:tcBorders>
              <w:tl2br w:val="nil"/>
              <w:tr2bl w:val="nil"/>
            </w:tcBorders>
            <w:vAlign w:val="center"/>
          </w:tcPr>
          <w:p>
            <w:pPr>
              <w:pStyle w:val="134"/>
            </w:pPr>
            <w:r>
              <w:t>溶解性</w:t>
            </w:r>
          </w:p>
        </w:tc>
        <w:tc>
          <w:tcPr>
            <w:tcW w:w="6259" w:type="dxa"/>
            <w:gridSpan w:val="5"/>
            <w:tcBorders>
              <w:tl2br w:val="nil"/>
              <w:tr2bl w:val="nil"/>
            </w:tcBorders>
            <w:vAlign w:val="center"/>
          </w:tcPr>
          <w:p>
            <w:pPr>
              <w:pStyle w:val="134"/>
            </w:pPr>
            <w:r>
              <w:t>微溶于水，溶于乙醇、苯等多种有机溶剂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7" w:type="dxa"/>
            <w:tcBorders>
              <w:tl2br w:val="nil"/>
              <w:tr2bl w:val="nil"/>
            </w:tcBorders>
            <w:vAlign w:val="center"/>
          </w:tcPr>
          <w:p>
            <w:pPr>
              <w:pStyle w:val="134"/>
            </w:pPr>
            <w:r>
              <w:t>危险性</w:t>
            </w:r>
          </w:p>
        </w:tc>
        <w:tc>
          <w:tcPr>
            <w:tcW w:w="7497" w:type="dxa"/>
            <w:gridSpan w:val="6"/>
            <w:tcBorders>
              <w:tl2br w:val="nil"/>
              <w:tr2bl w:val="nil"/>
            </w:tcBorders>
            <w:vAlign w:val="center"/>
          </w:tcPr>
          <w:p>
            <w:pPr>
              <w:pStyle w:val="134"/>
            </w:pPr>
            <w:r>
              <w:t>健康危害：一氧化碳在血中与血红蛋白结合而造成组织缺氧危险特性：是一种易燃易爆气体。与空气混合能形成爆炸性混合物，遇明火、高热能引起燃烧爆炸。燃烧（分解）产物：二氧化碳。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7" w:type="dxa"/>
            <w:tcBorders>
              <w:tl2br w:val="nil"/>
              <w:tr2bl w:val="nil"/>
            </w:tcBorders>
            <w:vAlign w:val="center"/>
          </w:tcPr>
          <w:p>
            <w:pPr>
              <w:pStyle w:val="134"/>
            </w:pPr>
            <w:r>
              <w:t>毒理学资料和健康危害</w:t>
            </w:r>
          </w:p>
        </w:tc>
        <w:tc>
          <w:tcPr>
            <w:tcW w:w="7497" w:type="dxa"/>
            <w:gridSpan w:val="6"/>
            <w:tcBorders>
              <w:tl2br w:val="nil"/>
              <w:tr2bl w:val="nil"/>
            </w:tcBorders>
            <w:vAlign w:val="center"/>
          </w:tcPr>
          <w:p>
            <w:pPr>
              <w:pStyle w:val="134"/>
            </w:pPr>
            <w:r>
              <w:t>毒性：一氧化碳在血中与血红蛋白结合而造成组织缺氧。急性中毒：轻度中毒者出现头痛、头晕、耳鸣、心悸、恶心、呕吐、无力。中度中毒者除上述症状外，还有面色潮红、口唇樱红、脉快、烦躁、步态不稳、意识模糊，可有昏迷。重度患者昏迷不醒、瞳孔缩小、肌张力增加，频繁抽搐、大小便失禁等。深度中毒可致死。慢性影响：长期反复吸入一定量的一氧化碳可致神经和心血管系统损害。急性毒性：LC502069mg/m3，4小时（大鼠吸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7" w:type="dxa"/>
            <w:vMerge w:val="restart"/>
            <w:tcBorders>
              <w:tl2br w:val="nil"/>
              <w:tr2bl w:val="nil"/>
            </w:tcBorders>
            <w:vAlign w:val="center"/>
          </w:tcPr>
          <w:p>
            <w:pPr>
              <w:pStyle w:val="134"/>
            </w:pPr>
            <w:r>
              <w:t>安全防护措施</w:t>
            </w:r>
          </w:p>
        </w:tc>
        <w:tc>
          <w:tcPr>
            <w:tcW w:w="1238" w:type="dxa"/>
            <w:tcBorders>
              <w:tl2br w:val="nil"/>
              <w:tr2bl w:val="nil"/>
            </w:tcBorders>
            <w:vAlign w:val="center"/>
          </w:tcPr>
          <w:p>
            <w:pPr>
              <w:pStyle w:val="134"/>
            </w:pPr>
            <w:r>
              <w:t>呼吸系统防护</w:t>
            </w:r>
          </w:p>
        </w:tc>
        <w:tc>
          <w:tcPr>
            <w:tcW w:w="6259" w:type="dxa"/>
            <w:gridSpan w:val="5"/>
            <w:tcBorders>
              <w:tl2br w:val="nil"/>
              <w:tr2bl w:val="nil"/>
            </w:tcBorders>
            <w:vAlign w:val="center"/>
          </w:tcPr>
          <w:p>
            <w:pPr>
              <w:pStyle w:val="134"/>
            </w:pPr>
            <w:r>
              <w:t>空气中浓度超标时，</w:t>
            </w:r>
            <w:r>
              <w:rPr>
                <w:rFonts w:hint="eastAsia"/>
                <w:lang w:eastAsia="zh-CN"/>
              </w:rPr>
              <w:t>佩戴</w:t>
            </w:r>
            <w:r>
              <w:t>自吸过渡式防毒面具（半面罩）。紧急事态抢救或撤离时，建议</w:t>
            </w:r>
            <w:r>
              <w:rPr>
                <w:rFonts w:hint="eastAsia"/>
                <w:lang w:eastAsia="zh-CN"/>
              </w:rPr>
              <w:t>佩戴</w:t>
            </w:r>
            <w:r>
              <w:t>空气呼吸器、一氧化碳过滤式自救器。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7" w:type="dxa"/>
            <w:vMerge w:val="continue"/>
            <w:tcBorders>
              <w:tl2br w:val="nil"/>
              <w:tr2bl w:val="nil"/>
            </w:tcBorders>
            <w:vAlign w:val="center"/>
          </w:tcPr>
          <w:p>
            <w:pPr>
              <w:pStyle w:val="134"/>
            </w:pPr>
          </w:p>
        </w:tc>
        <w:tc>
          <w:tcPr>
            <w:tcW w:w="1238" w:type="dxa"/>
            <w:tcBorders>
              <w:tl2br w:val="nil"/>
              <w:tr2bl w:val="nil"/>
            </w:tcBorders>
            <w:vAlign w:val="center"/>
          </w:tcPr>
          <w:p>
            <w:pPr>
              <w:pStyle w:val="134"/>
            </w:pPr>
            <w:r>
              <w:t>眼睛防护</w:t>
            </w:r>
          </w:p>
        </w:tc>
        <w:tc>
          <w:tcPr>
            <w:tcW w:w="6259" w:type="dxa"/>
            <w:gridSpan w:val="5"/>
            <w:tcBorders>
              <w:tl2br w:val="nil"/>
              <w:tr2bl w:val="nil"/>
            </w:tcBorders>
            <w:vAlign w:val="center"/>
          </w:tcPr>
          <w:p>
            <w:pPr>
              <w:pStyle w:val="134"/>
            </w:pPr>
            <w:r>
              <w:t>一般不需要特别防护，高浓度接触时可戴安全防护眼镜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7" w:type="dxa"/>
            <w:vMerge w:val="continue"/>
            <w:tcBorders>
              <w:tl2br w:val="nil"/>
              <w:tr2bl w:val="nil"/>
            </w:tcBorders>
            <w:vAlign w:val="center"/>
          </w:tcPr>
          <w:p>
            <w:pPr>
              <w:pStyle w:val="134"/>
            </w:pPr>
          </w:p>
        </w:tc>
        <w:tc>
          <w:tcPr>
            <w:tcW w:w="1238" w:type="dxa"/>
            <w:tcBorders>
              <w:tl2br w:val="nil"/>
              <w:tr2bl w:val="nil"/>
            </w:tcBorders>
            <w:vAlign w:val="center"/>
          </w:tcPr>
          <w:p>
            <w:pPr>
              <w:pStyle w:val="134"/>
            </w:pPr>
            <w:r>
              <w:t>身体防护</w:t>
            </w:r>
          </w:p>
        </w:tc>
        <w:tc>
          <w:tcPr>
            <w:tcW w:w="6259" w:type="dxa"/>
            <w:gridSpan w:val="5"/>
            <w:tcBorders>
              <w:tl2br w:val="nil"/>
              <w:tr2bl w:val="nil"/>
            </w:tcBorders>
            <w:vAlign w:val="center"/>
          </w:tcPr>
          <w:p>
            <w:pPr>
              <w:pStyle w:val="134"/>
            </w:pPr>
            <w:r>
              <w:t>穿防静电工作服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7" w:type="dxa"/>
            <w:vMerge w:val="continue"/>
            <w:tcBorders>
              <w:tl2br w:val="nil"/>
              <w:tr2bl w:val="nil"/>
            </w:tcBorders>
            <w:vAlign w:val="center"/>
          </w:tcPr>
          <w:p>
            <w:pPr>
              <w:pStyle w:val="134"/>
            </w:pPr>
          </w:p>
        </w:tc>
        <w:tc>
          <w:tcPr>
            <w:tcW w:w="1238" w:type="dxa"/>
            <w:tcBorders>
              <w:tl2br w:val="nil"/>
              <w:tr2bl w:val="nil"/>
            </w:tcBorders>
            <w:vAlign w:val="center"/>
          </w:tcPr>
          <w:p>
            <w:pPr>
              <w:pStyle w:val="134"/>
            </w:pPr>
            <w:r>
              <w:t>手防护</w:t>
            </w:r>
          </w:p>
        </w:tc>
        <w:tc>
          <w:tcPr>
            <w:tcW w:w="6259" w:type="dxa"/>
            <w:gridSpan w:val="5"/>
            <w:tcBorders>
              <w:tl2br w:val="nil"/>
              <w:tr2bl w:val="nil"/>
            </w:tcBorders>
            <w:vAlign w:val="center"/>
          </w:tcPr>
          <w:p>
            <w:pPr>
              <w:pStyle w:val="134"/>
            </w:pPr>
            <w:r>
              <w:t>戴一般作业防护手套。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7" w:type="dxa"/>
            <w:vMerge w:val="continue"/>
            <w:tcBorders>
              <w:tl2br w:val="nil"/>
              <w:tr2bl w:val="nil"/>
            </w:tcBorders>
            <w:vAlign w:val="center"/>
          </w:tcPr>
          <w:p>
            <w:pPr>
              <w:pStyle w:val="134"/>
            </w:pPr>
          </w:p>
        </w:tc>
        <w:tc>
          <w:tcPr>
            <w:tcW w:w="1238" w:type="dxa"/>
            <w:tcBorders>
              <w:tl2br w:val="nil"/>
              <w:tr2bl w:val="nil"/>
            </w:tcBorders>
            <w:vAlign w:val="center"/>
          </w:tcPr>
          <w:p>
            <w:pPr>
              <w:pStyle w:val="134"/>
            </w:pPr>
            <w:r>
              <w:t>其他</w:t>
            </w:r>
          </w:p>
        </w:tc>
        <w:tc>
          <w:tcPr>
            <w:tcW w:w="6259" w:type="dxa"/>
            <w:gridSpan w:val="5"/>
            <w:tcBorders>
              <w:tl2br w:val="nil"/>
              <w:tr2bl w:val="nil"/>
            </w:tcBorders>
            <w:vAlign w:val="center"/>
          </w:tcPr>
          <w:p>
            <w:pPr>
              <w:pStyle w:val="134"/>
            </w:pPr>
            <w:r>
              <w:t>工作现场严禁吸烟。实行就业前和定期的体验。避免高浓度吸入。进入罐、限制性空间或其它高浓度区作业，须有人监护。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7" w:type="dxa"/>
            <w:tcBorders>
              <w:tl2br w:val="nil"/>
              <w:tr2bl w:val="nil"/>
            </w:tcBorders>
            <w:vAlign w:val="center"/>
          </w:tcPr>
          <w:p>
            <w:pPr>
              <w:pStyle w:val="134"/>
            </w:pPr>
            <w:r>
              <w:t>泄露应急处理</w:t>
            </w:r>
          </w:p>
        </w:tc>
        <w:tc>
          <w:tcPr>
            <w:tcW w:w="7497" w:type="dxa"/>
            <w:gridSpan w:val="6"/>
            <w:tcBorders>
              <w:tl2br w:val="nil"/>
              <w:tr2bl w:val="nil"/>
            </w:tcBorders>
            <w:vAlign w:val="center"/>
          </w:tcPr>
          <w:p>
            <w:pPr>
              <w:pStyle w:val="134"/>
            </w:pPr>
            <w:r>
              <w:t>迅速撤离泄漏污染区人员至上风处，并立即隔离150m，严格限制出入。切断火源。建议应急处理人员戴自给正压式呼吸器，穿消防防护服。尽可能切断泄漏源。合理通风，加速扩散。喷雾状水稀释、溶解。构筑围堤或挖坑收容产生的大量废水。如有可能，将漏出气用排风机送至空旷地方或装设适当喷头烧掉。也可以用管路</w:t>
            </w:r>
            <w:r>
              <w:rPr>
                <w:rFonts w:hint="eastAsia"/>
                <w:lang w:eastAsia="zh-CN"/>
              </w:rPr>
              <w:t>导致</w:t>
            </w:r>
            <w:r>
              <w:t>炉中、凹地焚之。漏气容器要妥善处理，修复、检验后再用。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7" w:type="dxa"/>
            <w:vMerge w:val="restart"/>
            <w:tcBorders>
              <w:tl2br w:val="nil"/>
              <w:tr2bl w:val="nil"/>
            </w:tcBorders>
            <w:vAlign w:val="center"/>
          </w:tcPr>
          <w:p>
            <w:pPr>
              <w:pStyle w:val="134"/>
            </w:pPr>
            <w:r>
              <w:t>急救措施</w:t>
            </w:r>
          </w:p>
        </w:tc>
        <w:tc>
          <w:tcPr>
            <w:tcW w:w="1238" w:type="dxa"/>
            <w:tcBorders>
              <w:tl2br w:val="nil"/>
              <w:tr2bl w:val="nil"/>
            </w:tcBorders>
            <w:vAlign w:val="center"/>
          </w:tcPr>
          <w:p>
            <w:pPr>
              <w:pStyle w:val="134"/>
            </w:pPr>
            <w:r>
              <w:t>吸入</w:t>
            </w:r>
          </w:p>
        </w:tc>
        <w:tc>
          <w:tcPr>
            <w:tcW w:w="6259" w:type="dxa"/>
            <w:gridSpan w:val="5"/>
            <w:tcBorders>
              <w:tl2br w:val="nil"/>
              <w:tr2bl w:val="nil"/>
            </w:tcBorders>
            <w:vAlign w:val="center"/>
          </w:tcPr>
          <w:p>
            <w:pPr>
              <w:pStyle w:val="134"/>
            </w:pPr>
            <w:r>
              <w:t>迅速脱离现场至空气新鲜处。保持呼吸道通畅。如呼吸困难，给输氧。呼吸心跳停止时，立即进行人工呼吸和胸外心脏按压术。就医。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7" w:type="dxa"/>
            <w:vMerge w:val="continue"/>
            <w:tcBorders>
              <w:tl2br w:val="nil"/>
              <w:tr2bl w:val="nil"/>
            </w:tcBorders>
            <w:vAlign w:val="center"/>
          </w:tcPr>
          <w:p>
            <w:pPr>
              <w:pStyle w:val="134"/>
            </w:pPr>
          </w:p>
        </w:tc>
        <w:tc>
          <w:tcPr>
            <w:tcW w:w="1238" w:type="dxa"/>
            <w:tcBorders>
              <w:tl2br w:val="nil"/>
              <w:tr2bl w:val="nil"/>
            </w:tcBorders>
            <w:vAlign w:val="center"/>
          </w:tcPr>
          <w:p>
            <w:pPr>
              <w:pStyle w:val="134"/>
            </w:pPr>
            <w:r>
              <w:t>灭火方法</w:t>
            </w:r>
          </w:p>
        </w:tc>
        <w:tc>
          <w:tcPr>
            <w:tcW w:w="6259" w:type="dxa"/>
            <w:gridSpan w:val="5"/>
            <w:tcBorders>
              <w:tl2br w:val="nil"/>
              <w:tr2bl w:val="nil"/>
            </w:tcBorders>
            <w:vAlign w:val="center"/>
          </w:tcPr>
          <w:p>
            <w:pPr>
              <w:pStyle w:val="134"/>
            </w:pPr>
            <w:r>
              <w:t>切断气源。若不能立即切断气源，则不允许熄灭正在燃烧的气体。喷水冷却容器，可能的话将容器从火场移至空旷处。灭火剂：雾状水、泡沫、二氧化碳、干粉。</w:t>
            </w:r>
          </w:p>
        </w:tc>
      </w:tr>
    </w:tbl>
    <w:p>
      <w:pPr>
        <w:pStyle w:val="114"/>
        <w:ind w:firstLine="482"/>
        <w:rPr>
          <w:b/>
          <w:bCs/>
        </w:rPr>
      </w:pPr>
      <w:r>
        <w:rPr>
          <w:rFonts w:hint="eastAsia"/>
          <w:b/>
          <w:bCs/>
        </w:rPr>
        <w:t>4</w:t>
      </w:r>
      <w:r>
        <w:rPr>
          <w:b/>
          <w:bCs/>
        </w:rPr>
        <w:t>、柴油</w:t>
      </w:r>
    </w:p>
    <w:p>
      <w:pPr>
        <w:pStyle w:val="114"/>
        <w:ind w:firstLine="480"/>
      </w:pPr>
      <w:r>
        <w:t>柴油为稍有粘性的棕色液体，有气味。不溶于水，溶于有机溶剂。皮肤接触可致急性肾脏损害。柴油可引起接触性皮炎、油性座疮。吸入其雾滴或液体呛入可引起吸入性肺炎。能经胎盘进入胎儿血中。柴油废气可引起眼、鼻刺激性症状，头晕及头痛。</w:t>
      </w:r>
    </w:p>
    <w:p>
      <w:pPr>
        <w:pStyle w:val="114"/>
        <w:ind w:firstLine="480"/>
      </w:pPr>
      <w:r>
        <w:t>毒性：LD50、LC50无资料。柴油的毒性与煤油相似，但由于添加剂如硫化酯类的影响，毒性可以比煤油略大些。主要有麻醉和刺激作用。</w:t>
      </w:r>
    </w:p>
    <w:p>
      <w:pPr>
        <w:pStyle w:val="114"/>
        <w:ind w:firstLine="480"/>
      </w:pPr>
      <w:r>
        <w:t>危险特性：易燃，具刺激性。遇明火、高热源或与氧化剂接触，有引起燃烧爆炸的危险。若遇高热，容器内压增大，有开裂和爆炸的危险。</w:t>
      </w:r>
    </w:p>
    <w:p>
      <w:pPr>
        <w:topLinePunct w:val="0"/>
        <w:adjustRightInd/>
        <w:spacing w:line="240" w:lineRule="auto"/>
        <w:ind w:firstLine="0" w:firstLineChars="0"/>
        <w:jc w:val="center"/>
        <w:rPr>
          <w:rFonts w:ascii="Times New Roman" w:cs="Times New Roman"/>
          <w:kern w:val="2"/>
          <w:sz w:val="21"/>
          <w:szCs w:val="21"/>
        </w:rPr>
      </w:pPr>
      <w:bookmarkStart w:id="522" w:name="_Toc499634210"/>
      <w:r>
        <w:rPr>
          <w:rFonts w:ascii="Times New Roman" w:cs="Times New Roman"/>
          <w:b/>
          <w:bCs/>
          <w:kern w:val="2"/>
          <w:sz w:val="21"/>
          <w:szCs w:val="21"/>
        </w:rPr>
        <w:t>表7.</w:t>
      </w:r>
      <w:r>
        <w:rPr>
          <w:rFonts w:hint="eastAsia" w:ascii="Times New Roman" w:cs="Times New Roman"/>
          <w:b/>
          <w:bCs/>
          <w:kern w:val="2"/>
          <w:sz w:val="21"/>
          <w:szCs w:val="21"/>
        </w:rPr>
        <w:t>7</w:t>
      </w:r>
      <w:r>
        <w:rPr>
          <w:rFonts w:ascii="Times New Roman" w:cs="Times New Roman"/>
          <w:b/>
          <w:bCs/>
          <w:kern w:val="2"/>
          <w:sz w:val="21"/>
          <w:szCs w:val="21"/>
        </w:rPr>
        <w:t>-</w:t>
      </w:r>
      <w:r>
        <w:rPr>
          <w:rFonts w:hint="eastAsia" w:ascii="Times New Roman" w:cs="Times New Roman"/>
          <w:b/>
          <w:bCs/>
          <w:kern w:val="2"/>
          <w:sz w:val="21"/>
          <w:szCs w:val="21"/>
        </w:rPr>
        <w:t>6</w:t>
      </w:r>
      <w:r>
        <w:rPr>
          <w:rFonts w:ascii="Times New Roman" w:cs="Times New Roman"/>
          <w:b/>
          <w:bCs/>
          <w:kern w:val="2"/>
          <w:sz w:val="21"/>
          <w:szCs w:val="21"/>
        </w:rPr>
        <w:t xml:space="preserve"> </w:t>
      </w:r>
      <w:r>
        <w:rPr>
          <w:rFonts w:ascii="Times New Roman" w:cs="Times New Roman"/>
          <w:b/>
          <w:kern w:val="2"/>
          <w:sz w:val="21"/>
          <w:szCs w:val="21"/>
        </w:rPr>
        <w:t xml:space="preserve"> 柴油</w:t>
      </w:r>
      <w:bookmarkEnd w:id="522"/>
      <w:r>
        <w:rPr>
          <w:rFonts w:ascii="Times New Roman" w:cs="Times New Roman"/>
          <w:b/>
          <w:bCs/>
          <w:kern w:val="2"/>
          <w:sz w:val="21"/>
          <w:szCs w:val="21"/>
        </w:rPr>
        <w:t>理化性质及危险特性</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1588"/>
        <w:gridCol w:w="71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tblHeader/>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项目</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b/>
                <w:bCs/>
                <w:kern w:val="2"/>
                <w:sz w:val="21"/>
                <w:szCs w:val="21"/>
              </w:rPr>
            </w:pPr>
            <w:r>
              <w:rPr>
                <w:rFonts w:ascii="Times New Roman" w:cs="Times New Roman"/>
                <w:b/>
                <w:kern w:val="2"/>
                <w:sz w:val="21"/>
                <w:szCs w:val="21"/>
              </w:rPr>
              <w:t>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标识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中文名称</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柴油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英文名称</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Diesel Oil；Diesel Fuel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分子式</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复杂</w:t>
            </w:r>
            <w:r>
              <w:fldChar w:fldCharType="begin"/>
            </w:r>
            <w:r>
              <w:instrText xml:space="preserve"> HYPERLINK "http://baike.baidu.com/view/2278558.htm" \t "_blank" </w:instrText>
            </w:r>
            <w:r>
              <w:fldChar w:fldCharType="separate"/>
            </w:r>
            <w:r>
              <w:rPr>
                <w:rFonts w:ascii="Times New Roman" w:cs="Times New Roman"/>
                <w:kern w:val="2"/>
                <w:sz w:val="21"/>
                <w:szCs w:val="21"/>
              </w:rPr>
              <w:t>烃类</w:t>
            </w:r>
            <w:r>
              <w:rPr>
                <w:rFonts w:ascii="Times New Roman" w:cs="Times New Roman"/>
                <w:kern w:val="2"/>
                <w:sz w:val="21"/>
                <w:szCs w:val="21"/>
              </w:rPr>
              <w:fldChar w:fldCharType="end"/>
            </w:r>
            <w:r>
              <w:rPr>
                <w:rFonts w:ascii="Times New Roman" w:cs="Times New Roman"/>
                <w:kern w:val="2"/>
                <w:sz w:val="21"/>
                <w:szCs w:val="21"/>
              </w:rPr>
              <w:t>（碳原子数约10～22）</w:t>
            </w:r>
            <w:r>
              <w:fldChar w:fldCharType="begin"/>
            </w:r>
            <w:r>
              <w:instrText xml:space="preserve"> HYPERLINK "http://baike.baidu.com/view/62511.htm" \t "_blank" </w:instrText>
            </w:r>
            <w:r>
              <w:fldChar w:fldCharType="separate"/>
            </w:r>
            <w:r>
              <w:rPr>
                <w:rFonts w:ascii="Times New Roman" w:cs="Times New Roman"/>
                <w:kern w:val="2"/>
                <w:sz w:val="21"/>
                <w:szCs w:val="21"/>
              </w:rPr>
              <w:t>混合物</w:t>
            </w:r>
            <w:r>
              <w:rPr>
                <w:rFonts w:ascii="Times New Roman" w:cs="Times New Roman"/>
                <w:kern w:val="2"/>
                <w:sz w:val="21"/>
                <w:szCs w:val="21"/>
              </w:rPr>
              <w:fldChar w:fldCharType="end"/>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分子量</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CAS号</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危险性类别</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性状与用途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外观与性状</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稍有粘性的棕色液体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主要用途</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用作柴油机的燃料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理化性质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熔点（℃）</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沸点（℃）</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282-338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相对密度</w:t>
            </w:r>
          </w:p>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（水=1）</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0.87-0.9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相对蒸汽密度</w:t>
            </w:r>
          </w:p>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（空气=1）</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溶解性</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不溶于水，易溶于醇和其他稀释剂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8529" w:type="dxa"/>
            <w:gridSpan w:val="2"/>
            <w:shd w:val="clear" w:color="auto" w:fill="FFFFFF" w:themeFill="background1"/>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健康危害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侵入途径</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吸入、食入、经皮吸收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健康危害</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皮肤接触可为主要吸收途径，可致急性肾脏损害，可引起接触性皮炎、油性痤疮；吸入其雾滴或液体呛入可引起吸入性肺炎，能经胎盘进入胎儿血中；废气可引起眼、鼻刺激症状，头晕及头痛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环境资料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对环境有危害，对水体和大气可造成污染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燃爆特性与消防要求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燃爆危险</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本品易燃，具刺激性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危险特性</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遇明火、高热或与氧化剂接触，有引起燃烧爆炸的危险。若遇高热，容器内压增大，有开裂和爆炸的危险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灭火方法</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消防人员须佩戴防毒面具、穿全身消防服，在上风向灭火，尽可能将容器从火场移至空旷处；喷水保持火场容器冷却，直至灭火结束，处在火场中的容器若已变色或从安全泄压装置中产生声音，必须马上撤离；灭火剂：雾状水、泡沫、干粉、二氧化碳、砂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8529" w:type="dxa"/>
            <w:gridSpan w:val="2"/>
            <w:shd w:val="clear" w:color="auto" w:fill="FFFFFF" w:themeFill="background1"/>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稳定性和反应活性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稳定性</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稳定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禁配物</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强氧化剂、卤素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避免接触</w:t>
            </w:r>
          </w:p>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的条件</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高温、明火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聚合危害</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不聚合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燃烧（分解）产物</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一氧化碳、二氧化碳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储运注意事项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储存于阴凉、干燥、通风仓间内；远离火种、热源，防止阳光直射，保持容器密封；应与碱类、金属粉末等分开存放；露天储罐夏季要有降温措施；分装和搬运作业要注意个人防护；搬运时要轻装轻卸，防止包装及容器损坏；运输按规定路线行驶，勿在居民区和人口稠密区停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急救措施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皮肤接触</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立即脱去污染的衣着，用肥皂水和清水彻底冲洗皮肤；就医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眼睛接触</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提起眼睑，用流动清水或生理盐水冲洗；就医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吸入</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迅速脱离现场至空气新鲜处；保持呼吸道通畅；如呼吸困难，给输氧；如呼吸停止，立即进行人工呼吸；就医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食入</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尽快彻底洗胃，就医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防护措施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工程控制</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密闭操作，注意通风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呼吸系统防护</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空气中浓度超标时，建议佩戴自吸过滤式防毒面具（半面罩），紧急事态抢救或撤离时，应该佩戴空气呼吸器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眼睛防护</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戴化学安全防护眼镜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身体防护</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穿一般作业防护服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手防护</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戴橡胶耐油手套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其他要求</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工作现场严禁吸烟，避免长期反复接触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泄漏应急处置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迅速撤离泄漏污染区人员至安全区，并进行隔离，严格限制出入；建议应急处理人员戴自给正压式呼吸器，穿防酸碱工作服；不要直接接触泄漏物，尽可能切断泄漏源；防止进入下水道、排洪沟等限制性空间；小量泄漏：用砂土或其它惰性材料吸收，也可用大量水冲洗，洗水稀释后放入废水系统；大量泄漏：构筑围堤或挖坑收容；用泵转移至槽车或专用收集器内，回收</w:t>
            </w:r>
          </w:p>
        </w:tc>
      </w:tr>
    </w:tbl>
    <w:p>
      <w:pPr>
        <w:pStyle w:val="114"/>
        <w:ind w:firstLine="482"/>
        <w:rPr>
          <w:b/>
          <w:bCs/>
        </w:rPr>
      </w:pPr>
      <w:r>
        <w:rPr>
          <w:rFonts w:hint="eastAsia"/>
          <w:b/>
          <w:bCs/>
        </w:rPr>
        <w:t>5</w:t>
      </w:r>
      <w:r>
        <w:rPr>
          <w:b/>
          <w:bCs/>
        </w:rPr>
        <w:t>、压裂、洗井废水</w:t>
      </w:r>
    </w:p>
    <w:p>
      <w:pPr>
        <w:pStyle w:val="114"/>
        <w:ind w:firstLine="480"/>
      </w:pPr>
      <w:r>
        <w:t>压裂、洗井废水中包含有大量的离子及微量元素，阳离子主要为K</w:t>
      </w:r>
      <w:r>
        <w:rPr>
          <w:vertAlign w:val="superscript"/>
        </w:rPr>
        <w:t>+</w:t>
      </w:r>
      <w:r>
        <w:t>、Na</w:t>
      </w:r>
      <w:r>
        <w:rPr>
          <w:vertAlign w:val="superscript"/>
        </w:rPr>
        <w:t>+</w:t>
      </w:r>
      <w:r>
        <w:t>、Ca</w:t>
      </w:r>
      <w:r>
        <w:rPr>
          <w:vertAlign w:val="superscript"/>
        </w:rPr>
        <w:t>2+</w:t>
      </w:r>
      <w:r>
        <w:t>、Mg</w:t>
      </w:r>
      <w:r>
        <w:rPr>
          <w:vertAlign w:val="superscript"/>
        </w:rPr>
        <w:t>2+</w:t>
      </w:r>
      <w:r>
        <w:t>、Ba</w:t>
      </w:r>
      <w:r>
        <w:rPr>
          <w:vertAlign w:val="superscript"/>
        </w:rPr>
        <w:t>2+</w:t>
      </w:r>
      <w:r>
        <w:t>、Sr</w:t>
      </w:r>
      <w:r>
        <w:rPr>
          <w:vertAlign w:val="superscript"/>
        </w:rPr>
        <w:t>2+</w:t>
      </w:r>
      <w:r>
        <w:t>，阴离子主要为Cl</w:t>
      </w:r>
      <w:r>
        <w:rPr>
          <w:vertAlign w:val="superscript"/>
        </w:rPr>
        <w:t>-</w:t>
      </w:r>
      <w:r>
        <w:t>、Br</w:t>
      </w:r>
      <w:r>
        <w:rPr>
          <w:vertAlign w:val="superscript"/>
        </w:rPr>
        <w:t>-</w:t>
      </w:r>
      <w:r>
        <w:t>等，压裂、洗井废水为淡青色、酸性，具有一定的腐蚀能力，从环境方面压裂、洗井废水主要表现的危害为腐蚀性和毒性，属于危害水环境物质，但不属于急性毒性类别1中物质。</w:t>
      </w:r>
    </w:p>
    <w:p>
      <w:pPr>
        <w:pStyle w:val="4"/>
        <w:rPr>
          <w:rFonts w:eastAsia="宋体"/>
        </w:rPr>
      </w:pPr>
      <w:r>
        <w:rPr>
          <w:rFonts w:eastAsia="宋体"/>
        </w:rPr>
        <w:t>7.</w:t>
      </w:r>
      <w:r>
        <w:rPr>
          <w:rFonts w:hint="eastAsia" w:eastAsia="宋体"/>
        </w:rPr>
        <w:t>7</w:t>
      </w:r>
      <w:r>
        <w:rPr>
          <w:rFonts w:eastAsia="宋体"/>
        </w:rPr>
        <w:t>.2 生产系统危险性识别</w:t>
      </w:r>
      <w:bookmarkEnd w:id="520"/>
      <w:bookmarkEnd w:id="521"/>
    </w:p>
    <w:p>
      <w:pPr>
        <w:pStyle w:val="114"/>
        <w:ind w:firstLine="480"/>
      </w:pPr>
      <w:r>
        <w:t>生产系统危险性识别首先参照本项目各生产装置、储运设施、公用工程和辅助生产设施以及环境保护措施，由此可识别工程建设生产过程中的风险源。</w:t>
      </w:r>
    </w:p>
    <w:p>
      <w:pPr>
        <w:pStyle w:val="114"/>
        <w:ind w:firstLine="480"/>
      </w:pPr>
      <w:r>
        <w:t>危险单元是由一个或多个风险源构成的具有相对独立功能的单元，一个独立的危险单元在事故状况下应可实现与其他功能单元的分割。本项目通过管线涉及站场划分危险单元，共划分为</w:t>
      </w:r>
      <w:r>
        <w:rPr>
          <w:rFonts w:hint="eastAsia"/>
        </w:rPr>
        <w:t>3</w:t>
      </w:r>
      <w:r>
        <w:t>个危险单元，分别为：</w:t>
      </w:r>
    </w:p>
    <w:p>
      <w:pPr>
        <w:pStyle w:val="114"/>
        <w:ind w:firstLine="480"/>
      </w:pPr>
      <w:r>
        <w:t>①本项目站场；</w:t>
      </w:r>
    </w:p>
    <w:p>
      <w:pPr>
        <w:pStyle w:val="114"/>
        <w:ind w:firstLine="480"/>
      </w:pPr>
      <w:r>
        <w:t>②柴油储罐；</w:t>
      </w:r>
    </w:p>
    <w:p>
      <w:pPr>
        <w:pStyle w:val="114"/>
        <w:ind w:firstLine="480"/>
      </w:pPr>
      <w:r>
        <w:t>③污水缓冲罐。</w:t>
      </w:r>
    </w:p>
    <w:p>
      <w:pPr>
        <w:pStyle w:val="114"/>
        <w:ind w:firstLine="480"/>
      </w:pPr>
      <w:r>
        <w:t>结合各单元工艺流程，对各危险单元的风险源进行识别，并分析风险源的危险性、存在条件和转化为事故的触发因素。</w:t>
      </w:r>
    </w:p>
    <w:p>
      <w:pPr>
        <w:pStyle w:val="4"/>
        <w:rPr>
          <w:rFonts w:eastAsia="宋体"/>
        </w:rPr>
      </w:pPr>
      <w:bookmarkStart w:id="523" w:name="_Toc19816105"/>
      <w:bookmarkStart w:id="524" w:name="_Toc12288732"/>
      <w:r>
        <w:rPr>
          <w:rFonts w:eastAsia="宋体"/>
        </w:rPr>
        <w:t>7.</w:t>
      </w:r>
      <w:r>
        <w:rPr>
          <w:rFonts w:hint="eastAsia" w:eastAsia="宋体"/>
        </w:rPr>
        <w:t>7</w:t>
      </w:r>
      <w:r>
        <w:rPr>
          <w:rFonts w:eastAsia="宋体"/>
        </w:rPr>
        <w:t>.3 危险物质扩散途径识别</w:t>
      </w:r>
      <w:bookmarkEnd w:id="523"/>
      <w:bookmarkEnd w:id="524"/>
    </w:p>
    <w:p>
      <w:pPr>
        <w:pStyle w:val="114"/>
        <w:ind w:firstLine="480"/>
      </w:pPr>
      <w:r>
        <w:t>环境风险类型包括危险物质泄漏，火灾、爆炸等引发的伴生/次生污染物排放，同一种危险物质可能有多种环境风险类型。本项目主要环境风险物质为CH</w:t>
      </w:r>
      <w:r>
        <w:rPr>
          <w:vertAlign w:val="subscript"/>
        </w:rPr>
        <w:t>4</w:t>
      </w:r>
      <w:r>
        <w:t>、硫化氢和柴油，还要考虑井喷或天然气管道泄漏后的火灾事故中未完全燃烧产生的伴生污染物CO，以及火灾事故时产生的消防废水和事故后维修作业废水，此外还需考虑柴油储罐泄漏、压裂、洗井废水泄漏，导致柴油、压裂、洗井废水进入地表水、地下水、土壤环境，对项目周围环境造成危害。本项目涉及的危险物质及每种危险物质涉及的风险类型、扩散途径和可能影响方式见下表。</w:t>
      </w:r>
    </w:p>
    <w:p>
      <w:pPr>
        <w:pStyle w:val="127"/>
        <w:rPr>
          <w:rFonts w:eastAsia="宋体"/>
        </w:rPr>
      </w:pPr>
      <w:r>
        <w:rPr>
          <w:rFonts w:eastAsia="宋体"/>
        </w:rPr>
        <w:t>表7.</w:t>
      </w:r>
      <w:r>
        <w:rPr>
          <w:rFonts w:hint="eastAsia" w:eastAsia="宋体"/>
        </w:rPr>
        <w:t>7-7</w:t>
      </w:r>
      <w:r>
        <w:rPr>
          <w:rFonts w:eastAsia="宋体"/>
        </w:rPr>
        <w:t xml:space="preserve">  本项目环境风险识别表</w:t>
      </w:r>
    </w:p>
    <w:tbl>
      <w:tblPr>
        <w:tblStyle w:val="59"/>
        <w:tblW w:w="4849"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009"/>
        <w:gridCol w:w="1371"/>
        <w:gridCol w:w="1540"/>
        <w:gridCol w:w="4603"/>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09" w:type="dxa"/>
            <w:vAlign w:val="center"/>
          </w:tcPr>
          <w:p>
            <w:pPr>
              <w:pStyle w:val="103"/>
              <w:spacing w:line="240" w:lineRule="auto"/>
              <w:ind w:firstLine="0" w:firstLineChars="0"/>
              <w:rPr>
                <w:rFonts w:ascii="Times New Roman" w:cs="Times New Roman"/>
                <w:b/>
                <w:kern w:val="2"/>
                <w:sz w:val="21"/>
                <w:szCs w:val="21"/>
              </w:rPr>
            </w:pPr>
            <w:r>
              <w:rPr>
                <w:rFonts w:ascii="Times New Roman" w:cs="Times New Roman"/>
                <w:b/>
                <w:kern w:val="2"/>
                <w:sz w:val="21"/>
                <w:szCs w:val="21"/>
              </w:rPr>
              <w:t>危险物质</w:t>
            </w:r>
          </w:p>
        </w:tc>
        <w:tc>
          <w:tcPr>
            <w:tcW w:w="1371" w:type="dxa"/>
            <w:vAlign w:val="center"/>
          </w:tcPr>
          <w:p>
            <w:pPr>
              <w:pStyle w:val="103"/>
              <w:spacing w:line="240" w:lineRule="auto"/>
              <w:ind w:firstLine="0" w:firstLineChars="0"/>
              <w:rPr>
                <w:rFonts w:ascii="Times New Roman" w:cs="Times New Roman"/>
                <w:b/>
                <w:kern w:val="2"/>
                <w:sz w:val="21"/>
                <w:szCs w:val="21"/>
              </w:rPr>
            </w:pPr>
            <w:r>
              <w:rPr>
                <w:rFonts w:ascii="Times New Roman" w:cs="Times New Roman"/>
                <w:b/>
                <w:kern w:val="2"/>
                <w:sz w:val="21"/>
                <w:szCs w:val="21"/>
              </w:rPr>
              <w:t>环境风险类型</w:t>
            </w:r>
          </w:p>
        </w:tc>
        <w:tc>
          <w:tcPr>
            <w:tcW w:w="1540" w:type="dxa"/>
            <w:vAlign w:val="center"/>
          </w:tcPr>
          <w:p>
            <w:pPr>
              <w:pStyle w:val="103"/>
              <w:spacing w:line="240" w:lineRule="auto"/>
              <w:ind w:firstLine="0" w:firstLineChars="0"/>
              <w:rPr>
                <w:rFonts w:ascii="Times New Roman" w:cs="Times New Roman"/>
                <w:b/>
                <w:kern w:val="2"/>
                <w:sz w:val="21"/>
                <w:szCs w:val="21"/>
              </w:rPr>
            </w:pPr>
            <w:r>
              <w:rPr>
                <w:rFonts w:ascii="Times New Roman" w:cs="Times New Roman"/>
                <w:b/>
                <w:kern w:val="2"/>
                <w:sz w:val="21"/>
                <w:szCs w:val="21"/>
              </w:rPr>
              <w:t>环境要素影响</w:t>
            </w:r>
          </w:p>
        </w:tc>
        <w:tc>
          <w:tcPr>
            <w:tcW w:w="4604" w:type="dxa"/>
            <w:vAlign w:val="center"/>
          </w:tcPr>
          <w:p>
            <w:pPr>
              <w:pStyle w:val="103"/>
              <w:spacing w:line="240" w:lineRule="auto"/>
              <w:ind w:firstLine="0" w:firstLineChars="0"/>
              <w:rPr>
                <w:rFonts w:ascii="Times New Roman" w:cs="Times New Roman"/>
                <w:b/>
                <w:kern w:val="2"/>
                <w:sz w:val="21"/>
                <w:szCs w:val="21"/>
              </w:rPr>
            </w:pPr>
            <w:r>
              <w:rPr>
                <w:rFonts w:ascii="Times New Roman" w:cs="Times New Roman"/>
                <w:b/>
                <w:kern w:val="2"/>
                <w:sz w:val="21"/>
                <w:szCs w:val="21"/>
              </w:rPr>
              <w:t>扩散途径和可能影响方式</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09" w:type="dxa"/>
            <w:vMerge w:val="restart"/>
            <w:vAlign w:val="center"/>
          </w:tcPr>
          <w:p>
            <w:pPr>
              <w:pStyle w:val="103"/>
              <w:spacing w:line="240" w:lineRule="auto"/>
              <w:ind w:firstLine="0" w:firstLineChars="0"/>
              <w:rPr>
                <w:rFonts w:ascii="Times New Roman" w:cs="Times New Roman"/>
                <w:b/>
                <w:kern w:val="2"/>
                <w:sz w:val="21"/>
                <w:szCs w:val="21"/>
              </w:rPr>
            </w:pPr>
            <w:r>
              <w:rPr>
                <w:rFonts w:ascii="Times New Roman" w:cs="Times New Roman"/>
                <w:kern w:val="2"/>
                <w:sz w:val="21"/>
                <w:szCs w:val="21"/>
              </w:rPr>
              <w:t>井喷泄漏的天然气</w:t>
            </w:r>
          </w:p>
        </w:tc>
        <w:tc>
          <w:tcPr>
            <w:tcW w:w="1371" w:type="dxa"/>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泄漏</w:t>
            </w:r>
          </w:p>
        </w:tc>
        <w:tc>
          <w:tcPr>
            <w:tcW w:w="1540" w:type="dxa"/>
            <w:vAlign w:val="center"/>
          </w:tcPr>
          <w:p>
            <w:pPr>
              <w:pStyle w:val="103"/>
              <w:spacing w:line="240" w:lineRule="auto"/>
              <w:ind w:firstLine="0" w:firstLineChars="0"/>
              <w:rPr>
                <w:rFonts w:ascii="Times New Roman" w:cs="Times New Roman"/>
                <w:b/>
                <w:kern w:val="2"/>
                <w:sz w:val="21"/>
                <w:szCs w:val="21"/>
              </w:rPr>
            </w:pPr>
            <w:r>
              <w:rPr>
                <w:rFonts w:ascii="Times New Roman" w:cs="Times New Roman"/>
                <w:kern w:val="2"/>
                <w:sz w:val="21"/>
                <w:szCs w:val="21"/>
              </w:rPr>
              <w:t>大气</w:t>
            </w:r>
          </w:p>
        </w:tc>
        <w:tc>
          <w:tcPr>
            <w:tcW w:w="4604" w:type="dxa"/>
            <w:vAlign w:val="center"/>
          </w:tcPr>
          <w:p>
            <w:pPr>
              <w:pStyle w:val="103"/>
              <w:spacing w:line="240" w:lineRule="auto"/>
              <w:ind w:firstLine="0" w:firstLineChars="0"/>
              <w:rPr>
                <w:rFonts w:ascii="Times New Roman" w:cs="Times New Roman"/>
                <w:b/>
                <w:kern w:val="2"/>
                <w:sz w:val="21"/>
                <w:szCs w:val="21"/>
              </w:rPr>
            </w:pPr>
            <w:r>
              <w:rPr>
                <w:rFonts w:ascii="Times New Roman" w:cs="Times New Roman"/>
                <w:kern w:val="2"/>
                <w:sz w:val="21"/>
                <w:szCs w:val="21"/>
              </w:rPr>
              <w:t>井喷事故导致天然气泄漏后直接进入大气环境，通过大气扩散对项目周围环境造成危害，致使居民甲烷窒息或硫化氢中毒。</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09" w:type="dxa"/>
            <w:vMerge w:val="continue"/>
            <w:vAlign w:val="center"/>
          </w:tcPr>
          <w:p>
            <w:pPr>
              <w:pStyle w:val="103"/>
              <w:spacing w:line="240" w:lineRule="auto"/>
              <w:ind w:firstLine="0" w:firstLineChars="0"/>
              <w:rPr>
                <w:rFonts w:ascii="Times New Roman" w:cs="Times New Roman"/>
                <w:kern w:val="2"/>
                <w:sz w:val="21"/>
                <w:szCs w:val="21"/>
              </w:rPr>
            </w:pPr>
          </w:p>
        </w:tc>
        <w:tc>
          <w:tcPr>
            <w:tcW w:w="1371" w:type="dxa"/>
            <w:vMerge w:val="restart"/>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火灾</w:t>
            </w:r>
          </w:p>
        </w:tc>
        <w:tc>
          <w:tcPr>
            <w:tcW w:w="1540" w:type="dxa"/>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大气</w:t>
            </w:r>
          </w:p>
        </w:tc>
        <w:tc>
          <w:tcPr>
            <w:tcW w:w="4604" w:type="dxa"/>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井喷事故导致天然气泄漏，经点燃后伴生污染物CO、SO</w:t>
            </w:r>
            <w:r>
              <w:rPr>
                <w:rFonts w:ascii="Times New Roman" w:cs="Times New Roman"/>
                <w:kern w:val="2"/>
                <w:sz w:val="21"/>
                <w:szCs w:val="21"/>
                <w:vertAlign w:val="subscript"/>
              </w:rPr>
              <w:t>2</w:t>
            </w:r>
            <w:r>
              <w:rPr>
                <w:rFonts w:ascii="Times New Roman" w:cs="Times New Roman"/>
                <w:kern w:val="2"/>
                <w:sz w:val="21"/>
                <w:szCs w:val="21"/>
              </w:rPr>
              <w:t>等进入大气环境，通过大气扩散对项目周围环境造成危害。</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09" w:type="dxa"/>
            <w:vMerge w:val="continue"/>
            <w:vAlign w:val="center"/>
          </w:tcPr>
          <w:p>
            <w:pPr>
              <w:pStyle w:val="103"/>
              <w:spacing w:line="240" w:lineRule="auto"/>
              <w:ind w:firstLine="0" w:firstLineChars="0"/>
              <w:rPr>
                <w:rFonts w:ascii="Times New Roman" w:cs="Times New Roman"/>
                <w:kern w:val="2"/>
                <w:sz w:val="21"/>
                <w:szCs w:val="21"/>
              </w:rPr>
            </w:pPr>
          </w:p>
        </w:tc>
        <w:tc>
          <w:tcPr>
            <w:tcW w:w="1371" w:type="dxa"/>
            <w:vMerge w:val="continue"/>
            <w:vAlign w:val="center"/>
          </w:tcPr>
          <w:p>
            <w:pPr>
              <w:pStyle w:val="103"/>
              <w:spacing w:line="240" w:lineRule="auto"/>
              <w:ind w:firstLine="0" w:firstLineChars="0"/>
              <w:rPr>
                <w:rFonts w:ascii="Times New Roman" w:cs="Times New Roman"/>
                <w:kern w:val="2"/>
                <w:sz w:val="21"/>
                <w:szCs w:val="21"/>
              </w:rPr>
            </w:pPr>
          </w:p>
        </w:tc>
        <w:tc>
          <w:tcPr>
            <w:tcW w:w="1540" w:type="dxa"/>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地表水</w:t>
            </w:r>
          </w:p>
        </w:tc>
        <w:tc>
          <w:tcPr>
            <w:tcW w:w="4604" w:type="dxa"/>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井喷事故后维修作业对地表水环境造成影响。</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09" w:type="dxa"/>
            <w:vMerge w:val="continue"/>
            <w:vAlign w:val="center"/>
          </w:tcPr>
          <w:p>
            <w:pPr>
              <w:pStyle w:val="103"/>
              <w:spacing w:line="240" w:lineRule="auto"/>
              <w:ind w:firstLine="0" w:firstLineChars="0"/>
              <w:rPr>
                <w:rFonts w:ascii="Times New Roman" w:cs="Times New Roman"/>
                <w:kern w:val="2"/>
                <w:sz w:val="21"/>
                <w:szCs w:val="21"/>
              </w:rPr>
            </w:pPr>
          </w:p>
        </w:tc>
        <w:tc>
          <w:tcPr>
            <w:tcW w:w="1371" w:type="dxa"/>
            <w:vMerge w:val="restart"/>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爆炸</w:t>
            </w:r>
          </w:p>
        </w:tc>
        <w:tc>
          <w:tcPr>
            <w:tcW w:w="1540" w:type="dxa"/>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大气</w:t>
            </w:r>
          </w:p>
        </w:tc>
        <w:tc>
          <w:tcPr>
            <w:tcW w:w="4604" w:type="dxa"/>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井喷事故导致天然气泄漏发生爆炸事故，引发伴生污染物CO、SO</w:t>
            </w:r>
            <w:r>
              <w:rPr>
                <w:rFonts w:ascii="Times New Roman" w:cs="Times New Roman"/>
                <w:kern w:val="2"/>
                <w:sz w:val="21"/>
                <w:szCs w:val="21"/>
                <w:vertAlign w:val="subscript"/>
              </w:rPr>
              <w:t>2</w:t>
            </w:r>
            <w:r>
              <w:rPr>
                <w:rFonts w:ascii="Times New Roman" w:cs="Times New Roman"/>
                <w:kern w:val="2"/>
                <w:sz w:val="21"/>
                <w:szCs w:val="21"/>
              </w:rPr>
              <w:t>等进入大气环境，对项目周围环境造成危害。</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09" w:type="dxa"/>
            <w:vMerge w:val="continue"/>
            <w:tcBorders>
              <w:bottom w:val="single" w:color="auto" w:sz="4" w:space="0"/>
            </w:tcBorders>
            <w:vAlign w:val="center"/>
          </w:tcPr>
          <w:p>
            <w:pPr>
              <w:pStyle w:val="103"/>
              <w:spacing w:line="240" w:lineRule="auto"/>
              <w:ind w:firstLine="0" w:firstLineChars="0"/>
              <w:rPr>
                <w:rFonts w:ascii="Times New Roman" w:cs="Times New Roman"/>
                <w:kern w:val="2"/>
                <w:sz w:val="21"/>
                <w:szCs w:val="21"/>
              </w:rPr>
            </w:pPr>
          </w:p>
        </w:tc>
        <w:tc>
          <w:tcPr>
            <w:tcW w:w="1371" w:type="dxa"/>
            <w:vMerge w:val="continue"/>
            <w:vAlign w:val="center"/>
          </w:tcPr>
          <w:p>
            <w:pPr>
              <w:pStyle w:val="103"/>
              <w:spacing w:line="240" w:lineRule="auto"/>
              <w:ind w:firstLine="0" w:firstLineChars="0"/>
              <w:rPr>
                <w:rFonts w:ascii="Times New Roman" w:cs="Times New Roman"/>
                <w:kern w:val="2"/>
                <w:sz w:val="21"/>
                <w:szCs w:val="21"/>
              </w:rPr>
            </w:pPr>
          </w:p>
        </w:tc>
        <w:tc>
          <w:tcPr>
            <w:tcW w:w="1540" w:type="dxa"/>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地表水</w:t>
            </w:r>
          </w:p>
        </w:tc>
        <w:tc>
          <w:tcPr>
            <w:tcW w:w="4604" w:type="dxa"/>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井喷事故导致天然气泄漏发生爆炸事故时产生的消防废水或事故后维修作业对地表水环境造成影响。</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09" w:type="dxa"/>
            <w:vMerge w:val="restart"/>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柴油</w:t>
            </w:r>
          </w:p>
        </w:tc>
        <w:tc>
          <w:tcPr>
            <w:tcW w:w="1371" w:type="dxa"/>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泄漏</w:t>
            </w:r>
          </w:p>
        </w:tc>
        <w:tc>
          <w:tcPr>
            <w:tcW w:w="1540" w:type="dxa"/>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地表水、土壤、地下水</w:t>
            </w:r>
          </w:p>
        </w:tc>
        <w:tc>
          <w:tcPr>
            <w:tcW w:w="4604" w:type="dxa"/>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柴油罐发生泄漏，导致柴油进入地表水、地下水、土壤环境，对项目周围环境造成危害。</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09" w:type="dxa"/>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1371" w:type="dxa"/>
            <w:vMerge w:val="restart"/>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火灾</w:t>
            </w:r>
          </w:p>
        </w:tc>
        <w:tc>
          <w:tcPr>
            <w:tcW w:w="1540" w:type="dxa"/>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大气</w:t>
            </w:r>
          </w:p>
        </w:tc>
        <w:tc>
          <w:tcPr>
            <w:tcW w:w="4604" w:type="dxa"/>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柴油泄漏发生火灾事故，引发伴生污染物CO等进入大气环境，对项目周围环境造成危害。</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09" w:type="dxa"/>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1371" w:type="dxa"/>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1540" w:type="dxa"/>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地表水</w:t>
            </w:r>
          </w:p>
        </w:tc>
        <w:tc>
          <w:tcPr>
            <w:tcW w:w="4604" w:type="dxa"/>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柴油泄漏发生火灾事故时产生的消防废水或事故后维修作业对地表水环境造成影响。</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09" w:type="dxa"/>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压裂、洗井废水</w:t>
            </w:r>
          </w:p>
        </w:tc>
        <w:tc>
          <w:tcPr>
            <w:tcW w:w="1371" w:type="dxa"/>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泄漏</w:t>
            </w:r>
          </w:p>
        </w:tc>
        <w:tc>
          <w:tcPr>
            <w:tcW w:w="1540" w:type="dxa"/>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地表水、土壤、地下水</w:t>
            </w:r>
          </w:p>
        </w:tc>
        <w:tc>
          <w:tcPr>
            <w:tcW w:w="4604" w:type="dxa"/>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污水缓冲罐发生泄漏，导致压裂、洗井废水进入地表水、地下水、土壤环境，对项目周围环境造成危害。</w:t>
            </w:r>
          </w:p>
        </w:tc>
      </w:tr>
    </w:tbl>
    <w:p>
      <w:pPr>
        <w:pStyle w:val="4"/>
        <w:rPr>
          <w:rFonts w:eastAsia="宋体"/>
        </w:rPr>
      </w:pPr>
      <w:bookmarkStart w:id="525" w:name="bookmark61"/>
      <w:bookmarkEnd w:id="525"/>
      <w:bookmarkStart w:id="526" w:name="_Toc19816106"/>
      <w:bookmarkStart w:id="527" w:name="_Toc12288733"/>
      <w:r>
        <w:rPr>
          <w:rFonts w:eastAsia="宋体"/>
        </w:rPr>
        <w:t>7.</w:t>
      </w:r>
      <w:r>
        <w:rPr>
          <w:rFonts w:hint="eastAsia" w:eastAsia="宋体"/>
        </w:rPr>
        <w:t>7</w:t>
      </w:r>
      <w:r>
        <w:rPr>
          <w:rFonts w:eastAsia="宋体"/>
        </w:rPr>
        <w:t>.4 风险识别结果</w:t>
      </w:r>
      <w:bookmarkEnd w:id="526"/>
      <w:bookmarkEnd w:id="527"/>
    </w:p>
    <w:p>
      <w:pPr>
        <w:pStyle w:val="6"/>
        <w:ind w:firstLine="480"/>
        <w:rPr>
          <w:rFonts w:ascii="Times New Roman" w:cs="Times New Roman"/>
        </w:rPr>
      </w:pPr>
      <w:r>
        <w:rPr>
          <w:rFonts w:ascii="Times New Roman" w:cs="Times New Roman"/>
        </w:rPr>
        <w:t>根据风险识别分析，下表给出建设项目环境风险识别汇总结果。</w:t>
      </w:r>
    </w:p>
    <w:p>
      <w:pPr>
        <w:pStyle w:val="127"/>
        <w:rPr>
          <w:rFonts w:eastAsia="宋体"/>
        </w:rPr>
      </w:pPr>
      <w:r>
        <w:rPr>
          <w:rFonts w:eastAsia="宋体"/>
        </w:rPr>
        <w:t>表7.</w:t>
      </w:r>
      <w:r>
        <w:rPr>
          <w:rFonts w:hint="eastAsia" w:eastAsia="宋体"/>
        </w:rPr>
        <w:t>7-8</w:t>
      </w:r>
      <w:r>
        <w:rPr>
          <w:rFonts w:eastAsia="宋体"/>
        </w:rPr>
        <w:t xml:space="preserve">  本项目环境风险识别表</w:t>
      </w:r>
    </w:p>
    <w:tbl>
      <w:tblPr>
        <w:tblStyle w:val="59"/>
        <w:tblW w:w="4849"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621"/>
        <w:gridCol w:w="1997"/>
        <w:gridCol w:w="873"/>
        <w:gridCol w:w="1579"/>
        <w:gridCol w:w="987"/>
        <w:gridCol w:w="925"/>
        <w:gridCol w:w="1541"/>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tblHeader/>
          <w:jc w:val="center"/>
        </w:trPr>
        <w:tc>
          <w:tcPr>
            <w:tcW w:w="622" w:type="dxa"/>
            <w:vAlign w:val="center"/>
          </w:tcPr>
          <w:p>
            <w:pPr>
              <w:pStyle w:val="138"/>
              <w:rPr>
                <w:b/>
                <w:bCs/>
                <w:color w:val="auto"/>
              </w:rPr>
            </w:pPr>
            <w:r>
              <w:rPr>
                <w:b/>
                <w:bCs/>
                <w:color w:val="auto"/>
              </w:rPr>
              <w:t>序号</w:t>
            </w:r>
          </w:p>
        </w:tc>
        <w:tc>
          <w:tcPr>
            <w:tcW w:w="1997" w:type="dxa"/>
            <w:vAlign w:val="center"/>
          </w:tcPr>
          <w:p>
            <w:pPr>
              <w:pStyle w:val="138"/>
              <w:rPr>
                <w:b/>
                <w:bCs/>
                <w:color w:val="auto"/>
              </w:rPr>
            </w:pPr>
            <w:r>
              <w:rPr>
                <w:b/>
                <w:bCs/>
                <w:color w:val="auto"/>
              </w:rPr>
              <w:t>危险单元</w:t>
            </w:r>
          </w:p>
        </w:tc>
        <w:tc>
          <w:tcPr>
            <w:tcW w:w="873" w:type="dxa"/>
            <w:vAlign w:val="center"/>
          </w:tcPr>
          <w:p>
            <w:pPr>
              <w:pStyle w:val="138"/>
              <w:rPr>
                <w:b/>
                <w:bCs/>
                <w:color w:val="auto"/>
              </w:rPr>
            </w:pPr>
            <w:r>
              <w:rPr>
                <w:b/>
                <w:bCs/>
                <w:color w:val="auto"/>
              </w:rPr>
              <w:t>风险源</w:t>
            </w:r>
          </w:p>
        </w:tc>
        <w:tc>
          <w:tcPr>
            <w:tcW w:w="1579" w:type="dxa"/>
            <w:vAlign w:val="center"/>
          </w:tcPr>
          <w:p>
            <w:pPr>
              <w:pStyle w:val="138"/>
              <w:rPr>
                <w:b/>
                <w:bCs/>
                <w:color w:val="auto"/>
              </w:rPr>
            </w:pPr>
            <w:r>
              <w:rPr>
                <w:b/>
                <w:bCs/>
                <w:color w:val="auto"/>
              </w:rPr>
              <w:t>风险类型</w:t>
            </w:r>
          </w:p>
        </w:tc>
        <w:tc>
          <w:tcPr>
            <w:tcW w:w="987" w:type="dxa"/>
            <w:vAlign w:val="center"/>
          </w:tcPr>
          <w:p>
            <w:pPr>
              <w:pStyle w:val="138"/>
              <w:rPr>
                <w:b/>
                <w:bCs/>
                <w:color w:val="auto"/>
              </w:rPr>
            </w:pPr>
            <w:r>
              <w:rPr>
                <w:b/>
                <w:bCs/>
                <w:color w:val="auto"/>
              </w:rPr>
              <w:t>危险物质</w:t>
            </w:r>
          </w:p>
        </w:tc>
        <w:tc>
          <w:tcPr>
            <w:tcW w:w="925" w:type="dxa"/>
            <w:vAlign w:val="center"/>
          </w:tcPr>
          <w:p>
            <w:pPr>
              <w:pStyle w:val="138"/>
              <w:rPr>
                <w:b/>
                <w:bCs/>
                <w:color w:val="auto"/>
              </w:rPr>
            </w:pPr>
            <w:r>
              <w:rPr>
                <w:b/>
                <w:bCs/>
                <w:color w:val="auto"/>
              </w:rPr>
              <w:t>扩散途径</w:t>
            </w:r>
          </w:p>
        </w:tc>
        <w:tc>
          <w:tcPr>
            <w:tcW w:w="1541" w:type="dxa"/>
            <w:vAlign w:val="center"/>
          </w:tcPr>
          <w:p>
            <w:pPr>
              <w:pStyle w:val="138"/>
              <w:rPr>
                <w:b/>
                <w:bCs/>
                <w:color w:val="auto"/>
              </w:rPr>
            </w:pPr>
            <w:r>
              <w:rPr>
                <w:b/>
                <w:bCs/>
                <w:color w:val="auto"/>
              </w:rPr>
              <w:t>可能受影响</w:t>
            </w:r>
          </w:p>
          <w:p>
            <w:pPr>
              <w:pStyle w:val="138"/>
              <w:rPr>
                <w:b/>
                <w:bCs/>
                <w:color w:val="auto"/>
              </w:rPr>
            </w:pPr>
            <w:r>
              <w:rPr>
                <w:b/>
                <w:bCs/>
                <w:color w:val="auto"/>
              </w:rPr>
              <w:t>的敏感目标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622" w:type="dxa"/>
            <w:vAlign w:val="center"/>
          </w:tcPr>
          <w:p>
            <w:pPr>
              <w:pStyle w:val="138"/>
              <w:rPr>
                <w:b/>
                <w:bCs/>
                <w:color w:val="auto"/>
              </w:rPr>
            </w:pPr>
            <w:r>
              <w:rPr>
                <w:color w:val="auto"/>
              </w:rPr>
              <w:t>1</w:t>
            </w:r>
          </w:p>
        </w:tc>
        <w:tc>
          <w:tcPr>
            <w:tcW w:w="1997" w:type="dxa"/>
            <w:vAlign w:val="center"/>
          </w:tcPr>
          <w:p>
            <w:pPr>
              <w:pStyle w:val="138"/>
              <w:rPr>
                <w:b/>
                <w:bCs/>
                <w:color w:val="auto"/>
              </w:rPr>
            </w:pPr>
            <w:r>
              <w:rPr>
                <w:color w:val="auto"/>
              </w:rPr>
              <w:t>本项目站场</w:t>
            </w:r>
          </w:p>
        </w:tc>
        <w:tc>
          <w:tcPr>
            <w:tcW w:w="873" w:type="dxa"/>
            <w:vAlign w:val="center"/>
          </w:tcPr>
          <w:p>
            <w:pPr>
              <w:pStyle w:val="138"/>
              <w:rPr>
                <w:bCs/>
                <w:color w:val="auto"/>
              </w:rPr>
            </w:pPr>
            <w:r>
              <w:rPr>
                <w:bCs/>
                <w:color w:val="auto"/>
              </w:rPr>
              <w:t>钻、完成过程</w:t>
            </w:r>
          </w:p>
        </w:tc>
        <w:tc>
          <w:tcPr>
            <w:tcW w:w="1579" w:type="dxa"/>
            <w:vAlign w:val="center"/>
          </w:tcPr>
          <w:p>
            <w:pPr>
              <w:pStyle w:val="138"/>
              <w:rPr>
                <w:b/>
                <w:bCs/>
                <w:color w:val="auto"/>
              </w:rPr>
            </w:pPr>
            <w:r>
              <w:rPr>
                <w:bCs/>
                <w:color w:val="auto"/>
              </w:rPr>
              <w:t>井喷</w:t>
            </w:r>
            <w:r>
              <w:rPr>
                <w:color w:val="auto"/>
              </w:rPr>
              <w:t>泄漏、火灾、爆炸、引发的伴生/次生污染物排放</w:t>
            </w:r>
          </w:p>
        </w:tc>
        <w:tc>
          <w:tcPr>
            <w:tcW w:w="987" w:type="dxa"/>
            <w:vAlign w:val="center"/>
          </w:tcPr>
          <w:p>
            <w:pPr>
              <w:pStyle w:val="138"/>
              <w:rPr>
                <w:color w:val="auto"/>
                <w:vertAlign w:val="subscript"/>
              </w:rPr>
            </w:pPr>
            <w:r>
              <w:rPr>
                <w:color w:val="auto"/>
              </w:rPr>
              <w:t>CH</w:t>
            </w:r>
            <w:r>
              <w:rPr>
                <w:color w:val="auto"/>
                <w:vertAlign w:val="subscript"/>
              </w:rPr>
              <w:t>4</w:t>
            </w:r>
          </w:p>
          <w:p>
            <w:pPr>
              <w:pStyle w:val="138"/>
              <w:rPr>
                <w:b/>
                <w:bCs/>
                <w:color w:val="auto"/>
              </w:rPr>
            </w:pPr>
            <w:r>
              <w:rPr>
                <w:color w:val="auto"/>
              </w:rPr>
              <w:t>硫化氢</w:t>
            </w:r>
          </w:p>
        </w:tc>
        <w:tc>
          <w:tcPr>
            <w:tcW w:w="925" w:type="dxa"/>
            <w:vAlign w:val="center"/>
          </w:tcPr>
          <w:p>
            <w:pPr>
              <w:pStyle w:val="138"/>
              <w:rPr>
                <w:color w:val="auto"/>
              </w:rPr>
            </w:pPr>
            <w:r>
              <w:rPr>
                <w:color w:val="auto"/>
              </w:rPr>
              <w:t>大气、地表水</w:t>
            </w:r>
          </w:p>
        </w:tc>
        <w:tc>
          <w:tcPr>
            <w:tcW w:w="1541" w:type="dxa"/>
            <w:vAlign w:val="center"/>
          </w:tcPr>
          <w:p>
            <w:pPr>
              <w:pStyle w:val="138"/>
              <w:rPr>
                <w:color w:val="auto"/>
              </w:rPr>
            </w:pPr>
            <w:r>
              <w:rPr>
                <w:color w:val="auto"/>
              </w:rPr>
              <w:t>周边居民、受纳水体</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622" w:type="dxa"/>
            <w:vAlign w:val="center"/>
          </w:tcPr>
          <w:p>
            <w:pPr>
              <w:pStyle w:val="138"/>
              <w:rPr>
                <w:color w:val="auto"/>
              </w:rPr>
            </w:pPr>
            <w:r>
              <w:rPr>
                <w:rFonts w:hint="eastAsia"/>
                <w:color w:val="auto"/>
              </w:rPr>
              <w:t>2</w:t>
            </w:r>
          </w:p>
        </w:tc>
        <w:tc>
          <w:tcPr>
            <w:tcW w:w="1997" w:type="dxa"/>
            <w:vAlign w:val="center"/>
          </w:tcPr>
          <w:p>
            <w:pPr>
              <w:pStyle w:val="138"/>
              <w:rPr>
                <w:color w:val="auto"/>
              </w:rPr>
            </w:pPr>
            <w:r>
              <w:rPr>
                <w:color w:val="auto"/>
              </w:rPr>
              <w:t>柴油储罐</w:t>
            </w:r>
          </w:p>
        </w:tc>
        <w:tc>
          <w:tcPr>
            <w:tcW w:w="873" w:type="dxa"/>
            <w:vAlign w:val="center"/>
          </w:tcPr>
          <w:p>
            <w:pPr>
              <w:pStyle w:val="138"/>
              <w:rPr>
                <w:color w:val="auto"/>
              </w:rPr>
            </w:pPr>
            <w:r>
              <w:rPr>
                <w:color w:val="auto"/>
              </w:rPr>
              <w:t>储罐</w:t>
            </w:r>
          </w:p>
        </w:tc>
        <w:tc>
          <w:tcPr>
            <w:tcW w:w="1579" w:type="dxa"/>
            <w:vAlign w:val="center"/>
          </w:tcPr>
          <w:p>
            <w:pPr>
              <w:pStyle w:val="138"/>
              <w:rPr>
                <w:color w:val="auto"/>
              </w:rPr>
            </w:pPr>
            <w:r>
              <w:rPr>
                <w:color w:val="auto"/>
              </w:rPr>
              <w:t>泄漏、火灾引发的伴生/次生污染物排放</w:t>
            </w:r>
          </w:p>
        </w:tc>
        <w:tc>
          <w:tcPr>
            <w:tcW w:w="987" w:type="dxa"/>
            <w:vAlign w:val="center"/>
          </w:tcPr>
          <w:p>
            <w:pPr>
              <w:pStyle w:val="138"/>
              <w:rPr>
                <w:color w:val="auto"/>
              </w:rPr>
            </w:pPr>
            <w:r>
              <w:rPr>
                <w:color w:val="auto"/>
              </w:rPr>
              <w:t>柴油</w:t>
            </w:r>
          </w:p>
        </w:tc>
        <w:tc>
          <w:tcPr>
            <w:tcW w:w="925" w:type="dxa"/>
            <w:vAlign w:val="center"/>
          </w:tcPr>
          <w:p>
            <w:pPr>
              <w:pStyle w:val="138"/>
              <w:rPr>
                <w:color w:val="auto"/>
              </w:rPr>
            </w:pPr>
            <w:r>
              <w:rPr>
                <w:color w:val="auto"/>
              </w:rPr>
              <w:t>大气、地表水、土壤、地下水</w:t>
            </w:r>
          </w:p>
        </w:tc>
        <w:tc>
          <w:tcPr>
            <w:tcW w:w="1541" w:type="dxa"/>
            <w:vAlign w:val="center"/>
          </w:tcPr>
          <w:p>
            <w:pPr>
              <w:pStyle w:val="138"/>
              <w:rPr>
                <w:color w:val="auto"/>
              </w:rPr>
            </w:pPr>
            <w:r>
              <w:rPr>
                <w:color w:val="auto"/>
              </w:rPr>
              <w:t>周边居民、地表水、土壤、地下水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622" w:type="dxa"/>
            <w:vAlign w:val="center"/>
          </w:tcPr>
          <w:p>
            <w:pPr>
              <w:pStyle w:val="138"/>
              <w:rPr>
                <w:color w:val="auto"/>
              </w:rPr>
            </w:pPr>
            <w:r>
              <w:rPr>
                <w:rFonts w:hint="eastAsia"/>
                <w:color w:val="auto"/>
              </w:rPr>
              <w:t>3</w:t>
            </w:r>
          </w:p>
        </w:tc>
        <w:tc>
          <w:tcPr>
            <w:tcW w:w="1997" w:type="dxa"/>
            <w:vAlign w:val="center"/>
          </w:tcPr>
          <w:p>
            <w:pPr>
              <w:pStyle w:val="138"/>
              <w:rPr>
                <w:color w:val="auto"/>
              </w:rPr>
            </w:pPr>
            <w:r>
              <w:rPr>
                <w:color w:val="auto"/>
              </w:rPr>
              <w:t>污水缓冲罐</w:t>
            </w:r>
          </w:p>
        </w:tc>
        <w:tc>
          <w:tcPr>
            <w:tcW w:w="873" w:type="dxa"/>
            <w:vAlign w:val="center"/>
          </w:tcPr>
          <w:p>
            <w:pPr>
              <w:pStyle w:val="138"/>
              <w:rPr>
                <w:color w:val="auto"/>
              </w:rPr>
            </w:pPr>
            <w:r>
              <w:rPr>
                <w:color w:val="auto"/>
              </w:rPr>
              <w:t>储罐</w:t>
            </w:r>
          </w:p>
        </w:tc>
        <w:tc>
          <w:tcPr>
            <w:tcW w:w="1579" w:type="dxa"/>
            <w:vAlign w:val="center"/>
          </w:tcPr>
          <w:p>
            <w:pPr>
              <w:pStyle w:val="138"/>
              <w:rPr>
                <w:color w:val="auto"/>
              </w:rPr>
            </w:pPr>
            <w:r>
              <w:rPr>
                <w:color w:val="auto"/>
              </w:rPr>
              <w:t>泄漏</w:t>
            </w:r>
          </w:p>
        </w:tc>
        <w:tc>
          <w:tcPr>
            <w:tcW w:w="987" w:type="dxa"/>
            <w:vAlign w:val="center"/>
          </w:tcPr>
          <w:p>
            <w:pPr>
              <w:pStyle w:val="138"/>
              <w:rPr>
                <w:color w:val="auto"/>
              </w:rPr>
            </w:pPr>
            <w:r>
              <w:rPr>
                <w:color w:val="auto"/>
              </w:rPr>
              <w:t>压裂、洗井废水</w:t>
            </w:r>
          </w:p>
        </w:tc>
        <w:tc>
          <w:tcPr>
            <w:tcW w:w="925" w:type="dxa"/>
            <w:vAlign w:val="center"/>
          </w:tcPr>
          <w:p>
            <w:pPr>
              <w:pStyle w:val="138"/>
              <w:rPr>
                <w:color w:val="auto"/>
              </w:rPr>
            </w:pPr>
            <w:r>
              <w:rPr>
                <w:color w:val="auto"/>
              </w:rPr>
              <w:t>地表水、土壤、地下水</w:t>
            </w:r>
          </w:p>
        </w:tc>
        <w:tc>
          <w:tcPr>
            <w:tcW w:w="1541" w:type="dxa"/>
            <w:vAlign w:val="center"/>
          </w:tcPr>
          <w:p>
            <w:pPr>
              <w:pStyle w:val="138"/>
              <w:rPr>
                <w:color w:val="auto"/>
              </w:rPr>
            </w:pPr>
            <w:r>
              <w:rPr>
                <w:color w:val="auto"/>
              </w:rPr>
              <w:t>地表水、土壤、地下水</w:t>
            </w:r>
          </w:p>
        </w:tc>
      </w:tr>
    </w:tbl>
    <w:p>
      <w:pPr>
        <w:pStyle w:val="3"/>
        <w:spacing w:before="120"/>
        <w:rPr>
          <w:rFonts w:cs="Times New Roman"/>
        </w:rPr>
      </w:pPr>
      <w:bookmarkStart w:id="528" w:name="bookmark62"/>
      <w:bookmarkEnd w:id="528"/>
      <w:bookmarkStart w:id="529" w:name="_Toc12288734"/>
      <w:bookmarkStart w:id="530" w:name="_Toc19816107"/>
      <w:bookmarkStart w:id="531" w:name="_Toc20013"/>
      <w:r>
        <w:rPr>
          <w:rFonts w:cs="Times New Roman"/>
        </w:rPr>
        <w:t>7.</w:t>
      </w:r>
      <w:bookmarkEnd w:id="529"/>
      <w:bookmarkEnd w:id="530"/>
      <w:r>
        <w:rPr>
          <w:rFonts w:hint="eastAsia" w:cs="Times New Roman"/>
        </w:rPr>
        <w:t>8</w:t>
      </w:r>
      <w:r>
        <w:rPr>
          <w:rFonts w:cs="Times New Roman"/>
        </w:rPr>
        <w:t xml:space="preserve"> 风险事故情形分析</w:t>
      </w:r>
      <w:bookmarkEnd w:id="531"/>
    </w:p>
    <w:p>
      <w:pPr>
        <w:pStyle w:val="4"/>
        <w:rPr>
          <w:rFonts w:eastAsia="宋体"/>
        </w:rPr>
      </w:pPr>
      <w:r>
        <w:rPr>
          <w:rFonts w:eastAsia="宋体"/>
        </w:rPr>
        <w:t>7.</w:t>
      </w:r>
      <w:r>
        <w:rPr>
          <w:rFonts w:hint="eastAsia" w:eastAsia="宋体"/>
        </w:rPr>
        <w:t>8</w:t>
      </w:r>
      <w:r>
        <w:rPr>
          <w:rFonts w:eastAsia="宋体"/>
        </w:rPr>
        <w:t>.1 危险因素分析</w:t>
      </w:r>
    </w:p>
    <w:p>
      <w:pPr>
        <w:pStyle w:val="114"/>
        <w:ind w:firstLine="482"/>
        <w:rPr>
          <w:b/>
        </w:rPr>
      </w:pPr>
      <w:r>
        <w:rPr>
          <w:b/>
        </w:rPr>
        <w:t>1、井喷事故原因</w:t>
      </w:r>
    </w:p>
    <w:p>
      <w:pPr>
        <w:pStyle w:val="114"/>
        <w:ind w:firstLine="480"/>
        <w:rPr>
          <w:b/>
        </w:rPr>
      </w:pPr>
      <w:r>
        <w:t>通过对国内钻井过程进行事故统计和原因分析可以看出，井喷事故原因主要有以下几类：</w:t>
      </w:r>
    </w:p>
    <w:p>
      <w:pPr>
        <w:pStyle w:val="114"/>
        <w:ind w:firstLine="480"/>
      </w:pPr>
      <w:r>
        <w:t>（1）钻井过程中地层压力不准，致设计不准确，钻井液密度低于地层空隙压力梯度，易造成井喷事故。</w:t>
      </w:r>
    </w:p>
    <w:p>
      <w:pPr>
        <w:pStyle w:val="114"/>
        <w:ind w:firstLine="480"/>
      </w:pPr>
      <w:r>
        <w:t>（2）井控设备及管材在安装、使用前未按有关规定进行检验合格后使用，易造成井喷事故。</w:t>
      </w:r>
    </w:p>
    <w:p>
      <w:pPr>
        <w:pStyle w:val="114"/>
        <w:ind w:firstLine="480"/>
      </w:pPr>
      <w:r>
        <w:t>（3）放喷器件、管线有刺漏，压力等级不符合要求；非金属材料不符合要求，密封失效，易造成井喷事故。</w:t>
      </w:r>
    </w:p>
    <w:p>
      <w:pPr>
        <w:pStyle w:val="114"/>
        <w:ind w:firstLine="480"/>
      </w:pPr>
      <w:r>
        <w:t>（4）司钻控制下放速度不当或操作不平稳，易造成井喷事故。</w:t>
      </w:r>
    </w:p>
    <w:p>
      <w:pPr>
        <w:pStyle w:val="114"/>
        <w:ind w:firstLine="480"/>
      </w:pPr>
      <w:r>
        <w:t>（5）下完套管，当套管内钻井液未灌满时，若直接水龙头带开泵洗井，易造成井喷事故。</w:t>
      </w:r>
    </w:p>
    <w:p>
      <w:pPr>
        <w:pStyle w:val="114"/>
        <w:ind w:firstLine="480"/>
      </w:pPr>
      <w:r>
        <w:t>（6）节流管汇与井喷器连接不平直，容易使节流管汇作用发挥不完全；节流管汇试压未到额定工作压力或稳定时间不够，导致井控管失效，易造成井喷事故。</w:t>
      </w:r>
    </w:p>
    <w:p>
      <w:pPr>
        <w:pStyle w:val="114"/>
        <w:ind w:firstLine="480"/>
      </w:pPr>
      <w:r>
        <w:t>（7）阀板与阀座之间密封不好或是井控装置部件表面生锈腐蚀使节流压井管失效，方钻杆上下旋转开关不灵活，有可能因不能正常开关而发生井喷事故。</w:t>
      </w:r>
    </w:p>
    <w:p>
      <w:pPr>
        <w:pStyle w:val="114"/>
        <w:ind w:firstLine="480"/>
      </w:pPr>
      <w:r>
        <w:t>（8）未及时发现溢流显示或发现后处理不当等造成井喷事故。</w:t>
      </w:r>
    </w:p>
    <w:p>
      <w:pPr>
        <w:pStyle w:val="114"/>
        <w:ind w:firstLine="480"/>
      </w:pPr>
      <w:r>
        <w:t>（9）换装井口、起下管柱作业和循环施工作业中，对作业时间估计不足，压井时间短，井内压力失衡导致井喷或井喷失控。</w:t>
      </w:r>
    </w:p>
    <w:p>
      <w:pPr>
        <w:pStyle w:val="114"/>
        <w:ind w:firstLine="480"/>
      </w:pPr>
      <w:r>
        <w:t>（10）安装井下安全阀，因作业所需时间较长，若压井时间不足，井内压力失衡导致井喷或井喷失控。</w:t>
      </w:r>
    </w:p>
    <w:p>
      <w:pPr>
        <w:pStyle w:val="114"/>
        <w:ind w:firstLine="482"/>
        <w:rPr>
          <w:b/>
        </w:rPr>
      </w:pPr>
      <w:r>
        <w:rPr>
          <w:b/>
        </w:rPr>
        <w:t>2、典型井喷事故案例</w:t>
      </w:r>
    </w:p>
    <w:p>
      <w:pPr>
        <w:pStyle w:val="114"/>
        <w:ind w:firstLine="480"/>
      </w:pPr>
      <w:r>
        <w:t>1976年赵1井井喷事故：发生于钻进过程，3人死亡，6人中毒。事故原因：无井控制度、无防喷设备、未储备重型泥浆材料、无H</w:t>
      </w:r>
      <w:r>
        <w:rPr>
          <w:vertAlign w:val="subscript"/>
        </w:rPr>
        <w:t>2</w:t>
      </w:r>
      <w:r>
        <w:t>S防护装备。</w:t>
      </w:r>
    </w:p>
    <w:p>
      <w:pPr>
        <w:pStyle w:val="114"/>
        <w:ind w:firstLine="480"/>
      </w:pPr>
      <w:r>
        <w:t>1992年龙会2井井喷事故：发生于钻进过程。事故原因：对地层高压认识不足而钻井液密度偏低、发现溢流不及时、井控装置质量不合格（设计压力35MPa ，防喷器半封闸板芯子在套压28MPa 时损坏且无备用件）。</w:t>
      </w:r>
    </w:p>
    <w:p>
      <w:pPr>
        <w:pStyle w:val="114"/>
        <w:ind w:firstLine="480"/>
      </w:pPr>
      <w:r>
        <w:t>1994年赵48井井喷事故：发生于射孔过程，井喷时间18h 20min，6人死亡，24人中度中毒。事故原因：该井为预探井，未预见气藏含H</w:t>
      </w:r>
      <w:r>
        <w:rPr>
          <w:vertAlign w:val="subscript"/>
        </w:rPr>
        <w:t>2</w:t>
      </w:r>
      <w:r>
        <w:t>S，井下工具不抗硫。</w:t>
      </w:r>
    </w:p>
    <w:p>
      <w:pPr>
        <w:pStyle w:val="114"/>
        <w:ind w:firstLine="480"/>
      </w:pPr>
      <w:r>
        <w:t>1995年渡1井井喷事故：发生于钻进过程，天然气H</w:t>
      </w:r>
      <w:r>
        <w:rPr>
          <w:vertAlign w:val="subscript"/>
        </w:rPr>
        <w:t>2</w:t>
      </w:r>
      <w:r>
        <w:t>S含量231.93g/m</w:t>
      </w:r>
      <w:r>
        <w:rPr>
          <w:vertAlign w:val="superscript"/>
        </w:rPr>
        <w:t>3</w:t>
      </w:r>
      <w:r>
        <w:t>。发生多位员工中毒，但未造成抢险人员及周围村民死亡。事故原因：钻井液密度低于设计值、关井处置措施不当、储备的加重钻井液粘切过高、回压阀堵塞（无内防喷工具）、防喷器与防喷闸门压力等级不匹配（防喷器70MPa，上四通缩内控闸门35MPa）。</w:t>
      </w:r>
    </w:p>
    <w:p>
      <w:pPr>
        <w:pStyle w:val="114"/>
        <w:ind w:firstLine="480"/>
      </w:pPr>
      <w:r>
        <w:t>2003年罗家16H井井喷事故：发生于起、下钻过程，H</w:t>
      </w:r>
      <w:r>
        <w:rPr>
          <w:vertAlign w:val="subscript"/>
        </w:rPr>
        <w:t>2</w:t>
      </w:r>
      <w:r>
        <w:t>S含量约9.46%，（134.4g/m</w:t>
      </w:r>
      <w:r>
        <w:rPr>
          <w:vertAlign w:val="superscript"/>
        </w:rPr>
        <w:t>3</w:t>
      </w:r>
      <w:r>
        <w:t>），人员伤亡严重。事故原因：坐岗制度不落实未及时发现气侵和溢流、起钻时未按井控要求及时灌注钻井液、未按要求安装回压阀无法实现内防喷、无剪切闸板防喷器而全封防喷器不能剪断钻杆控制井口，高含硫天然气喷出且未点火，持续了约18h。造成严重的人员伤亡。</w:t>
      </w:r>
    </w:p>
    <w:p>
      <w:pPr>
        <w:pStyle w:val="114"/>
        <w:ind w:firstLine="480"/>
      </w:pPr>
      <w:r>
        <w:t>2006年罗家2井复杂井漏事故：发生于修井作业过程，通过放喷点火卸压，及时疏散人群，未造成人员伤亡。事故主要原因：固井质量缺陷。</w:t>
      </w:r>
    </w:p>
    <w:p>
      <w:pPr>
        <w:pStyle w:val="114"/>
        <w:ind w:firstLine="480"/>
      </w:pPr>
      <w:r>
        <w:t>2019年12月13日罗家16井井喷事故：发生于钻井过程，人员伤亡严重。事故原因：有关人员对罗家16井的特高出气量估计不足；起钻过程违章操作，违章卸掉钻柱上的回压阀；未及时发现溢流征兆；没有及时采取放喷管线点火措施。</w:t>
      </w:r>
    </w:p>
    <w:p>
      <w:pPr>
        <w:pStyle w:val="114"/>
        <w:ind w:firstLine="482"/>
        <w:rPr>
          <w:b/>
        </w:rPr>
      </w:pPr>
      <w:r>
        <w:rPr>
          <w:b/>
        </w:rPr>
        <w:t>3、扩散途径风险识别</w:t>
      </w:r>
    </w:p>
    <w:p>
      <w:pPr>
        <w:pStyle w:val="6"/>
        <w:ind w:firstLine="480"/>
        <w:rPr>
          <w:rFonts w:ascii="Times New Roman" w:cs="Times New Roman"/>
        </w:rPr>
      </w:pPr>
      <w:r>
        <w:rPr>
          <w:rFonts w:ascii="Times New Roman" w:cs="Times New Roman"/>
        </w:rPr>
        <w:t>本项目</w:t>
      </w:r>
      <w:r>
        <w:rPr>
          <w:rFonts w:hint="eastAsia" w:ascii="Times New Roman" w:cs="Times New Roman"/>
          <w:lang w:eastAsia="zh-CN"/>
        </w:rPr>
        <w:t>涉及</w:t>
      </w:r>
      <w:r>
        <w:rPr>
          <w:rFonts w:ascii="Times New Roman" w:cs="Times New Roman"/>
        </w:rPr>
        <w:t xml:space="preserve">的风险物质扩散途径主要包括以下几个方面： </w:t>
      </w:r>
    </w:p>
    <w:p>
      <w:pPr>
        <w:pStyle w:val="6"/>
        <w:ind w:firstLine="480"/>
        <w:rPr>
          <w:rFonts w:ascii="Times New Roman" w:cs="Times New Roman"/>
        </w:rPr>
      </w:pPr>
      <w:r>
        <w:rPr>
          <w:rFonts w:ascii="Times New Roman" w:cs="Times New Roman"/>
        </w:rPr>
        <w:t>大气扩散：井喷或套管破裂事故，H</w:t>
      </w:r>
      <w:r>
        <w:rPr>
          <w:rFonts w:ascii="Times New Roman" w:cs="Times New Roman"/>
          <w:vertAlign w:val="subscript"/>
        </w:rPr>
        <w:t>2</w:t>
      </w:r>
      <w:r>
        <w:rPr>
          <w:rFonts w:ascii="Times New Roman" w:cs="Times New Roman"/>
        </w:rPr>
        <w:t xml:space="preserve">S 泄漏后直接进入大气环境或挥发进入大气环境，或者经点燃后伴生污染物进入大气环境，通过大气扩散对项目周围环境造成 危害。 </w:t>
      </w:r>
    </w:p>
    <w:p>
      <w:pPr>
        <w:pStyle w:val="6"/>
        <w:ind w:firstLine="480"/>
        <w:rPr>
          <w:rFonts w:ascii="Times New Roman" w:cs="Times New Roman"/>
        </w:rPr>
      </w:pPr>
      <w:r>
        <w:rPr>
          <w:rFonts w:ascii="Times New Roman" w:cs="Times New Roman"/>
        </w:rPr>
        <w:t xml:space="preserve">水环境扩散：本项目井场排污池、放喷池遇暴雨或山洪等自然灾害溢流，汇入周边地表水体，对地表水环境造成影响；废水运输车辆途径地表水体时发生泄漏，污染物进入水体，对水质产生污染。 </w:t>
      </w:r>
    </w:p>
    <w:p>
      <w:pPr>
        <w:pStyle w:val="6"/>
        <w:ind w:firstLine="480"/>
        <w:rPr>
          <w:rFonts w:ascii="Times New Roman" w:cs="Times New Roman"/>
        </w:rPr>
      </w:pPr>
      <w:r>
        <w:rPr>
          <w:rFonts w:ascii="Times New Roman" w:cs="Times New Roman"/>
        </w:rPr>
        <w:t>土壤扩散：本项目液态危险物质泄漏后聚积于地面，通过地面渗透进入土壤/地下含水层，对土壤环境/地下水环境造成污染。</w:t>
      </w:r>
    </w:p>
    <w:p>
      <w:pPr>
        <w:pStyle w:val="4"/>
        <w:rPr>
          <w:rFonts w:eastAsia="宋体"/>
        </w:rPr>
      </w:pPr>
      <w:bookmarkStart w:id="532" w:name="_Toc19816108"/>
      <w:bookmarkStart w:id="533" w:name="_Toc12288735"/>
      <w:r>
        <w:rPr>
          <w:rFonts w:eastAsia="宋体"/>
        </w:rPr>
        <w:t>7.</w:t>
      </w:r>
      <w:r>
        <w:rPr>
          <w:rFonts w:hint="eastAsia" w:eastAsia="宋体"/>
        </w:rPr>
        <w:t>8</w:t>
      </w:r>
      <w:r>
        <w:rPr>
          <w:rFonts w:eastAsia="宋体"/>
        </w:rPr>
        <w:t>.2 风险事故情形</w:t>
      </w:r>
      <w:bookmarkEnd w:id="532"/>
      <w:bookmarkEnd w:id="533"/>
    </w:p>
    <w:p>
      <w:pPr>
        <w:pStyle w:val="6"/>
        <w:ind w:firstLine="482"/>
        <w:rPr>
          <w:rFonts w:ascii="Times New Roman" w:cs="Times New Roman"/>
          <w:b/>
        </w:rPr>
      </w:pPr>
      <w:r>
        <w:rPr>
          <w:rFonts w:ascii="Times New Roman" w:cs="Times New Roman"/>
          <w:b/>
        </w:rPr>
        <w:t>1、井喷事故</w:t>
      </w:r>
    </w:p>
    <w:p>
      <w:pPr>
        <w:pStyle w:val="6"/>
        <w:ind w:firstLine="480"/>
        <w:rPr>
          <w:rFonts w:ascii="Times New Roman" w:cs="Times New Roman"/>
        </w:rPr>
      </w:pPr>
      <w:r>
        <w:rPr>
          <w:rFonts w:ascii="Times New Roman" w:cs="Times New Roman"/>
        </w:rPr>
        <w:t>在钻井过程中，若出现井喷失控，气藏内的天然气在地层压力作用下，将以极高的动能速度从井口喷出，若释放的含硫天然气立即被点火燃烧排放，对环境空气的影响主要是SO</w:t>
      </w:r>
      <w:r>
        <w:rPr>
          <w:rFonts w:ascii="Times New Roman" w:cs="Times New Roman"/>
          <w:vertAlign w:val="subscript"/>
        </w:rPr>
        <w:t>2</w:t>
      </w:r>
      <w:r>
        <w:rPr>
          <w:rFonts w:ascii="Times New Roman" w:cs="Times New Roman"/>
        </w:rPr>
        <w:t>；若释放的含硫天然气自始至终未遇火源，将在其自身动量与气象条件控制下，喷涌后与空气混合、扩散形成H</w:t>
      </w:r>
      <w:r>
        <w:rPr>
          <w:rFonts w:ascii="Times New Roman" w:cs="Times New Roman"/>
          <w:vertAlign w:val="subscript"/>
        </w:rPr>
        <w:t>2</w:t>
      </w:r>
      <w:r>
        <w:rPr>
          <w:rFonts w:ascii="Times New Roman" w:cs="Times New Roman"/>
        </w:rPr>
        <w:t>S毒性云团，将造成严重的人员中毒伤亡，并对周围环境造成严重的污染，井喷事故事件树见</w:t>
      </w:r>
      <w:r>
        <w:rPr>
          <w:rFonts w:ascii="Times New Roman" w:cs="Times New Roman"/>
        </w:rPr>
        <w:fldChar w:fldCharType="begin"/>
      </w:r>
      <w:r>
        <w:rPr>
          <w:rFonts w:ascii="Times New Roman" w:cs="Times New Roman"/>
        </w:rPr>
        <w:instrText xml:space="preserve"> REF _Ref473012051 \h  \* MERGEFORMAT </w:instrText>
      </w:r>
      <w:r>
        <w:rPr>
          <w:rFonts w:ascii="Times New Roman" w:cs="Times New Roman"/>
        </w:rPr>
        <w:fldChar w:fldCharType="separate"/>
      </w:r>
      <w:r>
        <w:rPr>
          <w:rFonts w:ascii="Times New Roman" w:cs="Times New Roman"/>
        </w:rPr>
        <w:t>图7</w:t>
      </w:r>
      <w:r>
        <w:rPr>
          <w:rFonts w:hint="eastAsia" w:ascii="Times New Roman" w:cs="Times New Roman"/>
          <w:lang w:val="en-US" w:eastAsia="zh-CN"/>
        </w:rPr>
        <w:t>.8</w:t>
      </w:r>
      <w:r>
        <w:rPr>
          <w:rFonts w:ascii="Times New Roman" w:cs="Times New Roman"/>
        </w:rPr>
        <w:noBreakHyphen/>
      </w:r>
      <w:r>
        <w:rPr>
          <w:rFonts w:ascii="Times New Roman" w:cs="Times New Roman"/>
        </w:rPr>
        <w:t>1</w:t>
      </w:r>
      <w:r>
        <w:rPr>
          <w:rFonts w:ascii="Times New Roman" w:cs="Times New Roman"/>
        </w:rPr>
        <w:fldChar w:fldCharType="end"/>
      </w:r>
      <w:r>
        <w:rPr>
          <w:rFonts w:ascii="Times New Roman" w:cs="Times New Roman"/>
        </w:rPr>
        <w:t>。</w:t>
      </w:r>
    </w:p>
    <w:p>
      <w:pPr>
        <w:widowControl/>
        <w:topLinePunct w:val="0"/>
        <w:snapToGrid w:val="0"/>
        <w:spacing w:line="331" w:lineRule="auto"/>
        <w:ind w:firstLine="199" w:firstLineChars="83"/>
        <w:jc w:val="center"/>
        <w:rPr>
          <w:rFonts w:ascii="Times New Roman" w:cs="Times New Roman"/>
          <w:kern w:val="2"/>
        </w:rPr>
      </w:pPr>
      <w:r>
        <w:rPr>
          <w:rFonts w:ascii="Times New Roman" w:cs="Times New Roman"/>
          <w:kern w:val="2"/>
        </w:rPr>
        <w:drawing>
          <wp:inline distT="0" distB="0" distL="0" distR="0">
            <wp:extent cx="4332605" cy="4520565"/>
            <wp:effectExtent l="19050" t="0" r="0" b="0"/>
            <wp:docPr id="12" name="图片 100" descr="C:\Users\HUANG\Documents\WeChat Files\wxid_f0asumrra2c221\FileStorage\Temp\1660707883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0" descr="C:\Users\HUANG\Documents\WeChat Files\wxid_f0asumrra2c221\FileStorage\Temp\1660707883372.jpg"/>
                    <pic:cNvPicPr>
                      <a:picLocks noChangeAspect="1" noChangeArrowheads="1"/>
                    </pic:cNvPicPr>
                  </pic:nvPicPr>
                  <pic:blipFill>
                    <a:blip r:embed="rId71" cstate="print"/>
                    <a:srcRect/>
                    <a:stretch>
                      <a:fillRect/>
                    </a:stretch>
                  </pic:blipFill>
                  <pic:spPr>
                    <a:xfrm>
                      <a:off x="0" y="0"/>
                      <a:ext cx="4332794" cy="4520910"/>
                    </a:xfrm>
                    <a:prstGeom prst="rect">
                      <a:avLst/>
                    </a:prstGeom>
                    <a:noFill/>
                    <a:ln w="9525">
                      <a:noFill/>
                      <a:miter lim="800000"/>
                      <a:headEnd/>
                      <a:tailEnd/>
                    </a:ln>
                  </pic:spPr>
                </pic:pic>
              </a:graphicData>
            </a:graphic>
          </wp:inline>
        </w:drawing>
      </w:r>
    </w:p>
    <w:p>
      <w:pPr>
        <w:pStyle w:val="6"/>
        <w:ind w:firstLine="0" w:firstLineChars="0"/>
        <w:jc w:val="center"/>
        <w:rPr>
          <w:rFonts w:ascii="Times New Roman" w:cs="Times New Roman"/>
        </w:rPr>
      </w:pPr>
      <w:bookmarkStart w:id="534" w:name="_Ref473012051"/>
      <w:r>
        <w:rPr>
          <w:rFonts w:ascii="Times New Roman" w:cs="Times New Roman"/>
          <w:kern w:val="2"/>
          <w:sz w:val="21"/>
          <w:szCs w:val="22"/>
        </w:rPr>
        <w:t>图7</w:t>
      </w:r>
      <w:r>
        <w:rPr>
          <w:rFonts w:hint="eastAsia" w:ascii="Times New Roman" w:cs="Times New Roman"/>
          <w:kern w:val="2"/>
          <w:sz w:val="21"/>
          <w:szCs w:val="22"/>
        </w:rPr>
        <w:t>.8</w:t>
      </w:r>
      <w:r>
        <w:rPr>
          <w:rFonts w:ascii="Times New Roman" w:cs="Times New Roman"/>
          <w:kern w:val="2"/>
          <w:sz w:val="21"/>
          <w:szCs w:val="22"/>
        </w:rPr>
        <w:noBreakHyphen/>
      </w:r>
      <w:r>
        <w:rPr>
          <w:rFonts w:ascii="Times New Roman" w:cs="Times New Roman"/>
          <w:kern w:val="2"/>
          <w:sz w:val="21"/>
          <w:szCs w:val="22"/>
        </w:rPr>
        <w:fldChar w:fldCharType="begin"/>
      </w:r>
      <w:r>
        <w:rPr>
          <w:rFonts w:ascii="Times New Roman" w:cs="Times New Roman"/>
          <w:kern w:val="2"/>
          <w:sz w:val="21"/>
          <w:szCs w:val="22"/>
        </w:rPr>
        <w:instrText xml:space="preserve"> SEQ 图 \* ARABIC \s 1 </w:instrText>
      </w:r>
      <w:r>
        <w:rPr>
          <w:rFonts w:ascii="Times New Roman" w:cs="Times New Roman"/>
          <w:kern w:val="2"/>
          <w:sz w:val="21"/>
          <w:szCs w:val="22"/>
        </w:rPr>
        <w:fldChar w:fldCharType="separate"/>
      </w:r>
      <w:r>
        <w:rPr>
          <w:rFonts w:ascii="Times New Roman" w:cs="Times New Roman"/>
          <w:kern w:val="2"/>
          <w:sz w:val="21"/>
          <w:szCs w:val="22"/>
        </w:rPr>
        <w:t>1</w:t>
      </w:r>
      <w:r>
        <w:rPr>
          <w:rFonts w:ascii="Times New Roman" w:cs="Times New Roman"/>
          <w:kern w:val="2"/>
          <w:sz w:val="21"/>
          <w:szCs w:val="22"/>
        </w:rPr>
        <w:fldChar w:fldCharType="end"/>
      </w:r>
      <w:bookmarkEnd w:id="534"/>
      <w:r>
        <w:rPr>
          <w:rFonts w:ascii="Times New Roman" w:cs="Times New Roman"/>
          <w:kern w:val="2"/>
          <w:sz w:val="21"/>
          <w:szCs w:val="22"/>
        </w:rPr>
        <w:t xml:space="preserve">  井喷事故事件树</w:t>
      </w:r>
    </w:p>
    <w:p>
      <w:pPr>
        <w:pStyle w:val="6"/>
        <w:ind w:firstLine="480"/>
        <w:rPr>
          <w:rFonts w:ascii="Times New Roman" w:cs="Times New Roman"/>
        </w:rPr>
      </w:pPr>
      <w:r>
        <w:rPr>
          <w:rFonts w:ascii="Times New Roman" w:cs="Times New Roman"/>
        </w:rPr>
        <w:t>据不完全统计，在油气勘探开发的40年间（1950年～1990年），累计发生井喷失控事故230次，占完井总数的2.41‰，其中，井喷失控着火78次，占井喷失控总数的34%，因此，井喷失控的事故率约为0.603×10</w:t>
      </w:r>
      <w:r>
        <w:rPr>
          <w:rFonts w:ascii="Times New Roman" w:cs="Times New Roman"/>
          <w:vertAlign w:val="superscript"/>
        </w:rPr>
        <w:t>-4</w:t>
      </w:r>
      <w:r>
        <w:rPr>
          <w:rFonts w:ascii="Times New Roman" w:cs="Times New Roman"/>
        </w:rPr>
        <w:t>次/年，其中井喷失控着火的事故率约为0.203×10</w:t>
      </w:r>
      <w:r>
        <w:rPr>
          <w:rFonts w:ascii="Times New Roman" w:cs="Times New Roman"/>
          <w:vertAlign w:val="superscript"/>
        </w:rPr>
        <w:t>-4</w:t>
      </w:r>
      <w:r>
        <w:rPr>
          <w:rFonts w:ascii="Times New Roman" w:cs="Times New Roman"/>
        </w:rPr>
        <w:t>次/年，未着火的事故率约为0.4×10</w:t>
      </w:r>
      <w:r>
        <w:rPr>
          <w:rFonts w:ascii="Times New Roman" w:cs="Times New Roman"/>
          <w:vertAlign w:val="superscript"/>
        </w:rPr>
        <w:t>-4</w:t>
      </w:r>
      <w:r>
        <w:rPr>
          <w:rFonts w:ascii="Times New Roman" w:cs="Times New Roman"/>
        </w:rPr>
        <w:t>次/年，其中井喷事故未着火的多数为非含硫气田开发。</w:t>
      </w:r>
    </w:p>
    <w:p>
      <w:pPr>
        <w:pStyle w:val="114"/>
        <w:ind w:firstLine="482"/>
        <w:rPr>
          <w:b/>
          <w:bCs/>
        </w:rPr>
      </w:pPr>
      <w:r>
        <w:rPr>
          <w:b/>
          <w:bCs/>
        </w:rPr>
        <w:t>2、柴油泄漏、火灾</w:t>
      </w:r>
    </w:p>
    <w:p>
      <w:pPr>
        <w:pStyle w:val="114"/>
        <w:ind w:firstLine="480"/>
      </w:pPr>
      <w:r>
        <w:t>柴油在储存过程中，若管理不善或操作失误，以及罐体不佳或腐蚀，导致柴油泄漏、火灾，影响大气、地表水环境、土壤和地下水环境。</w:t>
      </w:r>
    </w:p>
    <w:p>
      <w:pPr>
        <w:pStyle w:val="114"/>
        <w:ind w:firstLine="482"/>
        <w:rPr>
          <w:b/>
          <w:bCs/>
        </w:rPr>
      </w:pPr>
      <w:r>
        <w:rPr>
          <w:b/>
          <w:bCs/>
        </w:rPr>
        <w:t>3、压裂、洗井废水泄漏</w:t>
      </w:r>
    </w:p>
    <w:p>
      <w:pPr>
        <w:pStyle w:val="114"/>
        <w:ind w:firstLine="480"/>
      </w:pPr>
      <w:r>
        <w:t>压裂、洗井废水在储存过程中，若管理不善或操作失误，以及罐体不佳或腐蚀，导致压裂、洗井废水泄漏，影响地表水环境、土壤和地下水环境。</w:t>
      </w:r>
    </w:p>
    <w:p>
      <w:pPr>
        <w:pStyle w:val="114"/>
        <w:ind w:firstLine="480"/>
      </w:pPr>
      <w:r>
        <w:t>综合考虑本项目涉及有毒有害物质中可能发生的事故及产生的影响，本次评价确定的最大可信事故主要为：井喷失控造成含硫化氢天然气释放。</w:t>
      </w:r>
    </w:p>
    <w:p>
      <w:pPr>
        <w:pStyle w:val="4"/>
        <w:rPr>
          <w:rFonts w:eastAsia="宋体"/>
        </w:rPr>
      </w:pPr>
      <w:r>
        <w:rPr>
          <w:rFonts w:eastAsia="宋体"/>
        </w:rPr>
        <w:t>7.</w:t>
      </w:r>
      <w:r>
        <w:rPr>
          <w:rFonts w:hint="eastAsia" w:eastAsia="宋体"/>
        </w:rPr>
        <w:t>8</w:t>
      </w:r>
      <w:r>
        <w:rPr>
          <w:rFonts w:eastAsia="宋体"/>
        </w:rPr>
        <w:t>.3 源项分析</w:t>
      </w:r>
    </w:p>
    <w:p>
      <w:pPr>
        <w:pStyle w:val="114"/>
        <w:ind w:firstLine="480"/>
      </w:pPr>
      <w:r>
        <w:t>（1）井喷过程</w:t>
      </w:r>
    </w:p>
    <w:p>
      <w:pPr>
        <w:pStyle w:val="114"/>
        <w:ind w:firstLine="480"/>
      </w:pPr>
      <w:r>
        <w:t>发生井喷的过程主要是泥浆溢流→井涌→井喷。根据建设单位提供资料，在钻井过程中，井下监控发现井内泥浆溢流量达1m</w:t>
      </w:r>
      <w:r>
        <w:rPr>
          <w:vertAlign w:val="superscript"/>
        </w:rPr>
        <w:t>3</w:t>
      </w:r>
      <w:r>
        <w:t>时报警，达到2m</w:t>
      </w:r>
      <w:r>
        <w:rPr>
          <w:vertAlign w:val="superscript"/>
        </w:rPr>
        <w:t>3</w:t>
      </w:r>
      <w:r>
        <w:t>时马上采取关井措施。当所有关断措施全部失效，井口失控后，即发生井喷事故。由此看出，井喷不是突如其来的，由发生溢流开始一直到天然气从井口喷出，这段时间大约在20min～60min。在发生井涌开始，井下阀门自动关断时间大约在一分半至三分钟左右，因此可以说，在工程上，天然气从井口喷出后即可通过井场的自动点火装置立即点火，若井场自动点火装置失灵，也可以用点火枪远距离实施点火，从井涌至井喷至少要20min，足够井场工作人员安全撤离并且做好远距离点火准备。在工程技术看，天然气从井口喷出15min内，完全可以实现点火成功。</w:t>
      </w:r>
    </w:p>
    <w:p>
      <w:pPr>
        <w:pStyle w:val="114"/>
        <w:ind w:firstLine="480"/>
      </w:pPr>
      <w:r>
        <w:t>天然气喷射速率，将随着井内泥浆液柱的减小而增大，当井内的泥浆喷完后，达到最大喷射释放速率，其值取决于井的最大无阻流量。项目概况3.3中输送介质情况，天然气甲烷含量</w:t>
      </w:r>
      <w:r>
        <w:rPr>
          <w:rFonts w:hint="eastAsia"/>
        </w:rPr>
        <w:t>73.85</w:t>
      </w:r>
      <w:r>
        <w:t>%，硫化氢含量1</w:t>
      </w:r>
      <w:r>
        <w:rPr>
          <w:rFonts w:hint="eastAsia"/>
        </w:rPr>
        <w:t>1.54</w:t>
      </w:r>
      <w:r>
        <w:t>%。</w:t>
      </w:r>
    </w:p>
    <w:p>
      <w:pPr>
        <w:pStyle w:val="114"/>
        <w:ind w:firstLine="480"/>
      </w:pPr>
      <w:r>
        <w:rPr>
          <w:bCs/>
        </w:rPr>
        <w:t>根据企业提供的资料，预计本项目可能放喷的最大天然气流量为</w:t>
      </w:r>
      <w:r>
        <w:rPr>
          <w:rFonts w:hint="eastAsia"/>
          <w:bCs/>
        </w:rPr>
        <w:t>100</w:t>
      </w:r>
      <w:r>
        <w:rPr>
          <w:bCs/>
        </w:rPr>
        <w:t>×10</w:t>
      </w:r>
      <w:r>
        <w:rPr>
          <w:bCs/>
          <w:vertAlign w:val="superscript"/>
        </w:rPr>
        <w:t>4</w:t>
      </w:r>
      <w:r>
        <w:rPr>
          <w:bCs/>
        </w:rPr>
        <w:t>m</w:t>
      </w:r>
      <w:r>
        <w:rPr>
          <w:bCs/>
          <w:vertAlign w:val="superscript"/>
        </w:rPr>
        <w:t>3</w:t>
      </w:r>
      <w:r>
        <w:rPr>
          <w:bCs/>
        </w:rPr>
        <w:t>/d，</w:t>
      </w:r>
      <w:r>
        <w:t>根据《含硫化氢天然气井失控井口点火时间规定》（AQ 2016-2008），含H</w:t>
      </w:r>
      <w:r>
        <w:rPr>
          <w:vertAlign w:val="subscript"/>
        </w:rPr>
        <w:t>2</w:t>
      </w:r>
      <w:r>
        <w:t>S天然气井发生井喷，至少应在15min内实施井口点火。类比普光气田现有管理规定，按照井喷后15min点火。</w:t>
      </w:r>
    </w:p>
    <w:p>
      <w:pPr>
        <w:pStyle w:val="114"/>
        <w:ind w:firstLine="480" w:firstLineChars="0"/>
      </w:pPr>
      <w:r>
        <w:t>本项目井喷点火前释放的甲烷和H</w:t>
      </w:r>
      <w:r>
        <w:rPr>
          <w:vertAlign w:val="subscript"/>
        </w:rPr>
        <w:t>2</w:t>
      </w:r>
      <w:r>
        <w:t>S源强见</w:t>
      </w:r>
      <w:r>
        <w:rPr>
          <w:rFonts w:hint="eastAsia"/>
        </w:rPr>
        <w:t>表7.8-1</w:t>
      </w:r>
      <w:r>
        <w:t>。</w:t>
      </w:r>
    </w:p>
    <w:p>
      <w:pPr>
        <w:widowControl/>
        <w:topLinePunct w:val="0"/>
        <w:snapToGrid w:val="0"/>
        <w:spacing w:before="156" w:beforeLines="50"/>
        <w:ind w:firstLine="0" w:firstLineChars="0"/>
        <w:jc w:val="center"/>
        <w:rPr>
          <w:rFonts w:ascii="Times New Roman" w:cs="Times New Roman"/>
          <w:b/>
          <w:kern w:val="2"/>
          <w:sz w:val="21"/>
          <w:szCs w:val="20"/>
        </w:rPr>
      </w:pPr>
      <w:bookmarkStart w:id="535" w:name="_Ref524420023"/>
      <w:r>
        <w:rPr>
          <w:rFonts w:ascii="Times New Roman" w:cs="Times New Roman"/>
          <w:b/>
          <w:kern w:val="2"/>
          <w:sz w:val="21"/>
          <w:szCs w:val="20"/>
        </w:rPr>
        <w:t>表7.</w:t>
      </w:r>
      <w:bookmarkEnd w:id="535"/>
      <w:r>
        <w:rPr>
          <w:rFonts w:hint="eastAsia" w:ascii="Times New Roman" w:cs="Times New Roman"/>
          <w:b/>
          <w:kern w:val="2"/>
          <w:sz w:val="21"/>
          <w:szCs w:val="20"/>
        </w:rPr>
        <w:t>8-1</w:t>
      </w:r>
      <w:r>
        <w:rPr>
          <w:rFonts w:ascii="Times New Roman" w:cs="Times New Roman"/>
          <w:b/>
          <w:kern w:val="2"/>
          <w:sz w:val="21"/>
          <w:szCs w:val="20"/>
        </w:rPr>
        <w:t xml:space="preserve">  井喷污染物源强</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1520"/>
        <w:gridCol w:w="2149"/>
        <w:gridCol w:w="2149"/>
        <w:gridCol w:w="18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9" w:type="dxa"/>
            <w:vAlign w:val="center"/>
          </w:tcPr>
          <w:p>
            <w:pPr>
              <w:widowControl/>
              <w:topLinePunct w:val="0"/>
              <w:adjustRightInd/>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时段</w:t>
            </w:r>
          </w:p>
        </w:tc>
        <w:tc>
          <w:tcPr>
            <w:tcW w:w="1556" w:type="dxa"/>
            <w:vAlign w:val="center"/>
          </w:tcPr>
          <w:p>
            <w:pPr>
              <w:widowControl/>
              <w:topLinePunct w:val="0"/>
              <w:adjustRightInd/>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污染物名称</w:t>
            </w:r>
          </w:p>
        </w:tc>
        <w:tc>
          <w:tcPr>
            <w:tcW w:w="2203" w:type="dxa"/>
            <w:vAlign w:val="center"/>
          </w:tcPr>
          <w:p>
            <w:pPr>
              <w:widowControl/>
              <w:topLinePunct w:val="0"/>
              <w:adjustRightInd/>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气量（m</w:t>
            </w:r>
            <w:r>
              <w:rPr>
                <w:rFonts w:ascii="Times New Roman" w:cs="Times New Roman"/>
                <w:b/>
                <w:kern w:val="2"/>
                <w:sz w:val="21"/>
                <w:szCs w:val="21"/>
                <w:vertAlign w:val="superscript"/>
              </w:rPr>
              <w:t>3</w:t>
            </w:r>
            <w:r>
              <w:rPr>
                <w:rFonts w:ascii="Times New Roman" w:cs="Times New Roman"/>
                <w:b/>
                <w:kern w:val="2"/>
                <w:sz w:val="21"/>
                <w:szCs w:val="21"/>
              </w:rPr>
              <w:t>/s）</w:t>
            </w:r>
          </w:p>
        </w:tc>
        <w:tc>
          <w:tcPr>
            <w:tcW w:w="2203" w:type="dxa"/>
            <w:vAlign w:val="center"/>
          </w:tcPr>
          <w:p>
            <w:pPr>
              <w:widowControl/>
              <w:topLinePunct w:val="0"/>
              <w:adjustRightInd/>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排放速率（kg/s）</w:t>
            </w:r>
          </w:p>
        </w:tc>
        <w:tc>
          <w:tcPr>
            <w:tcW w:w="1945" w:type="dxa"/>
            <w:vAlign w:val="center"/>
          </w:tcPr>
          <w:p>
            <w:pPr>
              <w:widowControl/>
              <w:topLinePunct w:val="0"/>
              <w:adjustRightInd/>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排气筒内径（m）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9" w:type="dxa"/>
            <w:vMerge w:val="restart"/>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井喷15min</w:t>
            </w:r>
          </w:p>
        </w:tc>
        <w:tc>
          <w:tcPr>
            <w:tcW w:w="1556" w:type="dxa"/>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甲烷</w:t>
            </w:r>
          </w:p>
        </w:tc>
        <w:tc>
          <w:tcPr>
            <w:tcW w:w="2203" w:type="dxa"/>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11.57</w:t>
            </w:r>
            <w:r>
              <w:rPr>
                <w:rFonts w:ascii="Times New Roman" w:cs="Times New Roman"/>
                <w:kern w:val="2"/>
                <w:sz w:val="21"/>
                <w:szCs w:val="21"/>
              </w:rPr>
              <w:t>（天然气）</w:t>
            </w:r>
          </w:p>
        </w:tc>
        <w:tc>
          <w:tcPr>
            <w:tcW w:w="2203" w:type="dxa"/>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4.55</w:t>
            </w:r>
          </w:p>
        </w:tc>
        <w:tc>
          <w:tcPr>
            <w:tcW w:w="1945" w:type="dxa"/>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0.178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9" w:type="dxa"/>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1556" w:type="dxa"/>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H</w:t>
            </w:r>
            <w:r>
              <w:rPr>
                <w:rFonts w:ascii="Times New Roman" w:cs="Times New Roman"/>
                <w:kern w:val="2"/>
                <w:sz w:val="21"/>
                <w:szCs w:val="21"/>
                <w:vertAlign w:val="subscript"/>
              </w:rPr>
              <w:t>2</w:t>
            </w:r>
            <w:r>
              <w:rPr>
                <w:rFonts w:ascii="Times New Roman" w:cs="Times New Roman"/>
                <w:kern w:val="2"/>
                <w:sz w:val="21"/>
                <w:szCs w:val="21"/>
              </w:rPr>
              <w:t>S</w:t>
            </w:r>
          </w:p>
        </w:tc>
        <w:tc>
          <w:tcPr>
            <w:tcW w:w="2203" w:type="dxa"/>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11.57</w:t>
            </w:r>
            <w:r>
              <w:rPr>
                <w:rFonts w:ascii="Times New Roman" w:cs="Times New Roman"/>
                <w:kern w:val="2"/>
                <w:sz w:val="21"/>
                <w:szCs w:val="21"/>
              </w:rPr>
              <w:t>（天然气）</w:t>
            </w:r>
          </w:p>
        </w:tc>
        <w:tc>
          <w:tcPr>
            <w:tcW w:w="2203" w:type="dxa"/>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1.51</w:t>
            </w:r>
          </w:p>
        </w:tc>
        <w:tc>
          <w:tcPr>
            <w:tcW w:w="1945" w:type="dxa"/>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0.178</w:t>
            </w:r>
          </w:p>
        </w:tc>
      </w:tr>
    </w:tbl>
    <w:p>
      <w:pPr>
        <w:pStyle w:val="114"/>
        <w:ind w:firstLine="480"/>
      </w:pPr>
      <w:bookmarkStart w:id="536" w:name="bookmark63"/>
      <w:bookmarkEnd w:id="536"/>
      <w:bookmarkStart w:id="537" w:name="_Toc19816110"/>
      <w:bookmarkStart w:id="538" w:name="_Toc12288741"/>
      <w:r>
        <w:t>（2）次生污染物</w:t>
      </w:r>
    </w:p>
    <w:p>
      <w:pPr>
        <w:ind w:firstLine="480"/>
        <w:rPr>
          <w:rFonts w:ascii="Times New Roman" w:cs="Times New Roman"/>
        </w:rPr>
      </w:pPr>
      <w:r>
        <w:rPr>
          <w:rFonts w:ascii="Times New Roman" w:cs="Times New Roman"/>
        </w:rPr>
        <w:t>根据《建设项目环境风险评价技术导则》（HJ169-2018），</w:t>
      </w:r>
      <w:r>
        <w:rPr>
          <w:rFonts w:hint="eastAsia" w:ascii="Times New Roman" w:cs="Times New Roman"/>
        </w:rPr>
        <w:t>H</w:t>
      </w:r>
      <w:r>
        <w:rPr>
          <w:rFonts w:hint="eastAsia" w:ascii="Times New Roman" w:cs="Times New Roman"/>
          <w:vertAlign w:val="subscript"/>
        </w:rPr>
        <w:t>2</w:t>
      </w:r>
      <w:r>
        <w:rPr>
          <w:rFonts w:hint="eastAsia" w:ascii="Times New Roman" w:cs="Times New Roman"/>
        </w:rPr>
        <w:t>S燃烧产生的SO</w:t>
      </w:r>
      <w:r>
        <w:rPr>
          <w:rFonts w:hint="eastAsia" w:ascii="Times New Roman" w:cs="Times New Roman"/>
          <w:vertAlign w:val="subscript"/>
        </w:rPr>
        <w:t>2</w:t>
      </w:r>
      <w:r>
        <w:rPr>
          <w:rFonts w:hint="eastAsia" w:ascii="Times New Roman" w:cs="Times New Roman"/>
        </w:rPr>
        <w:t>及</w:t>
      </w:r>
      <w:r>
        <w:rPr>
          <w:rFonts w:ascii="Times New Roman" w:cs="Times New Roman"/>
        </w:rPr>
        <w:t>甲烷燃烧产生的CO量可按下式进行估算：</w:t>
      </w:r>
    </w:p>
    <w:p>
      <w:pPr>
        <w:topLinePunct w:val="0"/>
        <w:adjustRightInd/>
        <w:ind w:firstLine="0" w:firstLineChars="0"/>
        <w:jc w:val="center"/>
        <w:rPr>
          <w:rFonts w:ascii="Times New Roman" w:cs="Times New Roman"/>
        </w:rPr>
      </w:pPr>
      <w:r>
        <w:rPr>
          <w:rFonts w:hint="eastAsia" w:ascii="Times New Roman" w:cs="Times New Roman"/>
        </w:rPr>
        <w:t>G</w:t>
      </w:r>
      <w:r>
        <w:rPr>
          <w:rFonts w:hint="eastAsia" w:ascii="Times New Roman" w:cs="Times New Roman"/>
          <w:vertAlign w:val="subscript"/>
        </w:rPr>
        <w:t>二氧化硫</w:t>
      </w:r>
      <w:r>
        <w:rPr>
          <w:rFonts w:hint="eastAsia" w:ascii="Times New Roman" w:cs="Times New Roman"/>
        </w:rPr>
        <w:t>=2BS</w:t>
      </w:r>
    </w:p>
    <w:p>
      <w:pPr>
        <w:ind w:firstLine="480"/>
        <w:rPr>
          <w:rFonts w:ascii="Times New Roman" w:cs="Times New Roman"/>
        </w:rPr>
      </w:pPr>
      <w:r>
        <w:rPr>
          <w:rFonts w:hint="eastAsia" w:ascii="Times New Roman" w:cs="Times New Roman"/>
        </w:rPr>
        <w:t>式中：G</w:t>
      </w:r>
      <w:r>
        <w:rPr>
          <w:rFonts w:hint="eastAsia" w:ascii="Times New Roman" w:cs="Times New Roman"/>
          <w:vertAlign w:val="subscript"/>
        </w:rPr>
        <w:t>二氧化硫</w:t>
      </w:r>
      <w:r>
        <w:rPr>
          <w:rFonts w:hint="eastAsia" w:ascii="Times New Roman" w:cs="Times New Roman"/>
        </w:rPr>
        <w:t>——二氧化硫排放速率，kg/h</w:t>
      </w:r>
    </w:p>
    <w:p>
      <w:pPr>
        <w:topLinePunct w:val="0"/>
        <w:adjustRightInd/>
        <w:ind w:firstLine="1200" w:firstLineChars="500"/>
        <w:rPr>
          <w:rFonts w:ascii="Times New Roman" w:cs="Times New Roman"/>
        </w:rPr>
      </w:pPr>
      <w:r>
        <w:rPr>
          <w:rFonts w:hint="eastAsia" w:ascii="Times New Roman" w:cs="Times New Roman"/>
        </w:rPr>
        <w:t>B——物质燃烧量，kg/h</w:t>
      </w:r>
    </w:p>
    <w:p>
      <w:pPr>
        <w:topLinePunct w:val="0"/>
        <w:adjustRightInd/>
        <w:ind w:firstLine="1200" w:firstLineChars="500"/>
        <w:rPr>
          <w:rFonts w:ascii="Times New Roman" w:cs="Times New Roman"/>
        </w:rPr>
      </w:pPr>
      <w:r>
        <w:rPr>
          <w:rFonts w:hint="eastAsia" w:ascii="Times New Roman" w:cs="Times New Roman"/>
        </w:rPr>
        <w:t>S——物质中硫的含量，%</w:t>
      </w:r>
    </w:p>
    <w:p>
      <w:pPr>
        <w:pStyle w:val="114"/>
        <w:ind w:firstLine="480"/>
        <w:jc w:val="center"/>
      </w:pPr>
      <w:r>
        <w:t>G</w:t>
      </w:r>
      <w:r>
        <w:rPr>
          <w:vertAlign w:val="subscript"/>
        </w:rPr>
        <w:t>CO</w:t>
      </w:r>
      <w:r>
        <w:t>= 2330qCQ</w:t>
      </w:r>
    </w:p>
    <w:p>
      <w:pPr>
        <w:pStyle w:val="114"/>
        <w:ind w:firstLine="480"/>
      </w:pPr>
      <w:r>
        <w:t>式中：G</w:t>
      </w:r>
      <w:r>
        <w:rPr>
          <w:vertAlign w:val="subscript"/>
        </w:rPr>
        <w:t>CO</w:t>
      </w:r>
      <w:r>
        <w:t>—一氧化碳的产生量，kg/s；</w:t>
      </w:r>
    </w:p>
    <w:p>
      <w:pPr>
        <w:pStyle w:val="114"/>
        <w:ind w:firstLine="1200" w:firstLineChars="500"/>
      </w:pPr>
      <w:r>
        <w:t>C—物质中碳的质量百分比含量，%，取75%；</w:t>
      </w:r>
    </w:p>
    <w:p>
      <w:pPr>
        <w:pStyle w:val="114"/>
        <w:ind w:firstLine="1200" w:firstLineChars="500"/>
      </w:pPr>
      <w:r>
        <w:t>q—化学不完全燃烧值，%，取2%；</w:t>
      </w:r>
    </w:p>
    <w:p>
      <w:pPr>
        <w:pStyle w:val="114"/>
        <w:ind w:firstLine="1200" w:firstLineChars="500"/>
      </w:pPr>
      <w:r>
        <w:t>Q—参与燃烧的物质量t/s。</w:t>
      </w:r>
    </w:p>
    <w:p>
      <w:pPr>
        <w:pStyle w:val="114"/>
        <w:ind w:firstLine="480"/>
      </w:pPr>
      <w:r>
        <w:t>本项目位于空旷地带，发生泄漏后大部分随着空气流动被稀释，少量的天然气聚集后遇明火发生火灾；天然气爆炸极限5%~14%（V/V），即天然气与空气混合在一定比例范围内，才有可能发生爆炸，由于本项目天然气存在于地层之间，仅井喷过程产生的天然气释放于空气中，因此发生爆炸的可能性较小，主要考虑泄漏后遇明火产生CO。综合考虑</w:t>
      </w:r>
      <w:r>
        <w:rPr>
          <w:rFonts w:hint="eastAsia"/>
        </w:rPr>
        <w:t>项目的特点</w:t>
      </w:r>
      <w:r>
        <w:t>，经计算SO</w:t>
      </w:r>
      <w:r>
        <w:rPr>
          <w:vertAlign w:val="subscript"/>
        </w:rPr>
        <w:t>2</w:t>
      </w:r>
      <w:r>
        <w:t>产生速率为0.03kg/s，CO产生速率为0.16kg/s。</w:t>
      </w:r>
    </w:p>
    <w:p>
      <w:pPr>
        <w:pStyle w:val="3"/>
        <w:spacing w:before="120"/>
        <w:rPr>
          <w:rFonts w:cs="Times New Roman"/>
        </w:rPr>
      </w:pPr>
      <w:bookmarkStart w:id="539" w:name="_Toc14439"/>
      <w:r>
        <w:rPr>
          <w:rFonts w:cs="Times New Roman"/>
        </w:rPr>
        <w:t>7.</w:t>
      </w:r>
      <w:bookmarkEnd w:id="537"/>
      <w:bookmarkEnd w:id="538"/>
      <w:r>
        <w:rPr>
          <w:rFonts w:hint="eastAsia" w:cs="Times New Roman"/>
        </w:rPr>
        <w:t>9</w:t>
      </w:r>
      <w:r>
        <w:rPr>
          <w:rFonts w:cs="Times New Roman"/>
        </w:rPr>
        <w:t xml:space="preserve"> 环境风险分析</w:t>
      </w:r>
      <w:bookmarkEnd w:id="539"/>
    </w:p>
    <w:p>
      <w:pPr>
        <w:ind w:firstLine="480"/>
        <w:rPr>
          <w:rFonts w:ascii="Times New Roman" w:cs="Times New Roman"/>
        </w:rPr>
      </w:pPr>
      <w:bookmarkStart w:id="540" w:name="_Toc19816111"/>
      <w:bookmarkStart w:id="541" w:name="_Toc12288742"/>
      <w:r>
        <w:rPr>
          <w:rFonts w:hint="eastAsia" w:ascii="Times New Roman" w:cs="Times New Roman"/>
        </w:rPr>
        <w:t>本项目环境风险评价为简单分析，但考虑本项目天然气中含有H</w:t>
      </w:r>
      <w:r>
        <w:rPr>
          <w:rFonts w:hint="eastAsia" w:ascii="Times New Roman" w:cs="Times New Roman"/>
          <w:vertAlign w:val="subscript"/>
        </w:rPr>
        <w:t>2</w:t>
      </w:r>
      <w:r>
        <w:rPr>
          <w:rFonts w:hint="eastAsia" w:ascii="Times New Roman" w:cs="Times New Roman"/>
        </w:rPr>
        <w:t>S以及项目次生事故/爆炸事故中将产生SO</w:t>
      </w:r>
      <w:r>
        <w:rPr>
          <w:rFonts w:hint="eastAsia" w:ascii="Times New Roman" w:cs="Times New Roman"/>
          <w:vertAlign w:val="subscript"/>
        </w:rPr>
        <w:t>2</w:t>
      </w:r>
      <w:r>
        <w:rPr>
          <w:rFonts w:hint="eastAsia" w:ascii="Times New Roman" w:cs="Times New Roman"/>
        </w:rPr>
        <w:t>、CO，因此本次评价仍对其进行风险预测评价。</w:t>
      </w:r>
    </w:p>
    <w:p>
      <w:pPr>
        <w:pStyle w:val="4"/>
        <w:rPr>
          <w:rFonts w:eastAsia="宋体"/>
        </w:rPr>
      </w:pPr>
      <w:r>
        <w:rPr>
          <w:rFonts w:eastAsia="宋体"/>
        </w:rPr>
        <w:t>7.</w:t>
      </w:r>
      <w:r>
        <w:rPr>
          <w:rFonts w:hint="eastAsia" w:eastAsia="宋体"/>
        </w:rPr>
        <w:t>9</w:t>
      </w:r>
      <w:r>
        <w:rPr>
          <w:rFonts w:eastAsia="宋体"/>
        </w:rPr>
        <w:t>.1</w:t>
      </w:r>
      <w:bookmarkEnd w:id="540"/>
      <w:bookmarkEnd w:id="541"/>
      <w:r>
        <w:rPr>
          <w:rFonts w:eastAsia="宋体"/>
        </w:rPr>
        <w:t xml:space="preserve"> 井喷事故环境风险预测</w:t>
      </w:r>
    </w:p>
    <w:p>
      <w:pPr>
        <w:ind w:firstLine="482"/>
        <w:rPr>
          <w:rFonts w:ascii="Times New Roman" w:cs="Times New Roman"/>
          <w:b/>
          <w:bCs/>
        </w:rPr>
      </w:pPr>
      <w:r>
        <w:rPr>
          <w:rFonts w:ascii="Times New Roman" w:cs="Times New Roman"/>
          <w:b/>
          <w:bCs/>
        </w:rPr>
        <w:t>（1）预测模型选取</w:t>
      </w:r>
    </w:p>
    <w:p>
      <w:pPr>
        <w:ind w:firstLine="480"/>
        <w:rPr>
          <w:rFonts w:ascii="Times New Roman" w:cs="Times New Roman"/>
        </w:rPr>
      </w:pPr>
      <w:r>
        <w:rPr>
          <w:rFonts w:ascii="Times New Roman" w:cs="Times New Roman" w:eastAsiaTheme="minorEastAsia"/>
        </w:rPr>
        <w:t>①</w:t>
      </w:r>
      <w:r>
        <w:rPr>
          <w:rFonts w:ascii="Times New Roman" w:cs="Times New Roman"/>
        </w:rPr>
        <w:t>泄漏气体排放方式判定</w:t>
      </w:r>
    </w:p>
    <w:p>
      <w:pPr>
        <w:ind w:firstLine="480"/>
        <w:rPr>
          <w:rFonts w:ascii="Times New Roman" w:cs="Times New Roman"/>
        </w:rPr>
      </w:pPr>
      <w:r>
        <w:rPr>
          <w:rFonts w:ascii="Times New Roman" w:cs="Times New Roman"/>
        </w:rPr>
        <w:t>根据《建设项目环境风险评价技术导则》（HJ169-2018），判定连续排放还是瞬时排放，可以通过排放时间Td和污染物到达最近的受体点（网格点或敏感点）的时间T确定。</w:t>
      </w:r>
    </w:p>
    <w:p>
      <w:pPr>
        <w:tabs>
          <w:tab w:val="left" w:pos="5925"/>
        </w:tabs>
        <w:overflowPunct w:val="0"/>
        <w:autoSpaceDE w:val="0"/>
        <w:ind w:firstLine="480"/>
        <w:jc w:val="center"/>
        <w:rPr>
          <w:rFonts w:ascii="Times New Roman" w:cs="Times New Roman"/>
        </w:rPr>
      </w:pPr>
      <w:r>
        <w:rPr>
          <w:rFonts w:ascii="Times New Roman" w:cs="Times New Roman"/>
        </w:rPr>
        <w:t>T=2X/U</w:t>
      </w:r>
    </w:p>
    <w:p>
      <w:pPr>
        <w:tabs>
          <w:tab w:val="left" w:pos="5925"/>
        </w:tabs>
        <w:overflowPunct w:val="0"/>
        <w:autoSpaceDE w:val="0"/>
        <w:ind w:firstLine="480"/>
        <w:rPr>
          <w:rFonts w:ascii="Times New Roman" w:cs="Times New Roman"/>
        </w:rPr>
      </w:pPr>
      <w:r>
        <w:rPr>
          <w:rFonts w:ascii="Times New Roman" w:cs="Times New Roman"/>
        </w:rPr>
        <w:t>式中：X—事故发生地与计算点的距离，本次天然气取泄漏发生地到网格点的距离100m；</w:t>
      </w:r>
    </w:p>
    <w:p>
      <w:pPr>
        <w:tabs>
          <w:tab w:val="left" w:pos="5925"/>
        </w:tabs>
        <w:overflowPunct w:val="0"/>
        <w:autoSpaceDE w:val="0"/>
        <w:ind w:firstLine="1200" w:firstLineChars="500"/>
        <w:rPr>
          <w:rFonts w:ascii="Times New Roman" w:cs="Times New Roman"/>
        </w:rPr>
      </w:pPr>
      <w:r>
        <w:rPr>
          <w:rFonts w:ascii="Times New Roman" w:cs="Times New Roman"/>
        </w:rPr>
        <w:t>Ur—10m高处风速。假设风速和风向在T时段内保持不变。本次取风速为1.5m/s。</w:t>
      </w:r>
    </w:p>
    <w:p>
      <w:pPr>
        <w:tabs>
          <w:tab w:val="left" w:pos="5925"/>
        </w:tabs>
        <w:overflowPunct w:val="0"/>
        <w:autoSpaceDE w:val="0"/>
        <w:ind w:firstLine="1200" w:firstLineChars="500"/>
        <w:rPr>
          <w:rFonts w:ascii="Times New Roman" w:cs="Times New Roman"/>
        </w:rPr>
      </w:pPr>
      <w:r>
        <w:rPr>
          <w:rFonts w:ascii="Times New Roman" w:cs="Times New Roman"/>
        </w:rPr>
        <w:t>当Td＞T时，可被认为是连续排放的；当Td≤T时，可被认为是瞬时排放的。</w:t>
      </w:r>
    </w:p>
    <w:p>
      <w:pPr>
        <w:tabs>
          <w:tab w:val="left" w:pos="5925"/>
        </w:tabs>
        <w:overflowPunct w:val="0"/>
        <w:autoSpaceDE w:val="0"/>
        <w:ind w:firstLine="480"/>
        <w:rPr>
          <w:rFonts w:ascii="Times New Roman" w:cs="Times New Roman"/>
        </w:rPr>
      </w:pPr>
      <w:r>
        <w:rPr>
          <w:rFonts w:ascii="Times New Roman" w:cs="Times New Roman"/>
        </w:rPr>
        <w:t>通过计算得出T=133.3s。</w:t>
      </w:r>
    </w:p>
    <w:p>
      <w:pPr>
        <w:tabs>
          <w:tab w:val="left" w:pos="5925"/>
        </w:tabs>
        <w:overflowPunct w:val="0"/>
        <w:autoSpaceDE w:val="0"/>
        <w:ind w:firstLine="480"/>
        <w:rPr>
          <w:rFonts w:ascii="Times New Roman" w:cs="Times New Roman"/>
        </w:rPr>
      </w:pPr>
      <w:r>
        <w:rPr>
          <w:rFonts w:ascii="Times New Roman" w:cs="Times New Roman"/>
        </w:rPr>
        <w:t>而本次评价确定天然气取泄漏事故排放时间为900s，因此，Td＞T，为连续排放。</w:t>
      </w:r>
    </w:p>
    <w:p>
      <w:pPr>
        <w:tabs>
          <w:tab w:val="left" w:pos="5925"/>
        </w:tabs>
        <w:overflowPunct w:val="0"/>
        <w:autoSpaceDE w:val="0"/>
        <w:ind w:firstLine="480"/>
        <w:rPr>
          <w:rFonts w:ascii="Times New Roman" w:cs="Times New Roman"/>
        </w:rPr>
      </w:pPr>
      <w:r>
        <w:rPr>
          <w:rFonts w:ascii="Times New Roman" w:cs="Times New Roman"/>
        </w:rPr>
        <w:t>②轻质/重质气体的判定</w:t>
      </w:r>
    </w:p>
    <w:p>
      <w:pPr>
        <w:tabs>
          <w:tab w:val="left" w:pos="5925"/>
        </w:tabs>
        <w:overflowPunct w:val="0"/>
        <w:autoSpaceDE w:val="0"/>
        <w:ind w:firstLine="480"/>
        <w:rPr>
          <w:rFonts w:ascii="Times New Roman" w:cs="Times New Roman"/>
        </w:rPr>
      </w:pPr>
      <w:r>
        <w:rPr>
          <w:rFonts w:ascii="Times New Roman" w:cs="Times New Roman"/>
        </w:rPr>
        <w:t>根据《建设项目环境风险评价技术导则》（HJ169-2018），判定烟团/烟羽是否为重质气体，取决于它相对空气的“过剩密度”和环境条件等因素。通常采用理查德森数（Ri）作为标准进行判断，Ri的概念公示为：</w:t>
      </w:r>
    </w:p>
    <w:p>
      <w:pPr>
        <w:tabs>
          <w:tab w:val="left" w:pos="5925"/>
        </w:tabs>
        <w:overflowPunct w:val="0"/>
        <w:autoSpaceDE w:val="0"/>
        <w:ind w:firstLine="480"/>
        <w:jc w:val="center"/>
        <w:rPr>
          <w:rFonts w:ascii="Times New Roman" w:cs="Times New Roman"/>
        </w:rPr>
      </w:pPr>
      <w:r>
        <w:rPr>
          <w:rFonts w:ascii="Times New Roman" w:cs="Times New Roman"/>
        </w:rPr>
        <w:drawing>
          <wp:inline distT="0" distB="0" distL="0" distR="0">
            <wp:extent cx="1735455" cy="550545"/>
            <wp:effectExtent l="19050" t="0" r="0" b="0"/>
            <wp:docPr id="2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7"/>
                    <pic:cNvPicPr>
                      <a:picLocks noChangeAspect="1" noChangeArrowheads="1"/>
                    </pic:cNvPicPr>
                  </pic:nvPicPr>
                  <pic:blipFill>
                    <a:blip r:embed="rId72" cstate="print"/>
                    <a:srcRect/>
                    <a:stretch>
                      <a:fillRect/>
                    </a:stretch>
                  </pic:blipFill>
                  <pic:spPr>
                    <a:xfrm>
                      <a:off x="0" y="0"/>
                      <a:ext cx="1735455" cy="550545"/>
                    </a:xfrm>
                    <a:prstGeom prst="rect">
                      <a:avLst/>
                    </a:prstGeom>
                    <a:noFill/>
                    <a:ln w="9525">
                      <a:noFill/>
                      <a:miter lim="800000"/>
                      <a:headEnd/>
                      <a:tailEnd/>
                    </a:ln>
                  </pic:spPr>
                </pic:pic>
              </a:graphicData>
            </a:graphic>
          </wp:inline>
        </w:drawing>
      </w:r>
    </w:p>
    <w:p>
      <w:pPr>
        <w:tabs>
          <w:tab w:val="left" w:pos="5925"/>
        </w:tabs>
        <w:overflowPunct w:val="0"/>
        <w:autoSpaceDE w:val="0"/>
        <w:ind w:firstLine="480"/>
        <w:rPr>
          <w:rFonts w:ascii="Times New Roman" w:cs="Times New Roman"/>
        </w:rPr>
      </w:pPr>
      <w:r>
        <w:rPr>
          <w:rFonts w:ascii="Times New Roman" w:cs="Times New Roman"/>
        </w:rPr>
        <w:t>连续排放的公式为：</w:t>
      </w:r>
    </w:p>
    <w:p>
      <w:pPr>
        <w:tabs>
          <w:tab w:val="left" w:pos="5925"/>
        </w:tabs>
        <w:overflowPunct w:val="0"/>
        <w:autoSpaceDE w:val="0"/>
        <w:ind w:firstLine="480"/>
        <w:jc w:val="center"/>
        <w:rPr>
          <w:rFonts w:ascii="Times New Roman" w:cs="Times New Roman"/>
        </w:rPr>
      </w:pPr>
      <w:r>
        <w:rPr>
          <w:rFonts w:ascii="Times New Roman" w:cs="Times New Roman"/>
        </w:rPr>
        <w:drawing>
          <wp:inline distT="0" distB="0" distL="0" distR="0">
            <wp:extent cx="2014855" cy="643255"/>
            <wp:effectExtent l="19050" t="0" r="4445" b="0"/>
            <wp:docPr id="21" name="图片 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187"/>
                    <pic:cNvPicPr>
                      <a:picLocks noChangeAspect="1" noChangeArrowheads="1"/>
                    </pic:cNvPicPr>
                  </pic:nvPicPr>
                  <pic:blipFill>
                    <a:blip r:embed="rId73" cstate="print"/>
                    <a:srcRect/>
                    <a:stretch>
                      <a:fillRect/>
                    </a:stretch>
                  </pic:blipFill>
                  <pic:spPr>
                    <a:xfrm>
                      <a:off x="0" y="0"/>
                      <a:ext cx="2014855" cy="643255"/>
                    </a:xfrm>
                    <a:prstGeom prst="rect">
                      <a:avLst/>
                    </a:prstGeom>
                    <a:noFill/>
                    <a:ln w="9525">
                      <a:noFill/>
                      <a:miter lim="800000"/>
                      <a:headEnd/>
                      <a:tailEnd/>
                    </a:ln>
                  </pic:spPr>
                </pic:pic>
              </a:graphicData>
            </a:graphic>
          </wp:inline>
        </w:drawing>
      </w:r>
    </w:p>
    <w:p>
      <w:pPr>
        <w:tabs>
          <w:tab w:val="left" w:pos="5925"/>
        </w:tabs>
        <w:overflowPunct w:val="0"/>
        <w:autoSpaceDE w:val="0"/>
        <w:ind w:firstLine="480"/>
        <w:rPr>
          <w:rFonts w:ascii="Times New Roman" w:cs="Times New Roman"/>
        </w:rPr>
      </w:pPr>
      <w:r>
        <w:rPr>
          <w:rFonts w:ascii="Times New Roman" w:cs="Times New Roman"/>
        </w:rPr>
        <w:t>式中：ρrel—排放物质进入大气的初始密度，kg/m</w:t>
      </w:r>
      <w:r>
        <w:rPr>
          <w:rFonts w:ascii="Times New Roman" w:cs="Times New Roman"/>
          <w:vertAlign w:val="superscript"/>
        </w:rPr>
        <w:t>3</w:t>
      </w:r>
      <w:r>
        <w:rPr>
          <w:rFonts w:ascii="Times New Roman" w:cs="Times New Roman"/>
        </w:rPr>
        <w:t>，天然气取0.7012；</w:t>
      </w:r>
    </w:p>
    <w:p>
      <w:pPr>
        <w:tabs>
          <w:tab w:val="left" w:pos="5925"/>
        </w:tabs>
        <w:overflowPunct w:val="0"/>
        <w:autoSpaceDE w:val="0"/>
        <w:ind w:firstLine="1200" w:firstLineChars="500"/>
        <w:rPr>
          <w:rFonts w:ascii="Times New Roman" w:cs="Times New Roman"/>
        </w:rPr>
      </w:pPr>
      <w:r>
        <w:rPr>
          <w:rFonts w:ascii="Times New Roman" w:cs="Times New Roman"/>
        </w:rPr>
        <w:t>ρa—环境空气密度，kg/m</w:t>
      </w:r>
      <w:r>
        <w:rPr>
          <w:rFonts w:ascii="Times New Roman" w:cs="Times New Roman"/>
          <w:vertAlign w:val="superscript"/>
        </w:rPr>
        <w:t>3</w:t>
      </w:r>
      <w:r>
        <w:rPr>
          <w:rFonts w:ascii="Times New Roman" w:cs="Times New Roman"/>
        </w:rPr>
        <w:t>，取1.29；</w:t>
      </w:r>
    </w:p>
    <w:p>
      <w:pPr>
        <w:tabs>
          <w:tab w:val="left" w:pos="5925"/>
        </w:tabs>
        <w:overflowPunct w:val="0"/>
        <w:autoSpaceDE w:val="0"/>
        <w:ind w:firstLine="1200" w:firstLineChars="500"/>
        <w:rPr>
          <w:rFonts w:ascii="Times New Roman" w:cs="Times New Roman"/>
        </w:rPr>
      </w:pPr>
      <w:r>
        <w:rPr>
          <w:rFonts w:ascii="Times New Roman" w:cs="Times New Roman"/>
        </w:rPr>
        <w:t>Q—连续排放烟羽的排放速率，kg/s；</w:t>
      </w:r>
    </w:p>
    <w:p>
      <w:pPr>
        <w:tabs>
          <w:tab w:val="left" w:pos="5925"/>
        </w:tabs>
        <w:overflowPunct w:val="0"/>
        <w:autoSpaceDE w:val="0"/>
        <w:ind w:firstLine="1200" w:firstLineChars="500"/>
        <w:rPr>
          <w:rFonts w:ascii="Times New Roman" w:cs="Times New Roman"/>
        </w:rPr>
      </w:pPr>
      <w:r>
        <w:rPr>
          <w:rFonts w:ascii="Times New Roman" w:cs="Times New Roman"/>
        </w:rPr>
        <w:t>Drel—初始的烟团宽度，即源直径，m；</w:t>
      </w:r>
    </w:p>
    <w:p>
      <w:pPr>
        <w:tabs>
          <w:tab w:val="left" w:pos="5925"/>
        </w:tabs>
        <w:overflowPunct w:val="0"/>
        <w:autoSpaceDE w:val="0"/>
        <w:ind w:firstLine="1200" w:firstLineChars="500"/>
        <w:rPr>
          <w:rFonts w:ascii="Times New Roman" w:cs="Times New Roman"/>
        </w:rPr>
      </w:pPr>
      <w:r>
        <w:rPr>
          <w:rFonts w:ascii="Times New Roman" w:cs="Times New Roman"/>
        </w:rPr>
        <w:t>Ur—10m高处风速，m/s，取1.5m/s；</w:t>
      </w:r>
    </w:p>
    <w:p>
      <w:pPr>
        <w:tabs>
          <w:tab w:val="left" w:pos="5925"/>
        </w:tabs>
        <w:overflowPunct w:val="0"/>
        <w:autoSpaceDE w:val="0"/>
        <w:ind w:firstLine="480"/>
        <w:rPr>
          <w:rFonts w:ascii="Times New Roman" w:cs="Times New Roman"/>
        </w:rPr>
      </w:pPr>
      <w:r>
        <w:rPr>
          <w:rFonts w:ascii="Times New Roman" w:cs="Times New Roman"/>
        </w:rPr>
        <w:t>根据AERMOD风险源强估算模式计算得出：</w:t>
      </w:r>
      <w:r>
        <w:rPr>
          <w:rFonts w:hint="eastAsia" w:ascii="Times New Roman" w:cs="Times New Roman"/>
        </w:rPr>
        <w:t>CH</w:t>
      </w:r>
      <w:r>
        <w:rPr>
          <w:rFonts w:hint="eastAsia" w:ascii="Times New Roman" w:cs="Times New Roman"/>
          <w:vertAlign w:val="subscript"/>
        </w:rPr>
        <w:t>4</w:t>
      </w:r>
      <w:r>
        <w:rPr>
          <w:rFonts w:hint="eastAsia" w:ascii="Times New Roman" w:cs="Times New Roman"/>
        </w:rPr>
        <w:t>预测模式选用AFTOX模式，H</w:t>
      </w:r>
      <w:r>
        <w:rPr>
          <w:rFonts w:hint="eastAsia" w:ascii="Times New Roman" w:cs="Times New Roman"/>
          <w:vertAlign w:val="subscript"/>
        </w:rPr>
        <w:t>2</w:t>
      </w:r>
      <w:r>
        <w:rPr>
          <w:rFonts w:hint="eastAsia" w:ascii="Times New Roman" w:cs="Times New Roman"/>
        </w:rPr>
        <w:t>S、CO预测模式选用SLAB 模式</w:t>
      </w:r>
      <w:r>
        <w:rPr>
          <w:rFonts w:ascii="Times New Roman" w:cs="Times New Roman"/>
        </w:rPr>
        <w:t>。</w:t>
      </w:r>
    </w:p>
    <w:p>
      <w:pPr>
        <w:tabs>
          <w:tab w:val="left" w:pos="5925"/>
        </w:tabs>
        <w:overflowPunct w:val="0"/>
        <w:autoSpaceDE w:val="0"/>
        <w:ind w:firstLine="0" w:firstLineChars="0"/>
        <w:jc w:val="center"/>
        <w:rPr>
          <w:rFonts w:ascii="Times New Roman" w:cs="Times New Roman"/>
          <w:b/>
          <w:bCs/>
        </w:rPr>
      </w:pPr>
      <w:r>
        <w:rPr>
          <w:rFonts w:hint="eastAsia" w:ascii="Times New Roman" w:cs="Times New Roman"/>
          <w:b/>
          <w:bCs/>
        </w:rPr>
        <w:t>表7.9-1 预测模型筛选确定表</w:t>
      </w:r>
    </w:p>
    <w:tbl>
      <w:tblPr>
        <w:tblStyle w:val="6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161"/>
        <w:gridCol w:w="2039"/>
        <w:gridCol w:w="1801"/>
        <w:gridCol w:w="18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98" w:type="dxa"/>
            <w:tcBorders>
              <w:tl2br w:val="nil"/>
              <w:tr2bl w:val="nil"/>
            </w:tcBorders>
            <w:vAlign w:val="center"/>
          </w:tcPr>
          <w:p>
            <w:pPr>
              <w:topLinePunct w:val="0"/>
              <w:snapToGrid w:val="0"/>
              <w:spacing w:line="240" w:lineRule="exact"/>
              <w:ind w:firstLine="0" w:firstLineChars="0"/>
              <w:jc w:val="center"/>
              <w:rPr>
                <w:rFonts w:ascii="Times New Roman" w:eastAsia="Times New Roman" w:cs="Times New Roman"/>
                <w:bCs/>
                <w:kern w:val="2"/>
                <w:sz w:val="21"/>
                <w:szCs w:val="21"/>
              </w:rPr>
            </w:pPr>
            <w:r>
              <w:rPr>
                <w:rFonts w:hint="eastAsia" w:ascii="Times New Roman" w:eastAsia="Times New Roman" w:cs="Times New Roman"/>
                <w:bCs/>
                <w:kern w:val="2"/>
                <w:sz w:val="21"/>
                <w:szCs w:val="21"/>
              </w:rPr>
              <w:t>物质</w:t>
            </w:r>
          </w:p>
        </w:tc>
        <w:tc>
          <w:tcPr>
            <w:tcW w:w="2162" w:type="dxa"/>
            <w:tcBorders>
              <w:tl2br w:val="nil"/>
              <w:tr2bl w:val="nil"/>
            </w:tcBorders>
            <w:vAlign w:val="center"/>
          </w:tcPr>
          <w:p>
            <w:pPr>
              <w:topLinePunct w:val="0"/>
              <w:snapToGrid w:val="0"/>
              <w:spacing w:line="240" w:lineRule="exact"/>
              <w:ind w:firstLine="0" w:firstLineChars="0"/>
              <w:jc w:val="center"/>
              <w:rPr>
                <w:rFonts w:ascii="Times New Roman" w:eastAsia="Times New Roman" w:cs="Times New Roman"/>
                <w:bCs/>
                <w:kern w:val="2"/>
                <w:sz w:val="21"/>
                <w:szCs w:val="21"/>
              </w:rPr>
            </w:pPr>
            <w:r>
              <w:rPr>
                <w:rFonts w:hint="eastAsia" w:ascii="Times New Roman" w:eastAsia="Times New Roman" w:cs="Times New Roman"/>
                <w:bCs/>
                <w:kern w:val="2"/>
                <w:sz w:val="21"/>
                <w:szCs w:val="21"/>
              </w:rPr>
              <w:t>CH</w:t>
            </w:r>
            <w:r>
              <w:rPr>
                <w:rFonts w:hint="eastAsia" w:ascii="Times New Roman" w:eastAsia="Times New Roman" w:cs="Times New Roman"/>
                <w:bCs/>
                <w:kern w:val="2"/>
                <w:sz w:val="21"/>
                <w:szCs w:val="21"/>
                <w:vertAlign w:val="subscript"/>
              </w:rPr>
              <w:t>4</w:t>
            </w:r>
          </w:p>
        </w:tc>
        <w:tc>
          <w:tcPr>
            <w:tcW w:w="2040" w:type="dxa"/>
            <w:tcBorders>
              <w:tl2br w:val="nil"/>
              <w:tr2bl w:val="nil"/>
            </w:tcBorders>
            <w:vAlign w:val="center"/>
          </w:tcPr>
          <w:p>
            <w:pPr>
              <w:topLinePunct w:val="0"/>
              <w:snapToGrid w:val="0"/>
              <w:spacing w:line="240" w:lineRule="exact"/>
              <w:ind w:firstLine="0" w:firstLineChars="0"/>
              <w:jc w:val="center"/>
              <w:rPr>
                <w:rFonts w:ascii="Times New Roman" w:eastAsia="Times New Roman" w:cs="Times New Roman"/>
                <w:bCs/>
                <w:kern w:val="2"/>
                <w:sz w:val="21"/>
                <w:szCs w:val="21"/>
              </w:rPr>
            </w:pPr>
            <w:r>
              <w:rPr>
                <w:rFonts w:hint="eastAsia" w:ascii="Times New Roman" w:eastAsia="Times New Roman" w:cs="Times New Roman"/>
                <w:bCs/>
                <w:kern w:val="2"/>
                <w:sz w:val="21"/>
                <w:szCs w:val="21"/>
              </w:rPr>
              <w:t>H</w:t>
            </w:r>
            <w:r>
              <w:rPr>
                <w:rFonts w:hint="eastAsia" w:ascii="Times New Roman" w:eastAsia="Times New Roman" w:cs="Times New Roman"/>
                <w:bCs/>
                <w:kern w:val="2"/>
                <w:sz w:val="21"/>
                <w:szCs w:val="21"/>
                <w:vertAlign w:val="subscript"/>
              </w:rPr>
              <w:t>2</w:t>
            </w:r>
            <w:r>
              <w:rPr>
                <w:rFonts w:hint="eastAsia" w:ascii="Times New Roman" w:eastAsia="Times New Roman" w:cs="Times New Roman"/>
                <w:bCs/>
                <w:kern w:val="2"/>
                <w:sz w:val="21"/>
                <w:szCs w:val="21"/>
              </w:rPr>
              <w:t>S</w:t>
            </w:r>
          </w:p>
        </w:tc>
        <w:tc>
          <w:tcPr>
            <w:tcW w:w="1801" w:type="dxa"/>
            <w:tcBorders>
              <w:tl2br w:val="nil"/>
              <w:tr2bl w:val="nil"/>
            </w:tcBorders>
            <w:vAlign w:val="center"/>
          </w:tcPr>
          <w:p>
            <w:pPr>
              <w:topLinePunct w:val="0"/>
              <w:snapToGrid w:val="0"/>
              <w:spacing w:line="240" w:lineRule="exact"/>
              <w:ind w:firstLine="0" w:firstLineChars="0"/>
              <w:jc w:val="center"/>
              <w:rPr>
                <w:rFonts w:ascii="Times New Roman" w:eastAsia="Times New Roman" w:cs="Times New Roman"/>
                <w:bCs/>
                <w:kern w:val="2"/>
                <w:sz w:val="21"/>
                <w:szCs w:val="21"/>
              </w:rPr>
            </w:pPr>
            <w:r>
              <w:rPr>
                <w:rFonts w:hint="eastAsia" w:ascii="Times New Roman" w:eastAsia="Times New Roman" w:cs="Times New Roman"/>
                <w:bCs/>
                <w:kern w:val="2"/>
                <w:sz w:val="21"/>
                <w:szCs w:val="21"/>
              </w:rPr>
              <w:t>CO</w:t>
            </w:r>
          </w:p>
        </w:tc>
        <w:tc>
          <w:tcPr>
            <w:tcW w:w="1801" w:type="dxa"/>
            <w:tcBorders>
              <w:tl2br w:val="nil"/>
              <w:tr2bl w:val="nil"/>
            </w:tcBorders>
            <w:vAlign w:val="center"/>
          </w:tcPr>
          <w:p>
            <w:pPr>
              <w:topLinePunct w:val="0"/>
              <w:snapToGrid w:val="0"/>
              <w:spacing w:line="240" w:lineRule="exact"/>
              <w:ind w:firstLine="0" w:firstLineChars="0"/>
              <w:jc w:val="center"/>
              <w:rPr>
                <w:rFonts w:ascii="Times New Roman" w:eastAsia="Times New Roman" w:cs="Times New Roman"/>
                <w:bCs/>
                <w:kern w:val="2"/>
                <w:sz w:val="21"/>
                <w:szCs w:val="21"/>
              </w:rPr>
            </w:pPr>
            <w:r>
              <w:rPr>
                <w:rFonts w:hint="eastAsia" w:ascii="Times New Roman" w:eastAsia="Times New Roman" w:cs="Times New Roman"/>
                <w:bCs/>
                <w:kern w:val="2"/>
                <w:sz w:val="21"/>
                <w:szCs w:val="21"/>
              </w:rPr>
              <w:t>SO</w:t>
            </w:r>
            <w:r>
              <w:rPr>
                <w:rFonts w:hint="eastAsia" w:ascii="Times New Roman" w:eastAsia="Times New Roman" w:cs="Times New Roman"/>
                <w:bCs/>
                <w:kern w:val="2"/>
                <w:sz w:val="21"/>
                <w:szCs w:val="21"/>
                <w:vertAlign w:val="sub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98" w:type="dxa"/>
            <w:tcBorders>
              <w:tl2br w:val="nil"/>
              <w:tr2bl w:val="nil"/>
            </w:tcBorders>
            <w:vAlign w:val="center"/>
          </w:tcPr>
          <w:p>
            <w:pPr>
              <w:topLinePunct w:val="0"/>
              <w:snapToGrid w:val="0"/>
              <w:spacing w:line="240" w:lineRule="exact"/>
              <w:ind w:firstLine="0" w:firstLineChars="0"/>
              <w:jc w:val="center"/>
              <w:rPr>
                <w:rFonts w:ascii="Times New Roman" w:eastAsia="Times New Roman" w:cs="Times New Roman"/>
                <w:bCs/>
                <w:kern w:val="2"/>
                <w:sz w:val="21"/>
                <w:szCs w:val="21"/>
              </w:rPr>
            </w:pPr>
            <w:r>
              <w:rPr>
                <w:rFonts w:hint="eastAsia" w:ascii="Times New Roman" w:eastAsia="Times New Roman" w:cs="Times New Roman"/>
                <w:bCs/>
                <w:kern w:val="2"/>
                <w:sz w:val="21"/>
                <w:szCs w:val="21"/>
              </w:rPr>
              <w:t>理查德森数（Ri）</w:t>
            </w:r>
          </w:p>
        </w:tc>
        <w:tc>
          <w:tcPr>
            <w:tcW w:w="2162" w:type="dxa"/>
            <w:tcBorders>
              <w:tl2br w:val="nil"/>
              <w:tr2bl w:val="nil"/>
            </w:tcBorders>
            <w:vAlign w:val="center"/>
          </w:tcPr>
          <w:p>
            <w:pPr>
              <w:topLinePunct w:val="0"/>
              <w:snapToGrid w:val="0"/>
              <w:spacing w:line="240" w:lineRule="exact"/>
              <w:ind w:firstLine="0" w:firstLineChars="0"/>
              <w:jc w:val="center"/>
              <w:rPr>
                <w:rFonts w:ascii="Times New Roman" w:eastAsia="Times New Roman" w:cs="Times New Roman"/>
                <w:bCs/>
                <w:kern w:val="2"/>
                <w:sz w:val="21"/>
                <w:szCs w:val="21"/>
              </w:rPr>
            </w:pPr>
            <w:r>
              <w:rPr>
                <w:rFonts w:hint="eastAsia" w:ascii="Times New Roman" w:eastAsia="Times New Roman" w:cs="Times New Roman"/>
                <w:bCs/>
                <w:kern w:val="2"/>
                <w:sz w:val="21"/>
                <w:szCs w:val="21"/>
              </w:rPr>
              <w:t>烟团初始密度未大于空气密度，不计算理查德森数。扩散计算建议采用AFTOX模式</w:t>
            </w:r>
          </w:p>
        </w:tc>
        <w:tc>
          <w:tcPr>
            <w:tcW w:w="2040" w:type="dxa"/>
            <w:tcBorders>
              <w:tl2br w:val="nil"/>
              <w:tr2bl w:val="nil"/>
            </w:tcBorders>
            <w:vAlign w:val="center"/>
          </w:tcPr>
          <w:p>
            <w:pPr>
              <w:topLinePunct w:val="0"/>
              <w:snapToGrid w:val="0"/>
              <w:spacing w:line="240" w:lineRule="exact"/>
              <w:ind w:firstLine="0" w:firstLineChars="0"/>
              <w:jc w:val="center"/>
              <w:rPr>
                <w:rFonts w:ascii="Times New Roman" w:eastAsia="Times New Roman" w:cs="Times New Roman"/>
                <w:bCs/>
                <w:kern w:val="2"/>
                <w:sz w:val="21"/>
                <w:szCs w:val="21"/>
              </w:rPr>
            </w:pPr>
            <w:r>
              <w:rPr>
                <w:rFonts w:hint="eastAsia" w:ascii="Times New Roman" w:eastAsia="Times New Roman" w:cs="Times New Roman"/>
                <w:bCs/>
                <w:kern w:val="2"/>
                <w:sz w:val="21"/>
                <w:szCs w:val="21"/>
              </w:rPr>
              <w:t>理查德森数Ri≥1/6，为重质气体。扩散计算建议采用 SLAB 模式。</w:t>
            </w:r>
          </w:p>
        </w:tc>
        <w:tc>
          <w:tcPr>
            <w:tcW w:w="1801" w:type="dxa"/>
            <w:tcBorders>
              <w:tl2br w:val="nil"/>
              <w:tr2bl w:val="nil"/>
            </w:tcBorders>
            <w:vAlign w:val="center"/>
          </w:tcPr>
          <w:p>
            <w:pPr>
              <w:topLinePunct w:val="0"/>
              <w:snapToGrid w:val="0"/>
              <w:spacing w:line="240" w:lineRule="exact"/>
              <w:ind w:firstLine="0" w:firstLineChars="0"/>
              <w:jc w:val="center"/>
              <w:rPr>
                <w:rFonts w:ascii="Times New Roman" w:eastAsia="Times New Roman" w:cs="Times New Roman"/>
                <w:bCs/>
                <w:kern w:val="2"/>
                <w:sz w:val="21"/>
                <w:szCs w:val="21"/>
              </w:rPr>
            </w:pPr>
            <w:r>
              <w:rPr>
                <w:rFonts w:hint="eastAsia" w:ascii="Times New Roman" w:eastAsia="Times New Roman" w:cs="Times New Roman"/>
                <w:bCs/>
                <w:kern w:val="2"/>
                <w:sz w:val="21"/>
                <w:szCs w:val="21"/>
              </w:rPr>
              <w:t>AERMOD风险源强估算模式中无相关参数，参照AFTOX模式计算</w:t>
            </w:r>
          </w:p>
        </w:tc>
        <w:tc>
          <w:tcPr>
            <w:tcW w:w="1801" w:type="dxa"/>
            <w:tcBorders>
              <w:tl2br w:val="nil"/>
              <w:tr2bl w:val="nil"/>
            </w:tcBorders>
            <w:vAlign w:val="center"/>
          </w:tcPr>
          <w:p>
            <w:pPr>
              <w:topLinePunct w:val="0"/>
              <w:snapToGrid w:val="0"/>
              <w:spacing w:line="240" w:lineRule="exact"/>
              <w:ind w:firstLine="0" w:firstLineChars="0"/>
              <w:jc w:val="center"/>
              <w:rPr>
                <w:rFonts w:ascii="Times New Roman" w:eastAsia="Times New Roman" w:cs="Times New Roman"/>
                <w:bCs/>
                <w:kern w:val="2"/>
                <w:sz w:val="21"/>
                <w:szCs w:val="21"/>
              </w:rPr>
            </w:pPr>
            <w:r>
              <w:rPr>
                <w:rFonts w:hint="eastAsia" w:ascii="Times New Roman" w:eastAsia="Times New Roman" w:cs="Times New Roman"/>
                <w:bCs/>
                <w:kern w:val="2"/>
                <w:sz w:val="21"/>
                <w:szCs w:val="21"/>
              </w:rPr>
              <w:t>理查德森数Ri≥1/6，为重质气体。扩散计算建议采用 SLAB 模式。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98" w:type="dxa"/>
            <w:tcBorders>
              <w:tl2br w:val="nil"/>
              <w:tr2bl w:val="nil"/>
            </w:tcBorders>
            <w:vAlign w:val="center"/>
          </w:tcPr>
          <w:p>
            <w:pPr>
              <w:topLinePunct w:val="0"/>
              <w:snapToGrid w:val="0"/>
              <w:spacing w:line="240" w:lineRule="exact"/>
              <w:ind w:firstLine="0" w:firstLineChars="0"/>
              <w:jc w:val="center"/>
              <w:rPr>
                <w:rFonts w:ascii="Times New Roman" w:eastAsia="Times New Roman" w:cs="Times New Roman"/>
                <w:bCs/>
                <w:kern w:val="2"/>
                <w:sz w:val="21"/>
                <w:szCs w:val="21"/>
              </w:rPr>
            </w:pPr>
            <w:r>
              <w:rPr>
                <w:rFonts w:hint="eastAsia" w:ascii="Times New Roman" w:eastAsia="Times New Roman" w:cs="Times New Roman"/>
                <w:bCs/>
                <w:kern w:val="2"/>
                <w:sz w:val="21"/>
                <w:szCs w:val="21"/>
              </w:rPr>
              <w:t>模型选择</w:t>
            </w:r>
          </w:p>
        </w:tc>
        <w:tc>
          <w:tcPr>
            <w:tcW w:w="2162" w:type="dxa"/>
            <w:tcBorders>
              <w:tl2br w:val="nil"/>
              <w:tr2bl w:val="nil"/>
            </w:tcBorders>
            <w:vAlign w:val="center"/>
          </w:tcPr>
          <w:p>
            <w:pPr>
              <w:topLinePunct w:val="0"/>
              <w:snapToGrid w:val="0"/>
              <w:spacing w:line="240" w:lineRule="exact"/>
              <w:ind w:firstLine="0" w:firstLineChars="0"/>
              <w:jc w:val="center"/>
              <w:rPr>
                <w:rFonts w:ascii="Times New Roman" w:eastAsia="Times New Roman" w:cs="Times New Roman"/>
                <w:bCs/>
                <w:kern w:val="2"/>
                <w:sz w:val="21"/>
                <w:szCs w:val="21"/>
              </w:rPr>
            </w:pPr>
            <w:r>
              <w:rPr>
                <w:rFonts w:hint="eastAsia" w:ascii="Times New Roman" w:eastAsia="Times New Roman" w:cs="Times New Roman"/>
                <w:bCs/>
                <w:kern w:val="2"/>
                <w:sz w:val="21"/>
                <w:szCs w:val="21"/>
              </w:rPr>
              <w:t>AFTOX模式</w:t>
            </w:r>
          </w:p>
        </w:tc>
        <w:tc>
          <w:tcPr>
            <w:tcW w:w="2040" w:type="dxa"/>
            <w:tcBorders>
              <w:tl2br w:val="nil"/>
              <w:tr2bl w:val="nil"/>
            </w:tcBorders>
            <w:vAlign w:val="center"/>
          </w:tcPr>
          <w:p>
            <w:pPr>
              <w:topLinePunct w:val="0"/>
              <w:snapToGrid w:val="0"/>
              <w:spacing w:line="240" w:lineRule="exact"/>
              <w:ind w:firstLine="0" w:firstLineChars="0"/>
              <w:jc w:val="center"/>
              <w:rPr>
                <w:rFonts w:ascii="Times New Roman" w:eastAsia="Times New Roman" w:cs="Times New Roman"/>
                <w:bCs/>
                <w:kern w:val="2"/>
                <w:sz w:val="21"/>
                <w:szCs w:val="21"/>
              </w:rPr>
            </w:pPr>
            <w:r>
              <w:rPr>
                <w:rFonts w:hint="eastAsia" w:ascii="Times New Roman" w:eastAsia="Times New Roman" w:cs="Times New Roman"/>
                <w:bCs/>
                <w:kern w:val="2"/>
                <w:sz w:val="21"/>
                <w:szCs w:val="21"/>
              </w:rPr>
              <w:t>SLAB 模式</w:t>
            </w:r>
          </w:p>
        </w:tc>
        <w:tc>
          <w:tcPr>
            <w:tcW w:w="1801" w:type="dxa"/>
            <w:tcBorders>
              <w:tl2br w:val="nil"/>
              <w:tr2bl w:val="nil"/>
            </w:tcBorders>
            <w:vAlign w:val="center"/>
          </w:tcPr>
          <w:p>
            <w:pPr>
              <w:topLinePunct w:val="0"/>
              <w:snapToGrid w:val="0"/>
              <w:spacing w:line="240" w:lineRule="exact"/>
              <w:ind w:firstLine="0" w:firstLineChars="0"/>
              <w:jc w:val="center"/>
              <w:rPr>
                <w:rFonts w:ascii="Times New Roman" w:eastAsia="Times New Roman" w:cs="Times New Roman"/>
                <w:bCs/>
                <w:kern w:val="2"/>
                <w:sz w:val="21"/>
                <w:szCs w:val="21"/>
              </w:rPr>
            </w:pPr>
            <w:r>
              <w:rPr>
                <w:rFonts w:hint="eastAsia" w:ascii="Times New Roman" w:eastAsia="Times New Roman" w:cs="Times New Roman"/>
                <w:bCs/>
                <w:kern w:val="2"/>
                <w:sz w:val="21"/>
                <w:szCs w:val="21"/>
              </w:rPr>
              <w:t>参照AFTOX模式</w:t>
            </w:r>
          </w:p>
        </w:tc>
        <w:tc>
          <w:tcPr>
            <w:tcW w:w="1801" w:type="dxa"/>
            <w:tcBorders>
              <w:tl2br w:val="nil"/>
              <w:tr2bl w:val="nil"/>
            </w:tcBorders>
            <w:vAlign w:val="center"/>
          </w:tcPr>
          <w:p>
            <w:pPr>
              <w:topLinePunct w:val="0"/>
              <w:snapToGrid w:val="0"/>
              <w:spacing w:line="240" w:lineRule="exact"/>
              <w:ind w:firstLine="0" w:firstLineChars="0"/>
              <w:jc w:val="center"/>
              <w:rPr>
                <w:rFonts w:ascii="Times New Roman" w:eastAsia="Times New Roman" w:cs="Times New Roman"/>
                <w:bCs/>
                <w:kern w:val="2"/>
                <w:sz w:val="21"/>
                <w:szCs w:val="21"/>
              </w:rPr>
            </w:pPr>
            <w:r>
              <w:rPr>
                <w:rFonts w:hint="eastAsia" w:ascii="Times New Roman" w:eastAsia="Times New Roman" w:cs="Times New Roman"/>
                <w:bCs/>
                <w:kern w:val="2"/>
                <w:sz w:val="21"/>
                <w:szCs w:val="21"/>
              </w:rPr>
              <w:t>SLAB 模式</w:t>
            </w:r>
          </w:p>
        </w:tc>
      </w:tr>
    </w:tbl>
    <w:p>
      <w:pPr>
        <w:spacing w:before="24"/>
        <w:ind w:firstLine="482"/>
        <w:rPr>
          <w:rFonts w:ascii="Times New Roman" w:cs="Times New Roman"/>
          <w:b/>
        </w:rPr>
      </w:pPr>
      <w:r>
        <w:rPr>
          <w:rFonts w:ascii="Times New Roman" w:cs="Times New Roman"/>
          <w:b/>
        </w:rPr>
        <w:t>（</w:t>
      </w:r>
      <w:r>
        <w:rPr>
          <w:rFonts w:ascii="Times New Roman" w:cs="Times New Roman"/>
          <w:b/>
          <w:bCs/>
        </w:rPr>
        <w:t>2</w:t>
      </w:r>
      <w:r>
        <w:rPr>
          <w:rFonts w:ascii="Times New Roman" w:cs="Times New Roman"/>
          <w:b/>
        </w:rPr>
        <w:t>）预测范围与计算点、预测时段</w:t>
      </w:r>
    </w:p>
    <w:p>
      <w:pPr>
        <w:spacing w:before="24"/>
        <w:ind w:firstLine="480"/>
        <w:rPr>
          <w:rFonts w:ascii="Times New Roman" w:cs="Times New Roman"/>
        </w:rPr>
      </w:pPr>
      <w:r>
        <w:rPr>
          <w:rFonts w:ascii="Times New Roman" w:cs="Times New Roman"/>
        </w:rPr>
        <w:t>预测范围5km。特殊计算点为5km内大气环境敏感目标，一般计算点设置100m间距。</w:t>
      </w:r>
    </w:p>
    <w:p>
      <w:pPr>
        <w:spacing w:before="24"/>
        <w:ind w:firstLine="480"/>
        <w:rPr>
          <w:rFonts w:ascii="Times New Roman" w:cs="Times New Roman"/>
        </w:rPr>
      </w:pPr>
      <w:r>
        <w:rPr>
          <w:rFonts w:ascii="Times New Roman" w:cs="Times New Roman"/>
        </w:rPr>
        <w:t xml:space="preserve">预测时段：[0，3600s]60s，预测时间1小时，间隔60秒。 </w:t>
      </w:r>
    </w:p>
    <w:p>
      <w:pPr>
        <w:spacing w:before="24"/>
        <w:ind w:firstLine="482"/>
        <w:rPr>
          <w:rFonts w:ascii="Times New Roman" w:cs="Times New Roman"/>
          <w:b/>
        </w:rPr>
      </w:pPr>
      <w:r>
        <w:rPr>
          <w:rFonts w:ascii="Times New Roman" w:cs="Times New Roman"/>
          <w:b/>
        </w:rPr>
        <w:t>（</w:t>
      </w:r>
      <w:r>
        <w:rPr>
          <w:rFonts w:ascii="Times New Roman" w:cs="Times New Roman"/>
          <w:b/>
          <w:bCs/>
        </w:rPr>
        <w:t>3</w:t>
      </w:r>
      <w:r>
        <w:rPr>
          <w:rFonts w:ascii="Times New Roman" w:cs="Times New Roman"/>
          <w:b/>
        </w:rPr>
        <w:t>）气象参数</w:t>
      </w:r>
    </w:p>
    <w:p>
      <w:pPr>
        <w:pStyle w:val="547"/>
        <w:ind w:firstLine="480"/>
      </w:pPr>
      <w:r>
        <w:rPr>
          <w:rFonts w:hint="eastAsia"/>
        </w:rPr>
        <w:t>根据《建设项目环境风险评价技术导则》（HJ169-2018）中</w:t>
      </w:r>
      <w:r>
        <w:t>二级评价</w:t>
      </w:r>
      <w:r>
        <w:rPr>
          <w:rFonts w:hint="eastAsia"/>
        </w:rPr>
        <w:t>要求</w:t>
      </w:r>
      <w:r>
        <w:t>，需选取最不利气象条件进行后果预测。最不利气象条件取F类稳定度，1.5m/s风速，温度25 ℃，相对湿度50%。</w:t>
      </w:r>
    </w:p>
    <w:p>
      <w:pPr>
        <w:topLinePunct w:val="0"/>
        <w:adjustRightInd/>
        <w:snapToGrid w:val="0"/>
        <w:spacing w:line="500" w:lineRule="exact"/>
        <w:ind w:firstLine="422"/>
        <w:jc w:val="center"/>
        <w:rPr>
          <w:rFonts w:ascii="Times New Roman" w:cs="Times New Roman"/>
          <w:b/>
          <w:kern w:val="2"/>
          <w:sz w:val="21"/>
          <w:szCs w:val="21"/>
        </w:rPr>
      </w:pPr>
      <w:r>
        <w:rPr>
          <w:rFonts w:ascii="Times New Roman" w:cs="Times New Roman"/>
          <w:b/>
          <w:kern w:val="2"/>
          <w:sz w:val="21"/>
          <w:szCs w:val="21"/>
        </w:rPr>
        <w:t>表7.</w:t>
      </w:r>
      <w:r>
        <w:rPr>
          <w:rFonts w:hint="eastAsia" w:ascii="Times New Roman" w:cs="Times New Roman"/>
          <w:b/>
          <w:kern w:val="2"/>
          <w:sz w:val="21"/>
          <w:szCs w:val="21"/>
        </w:rPr>
        <w:t>9</w:t>
      </w:r>
      <w:r>
        <w:rPr>
          <w:rFonts w:ascii="Times New Roman" w:cs="Times New Roman"/>
          <w:b/>
          <w:kern w:val="2"/>
          <w:sz w:val="21"/>
          <w:szCs w:val="21"/>
        </w:rPr>
        <w:t>-</w:t>
      </w:r>
      <w:r>
        <w:rPr>
          <w:rFonts w:hint="eastAsia" w:ascii="Times New Roman" w:cs="Times New Roman"/>
          <w:b/>
          <w:kern w:val="2"/>
          <w:sz w:val="21"/>
          <w:szCs w:val="21"/>
        </w:rPr>
        <w:t>2</w:t>
      </w:r>
      <w:r>
        <w:rPr>
          <w:rFonts w:ascii="Times New Roman" w:cs="Times New Roman"/>
          <w:b/>
          <w:kern w:val="2"/>
          <w:sz w:val="21"/>
          <w:szCs w:val="21"/>
        </w:rPr>
        <w:t xml:space="preserve">  大气风险预测模型筛选参数</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185"/>
        <w:gridCol w:w="2202"/>
        <w:gridCol w:w="434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00" w:type="dxa"/>
            <w:vAlign w:val="center"/>
          </w:tcPr>
          <w:p>
            <w:pPr>
              <w:topLinePunct w:val="0"/>
              <w:snapToGrid w:val="0"/>
              <w:spacing w:line="240" w:lineRule="exact"/>
              <w:ind w:firstLine="0" w:firstLineChars="0"/>
              <w:jc w:val="center"/>
              <w:rPr>
                <w:rFonts w:ascii="Times New Roman" w:cs="Times New Roman"/>
                <w:b/>
                <w:bCs/>
                <w:kern w:val="2"/>
                <w:sz w:val="21"/>
                <w:szCs w:val="21"/>
              </w:rPr>
            </w:pPr>
            <w:r>
              <w:rPr>
                <w:rFonts w:ascii="Times New Roman" w:cs="Times New Roman"/>
                <w:b/>
                <w:bCs/>
                <w:kern w:val="2"/>
                <w:sz w:val="21"/>
                <w:szCs w:val="21"/>
              </w:rPr>
              <w:t>参数类型</w:t>
            </w:r>
          </w:p>
        </w:tc>
        <w:tc>
          <w:tcPr>
            <w:tcW w:w="2318" w:type="dxa"/>
            <w:vAlign w:val="center"/>
          </w:tcPr>
          <w:p>
            <w:pPr>
              <w:topLinePunct w:val="0"/>
              <w:snapToGrid w:val="0"/>
              <w:spacing w:line="240" w:lineRule="exact"/>
              <w:ind w:firstLine="0" w:firstLineChars="0"/>
              <w:jc w:val="center"/>
              <w:rPr>
                <w:rFonts w:ascii="Times New Roman" w:cs="Times New Roman"/>
                <w:b/>
                <w:bCs/>
                <w:kern w:val="2"/>
                <w:sz w:val="21"/>
                <w:szCs w:val="21"/>
              </w:rPr>
            </w:pPr>
            <w:r>
              <w:rPr>
                <w:rFonts w:ascii="Times New Roman" w:cs="Times New Roman"/>
                <w:b/>
                <w:bCs/>
                <w:kern w:val="2"/>
                <w:sz w:val="21"/>
                <w:szCs w:val="21"/>
              </w:rPr>
              <w:t>选型</w:t>
            </w:r>
          </w:p>
        </w:tc>
        <w:tc>
          <w:tcPr>
            <w:tcW w:w="4590" w:type="dxa"/>
            <w:vAlign w:val="center"/>
          </w:tcPr>
          <w:p>
            <w:pPr>
              <w:topLinePunct w:val="0"/>
              <w:snapToGrid w:val="0"/>
              <w:spacing w:line="240" w:lineRule="exact"/>
              <w:ind w:firstLine="0" w:firstLineChars="0"/>
              <w:jc w:val="center"/>
              <w:rPr>
                <w:rFonts w:ascii="Times New Roman" w:cs="Times New Roman"/>
                <w:b/>
                <w:bCs/>
                <w:kern w:val="2"/>
                <w:sz w:val="21"/>
                <w:szCs w:val="21"/>
              </w:rPr>
            </w:pPr>
            <w:r>
              <w:rPr>
                <w:rFonts w:ascii="Times New Roman" w:cs="Times New Roman"/>
                <w:b/>
                <w:bCs/>
                <w:kern w:val="2"/>
                <w:sz w:val="21"/>
                <w:szCs w:val="21"/>
              </w:rPr>
              <w:t>参数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00" w:type="dxa"/>
            <w:vMerge w:val="restart"/>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基本情况</w:t>
            </w:r>
          </w:p>
        </w:tc>
        <w:tc>
          <w:tcPr>
            <w:tcW w:w="2318"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事故物质</w:t>
            </w:r>
          </w:p>
        </w:tc>
        <w:tc>
          <w:tcPr>
            <w:tcW w:w="4590"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甲烷、硫化氢</w:t>
            </w:r>
            <w:r>
              <w:rPr>
                <w:rFonts w:hint="eastAsia" w:ascii="Times New Roman" w:cs="Times New Roman"/>
                <w:bCs/>
                <w:kern w:val="2"/>
                <w:sz w:val="21"/>
                <w:szCs w:val="21"/>
              </w:rPr>
              <w:t>、CO</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00" w:type="dxa"/>
            <w:vMerge w:val="continue"/>
            <w:vAlign w:val="center"/>
          </w:tcPr>
          <w:p>
            <w:pPr>
              <w:widowControl/>
              <w:topLinePunct w:val="0"/>
              <w:adjustRightInd/>
              <w:spacing w:line="240" w:lineRule="exact"/>
              <w:ind w:firstLine="420"/>
              <w:jc w:val="center"/>
              <w:rPr>
                <w:rFonts w:ascii="Times New Roman" w:cs="Times New Roman"/>
                <w:bCs/>
                <w:kern w:val="2"/>
                <w:sz w:val="21"/>
                <w:szCs w:val="21"/>
              </w:rPr>
            </w:pPr>
          </w:p>
        </w:tc>
        <w:tc>
          <w:tcPr>
            <w:tcW w:w="2318"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事故源类型</w:t>
            </w:r>
          </w:p>
        </w:tc>
        <w:tc>
          <w:tcPr>
            <w:tcW w:w="4590"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泄漏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00" w:type="dxa"/>
            <w:vMerge w:val="restart"/>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气象参数</w:t>
            </w:r>
          </w:p>
        </w:tc>
        <w:tc>
          <w:tcPr>
            <w:tcW w:w="2318"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气象条件类型</w:t>
            </w:r>
          </w:p>
        </w:tc>
        <w:tc>
          <w:tcPr>
            <w:tcW w:w="4590"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最不利气象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00" w:type="dxa"/>
            <w:vMerge w:val="continue"/>
            <w:vAlign w:val="center"/>
          </w:tcPr>
          <w:p>
            <w:pPr>
              <w:topLinePunct w:val="0"/>
              <w:snapToGrid w:val="0"/>
              <w:spacing w:line="240" w:lineRule="exact"/>
              <w:ind w:firstLine="420"/>
              <w:jc w:val="center"/>
              <w:rPr>
                <w:rFonts w:ascii="Times New Roman" w:cs="Times New Roman"/>
                <w:bCs/>
                <w:kern w:val="2"/>
                <w:sz w:val="21"/>
                <w:szCs w:val="21"/>
              </w:rPr>
            </w:pPr>
          </w:p>
        </w:tc>
        <w:tc>
          <w:tcPr>
            <w:tcW w:w="2318"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风速（m/s）</w:t>
            </w:r>
          </w:p>
        </w:tc>
        <w:tc>
          <w:tcPr>
            <w:tcW w:w="4590"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00" w:type="dxa"/>
            <w:vMerge w:val="continue"/>
            <w:vAlign w:val="center"/>
          </w:tcPr>
          <w:p>
            <w:pPr>
              <w:topLinePunct w:val="0"/>
              <w:snapToGrid w:val="0"/>
              <w:spacing w:line="240" w:lineRule="exact"/>
              <w:ind w:firstLine="420"/>
              <w:jc w:val="center"/>
              <w:rPr>
                <w:rFonts w:ascii="Times New Roman" w:cs="Times New Roman"/>
                <w:bCs/>
                <w:kern w:val="2"/>
                <w:sz w:val="21"/>
                <w:szCs w:val="21"/>
              </w:rPr>
            </w:pPr>
          </w:p>
        </w:tc>
        <w:tc>
          <w:tcPr>
            <w:tcW w:w="2318"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环境温度/℃</w:t>
            </w:r>
          </w:p>
        </w:tc>
        <w:tc>
          <w:tcPr>
            <w:tcW w:w="4590"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00" w:type="dxa"/>
            <w:vMerge w:val="continue"/>
            <w:vAlign w:val="center"/>
          </w:tcPr>
          <w:p>
            <w:pPr>
              <w:topLinePunct w:val="0"/>
              <w:snapToGrid w:val="0"/>
              <w:spacing w:line="240" w:lineRule="exact"/>
              <w:ind w:firstLine="420"/>
              <w:jc w:val="center"/>
              <w:rPr>
                <w:rFonts w:ascii="Times New Roman" w:cs="Times New Roman"/>
                <w:bCs/>
                <w:kern w:val="2"/>
                <w:sz w:val="21"/>
                <w:szCs w:val="21"/>
              </w:rPr>
            </w:pPr>
          </w:p>
        </w:tc>
        <w:tc>
          <w:tcPr>
            <w:tcW w:w="2318"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相对湿度/%</w:t>
            </w:r>
          </w:p>
        </w:tc>
        <w:tc>
          <w:tcPr>
            <w:tcW w:w="4590"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00" w:type="dxa"/>
            <w:vMerge w:val="continue"/>
            <w:vAlign w:val="center"/>
          </w:tcPr>
          <w:p>
            <w:pPr>
              <w:topLinePunct w:val="0"/>
              <w:snapToGrid w:val="0"/>
              <w:spacing w:line="240" w:lineRule="exact"/>
              <w:ind w:firstLine="420"/>
              <w:jc w:val="center"/>
              <w:rPr>
                <w:rFonts w:ascii="Times New Roman" w:cs="Times New Roman"/>
                <w:bCs/>
                <w:kern w:val="2"/>
                <w:sz w:val="21"/>
                <w:szCs w:val="21"/>
              </w:rPr>
            </w:pPr>
          </w:p>
        </w:tc>
        <w:tc>
          <w:tcPr>
            <w:tcW w:w="2318"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稳定度</w:t>
            </w:r>
          </w:p>
        </w:tc>
        <w:tc>
          <w:tcPr>
            <w:tcW w:w="4590"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F</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00" w:type="dxa"/>
            <w:vMerge w:val="restart"/>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其他参数</w:t>
            </w:r>
          </w:p>
        </w:tc>
        <w:tc>
          <w:tcPr>
            <w:tcW w:w="2318"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地表粗糙度/m</w:t>
            </w:r>
          </w:p>
        </w:tc>
        <w:tc>
          <w:tcPr>
            <w:tcW w:w="4590"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kern w:val="2"/>
                <w:sz w:val="21"/>
                <w:szCs w:val="21"/>
              </w:rPr>
              <w:t>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00" w:type="dxa"/>
            <w:vMerge w:val="continue"/>
            <w:vAlign w:val="center"/>
          </w:tcPr>
          <w:p>
            <w:pPr>
              <w:widowControl/>
              <w:topLinePunct w:val="0"/>
              <w:adjustRightInd/>
              <w:spacing w:line="240" w:lineRule="exact"/>
              <w:ind w:firstLine="420"/>
              <w:jc w:val="center"/>
              <w:rPr>
                <w:rFonts w:ascii="Times New Roman" w:cs="Times New Roman"/>
                <w:bCs/>
                <w:kern w:val="2"/>
                <w:sz w:val="21"/>
                <w:szCs w:val="21"/>
              </w:rPr>
            </w:pPr>
          </w:p>
        </w:tc>
        <w:tc>
          <w:tcPr>
            <w:tcW w:w="2318"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是否考虑地形</w:t>
            </w:r>
          </w:p>
        </w:tc>
        <w:tc>
          <w:tcPr>
            <w:tcW w:w="4590" w:type="dxa"/>
            <w:vAlign w:val="center"/>
          </w:tcPr>
          <w:p>
            <w:pPr>
              <w:topLinePunct w:val="0"/>
              <w:snapToGrid w:val="0"/>
              <w:spacing w:line="240" w:lineRule="exact"/>
              <w:ind w:firstLine="0" w:firstLineChars="0"/>
              <w:jc w:val="center"/>
              <w:rPr>
                <w:rFonts w:ascii="Times New Roman" w:cs="Times New Roman"/>
                <w:kern w:val="2"/>
                <w:sz w:val="21"/>
                <w:szCs w:val="21"/>
              </w:rPr>
            </w:pPr>
            <w:r>
              <w:rPr>
                <w:rFonts w:ascii="Times New Roman" w:cs="Times New Roman"/>
                <w:kern w:val="2"/>
                <w:sz w:val="21"/>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00" w:type="dxa"/>
            <w:vMerge w:val="continue"/>
            <w:vAlign w:val="center"/>
          </w:tcPr>
          <w:p>
            <w:pPr>
              <w:widowControl/>
              <w:topLinePunct w:val="0"/>
              <w:adjustRightInd/>
              <w:spacing w:line="240" w:lineRule="exact"/>
              <w:ind w:firstLine="420"/>
              <w:jc w:val="center"/>
              <w:rPr>
                <w:rFonts w:ascii="Times New Roman" w:cs="Times New Roman"/>
                <w:bCs/>
                <w:kern w:val="2"/>
                <w:sz w:val="21"/>
                <w:szCs w:val="21"/>
              </w:rPr>
            </w:pPr>
          </w:p>
        </w:tc>
        <w:tc>
          <w:tcPr>
            <w:tcW w:w="2318"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地形数据精度/m</w:t>
            </w:r>
          </w:p>
        </w:tc>
        <w:tc>
          <w:tcPr>
            <w:tcW w:w="4590" w:type="dxa"/>
            <w:vAlign w:val="center"/>
          </w:tcPr>
          <w:p>
            <w:pPr>
              <w:topLinePunct w:val="0"/>
              <w:snapToGrid w:val="0"/>
              <w:spacing w:line="240" w:lineRule="exact"/>
              <w:ind w:firstLine="0" w:firstLineChars="0"/>
              <w:jc w:val="center"/>
              <w:rPr>
                <w:rFonts w:ascii="Times New Roman" w:cs="Times New Roman"/>
                <w:kern w:val="2"/>
                <w:sz w:val="21"/>
                <w:szCs w:val="21"/>
              </w:rPr>
            </w:pPr>
            <w:r>
              <w:rPr>
                <w:rFonts w:ascii="Times New Roman" w:cs="Times New Roman"/>
                <w:kern w:val="2"/>
                <w:sz w:val="21"/>
                <w:szCs w:val="21"/>
              </w:rPr>
              <w:t>90</w:t>
            </w:r>
          </w:p>
        </w:tc>
      </w:tr>
    </w:tbl>
    <w:p>
      <w:pPr>
        <w:topLinePunct w:val="0"/>
        <w:adjustRightInd/>
        <w:spacing w:before="24"/>
        <w:ind w:firstLine="482"/>
        <w:rPr>
          <w:rFonts w:ascii="Times New Roman" w:cs="Times New Roman"/>
          <w:b/>
          <w:kern w:val="2"/>
        </w:rPr>
      </w:pPr>
      <w:r>
        <w:rPr>
          <w:rFonts w:ascii="Times New Roman" w:cs="Times New Roman"/>
          <w:b/>
          <w:kern w:val="2"/>
        </w:rPr>
        <w:t>（</w:t>
      </w:r>
      <w:r>
        <w:rPr>
          <w:rFonts w:ascii="Times New Roman" w:cs="Times New Roman"/>
          <w:b/>
          <w:bCs/>
          <w:kern w:val="2"/>
        </w:rPr>
        <w:t>4</w:t>
      </w:r>
      <w:r>
        <w:rPr>
          <w:rFonts w:ascii="Times New Roman" w:cs="Times New Roman"/>
          <w:b/>
          <w:kern w:val="2"/>
        </w:rPr>
        <w:t>）大气毒性终点浓度值选取</w:t>
      </w:r>
    </w:p>
    <w:p>
      <w:pPr>
        <w:topLinePunct w:val="0"/>
        <w:adjustRightInd/>
        <w:ind w:firstLine="480"/>
        <w:rPr>
          <w:rFonts w:ascii="Times New Roman" w:cs="Times New Roman"/>
          <w:kern w:val="2"/>
        </w:rPr>
      </w:pPr>
      <w:r>
        <w:rPr>
          <w:rFonts w:ascii="Times New Roman" w:cs="Times New Roman"/>
          <w:kern w:val="2"/>
        </w:rPr>
        <w:t>甲烷、硫化氢的大气毒性终点浓度见表7.</w:t>
      </w:r>
      <w:r>
        <w:rPr>
          <w:rFonts w:hint="eastAsia" w:ascii="Times New Roman" w:cs="Times New Roman"/>
          <w:kern w:val="2"/>
        </w:rPr>
        <w:t>9-3</w:t>
      </w:r>
      <w:r>
        <w:rPr>
          <w:rFonts w:ascii="Times New Roman" w:cs="Times New Roman"/>
          <w:kern w:val="2"/>
        </w:rPr>
        <w:t>。</w:t>
      </w:r>
    </w:p>
    <w:p>
      <w:pPr>
        <w:topLinePunct w:val="0"/>
        <w:adjustRightInd/>
        <w:snapToGrid w:val="0"/>
        <w:spacing w:line="500" w:lineRule="exact"/>
        <w:ind w:firstLine="422"/>
        <w:jc w:val="center"/>
        <w:rPr>
          <w:rFonts w:ascii="Times New Roman" w:cs="Times New Roman"/>
          <w:b/>
          <w:kern w:val="2"/>
          <w:sz w:val="21"/>
          <w:szCs w:val="21"/>
        </w:rPr>
      </w:pPr>
      <w:r>
        <w:rPr>
          <w:rFonts w:ascii="Times New Roman" w:cs="Times New Roman"/>
          <w:b/>
          <w:kern w:val="2"/>
          <w:sz w:val="21"/>
          <w:szCs w:val="21"/>
        </w:rPr>
        <w:t>表7.</w:t>
      </w:r>
      <w:r>
        <w:rPr>
          <w:rFonts w:hint="eastAsia" w:ascii="Times New Roman" w:cs="Times New Roman"/>
          <w:b/>
          <w:kern w:val="2"/>
          <w:sz w:val="21"/>
          <w:szCs w:val="21"/>
        </w:rPr>
        <w:t xml:space="preserve">9-3 </w:t>
      </w:r>
      <w:r>
        <w:rPr>
          <w:rFonts w:ascii="Times New Roman" w:cs="Times New Roman"/>
          <w:b/>
          <w:kern w:val="2"/>
          <w:sz w:val="21"/>
          <w:szCs w:val="21"/>
        </w:rPr>
        <w:t>甲烷的大气毒性终点浓度表</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75"/>
        <w:gridCol w:w="1869"/>
        <w:gridCol w:w="1822"/>
        <w:gridCol w:w="2273"/>
        <w:gridCol w:w="199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44" w:type="pct"/>
            <w:vAlign w:val="center"/>
          </w:tcPr>
          <w:p>
            <w:pPr>
              <w:topLinePunct w:val="0"/>
              <w:adjustRightInd/>
              <w:spacing w:line="240" w:lineRule="exact"/>
              <w:ind w:firstLine="0" w:firstLineChars="0"/>
              <w:jc w:val="center"/>
              <w:rPr>
                <w:rFonts w:ascii="Times New Roman" w:cs="Times New Roman"/>
                <w:b/>
                <w:kern w:val="2"/>
                <w:sz w:val="21"/>
              </w:rPr>
            </w:pPr>
            <w:r>
              <w:rPr>
                <w:rFonts w:ascii="Times New Roman" w:cs="Times New Roman"/>
                <w:b/>
                <w:kern w:val="2"/>
                <w:sz w:val="21"/>
              </w:rPr>
              <w:t>序号</w:t>
            </w:r>
          </w:p>
        </w:tc>
        <w:tc>
          <w:tcPr>
            <w:tcW w:w="1070" w:type="pct"/>
            <w:vAlign w:val="center"/>
          </w:tcPr>
          <w:p>
            <w:pPr>
              <w:topLinePunct w:val="0"/>
              <w:adjustRightInd/>
              <w:spacing w:line="240" w:lineRule="exact"/>
              <w:ind w:firstLine="0" w:firstLineChars="0"/>
              <w:jc w:val="center"/>
              <w:rPr>
                <w:rFonts w:ascii="Times New Roman" w:cs="Times New Roman"/>
                <w:b/>
                <w:kern w:val="2"/>
                <w:sz w:val="21"/>
              </w:rPr>
            </w:pPr>
            <w:r>
              <w:rPr>
                <w:rFonts w:ascii="Times New Roman" w:cs="Times New Roman"/>
                <w:b/>
                <w:kern w:val="2"/>
                <w:sz w:val="21"/>
              </w:rPr>
              <w:t>污染物名称</w:t>
            </w:r>
          </w:p>
        </w:tc>
        <w:tc>
          <w:tcPr>
            <w:tcW w:w="1043" w:type="pct"/>
            <w:vAlign w:val="center"/>
          </w:tcPr>
          <w:p>
            <w:pPr>
              <w:topLinePunct w:val="0"/>
              <w:adjustRightInd/>
              <w:spacing w:line="240" w:lineRule="exact"/>
              <w:ind w:firstLine="0" w:firstLineChars="0"/>
              <w:jc w:val="center"/>
              <w:rPr>
                <w:rFonts w:ascii="Times New Roman" w:cs="Times New Roman"/>
                <w:b/>
                <w:kern w:val="2"/>
                <w:sz w:val="21"/>
              </w:rPr>
            </w:pPr>
            <w:r>
              <w:rPr>
                <w:rFonts w:ascii="Times New Roman" w:cs="Times New Roman"/>
                <w:b/>
                <w:kern w:val="2"/>
                <w:sz w:val="21"/>
              </w:rPr>
              <w:t>CAS号</w:t>
            </w:r>
          </w:p>
        </w:tc>
        <w:tc>
          <w:tcPr>
            <w:tcW w:w="1301" w:type="pct"/>
            <w:vAlign w:val="center"/>
          </w:tcPr>
          <w:p>
            <w:pPr>
              <w:topLinePunct w:val="0"/>
              <w:adjustRightInd/>
              <w:spacing w:line="240" w:lineRule="exact"/>
              <w:ind w:firstLine="0" w:firstLineChars="0"/>
              <w:jc w:val="center"/>
              <w:rPr>
                <w:rFonts w:ascii="Times New Roman" w:cs="Times New Roman"/>
                <w:b/>
                <w:kern w:val="2"/>
                <w:sz w:val="21"/>
              </w:rPr>
            </w:pPr>
            <w:r>
              <w:rPr>
                <w:rFonts w:ascii="Times New Roman" w:cs="Times New Roman"/>
                <w:b/>
                <w:kern w:val="2"/>
                <w:sz w:val="21"/>
              </w:rPr>
              <w:t>毒性终点浓度-1/（mg/m</w:t>
            </w:r>
            <w:r>
              <w:rPr>
                <w:rFonts w:ascii="Times New Roman" w:cs="Times New Roman"/>
                <w:b/>
                <w:kern w:val="2"/>
                <w:sz w:val="21"/>
                <w:vertAlign w:val="superscript"/>
              </w:rPr>
              <w:t>3</w:t>
            </w:r>
            <w:r>
              <w:rPr>
                <w:rFonts w:ascii="Times New Roman" w:cs="Times New Roman"/>
                <w:b/>
                <w:kern w:val="2"/>
                <w:sz w:val="21"/>
              </w:rPr>
              <w:t>）</w:t>
            </w:r>
          </w:p>
        </w:tc>
        <w:tc>
          <w:tcPr>
            <w:tcW w:w="1142" w:type="pct"/>
            <w:vAlign w:val="center"/>
          </w:tcPr>
          <w:p>
            <w:pPr>
              <w:topLinePunct w:val="0"/>
              <w:adjustRightInd/>
              <w:spacing w:line="240" w:lineRule="exact"/>
              <w:ind w:firstLine="0" w:firstLineChars="0"/>
              <w:jc w:val="center"/>
              <w:rPr>
                <w:rFonts w:ascii="Times New Roman" w:cs="Times New Roman"/>
                <w:b/>
                <w:kern w:val="2"/>
                <w:sz w:val="21"/>
              </w:rPr>
            </w:pPr>
            <w:r>
              <w:rPr>
                <w:rFonts w:ascii="Times New Roman" w:cs="Times New Roman"/>
                <w:b/>
                <w:kern w:val="2"/>
                <w:sz w:val="21"/>
              </w:rPr>
              <w:t>毒性终点浓度-2/（mg/m</w:t>
            </w:r>
            <w:r>
              <w:rPr>
                <w:rFonts w:ascii="Times New Roman" w:cs="Times New Roman"/>
                <w:b/>
                <w:kern w:val="2"/>
                <w:sz w:val="21"/>
                <w:vertAlign w:val="superscript"/>
              </w:rPr>
              <w:t>3</w:t>
            </w:r>
            <w:r>
              <w:rPr>
                <w:rFonts w:ascii="Times New Roman" w:cs="Times New Roman"/>
                <w:b/>
                <w:kern w:val="2"/>
                <w:sz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44" w:type="pct"/>
            <w:vAlign w:val="center"/>
          </w:tcPr>
          <w:p>
            <w:pPr>
              <w:topLinePunct w:val="0"/>
              <w:adjustRightInd/>
              <w:spacing w:line="240" w:lineRule="exact"/>
              <w:ind w:firstLine="0" w:firstLineChars="0"/>
              <w:jc w:val="center"/>
              <w:rPr>
                <w:rFonts w:ascii="Times New Roman" w:cs="Times New Roman"/>
                <w:kern w:val="2"/>
                <w:sz w:val="21"/>
              </w:rPr>
            </w:pPr>
            <w:r>
              <w:rPr>
                <w:rFonts w:ascii="Times New Roman" w:cs="Times New Roman"/>
                <w:kern w:val="2"/>
                <w:sz w:val="21"/>
              </w:rPr>
              <w:t>1</w:t>
            </w:r>
          </w:p>
        </w:tc>
        <w:tc>
          <w:tcPr>
            <w:tcW w:w="1070" w:type="pct"/>
            <w:vAlign w:val="center"/>
          </w:tcPr>
          <w:p>
            <w:pPr>
              <w:topLinePunct w:val="0"/>
              <w:adjustRightInd/>
              <w:spacing w:line="240" w:lineRule="exact"/>
              <w:ind w:firstLine="0" w:firstLineChars="0"/>
              <w:jc w:val="center"/>
              <w:rPr>
                <w:rFonts w:ascii="Times New Roman" w:cs="Times New Roman"/>
                <w:kern w:val="2"/>
                <w:sz w:val="21"/>
              </w:rPr>
            </w:pPr>
            <w:r>
              <w:rPr>
                <w:rFonts w:ascii="Times New Roman" w:cs="Times New Roman"/>
                <w:kern w:val="2"/>
                <w:sz w:val="21"/>
              </w:rPr>
              <w:t>甲烷</w:t>
            </w:r>
          </w:p>
        </w:tc>
        <w:tc>
          <w:tcPr>
            <w:tcW w:w="1043" w:type="pct"/>
            <w:vAlign w:val="center"/>
          </w:tcPr>
          <w:p>
            <w:pPr>
              <w:topLinePunct w:val="0"/>
              <w:adjustRightInd/>
              <w:spacing w:line="240" w:lineRule="exact"/>
              <w:ind w:firstLine="0" w:firstLineChars="0"/>
              <w:jc w:val="center"/>
              <w:rPr>
                <w:rFonts w:ascii="Times New Roman" w:cs="Times New Roman"/>
                <w:kern w:val="2"/>
                <w:sz w:val="21"/>
              </w:rPr>
            </w:pPr>
            <w:r>
              <w:rPr>
                <w:rFonts w:ascii="Times New Roman" w:cs="Times New Roman"/>
                <w:kern w:val="2"/>
                <w:sz w:val="21"/>
              </w:rPr>
              <w:t>74-82-8</w:t>
            </w:r>
          </w:p>
        </w:tc>
        <w:tc>
          <w:tcPr>
            <w:tcW w:w="1301" w:type="pct"/>
            <w:vAlign w:val="center"/>
          </w:tcPr>
          <w:p>
            <w:pPr>
              <w:topLinePunct w:val="0"/>
              <w:adjustRightInd/>
              <w:spacing w:line="240" w:lineRule="exact"/>
              <w:ind w:firstLine="0" w:firstLineChars="0"/>
              <w:jc w:val="center"/>
              <w:rPr>
                <w:rFonts w:ascii="Times New Roman" w:cs="Times New Roman"/>
                <w:kern w:val="2"/>
                <w:sz w:val="21"/>
              </w:rPr>
            </w:pPr>
            <w:r>
              <w:rPr>
                <w:rFonts w:ascii="Times New Roman" w:cs="Times New Roman"/>
                <w:kern w:val="2"/>
                <w:sz w:val="21"/>
              </w:rPr>
              <w:t>260000</w:t>
            </w:r>
          </w:p>
        </w:tc>
        <w:tc>
          <w:tcPr>
            <w:tcW w:w="1142" w:type="pct"/>
            <w:vAlign w:val="center"/>
          </w:tcPr>
          <w:p>
            <w:pPr>
              <w:topLinePunct w:val="0"/>
              <w:adjustRightInd/>
              <w:spacing w:line="240" w:lineRule="exact"/>
              <w:ind w:firstLine="0" w:firstLineChars="0"/>
              <w:jc w:val="center"/>
              <w:rPr>
                <w:rFonts w:ascii="Times New Roman" w:cs="Times New Roman"/>
                <w:kern w:val="2"/>
                <w:sz w:val="21"/>
              </w:rPr>
            </w:pPr>
            <w:r>
              <w:rPr>
                <w:rFonts w:ascii="Times New Roman" w:cs="Times New Roman"/>
                <w:kern w:val="2"/>
                <w:sz w:val="21"/>
              </w:rPr>
              <w:t>150000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44" w:type="pct"/>
            <w:vAlign w:val="center"/>
          </w:tcPr>
          <w:p>
            <w:pPr>
              <w:topLinePunct w:val="0"/>
              <w:adjustRightInd/>
              <w:spacing w:line="240" w:lineRule="exact"/>
              <w:ind w:firstLine="0" w:firstLineChars="0"/>
              <w:jc w:val="center"/>
              <w:rPr>
                <w:rFonts w:ascii="Times New Roman" w:cs="Times New Roman"/>
                <w:kern w:val="2"/>
                <w:sz w:val="21"/>
              </w:rPr>
            </w:pPr>
            <w:r>
              <w:rPr>
                <w:rFonts w:ascii="Times New Roman" w:cs="Times New Roman"/>
                <w:kern w:val="2"/>
                <w:sz w:val="21"/>
              </w:rPr>
              <w:t>2</w:t>
            </w:r>
          </w:p>
        </w:tc>
        <w:tc>
          <w:tcPr>
            <w:tcW w:w="1070" w:type="pct"/>
            <w:vAlign w:val="center"/>
          </w:tcPr>
          <w:p>
            <w:pPr>
              <w:topLinePunct w:val="0"/>
              <w:adjustRightInd/>
              <w:spacing w:line="240" w:lineRule="exact"/>
              <w:ind w:firstLine="0" w:firstLineChars="0"/>
              <w:jc w:val="center"/>
              <w:rPr>
                <w:rFonts w:ascii="Times New Roman" w:cs="Times New Roman"/>
                <w:kern w:val="2"/>
                <w:sz w:val="21"/>
              </w:rPr>
            </w:pPr>
            <w:r>
              <w:rPr>
                <w:rFonts w:ascii="Times New Roman" w:cs="Times New Roman"/>
                <w:kern w:val="2"/>
                <w:sz w:val="21"/>
              </w:rPr>
              <w:t>硫化氢</w:t>
            </w:r>
          </w:p>
        </w:tc>
        <w:tc>
          <w:tcPr>
            <w:tcW w:w="1043" w:type="pct"/>
            <w:vAlign w:val="center"/>
          </w:tcPr>
          <w:p>
            <w:pPr>
              <w:topLinePunct w:val="0"/>
              <w:adjustRightInd/>
              <w:spacing w:line="240" w:lineRule="exact"/>
              <w:ind w:firstLine="0" w:firstLineChars="0"/>
              <w:jc w:val="center"/>
              <w:rPr>
                <w:rFonts w:ascii="Times New Roman" w:cs="Times New Roman"/>
                <w:kern w:val="2"/>
                <w:sz w:val="21"/>
              </w:rPr>
            </w:pPr>
            <w:r>
              <w:rPr>
                <w:rFonts w:ascii="Times New Roman" w:cs="Times New Roman"/>
                <w:kern w:val="2"/>
                <w:sz w:val="21"/>
              </w:rPr>
              <w:t>7783-06-4</w:t>
            </w:r>
          </w:p>
        </w:tc>
        <w:tc>
          <w:tcPr>
            <w:tcW w:w="1301" w:type="pct"/>
            <w:vAlign w:val="center"/>
          </w:tcPr>
          <w:p>
            <w:pPr>
              <w:topLinePunct w:val="0"/>
              <w:adjustRightInd/>
              <w:spacing w:line="240" w:lineRule="exact"/>
              <w:ind w:firstLine="0" w:firstLineChars="0"/>
              <w:jc w:val="center"/>
              <w:rPr>
                <w:rFonts w:ascii="Times New Roman" w:cs="Times New Roman"/>
                <w:kern w:val="2"/>
                <w:sz w:val="21"/>
              </w:rPr>
            </w:pPr>
            <w:r>
              <w:rPr>
                <w:rFonts w:ascii="Times New Roman" w:cs="Times New Roman"/>
                <w:kern w:val="2"/>
                <w:sz w:val="21"/>
              </w:rPr>
              <w:t>70</w:t>
            </w:r>
          </w:p>
        </w:tc>
        <w:tc>
          <w:tcPr>
            <w:tcW w:w="1142" w:type="pct"/>
            <w:vAlign w:val="center"/>
          </w:tcPr>
          <w:p>
            <w:pPr>
              <w:topLinePunct w:val="0"/>
              <w:adjustRightInd/>
              <w:spacing w:line="240" w:lineRule="exact"/>
              <w:ind w:firstLine="0" w:firstLineChars="0"/>
              <w:jc w:val="center"/>
              <w:rPr>
                <w:rFonts w:ascii="Times New Roman" w:cs="Times New Roman"/>
                <w:kern w:val="2"/>
                <w:sz w:val="21"/>
              </w:rPr>
            </w:pPr>
            <w:r>
              <w:rPr>
                <w:rFonts w:ascii="Times New Roman" w:cs="Times New Roman"/>
                <w:kern w:val="2"/>
                <w:sz w:val="21"/>
              </w:rPr>
              <w:t>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44" w:type="pct"/>
            <w:vAlign w:val="center"/>
          </w:tcPr>
          <w:p>
            <w:pPr>
              <w:topLinePunct w:val="0"/>
              <w:adjustRightInd/>
              <w:spacing w:line="240" w:lineRule="exact"/>
              <w:ind w:firstLine="0" w:firstLineChars="0"/>
              <w:jc w:val="center"/>
              <w:rPr>
                <w:rFonts w:ascii="Times New Roman" w:cs="Times New Roman"/>
                <w:kern w:val="2"/>
                <w:sz w:val="21"/>
              </w:rPr>
            </w:pPr>
            <w:r>
              <w:rPr>
                <w:rFonts w:hint="eastAsia" w:ascii="Times New Roman" w:cs="Times New Roman"/>
                <w:kern w:val="2"/>
                <w:sz w:val="21"/>
              </w:rPr>
              <w:t>3</w:t>
            </w:r>
          </w:p>
        </w:tc>
        <w:tc>
          <w:tcPr>
            <w:tcW w:w="1070" w:type="pct"/>
            <w:vAlign w:val="center"/>
          </w:tcPr>
          <w:p>
            <w:pPr>
              <w:topLinePunct w:val="0"/>
              <w:adjustRightInd/>
              <w:spacing w:line="240" w:lineRule="exact"/>
              <w:ind w:firstLine="0" w:firstLineChars="0"/>
              <w:jc w:val="center"/>
              <w:rPr>
                <w:rFonts w:ascii="Times New Roman" w:cs="Times New Roman"/>
                <w:kern w:val="2"/>
                <w:sz w:val="21"/>
              </w:rPr>
            </w:pPr>
            <w:r>
              <w:rPr>
                <w:rFonts w:hint="eastAsia" w:ascii="Times New Roman" w:cs="Times New Roman"/>
                <w:kern w:val="2"/>
                <w:sz w:val="21"/>
              </w:rPr>
              <w:t>CO</w:t>
            </w:r>
          </w:p>
        </w:tc>
        <w:tc>
          <w:tcPr>
            <w:tcW w:w="1043" w:type="pct"/>
            <w:vAlign w:val="center"/>
          </w:tcPr>
          <w:p>
            <w:pPr>
              <w:topLinePunct w:val="0"/>
              <w:adjustRightInd/>
              <w:spacing w:line="240" w:lineRule="exact"/>
              <w:ind w:firstLine="0" w:firstLineChars="0"/>
              <w:jc w:val="center"/>
              <w:rPr>
                <w:rFonts w:ascii="Times New Roman" w:cs="Times New Roman"/>
                <w:kern w:val="2"/>
                <w:sz w:val="21"/>
              </w:rPr>
            </w:pPr>
            <w:r>
              <w:rPr>
                <w:rFonts w:hint="eastAsia" w:ascii="Times New Roman" w:cs="Times New Roman"/>
                <w:kern w:val="2"/>
                <w:sz w:val="21"/>
              </w:rPr>
              <w:t>630-08-0</w:t>
            </w:r>
          </w:p>
        </w:tc>
        <w:tc>
          <w:tcPr>
            <w:tcW w:w="1301" w:type="pct"/>
            <w:vAlign w:val="center"/>
          </w:tcPr>
          <w:p>
            <w:pPr>
              <w:topLinePunct w:val="0"/>
              <w:adjustRightInd/>
              <w:spacing w:line="240" w:lineRule="exact"/>
              <w:ind w:firstLine="0" w:firstLineChars="0"/>
              <w:jc w:val="center"/>
              <w:rPr>
                <w:rFonts w:ascii="Times New Roman" w:cs="Times New Roman"/>
                <w:kern w:val="2"/>
                <w:sz w:val="21"/>
              </w:rPr>
            </w:pPr>
            <w:r>
              <w:rPr>
                <w:rFonts w:hint="eastAsia" w:ascii="Times New Roman" w:cs="Times New Roman"/>
                <w:kern w:val="2"/>
                <w:sz w:val="21"/>
              </w:rPr>
              <w:t>380</w:t>
            </w:r>
          </w:p>
        </w:tc>
        <w:tc>
          <w:tcPr>
            <w:tcW w:w="1142" w:type="pct"/>
            <w:vAlign w:val="center"/>
          </w:tcPr>
          <w:p>
            <w:pPr>
              <w:topLinePunct w:val="0"/>
              <w:adjustRightInd/>
              <w:spacing w:line="240" w:lineRule="exact"/>
              <w:ind w:firstLine="0" w:firstLineChars="0"/>
              <w:jc w:val="center"/>
              <w:rPr>
                <w:rFonts w:ascii="Times New Roman" w:cs="Times New Roman"/>
                <w:kern w:val="2"/>
                <w:sz w:val="21"/>
              </w:rPr>
            </w:pPr>
            <w:r>
              <w:rPr>
                <w:rFonts w:hint="eastAsia" w:ascii="Times New Roman" w:cs="Times New Roman"/>
                <w:kern w:val="2"/>
                <w:sz w:val="21"/>
              </w:rPr>
              <w:t>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75" w:type="dxa"/>
            <w:vAlign w:val="center"/>
          </w:tcPr>
          <w:p>
            <w:pPr>
              <w:topLinePunct w:val="0"/>
              <w:adjustRightInd/>
              <w:spacing w:line="240" w:lineRule="exact"/>
              <w:ind w:firstLine="0" w:firstLineChars="0"/>
              <w:jc w:val="center"/>
              <w:rPr>
                <w:rFonts w:ascii="Times New Roman" w:cs="Times New Roman"/>
                <w:kern w:val="2"/>
                <w:sz w:val="21"/>
              </w:rPr>
            </w:pPr>
            <w:r>
              <w:rPr>
                <w:rFonts w:hint="eastAsia" w:ascii="Times New Roman" w:cs="Times New Roman"/>
                <w:kern w:val="2"/>
                <w:sz w:val="21"/>
              </w:rPr>
              <w:t>4</w:t>
            </w:r>
          </w:p>
        </w:tc>
        <w:tc>
          <w:tcPr>
            <w:tcW w:w="1869" w:type="dxa"/>
            <w:vAlign w:val="center"/>
          </w:tcPr>
          <w:p>
            <w:pPr>
              <w:topLinePunct w:val="0"/>
              <w:adjustRightInd/>
              <w:spacing w:line="240" w:lineRule="exact"/>
              <w:ind w:firstLine="0" w:firstLineChars="0"/>
              <w:jc w:val="center"/>
              <w:rPr>
                <w:rFonts w:ascii="Times New Roman" w:cs="Times New Roman"/>
                <w:kern w:val="2"/>
                <w:sz w:val="21"/>
              </w:rPr>
            </w:pPr>
            <w:r>
              <w:rPr>
                <w:rFonts w:hint="eastAsia" w:ascii="Times New Roman" w:cs="Times New Roman"/>
                <w:kern w:val="2"/>
                <w:sz w:val="21"/>
              </w:rPr>
              <w:t>二氧化硫</w:t>
            </w:r>
          </w:p>
        </w:tc>
        <w:tc>
          <w:tcPr>
            <w:tcW w:w="1822" w:type="dxa"/>
            <w:vAlign w:val="center"/>
          </w:tcPr>
          <w:p>
            <w:pPr>
              <w:topLinePunct w:val="0"/>
              <w:adjustRightInd/>
              <w:spacing w:line="240" w:lineRule="exact"/>
              <w:ind w:firstLine="0" w:firstLineChars="0"/>
              <w:jc w:val="center"/>
              <w:rPr>
                <w:rFonts w:ascii="Times New Roman" w:cs="Times New Roman"/>
                <w:kern w:val="2"/>
                <w:sz w:val="21"/>
              </w:rPr>
            </w:pPr>
            <w:r>
              <w:rPr>
                <w:rFonts w:hint="eastAsia" w:ascii="Times New Roman" w:cs="Times New Roman"/>
                <w:kern w:val="2"/>
                <w:sz w:val="21"/>
              </w:rPr>
              <w:t>7446-09-5</w:t>
            </w:r>
          </w:p>
        </w:tc>
        <w:tc>
          <w:tcPr>
            <w:tcW w:w="2273" w:type="dxa"/>
            <w:vAlign w:val="center"/>
          </w:tcPr>
          <w:p>
            <w:pPr>
              <w:topLinePunct w:val="0"/>
              <w:adjustRightInd/>
              <w:spacing w:line="240" w:lineRule="exact"/>
              <w:ind w:firstLine="0" w:firstLineChars="0"/>
              <w:jc w:val="center"/>
              <w:rPr>
                <w:rFonts w:ascii="Times New Roman" w:cs="Times New Roman"/>
                <w:kern w:val="2"/>
                <w:sz w:val="21"/>
              </w:rPr>
            </w:pPr>
            <w:r>
              <w:rPr>
                <w:rFonts w:hint="eastAsia" w:ascii="Times New Roman" w:cs="Times New Roman"/>
                <w:kern w:val="2"/>
                <w:sz w:val="21"/>
              </w:rPr>
              <w:t>79</w:t>
            </w:r>
          </w:p>
        </w:tc>
        <w:tc>
          <w:tcPr>
            <w:tcW w:w="1995" w:type="dxa"/>
            <w:vAlign w:val="center"/>
          </w:tcPr>
          <w:p>
            <w:pPr>
              <w:topLinePunct w:val="0"/>
              <w:adjustRightInd/>
              <w:spacing w:line="240" w:lineRule="exact"/>
              <w:ind w:firstLine="0" w:firstLineChars="0"/>
              <w:jc w:val="center"/>
              <w:rPr>
                <w:rFonts w:ascii="Times New Roman" w:cs="Times New Roman"/>
                <w:kern w:val="2"/>
                <w:sz w:val="21"/>
              </w:rPr>
            </w:pPr>
            <w:r>
              <w:rPr>
                <w:rFonts w:hint="eastAsia" w:ascii="Times New Roman" w:cs="Times New Roman"/>
                <w:kern w:val="2"/>
                <w:sz w:val="21"/>
              </w:rPr>
              <w:t>2</w:t>
            </w:r>
          </w:p>
        </w:tc>
      </w:tr>
    </w:tbl>
    <w:p>
      <w:pPr>
        <w:topLinePunct w:val="0"/>
        <w:adjustRightInd/>
        <w:ind w:firstLine="482"/>
        <w:rPr>
          <w:rFonts w:ascii="Times New Roman" w:cs="Times New Roman"/>
          <w:b/>
          <w:kern w:val="2"/>
        </w:rPr>
      </w:pPr>
      <w:r>
        <w:rPr>
          <w:rFonts w:ascii="Times New Roman" w:cs="Times New Roman"/>
          <w:b/>
          <w:kern w:val="2"/>
        </w:rPr>
        <w:t>（5）计算结果</w:t>
      </w:r>
    </w:p>
    <w:p>
      <w:pPr>
        <w:topLinePunct w:val="0"/>
        <w:adjustRightInd/>
        <w:ind w:firstLine="480"/>
        <w:rPr>
          <w:rFonts w:ascii="Times New Roman" w:cs="Times New Roman"/>
          <w:kern w:val="2"/>
        </w:rPr>
      </w:pPr>
      <w:r>
        <w:rPr>
          <w:rFonts w:ascii="Times New Roman" w:cs="Times New Roman"/>
          <w:kern w:val="2"/>
        </w:rPr>
        <w:t>评价选取最不利气象状况下，计算下风向甲烷和硫化氢的最大浓度。预测结果见表7.</w:t>
      </w:r>
      <w:r>
        <w:rPr>
          <w:rFonts w:hint="eastAsia" w:ascii="Times New Roman" w:cs="Times New Roman"/>
          <w:kern w:val="2"/>
        </w:rPr>
        <w:t>9</w:t>
      </w:r>
      <w:r>
        <w:rPr>
          <w:rFonts w:ascii="Times New Roman" w:cs="Times New Roman"/>
          <w:kern w:val="2"/>
        </w:rPr>
        <w:t>-4</w:t>
      </w:r>
      <w:r>
        <w:rPr>
          <w:rFonts w:hint="eastAsia" w:ascii="Times New Roman" w:cs="Times New Roman"/>
          <w:kern w:val="2"/>
        </w:rPr>
        <w:t>~6</w:t>
      </w:r>
      <w:r>
        <w:rPr>
          <w:rFonts w:ascii="Times New Roman" w:cs="Times New Roman"/>
          <w:kern w:val="2"/>
        </w:rPr>
        <w:t>。</w:t>
      </w:r>
    </w:p>
    <w:p>
      <w:pPr>
        <w:topLinePunct w:val="0"/>
        <w:adjustRightInd/>
        <w:ind w:firstLine="0" w:firstLineChars="0"/>
        <w:jc w:val="center"/>
        <w:rPr>
          <w:rFonts w:ascii="Times New Roman" w:cs="Times New Roman"/>
          <w:b/>
          <w:kern w:val="2"/>
          <w:sz w:val="21"/>
          <w:szCs w:val="21"/>
          <w:vertAlign w:val="superscript"/>
        </w:rPr>
      </w:pPr>
      <w:r>
        <w:rPr>
          <w:rFonts w:ascii="Times New Roman" w:cs="Times New Roman"/>
          <w:b/>
          <w:kern w:val="2"/>
          <w:sz w:val="21"/>
          <w:szCs w:val="21"/>
        </w:rPr>
        <w:t>表7.</w:t>
      </w:r>
      <w:r>
        <w:rPr>
          <w:rFonts w:hint="eastAsia" w:ascii="Times New Roman" w:cs="Times New Roman"/>
          <w:b/>
          <w:kern w:val="2"/>
          <w:sz w:val="21"/>
          <w:szCs w:val="21"/>
        </w:rPr>
        <w:t>9</w:t>
      </w:r>
      <w:r>
        <w:rPr>
          <w:rFonts w:ascii="Times New Roman" w:cs="Times New Roman"/>
          <w:b/>
          <w:kern w:val="2"/>
          <w:sz w:val="21"/>
          <w:szCs w:val="21"/>
        </w:rPr>
        <w:t>-</w:t>
      </w:r>
      <w:r>
        <w:rPr>
          <w:rFonts w:hint="eastAsia" w:ascii="Times New Roman" w:cs="Times New Roman"/>
          <w:b/>
          <w:kern w:val="2"/>
          <w:sz w:val="21"/>
          <w:szCs w:val="21"/>
        </w:rPr>
        <w:t>4</w:t>
      </w:r>
      <w:r>
        <w:rPr>
          <w:rFonts w:ascii="Times New Roman" w:cs="Times New Roman"/>
          <w:b/>
          <w:kern w:val="2"/>
          <w:sz w:val="21"/>
          <w:szCs w:val="21"/>
        </w:rPr>
        <w:t xml:space="preserve">  </w:t>
      </w:r>
      <w:r>
        <w:rPr>
          <w:rFonts w:ascii="Times New Roman" w:cs="Times New Roman"/>
          <w:b/>
          <w:bCs/>
          <w:kern w:val="2"/>
          <w:sz w:val="21"/>
          <w:szCs w:val="21"/>
        </w:rPr>
        <w:t>甲烷泄漏时下风向</w:t>
      </w:r>
      <w:r>
        <w:rPr>
          <w:rFonts w:ascii="Times New Roman" w:cs="Times New Roman"/>
          <w:b/>
          <w:kern w:val="2"/>
          <w:sz w:val="21"/>
          <w:szCs w:val="21"/>
        </w:rPr>
        <w:t>浓度</w:t>
      </w:r>
      <w:r>
        <w:rPr>
          <w:rFonts w:ascii="Times New Roman" w:cs="Times New Roman"/>
          <w:b/>
          <w:bCs/>
          <w:kern w:val="2"/>
          <w:sz w:val="21"/>
          <w:szCs w:val="21"/>
        </w:rPr>
        <w:t>分布表</w:t>
      </w:r>
      <w:r>
        <w:rPr>
          <w:rFonts w:ascii="Times New Roman" w:cs="Times New Roman"/>
          <w:b/>
          <w:kern w:val="2"/>
          <w:sz w:val="21"/>
          <w:szCs w:val="21"/>
        </w:rPr>
        <w:t xml:space="preserve">  单位：mg/m</w:t>
      </w:r>
      <w:r>
        <w:rPr>
          <w:rFonts w:ascii="Times New Roman" w:cs="Times New Roman"/>
          <w:b/>
          <w:kern w:val="2"/>
          <w:sz w:val="21"/>
          <w:szCs w:val="21"/>
          <w:vertAlign w:val="superscript"/>
        </w:rPr>
        <w:t>3</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771"/>
        <w:gridCol w:w="2694"/>
        <w:gridCol w:w="326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b/>
                <w:kern w:val="2"/>
                <w:sz w:val="21"/>
                <w:szCs w:val="21"/>
              </w:rPr>
            </w:pPr>
            <w:r>
              <w:rPr>
                <w:rFonts w:ascii="Times New Roman" w:cs="Times New Roman"/>
                <w:b/>
                <w:kern w:val="2"/>
                <w:sz w:val="21"/>
                <w:szCs w:val="21"/>
              </w:rPr>
              <w:t>下风向距离（m）</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b/>
                <w:kern w:val="2"/>
                <w:sz w:val="21"/>
                <w:szCs w:val="21"/>
              </w:rPr>
            </w:pPr>
            <w:r>
              <w:rPr>
                <w:rFonts w:ascii="Times New Roman" w:cs="Times New Roman"/>
                <w:b/>
                <w:kern w:val="2"/>
                <w:sz w:val="21"/>
                <w:szCs w:val="21"/>
              </w:rPr>
              <w:t>浓度出现时间（min）</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b/>
                <w:kern w:val="2"/>
                <w:sz w:val="21"/>
                <w:szCs w:val="21"/>
              </w:rPr>
            </w:pPr>
            <w:r>
              <w:rPr>
                <w:rFonts w:ascii="Times New Roman" w:cs="Times New Roman"/>
                <w:b/>
                <w:kern w:val="2"/>
                <w:sz w:val="21"/>
                <w:szCs w:val="21"/>
              </w:rPr>
              <w:t>高峰浓度（mg/m</w:t>
            </w:r>
            <w:r>
              <w:rPr>
                <w:rFonts w:ascii="Times New Roman" w:cs="Times New Roman"/>
                <w:b/>
                <w:kern w:val="2"/>
                <w:sz w:val="21"/>
                <w:szCs w:val="21"/>
                <w:vertAlign w:val="superscript"/>
              </w:rPr>
              <w:t>3</w:t>
            </w:r>
            <w:r>
              <w:rPr>
                <w:rFonts w:ascii="Times New Roman" w:cs="Times New Roman"/>
                <w:b/>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10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0.08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0.00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hint="eastAsia" w:ascii="Times New Roman" w:eastAsia="等线" w:cs="Times New Roman"/>
                <w:kern w:val="2"/>
                <w:sz w:val="21"/>
                <w:szCs w:val="21"/>
              </w:rPr>
              <w:t>20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0.17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404.86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hint="eastAsia" w:ascii="Times New Roman" w:eastAsia="等线" w:cs="Times New Roman"/>
                <w:kern w:val="2"/>
                <w:sz w:val="21"/>
                <w:szCs w:val="21"/>
              </w:rPr>
              <w:t>30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0.25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6682.40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hint="eastAsia" w:ascii="Times New Roman" w:eastAsia="等线" w:cs="Times New Roman"/>
                <w:kern w:val="2"/>
                <w:sz w:val="21"/>
                <w:szCs w:val="21"/>
              </w:rPr>
              <w:t>40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0.33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17367.00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hint="eastAsia" w:ascii="Times New Roman" w:eastAsia="等线" w:cs="Times New Roman"/>
                <w:kern w:val="2"/>
                <w:sz w:val="21"/>
                <w:szCs w:val="21"/>
              </w:rPr>
              <w:t>50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0.42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25309.00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hint="eastAsia" w:ascii="Times New Roman" w:eastAsia="等线" w:cs="Times New Roman"/>
                <w:kern w:val="2"/>
                <w:sz w:val="21"/>
                <w:szCs w:val="21"/>
              </w:rPr>
              <w:t>60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0.50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29263.00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hint="eastAsia" w:ascii="Times New Roman" w:eastAsia="等线" w:cs="Times New Roman"/>
                <w:kern w:val="2"/>
                <w:sz w:val="21"/>
                <w:szCs w:val="21"/>
              </w:rPr>
              <w:t>70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0.58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30500.00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hint="eastAsia" w:ascii="Times New Roman" w:eastAsia="等线" w:cs="Times New Roman"/>
                <w:kern w:val="2"/>
                <w:sz w:val="21"/>
                <w:szCs w:val="21"/>
              </w:rPr>
              <w:t>80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0.67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30291.00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hint="eastAsia" w:ascii="Times New Roman" w:eastAsia="等线" w:cs="Times New Roman"/>
                <w:kern w:val="2"/>
                <w:sz w:val="21"/>
                <w:szCs w:val="21"/>
              </w:rPr>
              <w:t>90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0.75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29417.00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1</w:t>
            </w:r>
            <w:r>
              <w:rPr>
                <w:rFonts w:hint="eastAsia" w:ascii="Times New Roman" w:eastAsia="等线" w:cs="Times New Roman"/>
                <w:kern w:val="2"/>
                <w:sz w:val="21"/>
                <w:szCs w:val="21"/>
              </w:rPr>
              <w:t>0</w:t>
            </w:r>
            <w:r>
              <w:rPr>
                <w:rFonts w:ascii="Times New Roman" w:eastAsia="等线" w:cs="Times New Roman"/>
                <w:kern w:val="2"/>
                <w:sz w:val="21"/>
                <w:szCs w:val="21"/>
              </w:rPr>
              <w:t>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0.83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28276.00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2</w:t>
            </w:r>
            <w:r>
              <w:rPr>
                <w:rFonts w:hint="eastAsia" w:ascii="Times New Roman" w:eastAsia="等线" w:cs="Times New Roman"/>
                <w:kern w:val="2"/>
                <w:sz w:val="21"/>
                <w:szCs w:val="21"/>
              </w:rPr>
              <w:t>0</w:t>
            </w:r>
            <w:r>
              <w:rPr>
                <w:rFonts w:ascii="Times New Roman" w:eastAsia="等线" w:cs="Times New Roman"/>
                <w:kern w:val="2"/>
                <w:sz w:val="21"/>
                <w:szCs w:val="21"/>
              </w:rPr>
              <w:t>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1.67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17653.00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3</w:t>
            </w:r>
            <w:r>
              <w:rPr>
                <w:rFonts w:hint="eastAsia" w:ascii="Times New Roman" w:eastAsia="等线" w:cs="Times New Roman"/>
                <w:kern w:val="2"/>
                <w:sz w:val="21"/>
                <w:szCs w:val="21"/>
              </w:rPr>
              <w:t>0</w:t>
            </w:r>
            <w:r>
              <w:rPr>
                <w:rFonts w:ascii="Times New Roman" w:eastAsia="等线" w:cs="Times New Roman"/>
                <w:kern w:val="2"/>
                <w:sz w:val="21"/>
                <w:szCs w:val="21"/>
              </w:rPr>
              <w:t>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2.50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11403.00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4</w:t>
            </w:r>
            <w:r>
              <w:rPr>
                <w:rFonts w:hint="eastAsia" w:ascii="Times New Roman" w:eastAsia="等线" w:cs="Times New Roman"/>
                <w:kern w:val="2"/>
                <w:sz w:val="21"/>
                <w:szCs w:val="21"/>
              </w:rPr>
              <w:t>0</w:t>
            </w:r>
            <w:r>
              <w:rPr>
                <w:rFonts w:ascii="Times New Roman" w:eastAsia="等线" w:cs="Times New Roman"/>
                <w:kern w:val="2"/>
                <w:sz w:val="21"/>
                <w:szCs w:val="21"/>
              </w:rPr>
              <w:t>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3.33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7870.40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5</w:t>
            </w:r>
            <w:r>
              <w:rPr>
                <w:rFonts w:hint="eastAsia" w:ascii="Times New Roman" w:eastAsia="等线" w:cs="Times New Roman"/>
                <w:kern w:val="2"/>
                <w:sz w:val="21"/>
                <w:szCs w:val="21"/>
              </w:rPr>
              <w:t>0</w:t>
            </w:r>
            <w:r>
              <w:rPr>
                <w:rFonts w:ascii="Times New Roman" w:eastAsia="等线" w:cs="Times New Roman"/>
                <w:kern w:val="2"/>
                <w:sz w:val="21"/>
                <w:szCs w:val="21"/>
              </w:rPr>
              <w:t>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4.17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5753.80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6</w:t>
            </w:r>
            <w:r>
              <w:rPr>
                <w:rFonts w:hint="eastAsia" w:ascii="Times New Roman" w:eastAsia="等线" w:cs="Times New Roman"/>
                <w:kern w:val="2"/>
                <w:sz w:val="21"/>
                <w:szCs w:val="21"/>
              </w:rPr>
              <w:t>0</w:t>
            </w:r>
            <w:r>
              <w:rPr>
                <w:rFonts w:ascii="Times New Roman" w:eastAsia="等线" w:cs="Times New Roman"/>
                <w:kern w:val="2"/>
                <w:sz w:val="21"/>
                <w:szCs w:val="21"/>
              </w:rPr>
              <w:t>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5.00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4398.80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7</w:t>
            </w:r>
            <w:r>
              <w:rPr>
                <w:rFonts w:hint="eastAsia" w:ascii="Times New Roman" w:eastAsia="等线" w:cs="Times New Roman"/>
                <w:kern w:val="2"/>
                <w:sz w:val="21"/>
                <w:szCs w:val="21"/>
              </w:rPr>
              <w:t>0</w:t>
            </w:r>
            <w:r>
              <w:rPr>
                <w:rFonts w:ascii="Times New Roman" w:eastAsia="等线" w:cs="Times New Roman"/>
                <w:kern w:val="2"/>
                <w:sz w:val="21"/>
                <w:szCs w:val="21"/>
              </w:rPr>
              <w:t>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5.83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3481.30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8</w:t>
            </w:r>
            <w:r>
              <w:rPr>
                <w:rFonts w:hint="eastAsia" w:ascii="Times New Roman" w:eastAsia="等线" w:cs="Times New Roman"/>
                <w:kern w:val="2"/>
                <w:sz w:val="21"/>
                <w:szCs w:val="21"/>
              </w:rPr>
              <w:t>0</w:t>
            </w:r>
            <w:r>
              <w:rPr>
                <w:rFonts w:ascii="Times New Roman" w:eastAsia="等线" w:cs="Times New Roman"/>
                <w:kern w:val="2"/>
                <w:sz w:val="21"/>
                <w:szCs w:val="21"/>
              </w:rPr>
              <w:t>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6.67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2831.00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9</w:t>
            </w:r>
            <w:r>
              <w:rPr>
                <w:rFonts w:hint="eastAsia" w:ascii="Times New Roman" w:eastAsia="等线" w:cs="Times New Roman"/>
                <w:kern w:val="2"/>
                <w:sz w:val="21"/>
                <w:szCs w:val="21"/>
              </w:rPr>
              <w:t>0</w:t>
            </w:r>
            <w:r>
              <w:rPr>
                <w:rFonts w:ascii="Times New Roman" w:eastAsia="等线" w:cs="Times New Roman"/>
                <w:kern w:val="2"/>
                <w:sz w:val="21"/>
                <w:szCs w:val="21"/>
              </w:rPr>
              <w:t>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7.50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2352.80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10</w:t>
            </w:r>
            <w:r>
              <w:rPr>
                <w:rFonts w:hint="eastAsia" w:ascii="Times New Roman" w:eastAsia="等线" w:cs="Times New Roman"/>
                <w:kern w:val="2"/>
                <w:sz w:val="21"/>
                <w:szCs w:val="21"/>
              </w:rPr>
              <w:t>0</w:t>
            </w:r>
            <w:r>
              <w:rPr>
                <w:rFonts w:ascii="Times New Roman" w:eastAsia="等线" w:cs="Times New Roman"/>
                <w:kern w:val="2"/>
                <w:sz w:val="21"/>
                <w:szCs w:val="21"/>
              </w:rPr>
              <w:t>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8.33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1990.50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hint="eastAsia" w:ascii="Times New Roman" w:eastAsia="等线" w:cs="Times New Roman"/>
                <w:kern w:val="2"/>
                <w:sz w:val="21"/>
                <w:szCs w:val="21"/>
              </w:rPr>
              <w:t>2000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18.67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719.30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hint="eastAsia" w:ascii="Times New Roman" w:eastAsia="等线" w:cs="Times New Roman"/>
                <w:kern w:val="2"/>
                <w:sz w:val="21"/>
                <w:szCs w:val="21"/>
              </w:rPr>
              <w:t>3000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27.00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421.57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hint="eastAsia" w:ascii="Times New Roman" w:eastAsia="等线" w:cs="Times New Roman"/>
                <w:kern w:val="2"/>
                <w:sz w:val="21"/>
                <w:szCs w:val="21"/>
              </w:rPr>
              <w:t>4000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36.33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288.11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hint="eastAsia" w:ascii="Times New Roman" w:eastAsia="等线" w:cs="Times New Roman"/>
                <w:kern w:val="2"/>
                <w:sz w:val="21"/>
                <w:szCs w:val="21"/>
              </w:rPr>
              <w:t>5000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44.67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214.30 </w:t>
            </w:r>
          </w:p>
        </w:tc>
      </w:tr>
    </w:tbl>
    <w:p>
      <w:pPr>
        <w:topLinePunct w:val="0"/>
        <w:adjustRightInd/>
        <w:ind w:firstLine="840" w:firstLineChars="400"/>
        <w:rPr>
          <w:rFonts w:ascii="Times New Roman" w:cs="Times New Roman"/>
          <w:b/>
          <w:kern w:val="2"/>
          <w:sz w:val="21"/>
          <w:szCs w:val="21"/>
        </w:rPr>
      </w:pPr>
      <w:r>
        <w:rPr>
          <w:rFonts w:ascii="Times New Roman" w:cs="Times New Roman"/>
          <w:kern w:val="2"/>
          <w:sz w:val="21"/>
          <w:szCs w:val="21"/>
        </w:rPr>
        <w:t>甲烷泄漏时下风向浓度分布计算结果见图7.8-1。</w:t>
      </w:r>
    </w:p>
    <w:p>
      <w:pPr>
        <w:topLinePunct w:val="0"/>
        <w:adjustRightInd/>
        <w:ind w:firstLine="0" w:firstLineChars="0"/>
        <w:jc w:val="center"/>
        <w:rPr>
          <w:rFonts w:ascii="Times New Roman" w:cs="Times New Roman"/>
        </w:rPr>
      </w:pPr>
      <w:r>
        <w:rPr>
          <w:rFonts w:ascii="Times New Roman" w:cs="Times New Roman"/>
        </w:rPr>
        <w:drawing>
          <wp:inline distT="0" distB="0" distL="114300" distR="114300">
            <wp:extent cx="5575935" cy="2818765"/>
            <wp:effectExtent l="0" t="0" r="5715" b="635"/>
            <wp:docPr id="7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9"/>
                    <pic:cNvPicPr>
                      <a:picLocks noChangeAspect="1"/>
                    </pic:cNvPicPr>
                  </pic:nvPicPr>
                  <pic:blipFill>
                    <a:blip r:embed="rId74"/>
                    <a:stretch>
                      <a:fillRect/>
                    </a:stretch>
                  </pic:blipFill>
                  <pic:spPr>
                    <a:xfrm>
                      <a:off x="0" y="0"/>
                      <a:ext cx="5575935" cy="2818765"/>
                    </a:xfrm>
                    <a:prstGeom prst="rect">
                      <a:avLst/>
                    </a:prstGeom>
                    <a:noFill/>
                    <a:ln>
                      <a:noFill/>
                    </a:ln>
                  </pic:spPr>
                </pic:pic>
              </a:graphicData>
            </a:graphic>
          </wp:inline>
        </w:drawing>
      </w:r>
    </w:p>
    <w:p>
      <w:pPr>
        <w:topLinePunct w:val="0"/>
        <w:adjustRightInd/>
        <w:ind w:firstLine="0" w:firstLineChars="0"/>
        <w:jc w:val="center"/>
        <w:rPr>
          <w:rFonts w:ascii="Times New Roman" w:cs="Times New Roman"/>
          <w:b/>
          <w:kern w:val="2"/>
          <w:sz w:val="21"/>
          <w:szCs w:val="21"/>
        </w:rPr>
      </w:pPr>
      <w:r>
        <w:rPr>
          <w:rFonts w:ascii="Times New Roman" w:cs="Times New Roman"/>
          <w:b/>
          <w:kern w:val="2"/>
          <w:sz w:val="21"/>
          <w:szCs w:val="21"/>
        </w:rPr>
        <w:t>图7.</w:t>
      </w:r>
      <w:r>
        <w:rPr>
          <w:rFonts w:hint="eastAsia" w:ascii="Times New Roman" w:cs="Times New Roman"/>
          <w:b/>
          <w:kern w:val="2"/>
          <w:sz w:val="21"/>
          <w:szCs w:val="21"/>
        </w:rPr>
        <w:t>9</w:t>
      </w:r>
      <w:r>
        <w:rPr>
          <w:rFonts w:ascii="Times New Roman" w:cs="Times New Roman"/>
          <w:b/>
          <w:kern w:val="2"/>
          <w:sz w:val="21"/>
          <w:szCs w:val="21"/>
        </w:rPr>
        <w:t xml:space="preserve">-1 </w:t>
      </w:r>
      <w:r>
        <w:rPr>
          <w:rFonts w:ascii="Times New Roman" w:cs="Times New Roman"/>
          <w:b/>
          <w:bCs/>
          <w:kern w:val="2"/>
          <w:sz w:val="21"/>
          <w:szCs w:val="21"/>
        </w:rPr>
        <w:t>甲烷泄漏时下风向</w:t>
      </w:r>
      <w:r>
        <w:rPr>
          <w:rFonts w:ascii="Times New Roman" w:cs="Times New Roman"/>
          <w:b/>
          <w:kern w:val="2"/>
          <w:sz w:val="21"/>
          <w:szCs w:val="21"/>
        </w:rPr>
        <w:t>浓度</w:t>
      </w:r>
      <w:r>
        <w:rPr>
          <w:rFonts w:ascii="Times New Roman" w:cs="Times New Roman"/>
          <w:b/>
          <w:bCs/>
          <w:kern w:val="2"/>
          <w:sz w:val="21"/>
          <w:szCs w:val="21"/>
        </w:rPr>
        <w:t>分布</w:t>
      </w:r>
      <w:r>
        <w:rPr>
          <w:rFonts w:ascii="Times New Roman" w:cs="Times New Roman"/>
          <w:b/>
          <w:kern w:val="2"/>
          <w:sz w:val="21"/>
          <w:szCs w:val="21"/>
        </w:rPr>
        <w:t>计算结果</w:t>
      </w:r>
    </w:p>
    <w:p>
      <w:pPr>
        <w:topLinePunct w:val="0"/>
        <w:adjustRightInd/>
        <w:spacing w:line="240" w:lineRule="auto"/>
        <w:ind w:firstLine="0" w:firstLineChars="0"/>
        <w:jc w:val="center"/>
        <w:rPr>
          <w:rFonts w:ascii="Arial" w:hAnsi="Arial" w:cs="Times New Roman"/>
          <w:sz w:val="20"/>
          <w:szCs w:val="20"/>
        </w:rPr>
      </w:pPr>
      <w:r>
        <w:rPr>
          <w:rFonts w:ascii="Arial" w:hAnsi="Arial" w:cs="Times New Roman"/>
          <w:sz w:val="20"/>
          <w:szCs w:val="20"/>
        </w:rPr>
        <w:drawing>
          <wp:inline distT="0" distB="0" distL="114300" distR="114300">
            <wp:extent cx="5574030" cy="2961005"/>
            <wp:effectExtent l="0" t="0" r="7620" b="10795"/>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75"/>
                    <a:stretch>
                      <a:fillRect/>
                    </a:stretch>
                  </pic:blipFill>
                  <pic:spPr>
                    <a:xfrm>
                      <a:off x="0" y="0"/>
                      <a:ext cx="5574030" cy="2961005"/>
                    </a:xfrm>
                    <a:prstGeom prst="rect">
                      <a:avLst/>
                    </a:prstGeom>
                    <a:noFill/>
                    <a:ln>
                      <a:noFill/>
                    </a:ln>
                  </pic:spPr>
                </pic:pic>
              </a:graphicData>
            </a:graphic>
          </wp:inline>
        </w:drawing>
      </w:r>
    </w:p>
    <w:p>
      <w:pPr>
        <w:topLinePunct w:val="0"/>
        <w:adjustRightInd/>
        <w:ind w:firstLine="0" w:firstLineChars="0"/>
        <w:jc w:val="center"/>
        <w:rPr>
          <w:rFonts w:ascii="Times New Roman" w:cs="Times New Roman"/>
          <w:b/>
          <w:kern w:val="2"/>
          <w:sz w:val="21"/>
          <w:szCs w:val="21"/>
        </w:rPr>
      </w:pPr>
      <w:r>
        <w:rPr>
          <w:rFonts w:hint="eastAsia" w:ascii="Times New Roman" w:cs="Times New Roman"/>
          <w:b/>
          <w:kern w:val="2"/>
          <w:sz w:val="21"/>
          <w:szCs w:val="21"/>
        </w:rPr>
        <w:t>图7.9-2 甲烷泄漏时下风向轴线最大浓度曲线</w:t>
      </w:r>
    </w:p>
    <w:p>
      <w:pPr>
        <w:topLinePunct w:val="0"/>
        <w:adjustRightInd/>
        <w:ind w:firstLine="0" w:firstLineChars="0"/>
        <w:jc w:val="center"/>
        <w:rPr>
          <w:rFonts w:ascii="Times New Roman" w:cs="Times New Roman"/>
          <w:b/>
          <w:kern w:val="2"/>
          <w:sz w:val="21"/>
          <w:szCs w:val="21"/>
          <w:vertAlign w:val="superscript"/>
        </w:rPr>
      </w:pPr>
      <w:r>
        <w:rPr>
          <w:rFonts w:ascii="Times New Roman" w:cs="Times New Roman"/>
          <w:b/>
          <w:kern w:val="2"/>
          <w:sz w:val="21"/>
          <w:szCs w:val="21"/>
        </w:rPr>
        <w:t>表7.</w:t>
      </w:r>
      <w:r>
        <w:rPr>
          <w:rFonts w:hint="eastAsia" w:ascii="Times New Roman" w:cs="Times New Roman"/>
          <w:b/>
          <w:kern w:val="2"/>
          <w:sz w:val="21"/>
          <w:szCs w:val="21"/>
        </w:rPr>
        <w:t>9</w:t>
      </w:r>
      <w:r>
        <w:rPr>
          <w:rFonts w:ascii="Times New Roman" w:cs="Times New Roman"/>
          <w:b/>
          <w:kern w:val="2"/>
          <w:sz w:val="21"/>
          <w:szCs w:val="21"/>
        </w:rPr>
        <w:t>-</w:t>
      </w:r>
      <w:r>
        <w:rPr>
          <w:rFonts w:hint="eastAsia" w:ascii="Times New Roman" w:cs="Times New Roman"/>
          <w:b/>
          <w:kern w:val="2"/>
          <w:sz w:val="21"/>
          <w:szCs w:val="21"/>
        </w:rPr>
        <w:t>5</w:t>
      </w:r>
      <w:r>
        <w:rPr>
          <w:rFonts w:ascii="Times New Roman" w:cs="Times New Roman"/>
          <w:b/>
          <w:kern w:val="2"/>
          <w:sz w:val="21"/>
          <w:szCs w:val="21"/>
        </w:rPr>
        <w:t xml:space="preserve"> </w:t>
      </w:r>
      <w:r>
        <w:rPr>
          <w:rFonts w:ascii="Times New Roman" w:cs="Times New Roman"/>
          <w:b/>
          <w:bCs/>
          <w:kern w:val="2"/>
          <w:sz w:val="21"/>
          <w:szCs w:val="21"/>
        </w:rPr>
        <w:t>硫化氢泄漏时下风向</w:t>
      </w:r>
      <w:r>
        <w:rPr>
          <w:rFonts w:ascii="Times New Roman" w:cs="Times New Roman"/>
          <w:b/>
          <w:kern w:val="2"/>
          <w:sz w:val="21"/>
          <w:szCs w:val="21"/>
        </w:rPr>
        <w:t>浓度</w:t>
      </w:r>
      <w:r>
        <w:rPr>
          <w:rFonts w:ascii="Times New Roman" w:cs="Times New Roman"/>
          <w:b/>
          <w:bCs/>
          <w:kern w:val="2"/>
          <w:sz w:val="21"/>
          <w:szCs w:val="21"/>
        </w:rPr>
        <w:t>分布表</w:t>
      </w:r>
      <w:r>
        <w:rPr>
          <w:rFonts w:ascii="Times New Roman" w:cs="Times New Roman"/>
          <w:b/>
          <w:kern w:val="2"/>
          <w:sz w:val="21"/>
          <w:szCs w:val="21"/>
        </w:rPr>
        <w:t xml:space="preserve">  单位：mg/m</w:t>
      </w:r>
      <w:r>
        <w:rPr>
          <w:rFonts w:ascii="Times New Roman" w:cs="Times New Roman"/>
          <w:b/>
          <w:kern w:val="2"/>
          <w:sz w:val="21"/>
          <w:szCs w:val="21"/>
          <w:vertAlign w:val="superscript"/>
        </w:rPr>
        <w:t>3</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771"/>
        <w:gridCol w:w="2694"/>
        <w:gridCol w:w="326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topLinePunct w:val="0"/>
              <w:adjustRightInd/>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下风向距离（m）</w:t>
            </w:r>
          </w:p>
        </w:tc>
        <w:tc>
          <w:tcPr>
            <w:tcW w:w="1542" w:type="pct"/>
            <w:shd w:val="clear" w:color="auto" w:fill="auto"/>
            <w:vAlign w:val="center"/>
          </w:tcPr>
          <w:p>
            <w:pPr>
              <w:topLinePunct w:val="0"/>
              <w:adjustRightInd/>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浓度出现时间（min）</w:t>
            </w:r>
          </w:p>
        </w:tc>
        <w:tc>
          <w:tcPr>
            <w:tcW w:w="1871" w:type="pct"/>
            <w:shd w:val="clear" w:color="auto" w:fill="auto"/>
            <w:vAlign w:val="center"/>
          </w:tcPr>
          <w:p>
            <w:pPr>
              <w:topLinePunct w:val="0"/>
              <w:adjustRightInd/>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高峰浓度（mg/m</w:t>
            </w:r>
            <w:r>
              <w:rPr>
                <w:rFonts w:ascii="Times New Roman" w:cs="Times New Roman"/>
                <w:b/>
                <w:bCs/>
                <w:kern w:val="2"/>
                <w:sz w:val="21"/>
                <w:szCs w:val="21"/>
                <w:vertAlign w:val="superscript"/>
              </w:rPr>
              <w:t>3</w:t>
            </w:r>
            <w:r>
              <w:rPr>
                <w:rFonts w:ascii="Times New Roman" w:cs="Times New Roman"/>
                <w:b/>
                <w:bCs/>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10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7.65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11159.00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20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7.81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8885.70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30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7.97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7511.70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40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8.13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6512.10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50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8.30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5762.90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60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8.46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5173.50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70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8.62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4684.50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80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8.79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4275.70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90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8.95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3936.40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100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9.11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3644.70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200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8.74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2068.30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300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10.52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1453.60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400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9.95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1150.80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500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12.28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930.91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600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13.53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759.23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700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14.73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627.50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800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15.88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524.32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900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16.99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442.89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1000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18.08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379.11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2000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28.85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126.57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771" w:type="dxa"/>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2830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36.09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69.89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3000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37.52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63.28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3990.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45.50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37.85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4000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45.58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37.67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5000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53.24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24.99 </w:t>
            </w:r>
          </w:p>
        </w:tc>
      </w:tr>
    </w:tbl>
    <w:p>
      <w:pPr>
        <w:topLinePunct w:val="0"/>
        <w:adjustRightInd/>
        <w:ind w:firstLine="420"/>
        <w:rPr>
          <w:rFonts w:ascii="Times New Roman" w:cs="Times New Roman"/>
          <w:kern w:val="2"/>
        </w:rPr>
      </w:pPr>
      <w:r>
        <w:rPr>
          <w:rFonts w:ascii="Times New Roman" w:cs="Times New Roman"/>
          <w:kern w:val="2"/>
          <w:sz w:val="21"/>
          <w:szCs w:val="21"/>
        </w:rPr>
        <w:t>硫化氢泄漏时下风向浓度分布计算结果见图7.8-2。</w:t>
      </w:r>
    </w:p>
    <w:p>
      <w:pPr>
        <w:topLinePunct w:val="0"/>
        <w:adjustRightInd/>
        <w:spacing w:line="240" w:lineRule="auto"/>
        <w:ind w:firstLine="0" w:firstLineChars="0"/>
        <w:jc w:val="center"/>
        <w:rPr>
          <w:rFonts w:ascii="Times New Roman" w:cs="Times New Roman"/>
          <w:kern w:val="2"/>
        </w:rPr>
      </w:pPr>
      <w:r>
        <w:rPr>
          <w:rFonts w:ascii="Times New Roman" w:cs="Times New Roman"/>
          <w:kern w:val="2"/>
        </w:rPr>
        <w:drawing>
          <wp:inline distT="0" distB="0" distL="114300" distR="114300">
            <wp:extent cx="5575935" cy="3192145"/>
            <wp:effectExtent l="0" t="0" r="5715" b="8255"/>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76"/>
                    <a:stretch>
                      <a:fillRect/>
                    </a:stretch>
                  </pic:blipFill>
                  <pic:spPr>
                    <a:xfrm>
                      <a:off x="0" y="0"/>
                      <a:ext cx="5575935" cy="3192145"/>
                    </a:xfrm>
                    <a:prstGeom prst="rect">
                      <a:avLst/>
                    </a:prstGeom>
                    <a:noFill/>
                    <a:ln>
                      <a:noFill/>
                    </a:ln>
                  </pic:spPr>
                </pic:pic>
              </a:graphicData>
            </a:graphic>
          </wp:inline>
        </w:drawing>
      </w:r>
    </w:p>
    <w:p>
      <w:pPr>
        <w:topLinePunct w:val="0"/>
        <w:adjustRightInd/>
        <w:ind w:firstLine="0" w:firstLineChars="0"/>
        <w:jc w:val="center"/>
        <w:rPr>
          <w:rFonts w:ascii="Times New Roman" w:cs="Times New Roman"/>
          <w:kern w:val="2"/>
        </w:rPr>
      </w:pPr>
      <w:r>
        <w:rPr>
          <w:rFonts w:ascii="Times New Roman" w:cs="Times New Roman"/>
          <w:b/>
          <w:kern w:val="2"/>
          <w:sz w:val="21"/>
          <w:szCs w:val="21"/>
        </w:rPr>
        <w:t>图7.</w:t>
      </w:r>
      <w:r>
        <w:rPr>
          <w:rFonts w:hint="eastAsia" w:ascii="Times New Roman" w:cs="Times New Roman"/>
          <w:b/>
          <w:kern w:val="2"/>
          <w:sz w:val="21"/>
          <w:szCs w:val="21"/>
        </w:rPr>
        <w:t>9</w:t>
      </w:r>
      <w:r>
        <w:rPr>
          <w:rFonts w:ascii="Times New Roman" w:cs="Times New Roman"/>
          <w:b/>
          <w:kern w:val="2"/>
          <w:sz w:val="21"/>
          <w:szCs w:val="21"/>
        </w:rPr>
        <w:t>-</w:t>
      </w:r>
      <w:r>
        <w:rPr>
          <w:rFonts w:hint="eastAsia" w:ascii="Times New Roman" w:cs="Times New Roman"/>
          <w:b/>
          <w:kern w:val="2"/>
          <w:sz w:val="21"/>
          <w:szCs w:val="21"/>
        </w:rPr>
        <w:t>3</w:t>
      </w:r>
      <w:r>
        <w:rPr>
          <w:rFonts w:ascii="Times New Roman" w:cs="Times New Roman"/>
          <w:b/>
          <w:kern w:val="2"/>
          <w:sz w:val="21"/>
          <w:szCs w:val="21"/>
        </w:rPr>
        <w:t xml:space="preserve"> </w:t>
      </w:r>
      <w:r>
        <w:rPr>
          <w:rFonts w:ascii="Times New Roman" w:cs="Times New Roman"/>
          <w:b/>
          <w:bCs/>
          <w:kern w:val="2"/>
          <w:sz w:val="21"/>
          <w:szCs w:val="21"/>
        </w:rPr>
        <w:t>硫化氢泄漏时下风向</w:t>
      </w:r>
      <w:r>
        <w:rPr>
          <w:rFonts w:ascii="Times New Roman" w:cs="Times New Roman"/>
          <w:b/>
          <w:kern w:val="2"/>
          <w:sz w:val="21"/>
          <w:szCs w:val="21"/>
        </w:rPr>
        <w:t>浓度</w:t>
      </w:r>
      <w:r>
        <w:rPr>
          <w:rFonts w:ascii="Times New Roman" w:cs="Times New Roman"/>
          <w:b/>
          <w:bCs/>
          <w:kern w:val="2"/>
          <w:sz w:val="21"/>
          <w:szCs w:val="21"/>
        </w:rPr>
        <w:t>分布</w:t>
      </w:r>
      <w:r>
        <w:rPr>
          <w:rFonts w:ascii="Times New Roman" w:cs="Times New Roman"/>
          <w:b/>
          <w:kern w:val="2"/>
          <w:sz w:val="21"/>
          <w:szCs w:val="21"/>
        </w:rPr>
        <w:t>计算结果</w:t>
      </w:r>
    </w:p>
    <w:p>
      <w:pPr>
        <w:topLinePunct w:val="0"/>
        <w:adjustRightInd/>
        <w:spacing w:line="240" w:lineRule="auto"/>
        <w:ind w:firstLine="0" w:firstLineChars="0"/>
        <w:rPr>
          <w:rFonts w:ascii="Times New Roman" w:cs="Times New Roman"/>
          <w:kern w:val="2"/>
        </w:rPr>
      </w:pPr>
      <w:r>
        <w:rPr>
          <w:rFonts w:ascii="Times New Roman" w:cs="Times New Roman"/>
          <w:kern w:val="2"/>
        </w:rPr>
        <w:drawing>
          <wp:inline distT="0" distB="0" distL="114300" distR="114300">
            <wp:extent cx="5577840" cy="2925445"/>
            <wp:effectExtent l="0" t="0" r="3810" b="8255"/>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77"/>
                    <a:stretch>
                      <a:fillRect/>
                    </a:stretch>
                  </pic:blipFill>
                  <pic:spPr>
                    <a:xfrm>
                      <a:off x="0" y="0"/>
                      <a:ext cx="5577840" cy="2925445"/>
                    </a:xfrm>
                    <a:prstGeom prst="rect">
                      <a:avLst/>
                    </a:prstGeom>
                    <a:noFill/>
                    <a:ln>
                      <a:noFill/>
                    </a:ln>
                  </pic:spPr>
                </pic:pic>
              </a:graphicData>
            </a:graphic>
          </wp:inline>
        </w:drawing>
      </w:r>
    </w:p>
    <w:p>
      <w:pPr>
        <w:topLinePunct w:val="0"/>
        <w:adjustRightInd/>
        <w:ind w:firstLine="0" w:firstLineChars="0"/>
        <w:jc w:val="center"/>
        <w:rPr>
          <w:rFonts w:ascii="Times New Roman" w:cs="Times New Roman"/>
          <w:b/>
          <w:bCs/>
          <w:kern w:val="2"/>
          <w:sz w:val="21"/>
          <w:szCs w:val="21"/>
        </w:rPr>
      </w:pPr>
      <w:r>
        <w:rPr>
          <w:rFonts w:ascii="Times New Roman" w:cs="Times New Roman"/>
          <w:b/>
          <w:bCs/>
          <w:kern w:val="2"/>
          <w:sz w:val="21"/>
          <w:szCs w:val="21"/>
        </w:rPr>
        <w:t>图7.9-</w:t>
      </w:r>
      <w:r>
        <w:rPr>
          <w:rFonts w:hint="eastAsia" w:ascii="Times New Roman" w:cs="Times New Roman"/>
          <w:b/>
          <w:bCs/>
          <w:kern w:val="2"/>
          <w:sz w:val="21"/>
          <w:szCs w:val="21"/>
        </w:rPr>
        <w:t>4</w:t>
      </w:r>
      <w:r>
        <w:rPr>
          <w:rFonts w:ascii="Times New Roman" w:cs="Times New Roman"/>
          <w:b/>
          <w:bCs/>
          <w:kern w:val="2"/>
          <w:sz w:val="21"/>
          <w:szCs w:val="21"/>
        </w:rPr>
        <w:t xml:space="preserve"> </w:t>
      </w:r>
      <w:r>
        <w:rPr>
          <w:rFonts w:hint="eastAsia" w:ascii="Times New Roman" w:cs="Times New Roman"/>
          <w:b/>
          <w:bCs/>
          <w:kern w:val="2"/>
          <w:sz w:val="21"/>
          <w:szCs w:val="21"/>
        </w:rPr>
        <w:t>硫化氢</w:t>
      </w:r>
      <w:r>
        <w:rPr>
          <w:rFonts w:ascii="Times New Roman" w:cs="Times New Roman"/>
          <w:b/>
          <w:bCs/>
          <w:kern w:val="2"/>
          <w:sz w:val="21"/>
          <w:szCs w:val="21"/>
        </w:rPr>
        <w:t>泄漏时下风向轴线最大浓度曲线</w:t>
      </w:r>
    </w:p>
    <w:p>
      <w:pPr>
        <w:topLinePunct w:val="0"/>
        <w:adjustRightInd/>
        <w:ind w:firstLine="0" w:firstLineChars="0"/>
        <w:jc w:val="center"/>
        <w:rPr>
          <w:rFonts w:ascii="Times New Roman" w:cs="Times New Roman"/>
          <w:b/>
          <w:bCs/>
          <w:kern w:val="2"/>
          <w:sz w:val="21"/>
          <w:szCs w:val="21"/>
        </w:rPr>
      </w:pPr>
    </w:p>
    <w:p>
      <w:pPr>
        <w:topLinePunct w:val="0"/>
        <w:adjustRightInd/>
        <w:ind w:firstLine="0" w:firstLineChars="0"/>
        <w:jc w:val="center"/>
        <w:rPr>
          <w:rFonts w:ascii="Times New Roman" w:cs="Times New Roman"/>
          <w:b/>
          <w:bCs/>
          <w:kern w:val="2"/>
          <w:sz w:val="21"/>
          <w:szCs w:val="21"/>
        </w:rPr>
      </w:pPr>
    </w:p>
    <w:p>
      <w:pPr>
        <w:topLinePunct w:val="0"/>
        <w:adjustRightInd/>
        <w:ind w:firstLine="0" w:firstLineChars="0"/>
        <w:jc w:val="center"/>
        <w:rPr>
          <w:rFonts w:ascii="Times New Roman" w:cs="Times New Roman"/>
          <w:b/>
          <w:kern w:val="2"/>
          <w:sz w:val="21"/>
          <w:szCs w:val="21"/>
          <w:vertAlign w:val="superscript"/>
        </w:rPr>
      </w:pPr>
      <w:r>
        <w:rPr>
          <w:rFonts w:ascii="Times New Roman" w:cs="Times New Roman"/>
          <w:b/>
          <w:kern w:val="2"/>
          <w:sz w:val="21"/>
          <w:szCs w:val="21"/>
        </w:rPr>
        <w:t>表7.</w:t>
      </w:r>
      <w:r>
        <w:rPr>
          <w:rFonts w:hint="eastAsia" w:ascii="Times New Roman" w:cs="Times New Roman"/>
          <w:b/>
          <w:kern w:val="2"/>
          <w:sz w:val="21"/>
          <w:szCs w:val="21"/>
        </w:rPr>
        <w:t>9</w:t>
      </w:r>
      <w:r>
        <w:rPr>
          <w:rFonts w:ascii="Times New Roman" w:cs="Times New Roman"/>
          <w:b/>
          <w:kern w:val="2"/>
          <w:sz w:val="21"/>
          <w:szCs w:val="21"/>
        </w:rPr>
        <w:t>-</w:t>
      </w:r>
      <w:r>
        <w:rPr>
          <w:rFonts w:hint="eastAsia" w:ascii="Times New Roman" w:cs="Times New Roman"/>
          <w:b/>
          <w:kern w:val="2"/>
          <w:sz w:val="21"/>
          <w:szCs w:val="21"/>
        </w:rPr>
        <w:t>6</w:t>
      </w:r>
      <w:r>
        <w:rPr>
          <w:rFonts w:ascii="Times New Roman" w:cs="Times New Roman"/>
          <w:b/>
          <w:kern w:val="2"/>
          <w:sz w:val="21"/>
          <w:szCs w:val="21"/>
        </w:rPr>
        <w:t xml:space="preserve">  </w:t>
      </w:r>
      <w:r>
        <w:rPr>
          <w:rFonts w:hint="eastAsia" w:ascii="Times New Roman" w:cs="Times New Roman"/>
          <w:b/>
          <w:kern w:val="2"/>
          <w:sz w:val="21"/>
          <w:szCs w:val="21"/>
        </w:rPr>
        <w:t>一氧化碳</w:t>
      </w:r>
      <w:r>
        <w:rPr>
          <w:rFonts w:ascii="Times New Roman" w:cs="Times New Roman"/>
          <w:b/>
          <w:bCs/>
          <w:kern w:val="2"/>
          <w:sz w:val="21"/>
          <w:szCs w:val="21"/>
        </w:rPr>
        <w:t>泄漏时下风向</w:t>
      </w:r>
      <w:r>
        <w:rPr>
          <w:rFonts w:ascii="Times New Roman" w:cs="Times New Roman"/>
          <w:b/>
          <w:kern w:val="2"/>
          <w:sz w:val="21"/>
          <w:szCs w:val="21"/>
        </w:rPr>
        <w:t>浓度</w:t>
      </w:r>
      <w:r>
        <w:rPr>
          <w:rFonts w:ascii="Times New Roman" w:cs="Times New Roman"/>
          <w:b/>
          <w:bCs/>
          <w:kern w:val="2"/>
          <w:sz w:val="21"/>
          <w:szCs w:val="21"/>
        </w:rPr>
        <w:t>分布表</w:t>
      </w:r>
      <w:r>
        <w:rPr>
          <w:rFonts w:ascii="Times New Roman" w:cs="Times New Roman"/>
          <w:b/>
          <w:kern w:val="2"/>
          <w:sz w:val="21"/>
          <w:szCs w:val="21"/>
        </w:rPr>
        <w:t xml:space="preserve">  单位：mg/m</w:t>
      </w:r>
      <w:r>
        <w:rPr>
          <w:rFonts w:ascii="Times New Roman" w:cs="Times New Roman"/>
          <w:b/>
          <w:kern w:val="2"/>
          <w:sz w:val="21"/>
          <w:szCs w:val="21"/>
          <w:vertAlign w:val="superscript"/>
        </w:rPr>
        <w:t>3</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771"/>
        <w:gridCol w:w="2694"/>
        <w:gridCol w:w="326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topLinePunct w:val="0"/>
              <w:adjustRightInd/>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下风向距离（m）</w:t>
            </w:r>
          </w:p>
        </w:tc>
        <w:tc>
          <w:tcPr>
            <w:tcW w:w="1542" w:type="pct"/>
            <w:shd w:val="clear" w:color="auto" w:fill="auto"/>
            <w:vAlign w:val="center"/>
          </w:tcPr>
          <w:p>
            <w:pPr>
              <w:topLinePunct w:val="0"/>
              <w:adjustRightInd/>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浓度出现时间（min）</w:t>
            </w:r>
          </w:p>
        </w:tc>
        <w:tc>
          <w:tcPr>
            <w:tcW w:w="1871" w:type="pct"/>
            <w:shd w:val="clear" w:color="auto" w:fill="auto"/>
            <w:vAlign w:val="center"/>
          </w:tcPr>
          <w:p>
            <w:pPr>
              <w:topLinePunct w:val="0"/>
              <w:adjustRightInd/>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高峰浓度（mg/m</w:t>
            </w:r>
            <w:r>
              <w:rPr>
                <w:rFonts w:ascii="Times New Roman" w:cs="Times New Roman"/>
                <w:b/>
                <w:bCs/>
                <w:kern w:val="2"/>
                <w:sz w:val="21"/>
                <w:szCs w:val="21"/>
                <w:vertAlign w:val="superscript"/>
              </w:rPr>
              <w:t>3</w:t>
            </w:r>
            <w:r>
              <w:rPr>
                <w:rFonts w:ascii="Times New Roman" w:cs="Times New Roman"/>
                <w:b/>
                <w:bCs/>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10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0.08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0.00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20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0.17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8.90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30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0.25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146.87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40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0.33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381.68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50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0.42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556.24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60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0.50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643.14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70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0.58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670.33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80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0.67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665.74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90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0.75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646.52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100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0.83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621.45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200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1.67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387.98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300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2.50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250.61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400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3.33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172.98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500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4.17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126.46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600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5.00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96.68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771" w:type="dxa"/>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610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5.08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94.31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700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5.83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76.51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800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6.67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62.22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900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7.50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51.71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1000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8.33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43.75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2000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18.67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15.81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3000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27.00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9.27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4000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36.33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6.33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5000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44.67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4.71 </w:t>
            </w:r>
          </w:p>
        </w:tc>
      </w:tr>
    </w:tbl>
    <w:p>
      <w:pPr>
        <w:topLinePunct w:val="0"/>
        <w:adjustRightInd/>
        <w:ind w:firstLine="420"/>
        <w:rPr>
          <w:rFonts w:ascii="Times New Roman" w:cs="Times New Roman"/>
          <w:kern w:val="2"/>
        </w:rPr>
      </w:pPr>
      <w:r>
        <w:rPr>
          <w:rFonts w:hint="eastAsia" w:ascii="Times New Roman" w:cs="Times New Roman"/>
          <w:kern w:val="2"/>
          <w:sz w:val="21"/>
          <w:szCs w:val="21"/>
          <w:lang w:val="en-US" w:eastAsia="zh-CN"/>
        </w:rPr>
        <w:t>一氧化碳</w:t>
      </w:r>
      <w:r>
        <w:rPr>
          <w:rFonts w:ascii="Times New Roman" w:cs="Times New Roman"/>
          <w:kern w:val="2"/>
          <w:sz w:val="21"/>
          <w:szCs w:val="21"/>
        </w:rPr>
        <w:t>泄漏时下风向浓度分布计算结果见图7.8-2。</w:t>
      </w:r>
    </w:p>
    <w:p>
      <w:pPr>
        <w:topLinePunct w:val="0"/>
        <w:adjustRightInd/>
        <w:spacing w:line="240" w:lineRule="auto"/>
        <w:ind w:firstLine="0" w:firstLineChars="0"/>
        <w:jc w:val="center"/>
        <w:rPr>
          <w:rFonts w:ascii="Times New Roman" w:cs="Times New Roman"/>
          <w:kern w:val="2"/>
        </w:rPr>
      </w:pPr>
      <w:r>
        <w:rPr>
          <w:rFonts w:ascii="Times New Roman" w:cs="Times New Roman"/>
          <w:kern w:val="2"/>
        </w:rPr>
        <w:drawing>
          <wp:inline distT="0" distB="0" distL="114300" distR="114300">
            <wp:extent cx="5575935" cy="3192145"/>
            <wp:effectExtent l="0" t="0" r="5715" b="8255"/>
            <wp:docPr id="8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1"/>
                    <pic:cNvPicPr>
                      <a:picLocks noChangeAspect="1"/>
                    </pic:cNvPicPr>
                  </pic:nvPicPr>
                  <pic:blipFill>
                    <a:blip r:embed="rId78"/>
                    <a:stretch>
                      <a:fillRect/>
                    </a:stretch>
                  </pic:blipFill>
                  <pic:spPr>
                    <a:xfrm>
                      <a:off x="0" y="0"/>
                      <a:ext cx="5575935" cy="3192145"/>
                    </a:xfrm>
                    <a:prstGeom prst="rect">
                      <a:avLst/>
                    </a:prstGeom>
                    <a:noFill/>
                    <a:ln>
                      <a:noFill/>
                    </a:ln>
                  </pic:spPr>
                </pic:pic>
              </a:graphicData>
            </a:graphic>
          </wp:inline>
        </w:drawing>
      </w:r>
    </w:p>
    <w:p>
      <w:pPr>
        <w:topLinePunct w:val="0"/>
        <w:adjustRightInd/>
        <w:ind w:firstLine="0" w:firstLineChars="0"/>
        <w:jc w:val="center"/>
        <w:rPr>
          <w:rFonts w:ascii="Times New Roman" w:cs="Times New Roman"/>
          <w:kern w:val="2"/>
        </w:rPr>
      </w:pPr>
      <w:r>
        <w:rPr>
          <w:rFonts w:ascii="Times New Roman" w:cs="Times New Roman"/>
          <w:b/>
          <w:kern w:val="2"/>
          <w:sz w:val="21"/>
          <w:szCs w:val="21"/>
        </w:rPr>
        <w:t>图7.</w:t>
      </w:r>
      <w:r>
        <w:rPr>
          <w:rFonts w:hint="eastAsia" w:ascii="Times New Roman" w:cs="Times New Roman"/>
          <w:b/>
          <w:kern w:val="2"/>
          <w:sz w:val="21"/>
          <w:szCs w:val="21"/>
        </w:rPr>
        <w:t>9</w:t>
      </w:r>
      <w:r>
        <w:rPr>
          <w:rFonts w:ascii="Times New Roman" w:cs="Times New Roman"/>
          <w:b/>
          <w:kern w:val="2"/>
          <w:sz w:val="21"/>
          <w:szCs w:val="21"/>
        </w:rPr>
        <w:t>-</w:t>
      </w:r>
      <w:r>
        <w:rPr>
          <w:rFonts w:hint="eastAsia" w:ascii="Times New Roman" w:cs="Times New Roman"/>
          <w:b/>
          <w:kern w:val="2"/>
          <w:sz w:val="21"/>
          <w:szCs w:val="21"/>
        </w:rPr>
        <w:t>5</w:t>
      </w:r>
      <w:r>
        <w:rPr>
          <w:rFonts w:ascii="Times New Roman" w:cs="Times New Roman"/>
          <w:b/>
          <w:kern w:val="2"/>
          <w:sz w:val="21"/>
          <w:szCs w:val="21"/>
        </w:rPr>
        <w:t xml:space="preserve"> </w:t>
      </w:r>
      <w:r>
        <w:rPr>
          <w:rFonts w:ascii="Times New Roman" w:cs="Times New Roman"/>
          <w:b/>
          <w:bCs/>
          <w:kern w:val="2"/>
          <w:sz w:val="21"/>
          <w:szCs w:val="21"/>
        </w:rPr>
        <w:t>一氧化碳泄漏时下风向</w:t>
      </w:r>
      <w:r>
        <w:rPr>
          <w:rFonts w:ascii="Times New Roman" w:cs="Times New Roman"/>
          <w:b/>
          <w:kern w:val="2"/>
          <w:sz w:val="21"/>
          <w:szCs w:val="21"/>
        </w:rPr>
        <w:t>浓度</w:t>
      </w:r>
      <w:r>
        <w:rPr>
          <w:rFonts w:ascii="Times New Roman" w:cs="Times New Roman"/>
          <w:b/>
          <w:bCs/>
          <w:kern w:val="2"/>
          <w:sz w:val="21"/>
          <w:szCs w:val="21"/>
        </w:rPr>
        <w:t>分布</w:t>
      </w:r>
      <w:r>
        <w:rPr>
          <w:rFonts w:ascii="Times New Roman" w:cs="Times New Roman"/>
          <w:b/>
          <w:kern w:val="2"/>
          <w:sz w:val="21"/>
          <w:szCs w:val="21"/>
        </w:rPr>
        <w:t>计算结果</w:t>
      </w:r>
    </w:p>
    <w:p>
      <w:pPr>
        <w:topLinePunct w:val="0"/>
        <w:adjustRightInd/>
        <w:spacing w:line="240" w:lineRule="auto"/>
        <w:ind w:firstLine="0" w:firstLineChars="0"/>
        <w:jc w:val="center"/>
        <w:rPr>
          <w:rFonts w:ascii="Times New Roman" w:cs="Times New Roman"/>
          <w:kern w:val="2"/>
        </w:rPr>
      </w:pPr>
      <w:r>
        <w:rPr>
          <w:rFonts w:ascii="Times New Roman" w:cs="Times New Roman"/>
          <w:kern w:val="2"/>
        </w:rPr>
        <w:drawing>
          <wp:inline distT="0" distB="0" distL="114300" distR="114300">
            <wp:extent cx="5575300" cy="2808605"/>
            <wp:effectExtent l="0" t="0" r="6350" b="10795"/>
            <wp:docPr id="8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2"/>
                    <pic:cNvPicPr>
                      <a:picLocks noChangeAspect="1"/>
                    </pic:cNvPicPr>
                  </pic:nvPicPr>
                  <pic:blipFill>
                    <a:blip r:embed="rId79"/>
                    <a:stretch>
                      <a:fillRect/>
                    </a:stretch>
                  </pic:blipFill>
                  <pic:spPr>
                    <a:xfrm>
                      <a:off x="0" y="0"/>
                      <a:ext cx="5575300" cy="2808605"/>
                    </a:xfrm>
                    <a:prstGeom prst="rect">
                      <a:avLst/>
                    </a:prstGeom>
                    <a:noFill/>
                    <a:ln>
                      <a:noFill/>
                    </a:ln>
                  </pic:spPr>
                </pic:pic>
              </a:graphicData>
            </a:graphic>
          </wp:inline>
        </w:drawing>
      </w:r>
    </w:p>
    <w:p>
      <w:pPr>
        <w:topLinePunct w:val="0"/>
        <w:adjustRightInd/>
        <w:ind w:firstLine="0" w:firstLineChars="0"/>
        <w:jc w:val="center"/>
        <w:rPr>
          <w:rFonts w:ascii="Times New Roman" w:cs="Times New Roman"/>
          <w:b/>
          <w:bCs/>
          <w:kern w:val="2"/>
          <w:sz w:val="21"/>
          <w:szCs w:val="21"/>
        </w:rPr>
      </w:pPr>
      <w:r>
        <w:rPr>
          <w:rFonts w:ascii="Times New Roman" w:cs="Times New Roman"/>
          <w:b/>
          <w:bCs/>
          <w:kern w:val="2"/>
          <w:sz w:val="21"/>
          <w:szCs w:val="21"/>
        </w:rPr>
        <w:t>图7.9-</w:t>
      </w:r>
      <w:r>
        <w:rPr>
          <w:rFonts w:hint="eastAsia" w:ascii="Times New Roman" w:cs="Times New Roman"/>
          <w:b/>
          <w:bCs/>
          <w:kern w:val="2"/>
          <w:sz w:val="21"/>
          <w:szCs w:val="21"/>
        </w:rPr>
        <w:t>6</w:t>
      </w:r>
      <w:r>
        <w:rPr>
          <w:rFonts w:ascii="Times New Roman" w:cs="Times New Roman"/>
          <w:b/>
          <w:bCs/>
          <w:kern w:val="2"/>
          <w:sz w:val="21"/>
          <w:szCs w:val="21"/>
        </w:rPr>
        <w:t xml:space="preserve"> </w:t>
      </w:r>
      <w:r>
        <w:rPr>
          <w:rFonts w:hint="eastAsia" w:ascii="Times New Roman" w:cs="Times New Roman"/>
          <w:b/>
          <w:bCs/>
          <w:kern w:val="2"/>
          <w:sz w:val="21"/>
          <w:szCs w:val="21"/>
        </w:rPr>
        <w:t>一氧化碳</w:t>
      </w:r>
      <w:r>
        <w:rPr>
          <w:rFonts w:ascii="Times New Roman" w:cs="Times New Roman"/>
          <w:b/>
          <w:bCs/>
          <w:kern w:val="2"/>
          <w:sz w:val="21"/>
          <w:szCs w:val="21"/>
        </w:rPr>
        <w:t>泄漏时下风向轴线最大浓度曲线</w:t>
      </w:r>
    </w:p>
    <w:p>
      <w:pPr>
        <w:topLinePunct w:val="0"/>
        <w:adjustRightInd/>
        <w:ind w:firstLine="0" w:firstLineChars="0"/>
        <w:jc w:val="center"/>
        <w:rPr>
          <w:rFonts w:ascii="Times New Roman" w:cs="Times New Roman"/>
          <w:b/>
          <w:kern w:val="2"/>
          <w:sz w:val="21"/>
          <w:szCs w:val="21"/>
          <w:vertAlign w:val="superscript"/>
        </w:rPr>
      </w:pPr>
      <w:r>
        <w:rPr>
          <w:rFonts w:ascii="Times New Roman" w:cs="Times New Roman"/>
          <w:b/>
          <w:kern w:val="2"/>
          <w:sz w:val="21"/>
          <w:szCs w:val="21"/>
        </w:rPr>
        <w:t>表7.</w:t>
      </w:r>
      <w:r>
        <w:rPr>
          <w:rFonts w:hint="eastAsia" w:ascii="Times New Roman" w:cs="Times New Roman"/>
          <w:b/>
          <w:kern w:val="2"/>
          <w:sz w:val="21"/>
          <w:szCs w:val="21"/>
        </w:rPr>
        <w:t>9</w:t>
      </w:r>
      <w:r>
        <w:rPr>
          <w:rFonts w:ascii="Times New Roman" w:cs="Times New Roman"/>
          <w:b/>
          <w:kern w:val="2"/>
          <w:sz w:val="21"/>
          <w:szCs w:val="21"/>
        </w:rPr>
        <w:t>-</w:t>
      </w:r>
      <w:r>
        <w:rPr>
          <w:rFonts w:hint="eastAsia" w:ascii="Times New Roman" w:cs="Times New Roman"/>
          <w:b/>
          <w:kern w:val="2"/>
          <w:sz w:val="21"/>
          <w:szCs w:val="21"/>
          <w:lang w:val="en-US" w:eastAsia="zh-CN"/>
        </w:rPr>
        <w:t>7</w:t>
      </w:r>
      <w:r>
        <w:rPr>
          <w:rFonts w:ascii="Times New Roman" w:cs="Times New Roman"/>
          <w:b/>
          <w:kern w:val="2"/>
          <w:sz w:val="21"/>
          <w:szCs w:val="21"/>
        </w:rPr>
        <w:t xml:space="preserve">  </w:t>
      </w:r>
      <w:r>
        <w:rPr>
          <w:rFonts w:hint="eastAsia" w:ascii="Times New Roman" w:cs="Times New Roman"/>
          <w:b/>
          <w:kern w:val="2"/>
          <w:sz w:val="21"/>
          <w:szCs w:val="21"/>
        </w:rPr>
        <w:t>二氧化硫</w:t>
      </w:r>
      <w:r>
        <w:rPr>
          <w:rFonts w:ascii="Times New Roman" w:cs="Times New Roman"/>
          <w:b/>
          <w:bCs/>
          <w:kern w:val="2"/>
          <w:sz w:val="21"/>
          <w:szCs w:val="21"/>
        </w:rPr>
        <w:t>泄漏时下风向</w:t>
      </w:r>
      <w:r>
        <w:rPr>
          <w:rFonts w:ascii="Times New Roman" w:cs="Times New Roman"/>
          <w:b/>
          <w:kern w:val="2"/>
          <w:sz w:val="21"/>
          <w:szCs w:val="21"/>
        </w:rPr>
        <w:t>浓度</w:t>
      </w:r>
      <w:r>
        <w:rPr>
          <w:rFonts w:ascii="Times New Roman" w:cs="Times New Roman"/>
          <w:b/>
          <w:bCs/>
          <w:kern w:val="2"/>
          <w:sz w:val="21"/>
          <w:szCs w:val="21"/>
        </w:rPr>
        <w:t>分布表</w:t>
      </w:r>
      <w:r>
        <w:rPr>
          <w:rFonts w:ascii="Times New Roman" w:cs="Times New Roman"/>
          <w:b/>
          <w:kern w:val="2"/>
          <w:sz w:val="21"/>
          <w:szCs w:val="21"/>
        </w:rPr>
        <w:t xml:space="preserve">  单位：mg/m</w:t>
      </w:r>
      <w:r>
        <w:rPr>
          <w:rFonts w:ascii="Times New Roman" w:cs="Times New Roman"/>
          <w:b/>
          <w:kern w:val="2"/>
          <w:sz w:val="21"/>
          <w:szCs w:val="21"/>
          <w:vertAlign w:val="superscript"/>
        </w:rPr>
        <w:t>3</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771"/>
        <w:gridCol w:w="2694"/>
        <w:gridCol w:w="326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topLinePunct w:val="0"/>
              <w:adjustRightInd/>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下风向距离（m）</w:t>
            </w:r>
          </w:p>
        </w:tc>
        <w:tc>
          <w:tcPr>
            <w:tcW w:w="1542" w:type="pct"/>
            <w:shd w:val="clear" w:color="auto" w:fill="auto"/>
            <w:vAlign w:val="center"/>
          </w:tcPr>
          <w:p>
            <w:pPr>
              <w:topLinePunct w:val="0"/>
              <w:adjustRightInd/>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浓度出现时间（min）</w:t>
            </w:r>
          </w:p>
        </w:tc>
        <w:tc>
          <w:tcPr>
            <w:tcW w:w="1871" w:type="pct"/>
            <w:shd w:val="clear" w:color="auto" w:fill="auto"/>
            <w:vAlign w:val="center"/>
          </w:tcPr>
          <w:p>
            <w:pPr>
              <w:topLinePunct w:val="0"/>
              <w:adjustRightInd/>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高峰浓度（mg/m</w:t>
            </w:r>
            <w:r>
              <w:rPr>
                <w:rFonts w:ascii="Times New Roman" w:cs="Times New Roman"/>
                <w:b/>
                <w:bCs/>
                <w:kern w:val="2"/>
                <w:sz w:val="21"/>
                <w:szCs w:val="21"/>
                <w:vertAlign w:val="superscript"/>
              </w:rPr>
              <w:t>3</w:t>
            </w:r>
            <w:r>
              <w:rPr>
                <w:rFonts w:ascii="Times New Roman" w:cs="Times New Roman"/>
                <w:b/>
                <w:bCs/>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10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7.57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30.41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20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7.65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30.38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30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7.73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30.13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40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7.80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29.83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50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7.88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29.49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60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7.96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29.01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70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8.04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28.61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80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8.12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28.14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90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8.20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27.60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100</w:t>
            </w:r>
          </w:p>
        </w:tc>
        <w:tc>
          <w:tcPr>
            <w:tcW w:w="1542"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8.27 </w:t>
            </w:r>
          </w:p>
        </w:tc>
        <w:tc>
          <w:tcPr>
            <w:tcW w:w="1871" w:type="pct"/>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27.17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200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9.06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22.38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300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9.84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18.75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400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10.62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16.09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500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11.40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14.09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600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12.18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12.51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700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12.96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11.26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800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13.75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10.21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900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14.52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9.34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1000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18.34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8.65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2000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24.01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4.00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3000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32.16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2.04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hint="eastAsia" w:ascii="Times New Roman" w:eastAsia="等线" w:cs="Times New Roman"/>
                <w:kern w:val="2"/>
                <w:sz w:val="21"/>
                <w:szCs w:val="21"/>
              </w:rPr>
              <w:t>3040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32.48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1.99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4000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39.89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1.20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5000</w:t>
            </w:r>
          </w:p>
        </w:tc>
        <w:tc>
          <w:tcPr>
            <w:tcW w:w="2694"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47.28 </w:t>
            </w:r>
          </w:p>
        </w:tc>
        <w:tc>
          <w:tcPr>
            <w:tcW w:w="3269" w:type="dxa"/>
            <w:shd w:val="clear" w:color="auto" w:fill="auto"/>
            <w:vAlign w:val="center"/>
          </w:tcPr>
          <w:p>
            <w:pPr>
              <w:widowControl/>
              <w:topLinePunct w:val="0"/>
              <w:adjustRightInd/>
              <w:spacing w:line="240" w:lineRule="auto"/>
              <w:ind w:firstLine="0" w:firstLineChars="0"/>
              <w:jc w:val="center"/>
              <w:rPr>
                <w:rFonts w:ascii="Times New Roman" w:eastAsia="等线" w:cs="Times New Roman"/>
                <w:kern w:val="2"/>
                <w:sz w:val="21"/>
                <w:szCs w:val="21"/>
              </w:rPr>
            </w:pPr>
            <w:r>
              <w:rPr>
                <w:rFonts w:ascii="Times New Roman" w:eastAsia="等线" w:cs="Times New Roman"/>
                <w:kern w:val="2"/>
                <w:sz w:val="21"/>
                <w:szCs w:val="21"/>
              </w:rPr>
              <w:t xml:space="preserve">0.78 </w:t>
            </w:r>
          </w:p>
        </w:tc>
      </w:tr>
    </w:tbl>
    <w:p>
      <w:pPr>
        <w:topLinePunct w:val="0"/>
        <w:adjustRightInd/>
        <w:ind w:firstLine="420"/>
        <w:rPr>
          <w:rFonts w:ascii="Times New Roman" w:cs="Times New Roman"/>
          <w:kern w:val="2"/>
        </w:rPr>
      </w:pPr>
      <w:r>
        <w:rPr>
          <w:rFonts w:hint="eastAsia" w:ascii="Times New Roman" w:cs="Times New Roman"/>
          <w:kern w:val="2"/>
          <w:sz w:val="21"/>
          <w:szCs w:val="21"/>
        </w:rPr>
        <w:t>二氧化硫</w:t>
      </w:r>
      <w:r>
        <w:rPr>
          <w:rFonts w:ascii="Times New Roman" w:cs="Times New Roman"/>
          <w:kern w:val="2"/>
          <w:sz w:val="21"/>
          <w:szCs w:val="21"/>
        </w:rPr>
        <w:t>泄漏时下风向浓度分布计算结果见图7.8-2。</w:t>
      </w:r>
    </w:p>
    <w:p>
      <w:pPr>
        <w:topLinePunct w:val="0"/>
        <w:adjustRightInd/>
        <w:spacing w:line="240" w:lineRule="auto"/>
        <w:ind w:firstLine="0" w:firstLineChars="0"/>
        <w:jc w:val="center"/>
        <w:rPr>
          <w:rFonts w:ascii="Times New Roman" w:cs="Times New Roman"/>
          <w:kern w:val="2"/>
        </w:rPr>
      </w:pPr>
      <w:r>
        <w:rPr>
          <w:rFonts w:ascii="Times New Roman" w:cs="Times New Roman"/>
          <w:kern w:val="2"/>
        </w:rPr>
        <w:drawing>
          <wp:inline distT="0" distB="0" distL="114300" distR="114300">
            <wp:extent cx="5575935" cy="3192145"/>
            <wp:effectExtent l="0" t="0" r="5715" b="8255"/>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80"/>
                    <a:stretch>
                      <a:fillRect/>
                    </a:stretch>
                  </pic:blipFill>
                  <pic:spPr>
                    <a:xfrm>
                      <a:off x="0" y="0"/>
                      <a:ext cx="5575935" cy="3192145"/>
                    </a:xfrm>
                    <a:prstGeom prst="rect">
                      <a:avLst/>
                    </a:prstGeom>
                    <a:noFill/>
                    <a:ln>
                      <a:noFill/>
                    </a:ln>
                  </pic:spPr>
                </pic:pic>
              </a:graphicData>
            </a:graphic>
          </wp:inline>
        </w:drawing>
      </w:r>
    </w:p>
    <w:p>
      <w:pPr>
        <w:topLinePunct w:val="0"/>
        <w:adjustRightInd/>
        <w:ind w:firstLine="0" w:firstLineChars="0"/>
        <w:jc w:val="center"/>
        <w:rPr>
          <w:rFonts w:ascii="Times New Roman" w:cs="Times New Roman"/>
          <w:kern w:val="2"/>
        </w:rPr>
      </w:pPr>
      <w:r>
        <w:rPr>
          <w:rFonts w:ascii="Times New Roman" w:cs="Times New Roman"/>
          <w:b/>
          <w:kern w:val="2"/>
          <w:sz w:val="21"/>
          <w:szCs w:val="21"/>
        </w:rPr>
        <w:t>图7.</w:t>
      </w:r>
      <w:r>
        <w:rPr>
          <w:rFonts w:hint="eastAsia" w:ascii="Times New Roman" w:cs="Times New Roman"/>
          <w:b/>
          <w:kern w:val="2"/>
          <w:sz w:val="21"/>
          <w:szCs w:val="21"/>
        </w:rPr>
        <w:t>9</w:t>
      </w:r>
      <w:r>
        <w:rPr>
          <w:rFonts w:ascii="Times New Roman" w:cs="Times New Roman"/>
          <w:b/>
          <w:kern w:val="2"/>
          <w:sz w:val="21"/>
          <w:szCs w:val="21"/>
        </w:rPr>
        <w:t>-</w:t>
      </w:r>
      <w:r>
        <w:rPr>
          <w:rFonts w:hint="eastAsia" w:ascii="Times New Roman" w:cs="Times New Roman"/>
          <w:b/>
          <w:kern w:val="2"/>
          <w:sz w:val="21"/>
          <w:szCs w:val="21"/>
          <w:lang w:val="en-US" w:eastAsia="zh-CN"/>
        </w:rPr>
        <w:t>7</w:t>
      </w:r>
      <w:r>
        <w:rPr>
          <w:rFonts w:ascii="Times New Roman" w:cs="Times New Roman"/>
          <w:b/>
          <w:kern w:val="2"/>
          <w:sz w:val="21"/>
          <w:szCs w:val="21"/>
        </w:rPr>
        <w:t xml:space="preserve"> </w:t>
      </w:r>
      <w:r>
        <w:rPr>
          <w:rFonts w:ascii="Times New Roman" w:cs="Times New Roman"/>
          <w:b/>
          <w:bCs/>
          <w:kern w:val="2"/>
          <w:sz w:val="21"/>
          <w:szCs w:val="21"/>
        </w:rPr>
        <w:t>泄漏时下风向</w:t>
      </w:r>
      <w:r>
        <w:rPr>
          <w:rFonts w:ascii="Times New Roman" w:cs="Times New Roman"/>
          <w:b/>
          <w:kern w:val="2"/>
          <w:sz w:val="21"/>
          <w:szCs w:val="21"/>
        </w:rPr>
        <w:t>浓度</w:t>
      </w:r>
      <w:r>
        <w:rPr>
          <w:rFonts w:ascii="Times New Roman" w:cs="Times New Roman"/>
          <w:b/>
          <w:bCs/>
          <w:kern w:val="2"/>
          <w:sz w:val="21"/>
          <w:szCs w:val="21"/>
        </w:rPr>
        <w:t>分布</w:t>
      </w:r>
      <w:r>
        <w:rPr>
          <w:rFonts w:ascii="Times New Roman" w:cs="Times New Roman"/>
          <w:b/>
          <w:kern w:val="2"/>
          <w:sz w:val="21"/>
          <w:szCs w:val="21"/>
        </w:rPr>
        <w:t>计算结果</w:t>
      </w:r>
    </w:p>
    <w:p>
      <w:pPr>
        <w:topLinePunct w:val="0"/>
        <w:adjustRightInd/>
        <w:spacing w:line="240" w:lineRule="auto"/>
        <w:ind w:firstLine="0" w:firstLineChars="0"/>
        <w:jc w:val="center"/>
        <w:rPr>
          <w:rFonts w:ascii="Times New Roman" w:cs="Times New Roman"/>
          <w:kern w:val="2"/>
        </w:rPr>
      </w:pPr>
      <w:r>
        <w:rPr>
          <w:rFonts w:ascii="Times New Roman" w:cs="Times New Roman"/>
          <w:kern w:val="2"/>
        </w:rPr>
        <w:drawing>
          <wp:inline distT="0" distB="0" distL="114300" distR="114300">
            <wp:extent cx="5578475" cy="3301365"/>
            <wp:effectExtent l="0" t="0" r="3175" b="13335"/>
            <wp:docPr id="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
                    <pic:cNvPicPr>
                      <a:picLocks noChangeAspect="1"/>
                    </pic:cNvPicPr>
                  </pic:nvPicPr>
                  <pic:blipFill>
                    <a:blip r:embed="rId81"/>
                    <a:stretch>
                      <a:fillRect/>
                    </a:stretch>
                  </pic:blipFill>
                  <pic:spPr>
                    <a:xfrm>
                      <a:off x="0" y="0"/>
                      <a:ext cx="5578475" cy="3301365"/>
                    </a:xfrm>
                    <a:prstGeom prst="rect">
                      <a:avLst/>
                    </a:prstGeom>
                    <a:noFill/>
                    <a:ln>
                      <a:noFill/>
                    </a:ln>
                  </pic:spPr>
                </pic:pic>
              </a:graphicData>
            </a:graphic>
          </wp:inline>
        </w:drawing>
      </w:r>
    </w:p>
    <w:p>
      <w:pPr>
        <w:topLinePunct w:val="0"/>
        <w:adjustRightInd/>
        <w:ind w:firstLine="0" w:firstLineChars="0"/>
        <w:jc w:val="center"/>
        <w:rPr>
          <w:rFonts w:ascii="Times New Roman" w:cs="Times New Roman"/>
          <w:b/>
          <w:bCs/>
          <w:kern w:val="2"/>
          <w:sz w:val="21"/>
          <w:szCs w:val="21"/>
        </w:rPr>
      </w:pPr>
      <w:r>
        <w:rPr>
          <w:rFonts w:ascii="Times New Roman" w:cs="Times New Roman"/>
          <w:b/>
          <w:bCs/>
          <w:kern w:val="2"/>
          <w:sz w:val="21"/>
          <w:szCs w:val="21"/>
        </w:rPr>
        <w:t>图7.9-</w:t>
      </w:r>
      <w:r>
        <w:rPr>
          <w:rFonts w:hint="eastAsia" w:ascii="Times New Roman" w:cs="Times New Roman"/>
          <w:b/>
          <w:bCs/>
          <w:kern w:val="2"/>
          <w:sz w:val="21"/>
          <w:szCs w:val="21"/>
          <w:lang w:val="en-US" w:eastAsia="zh-CN"/>
        </w:rPr>
        <w:t>8</w:t>
      </w:r>
      <w:r>
        <w:rPr>
          <w:rFonts w:ascii="Times New Roman" w:cs="Times New Roman"/>
          <w:b/>
          <w:bCs/>
          <w:kern w:val="2"/>
          <w:sz w:val="21"/>
          <w:szCs w:val="21"/>
        </w:rPr>
        <w:t xml:space="preserve"> </w:t>
      </w:r>
      <w:r>
        <w:rPr>
          <w:rFonts w:hint="eastAsia" w:ascii="Times New Roman" w:cs="Times New Roman"/>
          <w:b/>
          <w:bCs/>
          <w:kern w:val="2"/>
          <w:sz w:val="21"/>
          <w:szCs w:val="21"/>
        </w:rPr>
        <w:t>二氧化硫</w:t>
      </w:r>
      <w:r>
        <w:rPr>
          <w:rFonts w:ascii="Times New Roman" w:cs="Times New Roman"/>
          <w:b/>
          <w:bCs/>
          <w:kern w:val="2"/>
          <w:sz w:val="21"/>
          <w:szCs w:val="21"/>
        </w:rPr>
        <w:t>泄漏时下风向轴线最大浓度曲线</w:t>
      </w:r>
    </w:p>
    <w:p>
      <w:pPr>
        <w:topLinePunct w:val="0"/>
        <w:adjustRightInd/>
        <w:ind w:firstLine="480"/>
        <w:rPr>
          <w:rFonts w:ascii="Times New Roman" w:cs="Times New Roman"/>
          <w:kern w:val="2"/>
        </w:rPr>
      </w:pPr>
      <w:r>
        <w:rPr>
          <w:rFonts w:ascii="Times New Roman" w:cs="Times New Roman"/>
          <w:kern w:val="2"/>
        </w:rPr>
        <w:t>（</w:t>
      </w:r>
      <w:r>
        <w:rPr>
          <w:rFonts w:hint="eastAsia" w:ascii="Times New Roman" w:cs="Times New Roman"/>
          <w:kern w:val="2"/>
        </w:rPr>
        <w:t>6</w:t>
      </w:r>
      <w:r>
        <w:rPr>
          <w:rFonts w:ascii="Times New Roman" w:cs="Times New Roman"/>
          <w:kern w:val="2"/>
        </w:rPr>
        <w:t>）后果分析</w:t>
      </w:r>
    </w:p>
    <w:p>
      <w:pPr>
        <w:topLinePunct w:val="0"/>
        <w:adjustRightInd/>
        <w:ind w:firstLine="480"/>
        <w:rPr>
          <w:rFonts w:ascii="Times New Roman" w:cs="Times New Roman"/>
          <w:kern w:val="2"/>
        </w:rPr>
      </w:pPr>
      <w:r>
        <w:rPr>
          <w:rFonts w:ascii="Times New Roman" w:cs="Times New Roman"/>
          <w:kern w:val="2"/>
        </w:rPr>
        <w:t>甲烷泄漏后果分析见表7.9-</w:t>
      </w:r>
      <w:r>
        <w:rPr>
          <w:rFonts w:hint="eastAsia" w:ascii="Times New Roman" w:cs="Times New Roman"/>
          <w:kern w:val="2"/>
          <w:lang w:val="en-US" w:eastAsia="zh-CN"/>
        </w:rPr>
        <w:t>8</w:t>
      </w:r>
      <w:r>
        <w:rPr>
          <w:rFonts w:ascii="Times New Roman" w:cs="Times New Roman"/>
          <w:kern w:val="2"/>
        </w:rPr>
        <w:t>，硫化氢泄漏后果分析见表7.9-</w:t>
      </w:r>
      <w:r>
        <w:rPr>
          <w:rFonts w:hint="eastAsia" w:ascii="Times New Roman" w:cs="Times New Roman"/>
          <w:kern w:val="2"/>
          <w:lang w:val="en-US" w:eastAsia="zh-CN"/>
        </w:rPr>
        <w:t>9，</w:t>
      </w:r>
      <w:r>
        <w:rPr>
          <w:rFonts w:ascii="Times New Roman" w:cs="Times New Roman"/>
          <w:kern w:val="2"/>
        </w:rPr>
        <w:t>一氧化碳泄漏后果分析见表7.9-</w:t>
      </w:r>
      <w:r>
        <w:rPr>
          <w:rFonts w:hint="eastAsia" w:ascii="Times New Roman" w:cs="Times New Roman"/>
          <w:kern w:val="2"/>
          <w:lang w:val="en-US" w:eastAsia="zh-CN"/>
        </w:rPr>
        <w:t>10，二氧化硫泄漏后果分析见表7.9-11</w:t>
      </w:r>
      <w:r>
        <w:rPr>
          <w:rFonts w:ascii="Times New Roman" w:cs="Times New Roman"/>
          <w:kern w:val="2"/>
        </w:rPr>
        <w:t>。</w:t>
      </w:r>
    </w:p>
    <w:p>
      <w:pPr>
        <w:topLinePunct w:val="0"/>
        <w:adjustRightInd/>
        <w:snapToGrid w:val="0"/>
        <w:spacing w:line="500" w:lineRule="exact"/>
        <w:ind w:firstLine="420"/>
        <w:jc w:val="center"/>
        <w:rPr>
          <w:rFonts w:ascii="Times New Roman" w:cs="Times New Roman"/>
          <w:kern w:val="2"/>
          <w:sz w:val="21"/>
          <w:szCs w:val="21"/>
        </w:rPr>
      </w:pPr>
      <w:r>
        <w:rPr>
          <w:rFonts w:ascii="Times New Roman" w:cs="Times New Roman"/>
          <w:kern w:val="2"/>
          <w:sz w:val="21"/>
          <w:szCs w:val="21"/>
        </w:rPr>
        <w:t>表7.</w:t>
      </w:r>
      <w:r>
        <w:rPr>
          <w:rFonts w:hint="eastAsia" w:ascii="Times New Roman" w:cs="Times New Roman"/>
          <w:kern w:val="2"/>
          <w:sz w:val="21"/>
          <w:szCs w:val="21"/>
        </w:rPr>
        <w:t>9</w:t>
      </w:r>
      <w:r>
        <w:rPr>
          <w:rFonts w:ascii="Times New Roman" w:cs="Times New Roman"/>
          <w:kern w:val="2"/>
          <w:sz w:val="21"/>
          <w:szCs w:val="21"/>
        </w:rPr>
        <w:t>-</w:t>
      </w:r>
      <w:r>
        <w:rPr>
          <w:rFonts w:hint="eastAsia" w:ascii="Times New Roman" w:cs="Times New Roman"/>
          <w:kern w:val="2"/>
          <w:sz w:val="21"/>
          <w:szCs w:val="21"/>
          <w:lang w:val="en-US" w:eastAsia="zh-CN"/>
        </w:rPr>
        <w:t>8</w:t>
      </w:r>
      <w:r>
        <w:rPr>
          <w:rFonts w:ascii="Times New Roman" w:cs="Times New Roman"/>
          <w:kern w:val="2"/>
          <w:sz w:val="21"/>
          <w:szCs w:val="21"/>
        </w:rPr>
        <w:t xml:space="preserve">  甲烷泄漏事故后果分析</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347"/>
        <w:gridCol w:w="338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061"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浓度</w:t>
            </w:r>
          </w:p>
        </w:tc>
        <w:tc>
          <w:tcPr>
            <w:tcW w:w="1939"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最不利气象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061"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毒性终点浓度-1/（260000mg/m</w:t>
            </w:r>
            <w:r>
              <w:rPr>
                <w:rFonts w:ascii="Times New Roman" w:cs="Times New Roman"/>
                <w:kern w:val="2"/>
                <w:sz w:val="21"/>
                <w:szCs w:val="21"/>
                <w:vertAlign w:val="superscript"/>
              </w:rPr>
              <w:t>3</w:t>
            </w:r>
            <w:r>
              <w:rPr>
                <w:rFonts w:ascii="Times New Roman" w:cs="Times New Roman"/>
                <w:kern w:val="2"/>
                <w:sz w:val="21"/>
                <w:szCs w:val="21"/>
              </w:rPr>
              <w:t>）</w:t>
            </w:r>
          </w:p>
        </w:tc>
        <w:tc>
          <w:tcPr>
            <w:tcW w:w="1939"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061"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毒性终点浓度-2/（150000mg/m</w:t>
            </w:r>
            <w:r>
              <w:rPr>
                <w:rFonts w:ascii="Times New Roman" w:cs="Times New Roman"/>
                <w:kern w:val="2"/>
                <w:sz w:val="21"/>
                <w:szCs w:val="21"/>
                <w:vertAlign w:val="superscript"/>
              </w:rPr>
              <w:t>3</w:t>
            </w:r>
            <w:r>
              <w:rPr>
                <w:rFonts w:ascii="Times New Roman" w:cs="Times New Roman"/>
                <w:kern w:val="2"/>
                <w:sz w:val="21"/>
                <w:szCs w:val="21"/>
              </w:rPr>
              <w:t>）</w:t>
            </w:r>
          </w:p>
        </w:tc>
        <w:tc>
          <w:tcPr>
            <w:tcW w:w="1939"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～0m</w:t>
            </w:r>
          </w:p>
        </w:tc>
      </w:tr>
    </w:tbl>
    <w:p>
      <w:pPr>
        <w:topLinePunct w:val="0"/>
        <w:adjustRightInd/>
        <w:snapToGrid w:val="0"/>
        <w:spacing w:line="500" w:lineRule="exact"/>
        <w:ind w:firstLine="420"/>
        <w:jc w:val="center"/>
        <w:rPr>
          <w:rFonts w:ascii="Times New Roman" w:cs="Times New Roman"/>
          <w:kern w:val="2"/>
          <w:sz w:val="21"/>
          <w:szCs w:val="21"/>
        </w:rPr>
      </w:pPr>
      <w:r>
        <w:rPr>
          <w:rFonts w:ascii="Times New Roman" w:cs="Times New Roman"/>
          <w:kern w:val="2"/>
          <w:sz w:val="21"/>
          <w:szCs w:val="21"/>
        </w:rPr>
        <w:t>表7.</w:t>
      </w:r>
      <w:r>
        <w:rPr>
          <w:rFonts w:hint="eastAsia" w:ascii="Times New Roman" w:cs="Times New Roman"/>
          <w:kern w:val="2"/>
          <w:sz w:val="21"/>
          <w:szCs w:val="21"/>
        </w:rPr>
        <w:t>9</w:t>
      </w:r>
      <w:r>
        <w:rPr>
          <w:rFonts w:hint="eastAsia" w:ascii="Times New Roman" w:cs="Times New Roman"/>
          <w:kern w:val="2"/>
          <w:sz w:val="21"/>
          <w:szCs w:val="21"/>
          <w:lang w:val="en-US" w:eastAsia="zh-CN"/>
        </w:rPr>
        <w:t>-9</w:t>
      </w:r>
      <w:r>
        <w:rPr>
          <w:rFonts w:ascii="Times New Roman" w:cs="Times New Roman"/>
          <w:kern w:val="2"/>
          <w:sz w:val="21"/>
          <w:szCs w:val="21"/>
        </w:rPr>
        <w:t xml:space="preserve">  硫化氢泄漏事故后果分析</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347"/>
        <w:gridCol w:w="338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061"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浓度</w:t>
            </w:r>
          </w:p>
        </w:tc>
        <w:tc>
          <w:tcPr>
            <w:tcW w:w="1939"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最不利气象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061"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毒性终点浓度-1/（70mg/m</w:t>
            </w:r>
            <w:r>
              <w:rPr>
                <w:rFonts w:ascii="Times New Roman" w:cs="Times New Roman"/>
                <w:kern w:val="2"/>
                <w:sz w:val="21"/>
                <w:szCs w:val="21"/>
                <w:vertAlign w:val="superscript"/>
              </w:rPr>
              <w:t>3</w:t>
            </w:r>
            <w:r>
              <w:rPr>
                <w:rFonts w:ascii="Times New Roman" w:cs="Times New Roman"/>
                <w:kern w:val="2"/>
                <w:sz w:val="21"/>
                <w:szCs w:val="21"/>
              </w:rPr>
              <w:t>）</w:t>
            </w:r>
          </w:p>
        </w:tc>
        <w:tc>
          <w:tcPr>
            <w:tcW w:w="1939"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r>
              <w:rPr>
                <w:rFonts w:hint="eastAsia" w:ascii="Times New Roman" w:cs="Times New Roman"/>
                <w:kern w:val="2"/>
                <w:sz w:val="21"/>
                <w:szCs w:val="21"/>
              </w:rPr>
              <w:t>2830</w:t>
            </w:r>
            <w:r>
              <w:rPr>
                <w:rFonts w:ascii="Times New Roman" w:cs="Times New Roman"/>
                <w:kern w:val="2"/>
                <w:sz w:val="21"/>
                <w:szCs w:val="21"/>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061"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毒性终点浓度-2/（38mg/m</w:t>
            </w:r>
            <w:r>
              <w:rPr>
                <w:rFonts w:ascii="Times New Roman" w:cs="Times New Roman"/>
                <w:kern w:val="2"/>
                <w:sz w:val="21"/>
                <w:szCs w:val="21"/>
                <w:vertAlign w:val="superscript"/>
              </w:rPr>
              <w:t>3</w:t>
            </w:r>
            <w:r>
              <w:rPr>
                <w:rFonts w:ascii="Times New Roman" w:cs="Times New Roman"/>
                <w:kern w:val="2"/>
                <w:sz w:val="21"/>
                <w:szCs w:val="21"/>
              </w:rPr>
              <w:t>）</w:t>
            </w:r>
          </w:p>
        </w:tc>
        <w:tc>
          <w:tcPr>
            <w:tcW w:w="1939"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r>
              <w:rPr>
                <w:rFonts w:hint="eastAsia" w:ascii="Times New Roman" w:cs="Times New Roman"/>
                <w:kern w:val="2"/>
                <w:sz w:val="21"/>
                <w:szCs w:val="21"/>
              </w:rPr>
              <w:t>3990</w:t>
            </w:r>
            <w:r>
              <w:rPr>
                <w:rFonts w:ascii="Times New Roman" w:cs="Times New Roman"/>
                <w:kern w:val="2"/>
                <w:sz w:val="21"/>
                <w:szCs w:val="21"/>
              </w:rPr>
              <w:t>m</w:t>
            </w:r>
          </w:p>
        </w:tc>
      </w:tr>
    </w:tbl>
    <w:p>
      <w:pPr>
        <w:topLinePunct w:val="0"/>
        <w:adjustRightInd/>
        <w:snapToGrid w:val="0"/>
        <w:spacing w:line="500" w:lineRule="exact"/>
        <w:ind w:firstLine="420"/>
        <w:jc w:val="center"/>
        <w:rPr>
          <w:rFonts w:ascii="Times New Roman" w:cs="Times New Roman"/>
          <w:kern w:val="2"/>
          <w:sz w:val="21"/>
          <w:szCs w:val="21"/>
        </w:rPr>
      </w:pPr>
      <w:r>
        <w:rPr>
          <w:rFonts w:ascii="Times New Roman" w:cs="Times New Roman"/>
          <w:kern w:val="2"/>
          <w:sz w:val="21"/>
          <w:szCs w:val="21"/>
        </w:rPr>
        <w:t>表7.</w:t>
      </w:r>
      <w:r>
        <w:rPr>
          <w:rFonts w:hint="eastAsia" w:ascii="Times New Roman" w:cs="Times New Roman"/>
          <w:kern w:val="2"/>
          <w:sz w:val="21"/>
          <w:szCs w:val="21"/>
        </w:rPr>
        <w:t>9</w:t>
      </w:r>
      <w:r>
        <w:rPr>
          <w:rFonts w:ascii="Times New Roman" w:cs="Times New Roman"/>
          <w:kern w:val="2"/>
          <w:sz w:val="21"/>
          <w:szCs w:val="21"/>
        </w:rPr>
        <w:t>-</w:t>
      </w:r>
      <w:r>
        <w:rPr>
          <w:rFonts w:hint="eastAsia" w:ascii="Times New Roman" w:cs="Times New Roman"/>
          <w:kern w:val="2"/>
          <w:sz w:val="21"/>
          <w:szCs w:val="21"/>
          <w:lang w:val="en-US" w:eastAsia="zh-CN"/>
        </w:rPr>
        <w:t>10</w:t>
      </w:r>
      <w:r>
        <w:rPr>
          <w:rFonts w:ascii="Times New Roman" w:cs="Times New Roman"/>
          <w:kern w:val="2"/>
          <w:sz w:val="21"/>
          <w:szCs w:val="21"/>
        </w:rPr>
        <w:t xml:space="preserve">  </w:t>
      </w:r>
      <w:r>
        <w:rPr>
          <w:rFonts w:hint="eastAsia" w:ascii="Times New Roman" w:cs="Times New Roman"/>
          <w:kern w:val="2"/>
          <w:sz w:val="21"/>
          <w:szCs w:val="21"/>
        </w:rPr>
        <w:t>一氧化碳</w:t>
      </w:r>
      <w:r>
        <w:rPr>
          <w:rFonts w:ascii="Times New Roman" w:cs="Times New Roman"/>
          <w:kern w:val="2"/>
          <w:sz w:val="21"/>
          <w:szCs w:val="21"/>
        </w:rPr>
        <w:t>泄漏事故后果分析</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347"/>
        <w:gridCol w:w="338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061"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浓度</w:t>
            </w:r>
          </w:p>
        </w:tc>
        <w:tc>
          <w:tcPr>
            <w:tcW w:w="1939"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最不利气象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061"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毒性终点浓度-1/（</w:t>
            </w:r>
            <w:r>
              <w:rPr>
                <w:rFonts w:hint="eastAsia" w:ascii="Times New Roman" w:cs="Times New Roman"/>
                <w:kern w:val="2"/>
                <w:sz w:val="21"/>
                <w:szCs w:val="21"/>
              </w:rPr>
              <w:t>380</w:t>
            </w:r>
            <w:r>
              <w:rPr>
                <w:rFonts w:ascii="Times New Roman" w:cs="Times New Roman"/>
                <w:kern w:val="2"/>
                <w:sz w:val="21"/>
                <w:szCs w:val="21"/>
              </w:rPr>
              <w:t>mg/m</w:t>
            </w:r>
            <w:r>
              <w:rPr>
                <w:rFonts w:ascii="Times New Roman" w:cs="Times New Roman"/>
                <w:kern w:val="2"/>
                <w:sz w:val="21"/>
                <w:szCs w:val="21"/>
                <w:vertAlign w:val="superscript"/>
              </w:rPr>
              <w:t>3</w:t>
            </w:r>
            <w:r>
              <w:rPr>
                <w:rFonts w:ascii="Times New Roman" w:cs="Times New Roman"/>
                <w:kern w:val="2"/>
                <w:sz w:val="21"/>
                <w:szCs w:val="21"/>
              </w:rPr>
              <w:t>）</w:t>
            </w:r>
          </w:p>
        </w:tc>
        <w:tc>
          <w:tcPr>
            <w:tcW w:w="1939"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r>
              <w:rPr>
                <w:rFonts w:hint="eastAsia" w:ascii="Times New Roman" w:cs="Times New Roman"/>
                <w:kern w:val="2"/>
                <w:sz w:val="21"/>
                <w:szCs w:val="21"/>
              </w:rPr>
              <w:t>210</w:t>
            </w:r>
            <w:r>
              <w:rPr>
                <w:rFonts w:ascii="Times New Roman" w:cs="Times New Roman"/>
                <w:kern w:val="2"/>
                <w:sz w:val="21"/>
                <w:szCs w:val="21"/>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061"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毒性终点浓度-2/（</w:t>
            </w:r>
            <w:r>
              <w:rPr>
                <w:rFonts w:hint="eastAsia" w:ascii="Times New Roman" w:cs="Times New Roman"/>
                <w:kern w:val="2"/>
                <w:sz w:val="21"/>
                <w:szCs w:val="21"/>
              </w:rPr>
              <w:t>95</w:t>
            </w:r>
            <w:r>
              <w:rPr>
                <w:rFonts w:ascii="Times New Roman" w:cs="Times New Roman"/>
                <w:kern w:val="2"/>
                <w:sz w:val="21"/>
                <w:szCs w:val="21"/>
              </w:rPr>
              <w:t>mg/m</w:t>
            </w:r>
            <w:r>
              <w:rPr>
                <w:rFonts w:ascii="Times New Roman" w:cs="Times New Roman"/>
                <w:kern w:val="2"/>
                <w:sz w:val="21"/>
                <w:szCs w:val="21"/>
                <w:vertAlign w:val="superscript"/>
              </w:rPr>
              <w:t>3</w:t>
            </w:r>
            <w:r>
              <w:rPr>
                <w:rFonts w:ascii="Times New Roman" w:cs="Times New Roman"/>
                <w:kern w:val="2"/>
                <w:sz w:val="21"/>
                <w:szCs w:val="21"/>
              </w:rPr>
              <w:t>）</w:t>
            </w:r>
          </w:p>
        </w:tc>
        <w:tc>
          <w:tcPr>
            <w:tcW w:w="1939"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r>
              <w:rPr>
                <w:rFonts w:hint="eastAsia" w:ascii="Times New Roman" w:cs="Times New Roman"/>
                <w:kern w:val="2"/>
                <w:sz w:val="21"/>
                <w:szCs w:val="21"/>
              </w:rPr>
              <w:t>610</w:t>
            </w:r>
            <w:r>
              <w:rPr>
                <w:rFonts w:ascii="Times New Roman" w:cs="Times New Roman"/>
                <w:kern w:val="2"/>
                <w:sz w:val="21"/>
                <w:szCs w:val="21"/>
              </w:rPr>
              <w:t>m</w:t>
            </w:r>
          </w:p>
        </w:tc>
      </w:tr>
    </w:tbl>
    <w:p>
      <w:pPr>
        <w:topLinePunct w:val="0"/>
        <w:adjustRightInd/>
        <w:snapToGrid w:val="0"/>
        <w:spacing w:line="500" w:lineRule="exact"/>
        <w:ind w:firstLine="420"/>
        <w:jc w:val="center"/>
        <w:rPr>
          <w:rFonts w:ascii="Times New Roman" w:cs="Times New Roman"/>
          <w:kern w:val="2"/>
          <w:sz w:val="21"/>
          <w:szCs w:val="21"/>
        </w:rPr>
      </w:pPr>
      <w:r>
        <w:rPr>
          <w:rFonts w:ascii="Times New Roman" w:cs="Times New Roman"/>
          <w:kern w:val="2"/>
          <w:sz w:val="21"/>
          <w:szCs w:val="21"/>
        </w:rPr>
        <w:t>表7.</w:t>
      </w:r>
      <w:r>
        <w:rPr>
          <w:rFonts w:hint="eastAsia" w:ascii="Times New Roman" w:cs="Times New Roman"/>
          <w:kern w:val="2"/>
          <w:sz w:val="21"/>
          <w:szCs w:val="21"/>
        </w:rPr>
        <w:t>9</w:t>
      </w:r>
      <w:r>
        <w:rPr>
          <w:rFonts w:ascii="Times New Roman" w:cs="Times New Roman"/>
          <w:kern w:val="2"/>
          <w:sz w:val="21"/>
          <w:szCs w:val="21"/>
        </w:rPr>
        <w:t>-</w:t>
      </w:r>
      <w:r>
        <w:rPr>
          <w:rFonts w:hint="eastAsia" w:ascii="Times New Roman" w:cs="Times New Roman"/>
          <w:kern w:val="2"/>
          <w:sz w:val="21"/>
          <w:szCs w:val="21"/>
        </w:rPr>
        <w:t>1</w:t>
      </w:r>
      <w:r>
        <w:rPr>
          <w:rFonts w:hint="eastAsia" w:ascii="Times New Roman" w:cs="Times New Roman"/>
          <w:kern w:val="2"/>
          <w:sz w:val="21"/>
          <w:szCs w:val="21"/>
          <w:lang w:val="en-US" w:eastAsia="zh-CN"/>
        </w:rPr>
        <w:t>1</w:t>
      </w:r>
      <w:r>
        <w:rPr>
          <w:rFonts w:ascii="Times New Roman" w:cs="Times New Roman"/>
          <w:kern w:val="2"/>
          <w:sz w:val="21"/>
          <w:szCs w:val="21"/>
        </w:rPr>
        <w:t xml:space="preserve">  </w:t>
      </w:r>
      <w:r>
        <w:rPr>
          <w:rFonts w:hint="eastAsia" w:ascii="Times New Roman" w:cs="Times New Roman"/>
          <w:kern w:val="2"/>
          <w:sz w:val="21"/>
          <w:szCs w:val="21"/>
        </w:rPr>
        <w:t>二氧化硫</w:t>
      </w:r>
      <w:r>
        <w:rPr>
          <w:rFonts w:ascii="Times New Roman" w:cs="Times New Roman"/>
          <w:kern w:val="2"/>
          <w:sz w:val="21"/>
          <w:szCs w:val="21"/>
        </w:rPr>
        <w:t>泄漏事故后果分析</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347"/>
        <w:gridCol w:w="338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061"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浓度</w:t>
            </w:r>
          </w:p>
        </w:tc>
        <w:tc>
          <w:tcPr>
            <w:tcW w:w="1939"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最不利气象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061"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毒性终点浓度-1/（</w:t>
            </w:r>
            <w:r>
              <w:rPr>
                <w:rFonts w:hint="eastAsia" w:ascii="Times New Roman" w:cs="Times New Roman"/>
                <w:kern w:val="2"/>
                <w:sz w:val="21"/>
                <w:szCs w:val="21"/>
              </w:rPr>
              <w:t>79</w:t>
            </w:r>
            <w:r>
              <w:rPr>
                <w:rFonts w:ascii="Times New Roman" w:cs="Times New Roman"/>
                <w:kern w:val="2"/>
                <w:sz w:val="21"/>
                <w:szCs w:val="21"/>
              </w:rPr>
              <w:t>mg/m</w:t>
            </w:r>
            <w:r>
              <w:rPr>
                <w:rFonts w:ascii="Times New Roman" w:cs="Times New Roman"/>
                <w:kern w:val="2"/>
                <w:sz w:val="21"/>
                <w:szCs w:val="21"/>
                <w:vertAlign w:val="superscript"/>
              </w:rPr>
              <w:t>3</w:t>
            </w:r>
            <w:r>
              <w:rPr>
                <w:rFonts w:ascii="Times New Roman" w:cs="Times New Roman"/>
                <w:kern w:val="2"/>
                <w:sz w:val="21"/>
                <w:szCs w:val="21"/>
              </w:rPr>
              <w:t>）</w:t>
            </w:r>
          </w:p>
        </w:tc>
        <w:tc>
          <w:tcPr>
            <w:tcW w:w="1939"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r>
              <w:rPr>
                <w:rFonts w:hint="eastAsia" w:ascii="Times New Roman" w:cs="Times New Roman"/>
                <w:kern w:val="2"/>
                <w:sz w:val="21"/>
                <w:szCs w:val="21"/>
              </w:rPr>
              <w:t>0</w:t>
            </w:r>
            <w:r>
              <w:rPr>
                <w:rFonts w:ascii="Times New Roman" w:cs="Times New Roman"/>
                <w:kern w:val="2"/>
                <w:sz w:val="21"/>
                <w:szCs w:val="21"/>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061"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毒性终点浓度-2/（</w:t>
            </w:r>
            <w:r>
              <w:rPr>
                <w:rFonts w:hint="eastAsia" w:ascii="Times New Roman" w:cs="Times New Roman"/>
                <w:kern w:val="2"/>
                <w:sz w:val="21"/>
                <w:szCs w:val="21"/>
              </w:rPr>
              <w:t>2</w:t>
            </w:r>
            <w:r>
              <w:rPr>
                <w:rFonts w:ascii="Times New Roman" w:cs="Times New Roman"/>
                <w:kern w:val="2"/>
                <w:sz w:val="21"/>
                <w:szCs w:val="21"/>
              </w:rPr>
              <w:t>mg/m</w:t>
            </w:r>
            <w:r>
              <w:rPr>
                <w:rFonts w:ascii="Times New Roman" w:cs="Times New Roman"/>
                <w:kern w:val="2"/>
                <w:sz w:val="21"/>
                <w:szCs w:val="21"/>
                <w:vertAlign w:val="superscript"/>
              </w:rPr>
              <w:t>3</w:t>
            </w:r>
            <w:r>
              <w:rPr>
                <w:rFonts w:ascii="Times New Roman" w:cs="Times New Roman"/>
                <w:kern w:val="2"/>
                <w:sz w:val="21"/>
                <w:szCs w:val="21"/>
              </w:rPr>
              <w:t>）</w:t>
            </w:r>
          </w:p>
        </w:tc>
        <w:tc>
          <w:tcPr>
            <w:tcW w:w="1939"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r>
              <w:rPr>
                <w:rFonts w:hint="eastAsia" w:ascii="Times New Roman" w:cs="Times New Roman"/>
                <w:kern w:val="2"/>
                <w:sz w:val="21"/>
                <w:szCs w:val="21"/>
              </w:rPr>
              <w:t>3040</w:t>
            </w:r>
            <w:r>
              <w:rPr>
                <w:rFonts w:ascii="Times New Roman" w:cs="Times New Roman"/>
                <w:kern w:val="2"/>
                <w:sz w:val="21"/>
                <w:szCs w:val="21"/>
              </w:rPr>
              <w:t>m</w:t>
            </w:r>
          </w:p>
        </w:tc>
      </w:tr>
    </w:tbl>
    <w:p>
      <w:pPr>
        <w:pStyle w:val="547"/>
        <w:ind w:firstLine="480"/>
      </w:pPr>
      <w:r>
        <w:rPr>
          <w:snapToGrid/>
          <w:kern w:val="2"/>
        </w:rPr>
        <w:t>最不利气象状况下，甲烷泄漏，超过毒性终点浓度-1和毒性终点浓度-2的距离均为0m，下风向的最大浓度均远低于毒性终点浓度-1和毒性终点浓度-2；最不利气象状况下，硫化氢泄漏，超过毒性终点浓度-1的距离范围为</w:t>
      </w:r>
      <w:r>
        <w:rPr>
          <w:rFonts w:hint="eastAsia"/>
          <w:snapToGrid/>
          <w:kern w:val="2"/>
        </w:rPr>
        <w:t>2830</w:t>
      </w:r>
      <w:r>
        <w:rPr>
          <w:snapToGrid/>
          <w:kern w:val="2"/>
        </w:rPr>
        <w:t>m，其</w:t>
      </w:r>
      <w:r>
        <w:rPr>
          <w:rFonts w:hint="eastAsia"/>
          <w:snapToGrid/>
          <w:kern w:val="2"/>
        </w:rPr>
        <w:t>下风向</w:t>
      </w:r>
      <w:r>
        <w:rPr>
          <w:snapToGrid/>
          <w:kern w:val="2"/>
        </w:rPr>
        <w:t>影响范围内</w:t>
      </w:r>
      <w:r>
        <w:rPr>
          <w:rFonts w:hint="eastAsia"/>
          <w:snapToGrid/>
          <w:kern w:val="2"/>
        </w:rPr>
        <w:t>约</w:t>
      </w:r>
      <w:r>
        <w:rPr>
          <w:snapToGrid/>
          <w:kern w:val="2"/>
        </w:rPr>
        <w:t>有</w:t>
      </w:r>
      <w:r>
        <w:rPr>
          <w:rFonts w:hint="eastAsia"/>
          <w:snapToGrid/>
          <w:kern w:val="2"/>
        </w:rPr>
        <w:t>150</w:t>
      </w:r>
      <w:r>
        <w:rPr>
          <w:snapToGrid/>
          <w:kern w:val="2"/>
        </w:rPr>
        <w:t>人；超过毒性终点浓度-2的距离范围为</w:t>
      </w:r>
      <w:r>
        <w:rPr>
          <w:rFonts w:hint="eastAsia"/>
          <w:snapToGrid/>
          <w:kern w:val="2"/>
        </w:rPr>
        <w:t>3990</w:t>
      </w:r>
      <w:r>
        <w:rPr>
          <w:kern w:val="2"/>
        </w:rPr>
        <w:t>m，</w:t>
      </w:r>
      <w:r>
        <w:rPr>
          <w:snapToGrid/>
          <w:kern w:val="2"/>
        </w:rPr>
        <w:t>其影响范围内有</w:t>
      </w:r>
      <w:r>
        <w:rPr>
          <w:rFonts w:hint="eastAsia"/>
          <w:snapToGrid/>
          <w:kern w:val="2"/>
        </w:rPr>
        <w:t>386</w:t>
      </w:r>
      <w:r>
        <w:rPr>
          <w:snapToGrid/>
          <w:kern w:val="2"/>
        </w:rPr>
        <w:t>人，最不利气象状况下，</w:t>
      </w:r>
      <w:r>
        <w:rPr>
          <w:rFonts w:hint="eastAsia"/>
          <w:snapToGrid/>
          <w:kern w:val="2"/>
        </w:rPr>
        <w:t>一氧化碳</w:t>
      </w:r>
      <w:r>
        <w:rPr>
          <w:snapToGrid/>
          <w:kern w:val="2"/>
        </w:rPr>
        <w:t>泄漏，超过毒性终点浓度-1的距离范围为</w:t>
      </w:r>
      <w:r>
        <w:rPr>
          <w:rFonts w:hint="eastAsia"/>
          <w:snapToGrid/>
          <w:kern w:val="2"/>
        </w:rPr>
        <w:t>210</w:t>
      </w:r>
      <w:r>
        <w:rPr>
          <w:snapToGrid/>
          <w:kern w:val="2"/>
        </w:rPr>
        <w:t>m，其影响范围内有25人；超过毒性终点浓度-2的距离范围为</w:t>
      </w:r>
      <w:r>
        <w:rPr>
          <w:rFonts w:hint="eastAsia"/>
          <w:snapToGrid/>
          <w:kern w:val="2"/>
        </w:rPr>
        <w:t>610</w:t>
      </w:r>
      <w:r>
        <w:rPr>
          <w:snapToGrid/>
          <w:kern w:val="2"/>
        </w:rPr>
        <w:t>m，其影响范围内</w:t>
      </w:r>
      <w:r>
        <w:rPr>
          <w:rFonts w:hint="eastAsia"/>
          <w:snapToGrid/>
          <w:kern w:val="2"/>
        </w:rPr>
        <w:t>无人居住</w:t>
      </w:r>
      <w:r>
        <w:rPr>
          <w:snapToGrid/>
          <w:kern w:val="2"/>
        </w:rPr>
        <w:t>，</w:t>
      </w:r>
      <w:r>
        <w:rPr>
          <w:rFonts w:hint="eastAsia"/>
          <w:snapToGrid/>
          <w:kern w:val="2"/>
        </w:rPr>
        <w:t>次生污染物二氧化硫</w:t>
      </w:r>
      <w:r>
        <w:rPr>
          <w:snapToGrid/>
          <w:kern w:val="2"/>
        </w:rPr>
        <w:t>泄漏，超过毒性终点浓度-1的距离范围为</w:t>
      </w:r>
      <w:r>
        <w:rPr>
          <w:rFonts w:hint="eastAsia"/>
          <w:snapToGrid/>
          <w:kern w:val="2"/>
        </w:rPr>
        <w:t>0</w:t>
      </w:r>
      <w:r>
        <w:rPr>
          <w:snapToGrid/>
          <w:kern w:val="2"/>
        </w:rPr>
        <w:t>m；超过毒性终点浓度-2的距离范围为</w:t>
      </w:r>
      <w:r>
        <w:rPr>
          <w:rFonts w:hint="eastAsia"/>
          <w:snapToGrid/>
          <w:kern w:val="2"/>
        </w:rPr>
        <w:t>3040</w:t>
      </w:r>
      <w:r>
        <w:rPr>
          <w:snapToGrid/>
          <w:kern w:val="2"/>
        </w:rPr>
        <w:t>m，因此，若发生井喷事故，应对井场周边的居民采取紧急疏散措施，同时井喷失控事故发生后及时进行点火，以减轻事故风险对环境的影响。</w:t>
      </w:r>
    </w:p>
    <w:p>
      <w:pPr>
        <w:pStyle w:val="4"/>
        <w:rPr>
          <w:rFonts w:eastAsia="宋体"/>
        </w:rPr>
      </w:pPr>
      <w:r>
        <w:rPr>
          <w:rFonts w:eastAsia="宋体"/>
        </w:rPr>
        <w:t>7.</w:t>
      </w:r>
      <w:r>
        <w:rPr>
          <w:rFonts w:hint="eastAsia" w:eastAsia="宋体"/>
        </w:rPr>
        <w:t>9</w:t>
      </w:r>
      <w:r>
        <w:rPr>
          <w:rFonts w:eastAsia="宋体"/>
        </w:rPr>
        <w:t>.2 天然气泄漏后果分析</w:t>
      </w:r>
    </w:p>
    <w:p>
      <w:pPr>
        <w:pStyle w:val="114"/>
        <w:ind w:firstLine="480"/>
      </w:pPr>
      <w:r>
        <w:t>天然气管道泄漏后，在泄漏口立即燃烧，形成喷射火焰；泄漏后推迟燃烧，形成闪烁火焰或爆炸；泄漏后不立即燃烧也不推迟燃烧，形成环境污染。</w:t>
      </w:r>
    </w:p>
    <w:p>
      <w:pPr>
        <w:pStyle w:val="114"/>
        <w:ind w:firstLine="482"/>
        <w:rPr>
          <w:b/>
          <w:bCs/>
        </w:rPr>
      </w:pPr>
      <w:r>
        <w:rPr>
          <w:b/>
          <w:bCs/>
        </w:rPr>
        <w:t>1、火灾或爆炸事故次生污染物对环境的影响</w:t>
      </w:r>
    </w:p>
    <w:p>
      <w:pPr>
        <w:pStyle w:val="114"/>
        <w:ind w:firstLine="480"/>
      </w:pPr>
      <w:r>
        <w:t>在事故状态下，若发生火灾或爆炸事故，天然气燃烧生成的主要产物为CO</w:t>
      </w:r>
      <w:r>
        <w:rPr>
          <w:vertAlign w:val="subscript"/>
        </w:rPr>
        <w:t>2</w:t>
      </w:r>
      <w:r>
        <w:t>、H</w:t>
      </w:r>
      <w:r>
        <w:rPr>
          <w:vertAlign w:val="subscript"/>
        </w:rPr>
        <w:t>2</w:t>
      </w:r>
      <w:r>
        <w:t>O和SO</w:t>
      </w:r>
      <w:r>
        <w:rPr>
          <w:vertAlign w:val="subscript"/>
        </w:rPr>
        <w:t>2</w:t>
      </w:r>
      <w:r>
        <w:t>，仅在事故刚发生时有少量甲烷、乙烷、硫化氢等释放，且很快就能扩散，不会长期影响空气质量。</w:t>
      </w:r>
    </w:p>
    <w:p>
      <w:pPr>
        <w:pStyle w:val="114"/>
        <w:ind w:firstLine="480"/>
      </w:pPr>
      <w:r>
        <w:t>事故时天然气燃烧主要采用二氧化碳或干粉灭火器等进行灭火。若引发大面积火灾时会产生一定的消防水，但该类消防水不含有毒有害物质，对项目拟建地周围环境不会造成较大污染。</w:t>
      </w:r>
    </w:p>
    <w:p>
      <w:pPr>
        <w:pStyle w:val="114"/>
        <w:ind w:firstLine="482"/>
        <w:rPr>
          <w:b/>
          <w:bCs/>
        </w:rPr>
      </w:pPr>
      <w:r>
        <w:rPr>
          <w:b/>
          <w:bCs/>
        </w:rPr>
        <w:t>2、事故燃烧生成CO、NO</w:t>
      </w:r>
      <w:r>
        <w:rPr>
          <w:b/>
          <w:bCs/>
          <w:vertAlign w:val="subscript"/>
        </w:rPr>
        <w:t>2</w:t>
      </w:r>
      <w:r>
        <w:rPr>
          <w:b/>
          <w:bCs/>
        </w:rPr>
        <w:t>、SO</w:t>
      </w:r>
      <w:r>
        <w:rPr>
          <w:b/>
          <w:bCs/>
          <w:vertAlign w:val="subscript"/>
        </w:rPr>
        <w:t>2</w:t>
      </w:r>
      <w:r>
        <w:rPr>
          <w:b/>
          <w:bCs/>
        </w:rPr>
        <w:t>对环境的影响</w:t>
      </w:r>
    </w:p>
    <w:p>
      <w:pPr>
        <w:pStyle w:val="114"/>
        <w:ind w:firstLine="480"/>
      </w:pPr>
      <w:r>
        <w:t>项目天然气主要成分为甲烷，天然气燃烧将伴生CO、NO</w:t>
      </w:r>
      <w:r>
        <w:rPr>
          <w:vertAlign w:val="subscript"/>
        </w:rPr>
        <w:t>2、</w:t>
      </w:r>
      <w:r>
        <w:t>SO</w:t>
      </w:r>
      <w:r>
        <w:rPr>
          <w:vertAlign w:val="subscript"/>
        </w:rPr>
        <w:t>2</w:t>
      </w:r>
      <w:r>
        <w:t>等污染物，将对周围环境空气产生影响。</w:t>
      </w:r>
    </w:p>
    <w:p>
      <w:pPr>
        <w:pStyle w:val="114"/>
        <w:ind w:firstLine="480"/>
      </w:pPr>
      <w:r>
        <w:t>CO可能会使周围含氧量降低，导致植物光合作用效率降低，影响动植物生长，甚至死亡。但这种影响是可逆的，事故得到控制后能够恢复生产。同时项目区域无自然保护区、风景区等敏感生态区域，为农业生态环境，事故对生态环境的影响是可恢复的。</w:t>
      </w:r>
    </w:p>
    <w:p>
      <w:pPr>
        <w:pStyle w:val="114"/>
        <w:ind w:firstLine="480"/>
      </w:pPr>
      <w:r>
        <w:t>就农业生态环境而言，事故发生后对生态环境的影响是可恢复的。事故发生后的区域农作物及植被不会出现大范围的影响，主要在事故附近区域出现植被受损，事故后生态环境基本能恢复到原来的状态。</w:t>
      </w:r>
    </w:p>
    <w:p>
      <w:pPr>
        <w:pStyle w:val="114"/>
        <w:ind w:firstLine="480"/>
        <w:rPr>
          <w:sz w:val="23"/>
          <w:szCs w:val="23"/>
        </w:rPr>
      </w:pPr>
      <w:r>
        <w:rPr>
          <w:szCs w:val="24"/>
        </w:rPr>
        <w:t>项目</w:t>
      </w:r>
      <w:r>
        <w:t>依托</w:t>
      </w:r>
      <w:r>
        <w:rPr>
          <w:szCs w:val="24"/>
        </w:rPr>
        <w:t>天然气泄漏事故发生时（如管道穿孔、管道断裂），井站内部截断阀自动关闭，</w:t>
      </w:r>
      <w:r>
        <w:t>依托</w:t>
      </w:r>
      <w:r>
        <w:rPr>
          <w:szCs w:val="24"/>
        </w:rPr>
        <w:t>管道内天然气通过点火火炬放空。项目风险可控，对环境空气影响较小</w:t>
      </w:r>
      <w:r>
        <w:rPr>
          <w:sz w:val="23"/>
          <w:szCs w:val="23"/>
        </w:rPr>
        <w:t>。</w:t>
      </w:r>
    </w:p>
    <w:p>
      <w:pPr>
        <w:pStyle w:val="4"/>
        <w:rPr>
          <w:rFonts w:eastAsia="宋体"/>
        </w:rPr>
      </w:pPr>
      <w:r>
        <w:rPr>
          <w:rFonts w:eastAsia="宋体"/>
        </w:rPr>
        <w:t>7.</w:t>
      </w:r>
      <w:r>
        <w:rPr>
          <w:rFonts w:hint="eastAsia" w:eastAsia="宋体"/>
        </w:rPr>
        <w:t>9</w:t>
      </w:r>
      <w:r>
        <w:rPr>
          <w:rFonts w:eastAsia="宋体"/>
        </w:rPr>
        <w:t>.3柴油泄漏后果分析</w:t>
      </w:r>
    </w:p>
    <w:p>
      <w:pPr>
        <w:pStyle w:val="114"/>
        <w:ind w:firstLine="480"/>
      </w:pPr>
      <w:r>
        <w:t>本项目柴油主要储存于柴油储罐，主要考虑罐体破损引起的柴油泄漏、火灾事故，进而进入大气、地下水、土壤环境，降低大气、地下水水质及土壤质量，影响植被生长。</w:t>
      </w:r>
    </w:p>
    <w:p>
      <w:pPr>
        <w:pStyle w:val="114"/>
        <w:ind w:firstLine="480"/>
        <w:rPr>
          <w:sz w:val="23"/>
          <w:szCs w:val="23"/>
        </w:rPr>
      </w:pPr>
      <w:r>
        <w:t>本项目柴油采用符合标准的储罐进行密闭储存，柴油储罐四周设置围堰，并进行防渗处理。一般情况管道阀门泄漏，少量跑冒漏滴均收集在围堰内，可有效进行防止污染。罐体破裂导致大量泄漏的</w:t>
      </w:r>
      <w:r>
        <w:rPr>
          <w:rFonts w:hint="eastAsia"/>
          <w:lang w:eastAsia="zh-CN"/>
        </w:rPr>
        <w:t>几率</w:t>
      </w:r>
      <w:r>
        <w:t>很小，即便储罐发生泄漏，也能够通过围堰收集，避免泄漏进入周边环境中。因此，柴油发生泄漏进入周边环境的概率极低，影响较小。</w:t>
      </w:r>
    </w:p>
    <w:p>
      <w:pPr>
        <w:pStyle w:val="4"/>
        <w:rPr>
          <w:rFonts w:eastAsia="宋体"/>
        </w:rPr>
      </w:pPr>
      <w:r>
        <w:rPr>
          <w:rFonts w:eastAsia="宋体"/>
        </w:rPr>
        <w:t>7.</w:t>
      </w:r>
      <w:r>
        <w:rPr>
          <w:rFonts w:hint="eastAsia" w:eastAsia="宋体"/>
        </w:rPr>
        <w:t>9</w:t>
      </w:r>
      <w:r>
        <w:rPr>
          <w:rFonts w:eastAsia="宋体"/>
        </w:rPr>
        <w:t>.</w:t>
      </w:r>
      <w:bookmarkStart w:id="542" w:name="OLE_LINK118"/>
      <w:bookmarkStart w:id="543" w:name="OLE_LINK117"/>
      <w:r>
        <w:rPr>
          <w:rFonts w:eastAsia="宋体"/>
        </w:rPr>
        <w:t>4压裂、洗井废水</w:t>
      </w:r>
      <w:bookmarkEnd w:id="542"/>
      <w:bookmarkEnd w:id="543"/>
      <w:r>
        <w:rPr>
          <w:rFonts w:eastAsia="宋体"/>
        </w:rPr>
        <w:t>泄漏后果分析</w:t>
      </w:r>
    </w:p>
    <w:p>
      <w:pPr>
        <w:pStyle w:val="114"/>
        <w:ind w:firstLine="480"/>
      </w:pPr>
      <w:r>
        <w:t>本项目压裂、洗井废水主要储存于污水缓冲罐，主要考虑罐体破损引起的污水泄漏事故，进而进入地下水、土壤环境，降低地下水水质及土壤质量，影响植被生长。</w:t>
      </w:r>
    </w:p>
    <w:p>
      <w:pPr>
        <w:pStyle w:val="114"/>
        <w:ind w:firstLine="480"/>
      </w:pPr>
      <w:r>
        <w:t>本项目压裂、洗井废水储罐采用符合标准的污水缓冲罐进行密闭储存，污水缓冲罐四周设置围堰，并进行防渗处理。一般情况管道阀门泄漏，少量跑冒漏滴均收集在围堰内，可有效进行防止污染。罐体破裂导致大量泄漏的</w:t>
      </w:r>
      <w:r>
        <w:rPr>
          <w:rFonts w:hint="eastAsia"/>
          <w:lang w:eastAsia="zh-CN"/>
        </w:rPr>
        <w:t>几率</w:t>
      </w:r>
      <w:r>
        <w:t>很小，即便储罐发生泄漏，也能够通过围堰收集，避免泄漏进入周边环境中。因此，压裂、洗井废水发生泄漏进入周边环境的概率极低，影响较小。</w:t>
      </w:r>
    </w:p>
    <w:p>
      <w:pPr>
        <w:pStyle w:val="4"/>
        <w:rPr>
          <w:rFonts w:eastAsia="宋体"/>
        </w:rPr>
      </w:pPr>
      <w:r>
        <w:rPr>
          <w:rFonts w:eastAsia="宋体"/>
        </w:rPr>
        <w:t>7.</w:t>
      </w:r>
      <w:r>
        <w:rPr>
          <w:rFonts w:hint="eastAsia" w:eastAsia="宋体"/>
        </w:rPr>
        <w:t>9</w:t>
      </w:r>
      <w:r>
        <w:rPr>
          <w:rFonts w:eastAsia="宋体"/>
        </w:rPr>
        <w:t xml:space="preserve">.5 </w:t>
      </w:r>
      <w:r>
        <w:rPr>
          <w:rFonts w:eastAsia="宋体"/>
          <w:bCs/>
        </w:rPr>
        <w:t>环境风险事故对生态环境影响分析</w:t>
      </w:r>
    </w:p>
    <w:p>
      <w:pPr>
        <w:pStyle w:val="6"/>
        <w:ind w:firstLine="480"/>
        <w:rPr>
          <w:rFonts w:ascii="Times New Roman" w:cs="Times New Roman"/>
        </w:rPr>
      </w:pPr>
      <w:r>
        <w:rPr>
          <w:rFonts w:ascii="Times New Roman" w:cs="Times New Roman"/>
        </w:rPr>
        <w:t>如果在处理泄漏事故时，由于误操作引发火灾、爆炸，发生火灾的地方为林场、森林一类的植被茂密地区，在一定的气象条件下还可能引发森林大火，这会给当地的生态环境造成极大的破坏。</w:t>
      </w:r>
      <w:r>
        <w:rPr>
          <w:rFonts w:hint="eastAsia" w:ascii="Times New Roman" w:cs="Times New Roman"/>
        </w:rPr>
        <w:t>项目所在</w:t>
      </w:r>
      <w:r>
        <w:rPr>
          <w:rFonts w:ascii="Times New Roman" w:cs="Times New Roman"/>
        </w:rPr>
        <w:t>林区</w:t>
      </w:r>
      <w:r>
        <w:rPr>
          <w:rFonts w:hint="eastAsia" w:ascii="Times New Roman" w:cs="Times New Roman"/>
        </w:rPr>
        <w:t>附近</w:t>
      </w:r>
      <w:r>
        <w:rPr>
          <w:rFonts w:ascii="Times New Roman" w:cs="Times New Roman"/>
        </w:rPr>
        <w:t>，分别依据《中华人民共和国森林法</w:t>
      </w:r>
      <w:r>
        <w:rPr>
          <w:rFonts w:hint="eastAsia" w:ascii="Times New Roman" w:cs="Times New Roman"/>
          <w:lang w:eastAsia="zh-CN"/>
        </w:rPr>
        <w:t>》《</w:t>
      </w:r>
      <w:r>
        <w:rPr>
          <w:rFonts w:ascii="Times New Roman" w:cs="Times New Roman"/>
        </w:rPr>
        <w:t>森林防火条例》及省、市森林防火条例，采取营造生物防火带、加强瞭望、巡视等措施，严格规范维护操作规程等措施，防止事故或处理事故时引起森林火灾。由于环境风险具有突发性和破坏性（有时甚至为灾难性）的特点，所以必须采取措施加以防范，加强控制和管理是杜绝、减轻和避免环境风险的有效办法。</w:t>
      </w:r>
    </w:p>
    <w:bookmarkEnd w:id="486"/>
    <w:p>
      <w:pPr>
        <w:pStyle w:val="3"/>
        <w:spacing w:before="120"/>
        <w:rPr>
          <w:rFonts w:cs="Times New Roman"/>
        </w:rPr>
      </w:pPr>
      <w:bookmarkStart w:id="544" w:name="bookmark64"/>
      <w:bookmarkEnd w:id="544"/>
      <w:bookmarkStart w:id="545" w:name="_Toc10232"/>
      <w:bookmarkStart w:id="546" w:name="_Toc19816113"/>
      <w:bookmarkStart w:id="547" w:name="_Hlk56973869"/>
      <w:r>
        <w:rPr>
          <w:rFonts w:cs="Times New Roman"/>
        </w:rPr>
        <w:t>7.</w:t>
      </w:r>
      <w:r>
        <w:rPr>
          <w:rFonts w:hint="eastAsia" w:cs="Times New Roman"/>
        </w:rPr>
        <w:t>10</w:t>
      </w:r>
      <w:r>
        <w:rPr>
          <w:rFonts w:cs="Times New Roman"/>
        </w:rPr>
        <w:t xml:space="preserve"> 环境风险管理</w:t>
      </w:r>
      <w:bookmarkEnd w:id="545"/>
      <w:bookmarkEnd w:id="546"/>
    </w:p>
    <w:p>
      <w:pPr>
        <w:pStyle w:val="4"/>
        <w:rPr>
          <w:rFonts w:eastAsia="宋体"/>
        </w:rPr>
      </w:pPr>
      <w:bookmarkStart w:id="548" w:name="_Toc12288751"/>
      <w:r>
        <w:rPr>
          <w:rFonts w:eastAsia="宋体"/>
        </w:rPr>
        <w:t>7.</w:t>
      </w:r>
      <w:r>
        <w:rPr>
          <w:rFonts w:hint="eastAsia" w:eastAsia="宋体"/>
        </w:rPr>
        <w:t>10</w:t>
      </w:r>
      <w:r>
        <w:rPr>
          <w:rFonts w:eastAsia="宋体"/>
        </w:rPr>
        <w:t>.</w:t>
      </w:r>
      <w:r>
        <w:rPr>
          <w:rFonts w:hint="eastAsia" w:eastAsia="宋体"/>
        </w:rPr>
        <w:t>1</w:t>
      </w:r>
      <w:r>
        <w:rPr>
          <w:rFonts w:eastAsia="宋体"/>
        </w:rPr>
        <w:t xml:space="preserve"> 施工阶段的事故防范措施</w:t>
      </w:r>
    </w:p>
    <w:bookmarkEnd w:id="548"/>
    <w:p>
      <w:pPr>
        <w:pStyle w:val="6"/>
        <w:ind w:firstLine="482"/>
        <w:rPr>
          <w:rFonts w:ascii="Times New Roman" w:cs="Times New Roman"/>
          <w:b/>
        </w:rPr>
      </w:pPr>
      <w:r>
        <w:rPr>
          <w:rFonts w:ascii="Times New Roman" w:cs="Times New Roman"/>
          <w:b/>
        </w:rPr>
        <w:t>1、风险管理措施</w:t>
      </w:r>
    </w:p>
    <w:p>
      <w:pPr>
        <w:pStyle w:val="6"/>
        <w:ind w:firstLine="480"/>
        <w:rPr>
          <w:rFonts w:ascii="Times New Roman" w:cs="Times New Roman"/>
        </w:rPr>
      </w:pPr>
      <w:r>
        <w:rPr>
          <w:rFonts w:ascii="Times New Roman" w:cs="Times New Roman"/>
        </w:rPr>
        <w:t>（1）人员防护</w:t>
      </w:r>
    </w:p>
    <w:p>
      <w:pPr>
        <w:pStyle w:val="6"/>
        <w:ind w:firstLine="480"/>
        <w:rPr>
          <w:rFonts w:ascii="Times New Roman" w:cs="Times New Roman"/>
        </w:rPr>
      </w:pPr>
      <w:r>
        <w:rPr>
          <w:rFonts w:ascii="Times New Roman" w:cs="Times New Roman"/>
        </w:rPr>
        <w:t>①培训要求</w:t>
      </w:r>
    </w:p>
    <w:p>
      <w:pPr>
        <w:pStyle w:val="6"/>
        <w:ind w:firstLine="480"/>
        <w:rPr>
          <w:rFonts w:ascii="Times New Roman" w:cs="Times New Roman"/>
        </w:rPr>
      </w:pPr>
      <w:r>
        <w:rPr>
          <w:rFonts w:ascii="Times New Roman" w:cs="Times New Roman"/>
        </w:rPr>
        <w:t>按照《硫化氢环境钻井场所作业安全规范》（SY/T 5087-2017）及其他相关规范的要求对人员进行培训。在钻井作业前，应进行含H</w:t>
      </w:r>
      <w:r>
        <w:rPr>
          <w:rFonts w:ascii="Times New Roman" w:cs="Times New Roman"/>
          <w:vertAlign w:val="subscript"/>
        </w:rPr>
        <w:t>2</w:t>
      </w:r>
      <w:r>
        <w:rPr>
          <w:rFonts w:ascii="Times New Roman" w:cs="Times New Roman"/>
        </w:rPr>
        <w:t>S井喷演习，包括佩戴防护器具进行井控作业及人员救护等工作。</w:t>
      </w:r>
    </w:p>
    <w:p>
      <w:pPr>
        <w:pStyle w:val="6"/>
        <w:ind w:firstLine="480"/>
        <w:rPr>
          <w:rFonts w:ascii="Times New Roman" w:cs="Times New Roman"/>
        </w:rPr>
      </w:pPr>
      <w:r>
        <w:rPr>
          <w:rFonts w:ascii="Times New Roman" w:cs="Times New Roman"/>
        </w:rPr>
        <w:t>②H</w:t>
      </w:r>
      <w:r>
        <w:rPr>
          <w:rFonts w:ascii="Times New Roman" w:cs="Times New Roman"/>
          <w:vertAlign w:val="subscript"/>
        </w:rPr>
        <w:t>2</w:t>
      </w:r>
      <w:r>
        <w:rPr>
          <w:rFonts w:ascii="Times New Roman" w:cs="Times New Roman"/>
        </w:rPr>
        <w:t>S监测及防护要求</w:t>
      </w:r>
    </w:p>
    <w:p>
      <w:pPr>
        <w:pStyle w:val="6"/>
        <w:ind w:firstLine="480"/>
        <w:rPr>
          <w:rFonts w:ascii="Times New Roman" w:cs="Times New Roman"/>
        </w:rPr>
      </w:pPr>
      <w:r>
        <w:rPr>
          <w:rFonts w:ascii="Times New Roman" w:cs="Times New Roman"/>
        </w:rPr>
        <w:t>按照《硫化氢环境人身防护规范》（SY/T 6277-2017）及其他相关规范的要求配备相关监测设备及人身防护设施。</w:t>
      </w:r>
    </w:p>
    <w:p>
      <w:pPr>
        <w:pStyle w:val="6"/>
        <w:ind w:firstLine="480"/>
        <w:rPr>
          <w:rFonts w:ascii="Times New Roman" w:cs="Times New Roman"/>
        </w:rPr>
      </w:pPr>
      <w:r>
        <w:rPr>
          <w:rFonts w:ascii="Times New Roman" w:cs="Times New Roman"/>
        </w:rPr>
        <w:t>（2）防止井筒渗漏</w:t>
      </w:r>
    </w:p>
    <w:p>
      <w:pPr>
        <w:pStyle w:val="6"/>
        <w:ind w:firstLine="480"/>
        <w:rPr>
          <w:rFonts w:ascii="Times New Roman" w:cs="Times New Roman"/>
        </w:rPr>
      </w:pPr>
      <w:r>
        <w:rPr>
          <w:rFonts w:ascii="Times New Roman" w:cs="Times New Roman"/>
        </w:rPr>
        <w:t>钻井的过程中应注意考虑地质构造、钻井工艺，以及井与河流的相对位置等方面的问题，避免出现地层渗漏或者串层等污染事故。</w:t>
      </w:r>
    </w:p>
    <w:p>
      <w:pPr>
        <w:pStyle w:val="6"/>
        <w:ind w:firstLine="480"/>
        <w:rPr>
          <w:rFonts w:ascii="Times New Roman" w:cs="Times New Roman"/>
        </w:rPr>
      </w:pPr>
      <w:r>
        <w:rPr>
          <w:rFonts w:ascii="Times New Roman" w:cs="Times New Roman"/>
        </w:rPr>
        <w:t>如果发生地层渗漏或者串层等事故时，需及时采取措施，采用泡沫、稻草设立隔离带对石油类污染物进行拦截，污水采用净水剂净化，用活性炭进行吸附，并及时联合其他各相关部门统一行动，尽可能减少事故带来的环境影响。</w:t>
      </w:r>
    </w:p>
    <w:p>
      <w:pPr>
        <w:pStyle w:val="6"/>
        <w:ind w:firstLine="480"/>
        <w:rPr>
          <w:rFonts w:ascii="Times New Roman" w:cs="Times New Roman"/>
        </w:rPr>
      </w:pPr>
      <w:r>
        <w:rPr>
          <w:rFonts w:ascii="Times New Roman" w:cs="Times New Roman"/>
        </w:rPr>
        <w:t>（3）配备应急点火系统及点火时间、点火管理</w:t>
      </w:r>
    </w:p>
    <w:p>
      <w:pPr>
        <w:pStyle w:val="6"/>
        <w:ind w:firstLine="480"/>
        <w:rPr>
          <w:rFonts w:ascii="Times New Roman" w:cs="Times New Roman"/>
        </w:rPr>
      </w:pPr>
      <w:r>
        <w:rPr>
          <w:rFonts w:ascii="Times New Roman" w:cs="Times New Roman"/>
        </w:rPr>
        <w:t>根据中国石化要求，普光气田在发生井喷失控（当封井器关闭后，井口仍有气体喷出）时起，平台经理15min内下令实施点火。</w:t>
      </w:r>
    </w:p>
    <w:p>
      <w:pPr>
        <w:pStyle w:val="6"/>
        <w:ind w:firstLine="480"/>
        <w:rPr>
          <w:rFonts w:ascii="Times New Roman" w:cs="Times New Roman"/>
        </w:rPr>
      </w:pPr>
      <w:r>
        <w:rPr>
          <w:rFonts w:ascii="Times New Roman" w:cs="Times New Roman"/>
        </w:rPr>
        <w:t>（4）钻井进入含硫气层和中途测试对居民的临时撤离</w:t>
      </w:r>
    </w:p>
    <w:p>
      <w:pPr>
        <w:pStyle w:val="6"/>
        <w:ind w:firstLine="480"/>
        <w:rPr>
          <w:rFonts w:ascii="Times New Roman" w:cs="Times New Roman"/>
        </w:rPr>
      </w:pPr>
      <w:r>
        <w:rPr>
          <w:rFonts w:ascii="Times New Roman" w:cs="Times New Roman"/>
        </w:rPr>
        <w:t>根据行业标准及井喷事故风险预测结果，在即将钻进含硫气层和中途测试前应临时撤离周边1310m居民至作业完成。</w:t>
      </w:r>
    </w:p>
    <w:p>
      <w:pPr>
        <w:pStyle w:val="6"/>
        <w:ind w:firstLine="480"/>
        <w:rPr>
          <w:rFonts w:ascii="Times New Roman" w:cs="Times New Roman"/>
        </w:rPr>
      </w:pPr>
      <w:r>
        <w:rPr>
          <w:rFonts w:ascii="Times New Roman" w:cs="Times New Roman"/>
        </w:rPr>
        <w:t>（5）对周边居民的风险应急培训、演练、应急撤离设施</w:t>
      </w:r>
    </w:p>
    <w:p>
      <w:pPr>
        <w:pStyle w:val="6"/>
        <w:ind w:firstLine="480"/>
        <w:rPr>
          <w:rFonts w:ascii="Times New Roman" w:cs="Times New Roman"/>
        </w:rPr>
      </w:pPr>
      <w:r>
        <w:rPr>
          <w:rFonts w:ascii="Times New Roman" w:cs="Times New Roman"/>
        </w:rPr>
        <w:t>施工单位应主动联系当地政府，对撤离区居民、学校通过发放宣传册普及安全知识，向居民普及H</w:t>
      </w:r>
      <w:r>
        <w:rPr>
          <w:rFonts w:ascii="Times New Roman" w:cs="Times New Roman"/>
          <w:vertAlign w:val="subscript"/>
        </w:rPr>
        <w:t>2</w:t>
      </w:r>
      <w:r>
        <w:rPr>
          <w:rFonts w:ascii="Times New Roman" w:cs="Times New Roman"/>
        </w:rPr>
        <w:t>S毒性知识，内容应有危害程度、防范应急救护措施。</w:t>
      </w:r>
    </w:p>
    <w:p>
      <w:pPr>
        <w:pStyle w:val="6"/>
        <w:ind w:firstLine="480"/>
        <w:rPr>
          <w:rFonts w:ascii="Times New Roman" w:cs="Times New Roman"/>
        </w:rPr>
      </w:pPr>
      <w:r>
        <w:rPr>
          <w:rFonts w:ascii="Times New Roman" w:cs="Times New Roman"/>
        </w:rPr>
        <w:t>钻井井场</w:t>
      </w:r>
      <w:r>
        <w:rPr>
          <w:rFonts w:hint="eastAsia" w:ascii="Times New Roman" w:cs="Times New Roman"/>
        </w:rPr>
        <w:t>及周边已在</w:t>
      </w:r>
      <w:r>
        <w:rPr>
          <w:rFonts w:ascii="Times New Roman" w:cs="Times New Roman"/>
        </w:rPr>
        <w:t>明显位置</w:t>
      </w:r>
      <w:r>
        <w:rPr>
          <w:rFonts w:hint="eastAsia" w:ascii="Times New Roman" w:cs="Times New Roman"/>
        </w:rPr>
        <w:t>设置</w:t>
      </w:r>
      <w:r>
        <w:rPr>
          <w:rFonts w:ascii="Times New Roman" w:cs="Times New Roman"/>
        </w:rPr>
        <w:t>风向标，以便及时有效通知周边居民。远处居民在预案中确定有应急组织机构组织撤离。</w:t>
      </w:r>
    </w:p>
    <w:p>
      <w:pPr>
        <w:pStyle w:val="6"/>
        <w:ind w:firstLine="480"/>
        <w:rPr>
          <w:rFonts w:ascii="Times New Roman" w:cs="Times New Roman"/>
        </w:rPr>
      </w:pPr>
      <w:r>
        <w:rPr>
          <w:rFonts w:ascii="Times New Roman" w:cs="Times New Roman"/>
        </w:rPr>
        <w:t>（6）钻井风险监控、报警措施</w:t>
      </w:r>
    </w:p>
    <w:p>
      <w:pPr>
        <w:pStyle w:val="6"/>
        <w:ind w:firstLine="480"/>
        <w:rPr>
          <w:rFonts w:ascii="Times New Roman" w:cs="Times New Roman"/>
        </w:rPr>
      </w:pPr>
      <w:r>
        <w:rPr>
          <w:rFonts w:ascii="Times New Roman" w:cs="Times New Roman"/>
        </w:rPr>
        <w:t>钻井施工单位应严格按照《硫化氢环境钻井场所作业安全规范》（SY/T 5087-2017）、《含硫油气田硫化氢监测与人身安全防护规定》（SY 6277-2005）中的相关规定，配备H</w:t>
      </w:r>
      <w:r>
        <w:rPr>
          <w:rFonts w:ascii="Times New Roman" w:cs="Times New Roman"/>
          <w:vertAlign w:val="subscript"/>
        </w:rPr>
        <w:t>2</w:t>
      </w:r>
      <w:r>
        <w:rPr>
          <w:rFonts w:ascii="Times New Roman" w:cs="Times New Roman"/>
        </w:rPr>
        <w:t>S安全防护设施及装置。</w:t>
      </w:r>
    </w:p>
    <w:p>
      <w:pPr>
        <w:pStyle w:val="6"/>
        <w:ind w:firstLine="480"/>
        <w:rPr>
          <w:rFonts w:ascii="Times New Roman" w:cs="Times New Roman"/>
        </w:rPr>
      </w:pPr>
      <w:r>
        <w:rPr>
          <w:rFonts w:ascii="Times New Roman" w:cs="Times New Roman"/>
        </w:rPr>
        <w:t>井场钻开气层前通知宣汉县人民医院、消防队各方面救援保障力量以及钻井队主管部门及应急救援单位。进入含硫油气层前，应落实和当地政府和医院、消防部门取得联系；一旦发生井涌、井喷，出现H</w:t>
      </w:r>
      <w:r>
        <w:rPr>
          <w:rFonts w:ascii="Times New Roman" w:cs="Times New Roman"/>
          <w:vertAlign w:val="subscript"/>
        </w:rPr>
        <w:t>2</w:t>
      </w:r>
      <w:r>
        <w:rPr>
          <w:rFonts w:ascii="Times New Roman" w:cs="Times New Roman"/>
        </w:rPr>
        <w:t>S溢出井口的危险情况及时报警。与各单位、部门的报警联系主要采用值班专用通信电话和手机。</w:t>
      </w:r>
    </w:p>
    <w:p>
      <w:pPr>
        <w:pStyle w:val="6"/>
        <w:ind w:firstLine="482"/>
        <w:rPr>
          <w:rFonts w:ascii="Times New Roman" w:cs="Times New Roman"/>
          <w:b/>
        </w:rPr>
      </w:pPr>
      <w:r>
        <w:rPr>
          <w:rFonts w:ascii="Times New Roman" w:cs="Times New Roman"/>
          <w:b/>
        </w:rPr>
        <w:t>2、预防井漏风险防范措施</w:t>
      </w:r>
    </w:p>
    <w:p>
      <w:pPr>
        <w:pStyle w:val="6"/>
        <w:ind w:firstLine="480"/>
        <w:rPr>
          <w:rFonts w:ascii="Times New Roman" w:cs="Times New Roman"/>
        </w:rPr>
      </w:pPr>
      <w:r>
        <w:rPr>
          <w:rFonts w:ascii="Times New Roman" w:cs="Times New Roman"/>
        </w:rPr>
        <w:t>（1）根据设计和地层预告，钻遇可能井漏层井段前，做好预防和处理井漏时的思想、组织、物资准备，备有足够的钻井液（密度与钻井泥浆同）、水、堵漏、配浆材料、处理剂，及相应配、供浆设施，保证防爆、灵活好用、功能齐全、使用可靠（包括灌浆管线，配浆泵等）。</w:t>
      </w:r>
    </w:p>
    <w:p>
      <w:pPr>
        <w:pStyle w:val="6"/>
        <w:ind w:firstLine="480"/>
        <w:rPr>
          <w:rFonts w:ascii="Times New Roman" w:cs="Times New Roman"/>
        </w:rPr>
      </w:pPr>
      <w:r>
        <w:rPr>
          <w:rFonts w:ascii="Times New Roman" w:cs="Times New Roman"/>
        </w:rPr>
        <w:t>（2）在钻进过程中，调整好钻井液性能，钻井液密度应尽可能控制在设计下限，采用平衡压力钻井技术，以防止或减少井漏的发生。</w:t>
      </w:r>
    </w:p>
    <w:p>
      <w:pPr>
        <w:pStyle w:val="6"/>
        <w:ind w:firstLine="480"/>
        <w:rPr>
          <w:rFonts w:ascii="Times New Roman" w:cs="Times New Roman"/>
        </w:rPr>
      </w:pPr>
      <w:r>
        <w:rPr>
          <w:rFonts w:ascii="Times New Roman" w:cs="Times New Roman"/>
        </w:rPr>
        <w:t>（3）钻遇漏失井段前，要提前准备好随钻堵漏材料，按设计要求处理好钻井液性能，并准备随时加入堵漏材料。</w:t>
      </w:r>
    </w:p>
    <w:p>
      <w:pPr>
        <w:pStyle w:val="6"/>
        <w:ind w:firstLine="480"/>
        <w:rPr>
          <w:rFonts w:ascii="Times New Roman" w:cs="Times New Roman"/>
        </w:rPr>
      </w:pPr>
      <w:r>
        <w:rPr>
          <w:rFonts w:ascii="Times New Roman" w:cs="Times New Roman"/>
        </w:rPr>
        <w:t>（4）在能满足井眼净化前提下，尽量采用小排量钻进，以降低环空循环压耗，减少或减轻井漏。</w:t>
      </w:r>
    </w:p>
    <w:p>
      <w:pPr>
        <w:pStyle w:val="6"/>
        <w:ind w:firstLine="480"/>
        <w:rPr>
          <w:rFonts w:ascii="Times New Roman" w:cs="Times New Roman"/>
        </w:rPr>
      </w:pPr>
      <w:r>
        <w:rPr>
          <w:rFonts w:ascii="Times New Roman" w:cs="Times New Roman"/>
        </w:rPr>
        <w:t>（5）下钻要控制速度，井深超过500m以后要启动辅助刹车系统，每下一柱不能少于30s，防止下钻速度快产生激动压力过大压漏地层。下钻过程中要分段循环钻井液，切不可一次下钻到底再开泵循环。开泵要缓慢，长时间静止后注意分段循环，在套管鞋以下每下10立柱钻具应开泵循环钻井液10min～15min。开泵循环钻井液时，应采用“先转动后开泵”的操作程序，以避免因瞬时激动压力过大而引起井漏。</w:t>
      </w:r>
    </w:p>
    <w:p>
      <w:pPr>
        <w:pStyle w:val="6"/>
        <w:ind w:firstLine="480"/>
        <w:rPr>
          <w:rFonts w:ascii="Times New Roman" w:cs="Times New Roman"/>
        </w:rPr>
      </w:pPr>
      <w:r>
        <w:rPr>
          <w:rFonts w:ascii="Times New Roman" w:cs="Times New Roman"/>
        </w:rPr>
        <w:t>（6）坐岗观察及时发现井漏并能准确提供漏失情况和漏失量大小并确定明确的井漏报警信号。</w:t>
      </w:r>
    </w:p>
    <w:p>
      <w:pPr>
        <w:pStyle w:val="6"/>
        <w:ind w:firstLine="480"/>
        <w:rPr>
          <w:rFonts w:ascii="Times New Roman" w:cs="Times New Roman"/>
        </w:rPr>
      </w:pPr>
      <w:r>
        <w:rPr>
          <w:rFonts w:ascii="Times New Roman" w:cs="Times New Roman"/>
        </w:rPr>
        <w:t>（7）非目的层及油层套管固井前，钻井中发生井漏，有条件应起钻完，先下入光钻杆堵漏；起钻、下钻、注水泥后皆应反灌钻井液，平衡地层压力，防止井喷。</w:t>
      </w:r>
    </w:p>
    <w:p>
      <w:pPr>
        <w:pStyle w:val="6"/>
        <w:ind w:firstLine="480"/>
        <w:rPr>
          <w:rFonts w:ascii="Times New Roman" w:cs="Times New Roman"/>
        </w:rPr>
      </w:pPr>
      <w:r>
        <w:rPr>
          <w:rFonts w:ascii="Times New Roman" w:cs="Times New Roman"/>
        </w:rPr>
        <w:t>（8）钻井中发生井漏，根据正循环漏速及反灌钻井液漏速（即反灌与正循环漏速相同、漏速减小、不漏），分别采取处理措施，应考虑井喷、钻具安全。</w:t>
      </w:r>
    </w:p>
    <w:p>
      <w:pPr>
        <w:pStyle w:val="6"/>
        <w:ind w:firstLine="482"/>
        <w:rPr>
          <w:rFonts w:ascii="Times New Roman" w:cs="Times New Roman"/>
          <w:b/>
        </w:rPr>
      </w:pPr>
      <w:r>
        <w:rPr>
          <w:rFonts w:ascii="Times New Roman" w:cs="Times New Roman"/>
          <w:b/>
        </w:rPr>
        <w:t>3、井涌、井喷防范措施</w:t>
      </w:r>
    </w:p>
    <w:p>
      <w:pPr>
        <w:pStyle w:val="6"/>
        <w:ind w:firstLine="480"/>
        <w:rPr>
          <w:rFonts w:ascii="Times New Roman" w:cs="Times New Roman"/>
        </w:rPr>
      </w:pPr>
      <w:r>
        <w:rPr>
          <w:rFonts w:ascii="Times New Roman" w:cs="Times New Roman"/>
        </w:rPr>
        <w:t>任何情况下，只要发现溢流，立即关井；关井采用硬关井的方式；压井采用司钻压井法压井，当探测到高浓度H</w:t>
      </w:r>
      <w:r>
        <w:rPr>
          <w:rFonts w:ascii="Times New Roman" w:cs="Times New Roman"/>
          <w:vertAlign w:val="subscript"/>
        </w:rPr>
        <w:t>2</w:t>
      </w:r>
      <w:r>
        <w:rPr>
          <w:rFonts w:ascii="Times New Roman" w:cs="Times New Roman"/>
        </w:rPr>
        <w:t>S时，首选硬推法进行井控。</w:t>
      </w:r>
    </w:p>
    <w:p>
      <w:pPr>
        <w:pStyle w:val="6"/>
        <w:ind w:firstLine="480"/>
        <w:rPr>
          <w:rFonts w:ascii="Times New Roman" w:cs="Times New Roman"/>
        </w:rPr>
      </w:pPr>
      <w:r>
        <w:rPr>
          <w:rFonts w:ascii="Times New Roman" w:cs="Times New Roman"/>
        </w:rPr>
        <w:t>（1）加强地质分析，及时提出可靠的地层预报，尤其是对高压层上部盖层的预报，打开高压气层前100m，做好设备工具、人员思想、技术安全措施、井口装置、队伍组织和器材设施的配套检查落实。</w:t>
      </w:r>
    </w:p>
    <w:p>
      <w:pPr>
        <w:pStyle w:val="6"/>
        <w:ind w:firstLine="480"/>
        <w:rPr>
          <w:rFonts w:ascii="Times New Roman" w:cs="Times New Roman"/>
        </w:rPr>
      </w:pPr>
      <w:r>
        <w:rPr>
          <w:rFonts w:ascii="Times New Roman" w:cs="Times New Roman"/>
        </w:rPr>
        <w:t>（2）全井坐岗观察循环罐液面，及时发现溢流并汇报，确保在钻井全过程中不发生井喷。</w:t>
      </w:r>
    </w:p>
    <w:p>
      <w:pPr>
        <w:pStyle w:val="6"/>
        <w:ind w:firstLine="480"/>
        <w:rPr>
          <w:rFonts w:ascii="Times New Roman" w:cs="Times New Roman"/>
        </w:rPr>
      </w:pPr>
      <w:r>
        <w:rPr>
          <w:rFonts w:ascii="Times New Roman" w:cs="Times New Roman"/>
        </w:rPr>
        <w:t>（3）钻井液密度在地层压力的基础上按标准附加。</w:t>
      </w:r>
    </w:p>
    <w:p>
      <w:pPr>
        <w:pStyle w:val="6"/>
        <w:ind w:firstLine="480"/>
        <w:rPr>
          <w:rFonts w:ascii="Times New Roman" w:cs="Times New Roman"/>
        </w:rPr>
      </w:pPr>
      <w:r>
        <w:rPr>
          <w:rFonts w:ascii="Times New Roman" w:cs="Times New Roman"/>
        </w:rPr>
        <w:t>（4）配置、安装、试压、使用、维护、保养好井控装备。根据地质预报或邻井资料，在进入预计高压油气层前，对地面设备、循环系统、钻井液枪、混合漏斗、搅拌器等进行全面检查，保证运转正常。</w:t>
      </w:r>
    </w:p>
    <w:p>
      <w:pPr>
        <w:pStyle w:val="6"/>
        <w:ind w:firstLine="480"/>
        <w:rPr>
          <w:rFonts w:ascii="Times New Roman" w:cs="Times New Roman"/>
        </w:rPr>
      </w:pPr>
      <w:r>
        <w:rPr>
          <w:rFonts w:ascii="Times New Roman" w:cs="Times New Roman"/>
        </w:rPr>
        <w:t>（5）落实井队班组井控岗位分工，明确职责。</w:t>
      </w:r>
    </w:p>
    <w:p>
      <w:pPr>
        <w:pStyle w:val="6"/>
        <w:ind w:firstLine="480"/>
        <w:rPr>
          <w:rFonts w:ascii="Times New Roman" w:cs="Times New Roman"/>
        </w:rPr>
      </w:pPr>
      <w:r>
        <w:rPr>
          <w:rFonts w:ascii="Times New Roman" w:cs="Times New Roman"/>
        </w:rPr>
        <w:t>（6）井场必须按设计储备重钻井液和加重材料，重浆储备罐上安装搅拌器、钻井液枪，并挂牌明示，定期搅拌，保证性能稳定。</w:t>
      </w:r>
    </w:p>
    <w:p>
      <w:pPr>
        <w:pStyle w:val="6"/>
        <w:ind w:firstLine="480"/>
        <w:rPr>
          <w:rFonts w:ascii="Times New Roman" w:cs="Times New Roman"/>
        </w:rPr>
      </w:pPr>
      <w:r>
        <w:rPr>
          <w:rFonts w:ascii="Times New Roman" w:cs="Times New Roman"/>
        </w:rPr>
        <w:t>（7）根据地层承压能力实验，确定允许最大关井压力及当量钻井液密度。确定压井时，根据关井压力确定压井钻井液密度，用保护油气层加重剂压井，要防止压漏。开启除气器、搅拌机、钻井液枪排气。达到停泵后井口不外溢，起钻灌好钻井液，下钻进行分段循环，观察油气上窜速度。</w:t>
      </w:r>
    </w:p>
    <w:p>
      <w:pPr>
        <w:pStyle w:val="6"/>
        <w:ind w:firstLine="480"/>
        <w:rPr>
          <w:rFonts w:ascii="Times New Roman" w:cs="Times New Roman"/>
        </w:rPr>
      </w:pPr>
      <w:r>
        <w:rPr>
          <w:rFonts w:ascii="Times New Roman" w:cs="Times New Roman"/>
        </w:rPr>
        <w:t>（8）经施工单位的上级主管部门验收合格后报业主方验收，接到开钻通知书后方可钻开主要油气层。钻开产层前100m，必须更换胶心及易老化的密封件，对防喷器试压一次，如气层中钻井作业较长，每隔30d试压一次，严格执行油气层“五不打开”原则（上部地层承压能力不足不能打开，压井液密度与数量、储备加重剂未满足设计要求不得打开，井口装置不执行设计、试压不合格不得打开，井控十二项制度不落实、防H</w:t>
      </w:r>
      <w:r>
        <w:rPr>
          <w:rFonts w:ascii="Times New Roman" w:cs="Times New Roman"/>
          <w:vertAlign w:val="subscript"/>
        </w:rPr>
        <w:t>2</w:t>
      </w:r>
      <w:r>
        <w:rPr>
          <w:rFonts w:ascii="Times New Roman" w:cs="Times New Roman"/>
        </w:rPr>
        <w:t>S措施不到位不得打开，钻开油气层前检查验收未整改合格不得打开）。</w:t>
      </w:r>
    </w:p>
    <w:p>
      <w:pPr>
        <w:pStyle w:val="6"/>
        <w:ind w:firstLine="480"/>
        <w:rPr>
          <w:rFonts w:ascii="Times New Roman" w:cs="Times New Roman"/>
        </w:rPr>
      </w:pPr>
      <w:r>
        <w:rPr>
          <w:rFonts w:ascii="Times New Roman" w:cs="Times New Roman"/>
        </w:rPr>
        <w:t>（9）钻开油气层期间，坚持24h必须有井队干部值班，定岗、定人认真观察钻进、起下钻和其他作业时的钻井液出口及钻井液池液面的变化情况，取全取准资料，发现异常情况立即报告司钻和值班干部并立即采取必要的措施。</w:t>
      </w:r>
    </w:p>
    <w:p>
      <w:pPr>
        <w:pStyle w:val="6"/>
        <w:ind w:firstLine="480"/>
        <w:rPr>
          <w:rFonts w:ascii="Times New Roman" w:cs="Times New Roman"/>
        </w:rPr>
      </w:pPr>
      <w:r>
        <w:rPr>
          <w:rFonts w:ascii="Times New Roman" w:cs="Times New Roman"/>
        </w:rPr>
        <w:t>（10）油气层钻井作业中，应采取低速起钻，下钻时下放速度不宜过快，以减少抽吸和压力激动，每起1柱钻杆，必须灌满钻井液一次，钻井液工做好记录，及时校对，保证灌满井眼，下钻时，应认真记录返出量，发现异常，立即报告司钻和值班干部，查明原因，正确处理。</w:t>
      </w:r>
    </w:p>
    <w:p>
      <w:pPr>
        <w:pStyle w:val="6"/>
        <w:ind w:firstLine="480"/>
        <w:rPr>
          <w:rFonts w:ascii="Times New Roman" w:cs="Times New Roman"/>
        </w:rPr>
      </w:pPr>
      <w:r>
        <w:rPr>
          <w:rFonts w:ascii="Times New Roman" w:cs="Times New Roman"/>
        </w:rPr>
        <w:t>（11）检修设备应安排在下钻到套管鞋时进行，并在钻柱上装钻具回压阀。</w:t>
      </w:r>
    </w:p>
    <w:p>
      <w:pPr>
        <w:pStyle w:val="6"/>
        <w:ind w:firstLine="480"/>
        <w:rPr>
          <w:rFonts w:ascii="Times New Roman" w:cs="Times New Roman"/>
        </w:rPr>
      </w:pPr>
      <w:r>
        <w:rPr>
          <w:rFonts w:ascii="Times New Roman" w:cs="Times New Roman"/>
        </w:rPr>
        <w:t>（12）电测前井下情况必须正常、稳定，电测时应准备1柱带钻具回压阀的钻杆，以备井内异常时强行下入控制井口。</w:t>
      </w:r>
    </w:p>
    <w:p>
      <w:pPr>
        <w:pStyle w:val="6"/>
        <w:ind w:firstLine="480"/>
        <w:rPr>
          <w:rFonts w:ascii="Times New Roman" w:cs="Times New Roman"/>
        </w:rPr>
      </w:pPr>
      <w:r>
        <w:rPr>
          <w:rFonts w:ascii="Times New Roman" w:cs="Times New Roman"/>
        </w:rPr>
        <w:t>（13）在油气层中钻进时 ，坚持使用液面报警器，钻井、钻井液、录井三岗联座观察液面，每15min记录钻井液池液面一次，若遇特殊情况应3min～5min观察一次出口钻井液池液面变化，发现溢流及时汇报，严格控制溢流量，关井按照“四</w:t>
      </w:r>
      <w:r>
        <w:rPr>
          <w:rFonts w:ascii="Times New Roman" w:eastAsia="MS PGothic" w:cs="Times New Roman"/>
        </w:rPr>
        <w:t>∙</w:t>
      </w:r>
      <w:r>
        <w:rPr>
          <w:rFonts w:ascii="Times New Roman" w:cs="Times New Roman"/>
        </w:rPr>
        <w:t>七”动作要求组织实施。关井后观察立管和套管压力，及时报告队长和钻井技术员，采取正确方法压井，待井内恢复正常后，才可恢复钻进。</w:t>
      </w:r>
    </w:p>
    <w:p>
      <w:pPr>
        <w:pStyle w:val="6"/>
        <w:ind w:firstLine="480"/>
        <w:rPr>
          <w:rFonts w:ascii="Times New Roman" w:cs="Times New Roman"/>
        </w:rPr>
      </w:pPr>
      <w:r>
        <w:rPr>
          <w:rFonts w:ascii="Times New Roman" w:cs="Times New Roman"/>
        </w:rPr>
        <w:t>（14）钻开油气层前，坚持每只钻头、每天作低泵速试验，记录井深、密度、泵压、排量。</w:t>
      </w:r>
    </w:p>
    <w:p>
      <w:pPr>
        <w:pStyle w:val="6"/>
        <w:ind w:firstLine="480"/>
        <w:rPr>
          <w:rFonts w:ascii="Times New Roman" w:cs="Times New Roman"/>
        </w:rPr>
      </w:pPr>
      <w:r>
        <w:rPr>
          <w:rFonts w:ascii="Times New Roman" w:cs="Times New Roman"/>
        </w:rPr>
        <w:t>（15）钻开主要产层遇有井漏，井漏显示的当只钻头，以及特殊作业之前均应短程起下钻，以10～15立柱为宜；如果气侵严重，可调整钻井液密度平衡地层压力。</w:t>
      </w:r>
    </w:p>
    <w:p>
      <w:pPr>
        <w:pStyle w:val="6"/>
        <w:ind w:firstLine="480"/>
        <w:rPr>
          <w:rFonts w:ascii="Times New Roman" w:cs="Times New Roman"/>
        </w:rPr>
      </w:pPr>
      <w:r>
        <w:rPr>
          <w:rFonts w:ascii="Times New Roman" w:cs="Times New Roman"/>
        </w:rPr>
        <w:t>（16）油气水层钻进中，应用大水眼钻头并使用旁通阀，不可以使用动力钻具，以利于加重钻井液，压井和堵漏等工艺的实施。</w:t>
      </w:r>
    </w:p>
    <w:p>
      <w:pPr>
        <w:pStyle w:val="6"/>
        <w:ind w:firstLine="480"/>
        <w:rPr>
          <w:rFonts w:ascii="Times New Roman" w:cs="Times New Roman"/>
        </w:rPr>
      </w:pPr>
      <w:r>
        <w:rPr>
          <w:rFonts w:ascii="Times New Roman" w:cs="Times New Roman"/>
        </w:rPr>
        <w:t>（17）任何时候发现溢流应按井控“四</w:t>
      </w:r>
      <w:r>
        <w:rPr>
          <w:rFonts w:ascii="Times New Roman" w:eastAsia="MS PGothic" w:cs="Times New Roman"/>
        </w:rPr>
        <w:t>∙</w:t>
      </w:r>
      <w:r>
        <w:rPr>
          <w:rFonts w:ascii="Times New Roman" w:cs="Times New Roman"/>
        </w:rPr>
        <w:t>七”动作控制井口，根据关井压力确定压井液密度，尽快按压井程序压井。严禁循环观察、钻进观察、静止观察等违章现象发生。</w:t>
      </w:r>
    </w:p>
    <w:p>
      <w:pPr>
        <w:pStyle w:val="6"/>
        <w:ind w:firstLine="480"/>
        <w:rPr>
          <w:rFonts w:ascii="Times New Roman" w:cs="Times New Roman"/>
        </w:rPr>
      </w:pPr>
      <w:r>
        <w:rPr>
          <w:rFonts w:ascii="Times New Roman" w:cs="Times New Roman"/>
        </w:rPr>
        <w:t>（18）避免长时间关井，在等候加重或在加重过程中，要间断注高密度钻井液，同时，用节流管汇控制回压，保持井底压力略大于地层压力状态下排放钻井液。若等候时间长，则应及时实施司钻法第一步，排除污染，防止井口压力过高。井口压力过高时应特别注意这项工作。</w:t>
      </w:r>
    </w:p>
    <w:p>
      <w:pPr>
        <w:pStyle w:val="6"/>
        <w:ind w:firstLine="480"/>
        <w:rPr>
          <w:rFonts w:ascii="Times New Roman" w:cs="Times New Roman"/>
        </w:rPr>
      </w:pPr>
      <w:r>
        <w:rPr>
          <w:rFonts w:ascii="Times New Roman" w:cs="Times New Roman"/>
        </w:rPr>
        <w:t>（19）油气井钻井作业中应密切注意十五种显示。做到及时发现，迅速关井。</w:t>
      </w:r>
    </w:p>
    <w:p>
      <w:pPr>
        <w:pStyle w:val="6"/>
        <w:ind w:firstLine="480"/>
        <w:rPr>
          <w:rFonts w:ascii="Times New Roman" w:cs="Times New Roman"/>
        </w:rPr>
      </w:pPr>
      <w:r>
        <w:rPr>
          <w:rFonts w:ascii="Times New Roman" w:cs="Times New Roman"/>
        </w:rPr>
        <w:t>（20）控制住井口后，应对井控装置主体及节流压井管汇、远程控制台等部位详细检查，如井口压力接近或达到井控装置、套管、地层破裂压力三者中压力最低的极限值，应放喷泄压，放喷天然气须烧掉，防止与空气混合发生爆炸。</w:t>
      </w:r>
    </w:p>
    <w:p>
      <w:pPr>
        <w:pStyle w:val="6"/>
        <w:ind w:firstLine="480"/>
        <w:rPr>
          <w:rFonts w:ascii="Times New Roman" w:cs="Times New Roman"/>
        </w:rPr>
      </w:pPr>
      <w:r>
        <w:rPr>
          <w:rFonts w:ascii="Times New Roman" w:cs="Times New Roman"/>
        </w:rPr>
        <w:t>（21）确定明确的井喷报警信号。</w:t>
      </w:r>
    </w:p>
    <w:p>
      <w:pPr>
        <w:pStyle w:val="6"/>
        <w:ind w:firstLine="480"/>
        <w:rPr>
          <w:rFonts w:ascii="Times New Roman" w:cs="Times New Roman"/>
        </w:rPr>
      </w:pPr>
      <w:r>
        <w:rPr>
          <w:rFonts w:ascii="Times New Roman" w:cs="Times New Roman"/>
        </w:rPr>
        <w:t>（22）加重压井作业不得在钻进过程中实施。</w:t>
      </w:r>
    </w:p>
    <w:p>
      <w:pPr>
        <w:pStyle w:val="6"/>
        <w:ind w:firstLine="480"/>
        <w:rPr>
          <w:rFonts w:ascii="Times New Roman" w:cs="Times New Roman"/>
        </w:rPr>
      </w:pPr>
      <w:r>
        <w:rPr>
          <w:rFonts w:ascii="Times New Roman" w:cs="Times New Roman"/>
        </w:rPr>
        <w:t>（23）起钻前必须采取措施证实井已压稳、有安全的起下钻时间。</w:t>
      </w:r>
    </w:p>
    <w:p>
      <w:pPr>
        <w:pStyle w:val="6"/>
        <w:ind w:firstLine="480"/>
        <w:rPr>
          <w:rFonts w:ascii="Times New Roman" w:cs="Times New Roman"/>
        </w:rPr>
      </w:pPr>
      <w:r>
        <w:rPr>
          <w:rFonts w:ascii="Times New Roman" w:cs="Times New Roman"/>
        </w:rPr>
        <w:t>（24）在排气口、放喷口设置自动和手动点火装置，先点火、后放气，在可能放气期间在排气口应设置长明火；钻开油气层前，应进行点火演练。</w:t>
      </w:r>
    </w:p>
    <w:p>
      <w:pPr>
        <w:pStyle w:val="6"/>
        <w:ind w:firstLine="480"/>
        <w:rPr>
          <w:rFonts w:ascii="Times New Roman" w:cs="Times New Roman"/>
        </w:rPr>
      </w:pPr>
      <w:r>
        <w:rPr>
          <w:rFonts w:ascii="Times New Roman" w:cs="Times New Roman"/>
        </w:rPr>
        <w:t>（25）除气器排气管线必须接出井场，出口置于安全区域。</w:t>
      </w:r>
    </w:p>
    <w:p>
      <w:pPr>
        <w:pStyle w:val="6"/>
        <w:ind w:firstLine="480"/>
        <w:rPr>
          <w:rFonts w:ascii="Times New Roman" w:cs="Times New Roman"/>
        </w:rPr>
      </w:pPr>
      <w:r>
        <w:rPr>
          <w:rFonts w:ascii="Times New Roman" w:cs="Times New Roman"/>
        </w:rPr>
        <w:t>（26）P108-2H、P108-3井可能出现超出设计预计之外的异常情况，对此施工单位应进行充分的准备，应建立应对各种复杂情况的应急预案并落实，负责进行控制和处理。</w:t>
      </w:r>
    </w:p>
    <w:p>
      <w:pPr>
        <w:pStyle w:val="6"/>
        <w:ind w:firstLine="482"/>
        <w:rPr>
          <w:rFonts w:ascii="Times New Roman" w:cs="Times New Roman"/>
          <w:b/>
        </w:rPr>
      </w:pPr>
      <w:r>
        <w:rPr>
          <w:rFonts w:ascii="Times New Roman" w:cs="Times New Roman"/>
          <w:b/>
        </w:rPr>
        <w:t>4、钻井过程风险防范措施</w:t>
      </w:r>
    </w:p>
    <w:p>
      <w:pPr>
        <w:pStyle w:val="6"/>
        <w:ind w:firstLine="480"/>
        <w:rPr>
          <w:rFonts w:ascii="Times New Roman" w:cs="Times New Roman"/>
        </w:rPr>
      </w:pPr>
      <w:r>
        <w:rPr>
          <w:rFonts w:ascii="Times New Roman" w:cs="Times New Roman"/>
        </w:rPr>
        <w:t>应按照《硫化氢环境钻井场所作业安全规范》（SY/T 5087-2017）、《硫化氢环境井下作业场所作业安全规范》（SY/T 6610-2017）、《硫化氢环境井下作业场所作业安全规范》（SY/T 6610-2017）、《钻井井控技术规程》（SY/T 6426-2005）、《套管柱试压规范》（SY/T 5467-2007）、《关于印发&lt;中国石化石油与天然气井井控管理规定&gt;的通知》（中国石化安[2011]907号）、《川东北含硫化氢天然气井钻井与试气作业工程安全技术规范》（Q/SH 0033-2009）等的相关要求进行钻井施工。</w:t>
      </w:r>
    </w:p>
    <w:p>
      <w:pPr>
        <w:pStyle w:val="6"/>
        <w:ind w:firstLine="434" w:firstLineChars="180"/>
        <w:rPr>
          <w:rFonts w:ascii="Times New Roman" w:cs="Times New Roman"/>
          <w:b/>
        </w:rPr>
      </w:pPr>
      <w:r>
        <w:rPr>
          <w:rFonts w:ascii="Times New Roman" w:cs="Times New Roman"/>
          <w:b/>
        </w:rPr>
        <w:t>5、完井作业风险防范措施</w:t>
      </w:r>
    </w:p>
    <w:p>
      <w:pPr>
        <w:pStyle w:val="6"/>
        <w:ind w:firstLine="480"/>
        <w:rPr>
          <w:rFonts w:ascii="Times New Roman" w:cs="Times New Roman"/>
        </w:rPr>
      </w:pPr>
      <w:r>
        <w:rPr>
          <w:rFonts w:ascii="Times New Roman" w:cs="Times New Roman"/>
        </w:rPr>
        <w:t>严格按照《硫化氢环境井下作业场所作业安全规范》（SY/T 6610-2017）、《川东北含硫化氢天然气井钻井与试气作业工程安全技术规范》（Q/SH 0033-2009）等标准规范进行完井与修井作业。</w:t>
      </w:r>
    </w:p>
    <w:p>
      <w:pPr>
        <w:pStyle w:val="6"/>
        <w:ind w:firstLine="482"/>
        <w:rPr>
          <w:rFonts w:ascii="Times New Roman" w:cs="Times New Roman"/>
          <w:b/>
        </w:rPr>
      </w:pPr>
      <w:r>
        <w:rPr>
          <w:rFonts w:ascii="Times New Roman" w:cs="Times New Roman"/>
          <w:b/>
        </w:rPr>
        <w:t>6、测试放喷过程风险防范措施</w:t>
      </w:r>
    </w:p>
    <w:p>
      <w:pPr>
        <w:pStyle w:val="6"/>
        <w:ind w:firstLine="480"/>
        <w:rPr>
          <w:rFonts w:ascii="Times New Roman" w:cs="Times New Roman"/>
        </w:rPr>
      </w:pPr>
      <w:r>
        <w:rPr>
          <w:rFonts w:ascii="Times New Roman" w:cs="Times New Roman"/>
        </w:rPr>
        <w:t>本项目测试放喷过程属于风险较高的施工环节，试气作业前按《气井试气、采气及动态监测工艺规程》（SY/T 6125-2013）等相关标准要求进行试气设计。</w:t>
      </w:r>
    </w:p>
    <w:p>
      <w:pPr>
        <w:pStyle w:val="6"/>
        <w:ind w:firstLine="482"/>
        <w:rPr>
          <w:rFonts w:ascii="Times New Roman" w:cs="Times New Roman"/>
          <w:b/>
        </w:rPr>
      </w:pPr>
      <w:r>
        <w:rPr>
          <w:rFonts w:ascii="Times New Roman" w:cs="Times New Roman"/>
          <w:b/>
        </w:rPr>
        <w:t xml:space="preserve">7、废水转运风险防范措施 </w:t>
      </w:r>
    </w:p>
    <w:p>
      <w:pPr>
        <w:pStyle w:val="6"/>
        <w:ind w:firstLine="480"/>
        <w:rPr>
          <w:rFonts w:ascii="Times New Roman" w:cs="Times New Roman"/>
        </w:rPr>
      </w:pPr>
      <w:r>
        <w:rPr>
          <w:rFonts w:ascii="Times New Roman" w:cs="Times New Roman"/>
        </w:rPr>
        <w:t xml:space="preserve">（1）废水、钻井固废转运单位在开展运输工作前，应对运输人员进行相关安全环保知识培训，运输车辆、装卸工具必须符合安全环保要求，装卸过程中不得溢出和泄漏。严禁随意倾倒、排放或者向第三方转移废水。 </w:t>
      </w:r>
    </w:p>
    <w:p>
      <w:pPr>
        <w:pStyle w:val="6"/>
        <w:ind w:firstLine="480"/>
        <w:rPr>
          <w:rFonts w:ascii="Times New Roman" w:cs="Times New Roman"/>
        </w:rPr>
      </w:pPr>
      <w:r>
        <w:rPr>
          <w:rFonts w:ascii="Times New Roman" w:cs="Times New Roman"/>
        </w:rPr>
        <w:t>（2）运输前规划运输路线，废水、钻井固废转运过程中应严格按照规定的路线运输到相应的目的地；运输过程中应尽量避开环境敏感区，遇环境敏感区需减速慢行，废水、钻井固废转运应建立交接三联单制度，确保废水运至相应的目的地。</w:t>
      </w:r>
    </w:p>
    <w:p>
      <w:pPr>
        <w:pStyle w:val="6"/>
        <w:ind w:firstLine="480"/>
        <w:rPr>
          <w:rFonts w:ascii="Times New Roman" w:cs="Times New Roman"/>
        </w:rPr>
      </w:pPr>
      <w:r>
        <w:rPr>
          <w:rFonts w:ascii="Times New Roman" w:cs="Times New Roman"/>
        </w:rPr>
        <w:t xml:space="preserve">（3）废水、钻井固废转运必须使用密闭的车辆运输，并确保运输车辆车况处于良好状态。 </w:t>
      </w:r>
    </w:p>
    <w:p>
      <w:pPr>
        <w:pStyle w:val="6"/>
        <w:ind w:firstLine="480"/>
        <w:rPr>
          <w:rFonts w:ascii="Times New Roman" w:cs="Times New Roman"/>
        </w:rPr>
      </w:pPr>
      <w:r>
        <w:rPr>
          <w:rFonts w:ascii="Times New Roman" w:cs="Times New Roman"/>
        </w:rPr>
        <w:t xml:space="preserve">（4）尽量避免雨天和大雾天运转废水。 </w:t>
      </w:r>
    </w:p>
    <w:p>
      <w:pPr>
        <w:pStyle w:val="6"/>
        <w:ind w:firstLine="480"/>
        <w:rPr>
          <w:rFonts w:ascii="Times New Roman" w:cs="Times New Roman"/>
        </w:rPr>
      </w:pPr>
      <w:r>
        <w:rPr>
          <w:rFonts w:ascii="Times New Roman" w:cs="Times New Roman"/>
        </w:rPr>
        <w:t xml:space="preserve">（5）本工程废水、钻井固废运输由专业单位负责实施，不得自行运输，也不得委托公司外其他单位运输。 </w:t>
      </w:r>
    </w:p>
    <w:p>
      <w:pPr>
        <w:pStyle w:val="6"/>
        <w:ind w:firstLine="480"/>
        <w:rPr>
          <w:rFonts w:ascii="Times New Roman" w:cs="Times New Roman"/>
        </w:rPr>
      </w:pPr>
      <w:r>
        <w:rPr>
          <w:rFonts w:ascii="Times New Roman" w:cs="Times New Roman"/>
        </w:rPr>
        <w:t xml:space="preserve">（6）承包废水、钻井固废转运的承包商实施车辆登记制度，为每台车辆安装GPS 系统，并纳入建设方的 GPS 监控系统平台，以便随时掌握废水、钻井固废运输 车辆位置和行驶路线，确保废水、钻井固废转运至相应的目的地。 </w:t>
      </w:r>
    </w:p>
    <w:p>
      <w:pPr>
        <w:pStyle w:val="6"/>
        <w:ind w:firstLine="480"/>
        <w:rPr>
          <w:rFonts w:ascii="Times New Roman" w:cs="Times New Roman"/>
        </w:rPr>
      </w:pPr>
      <w:r>
        <w:rPr>
          <w:rFonts w:ascii="Times New Roman" w:cs="Times New Roman"/>
        </w:rPr>
        <w:t xml:space="preserve">（7）废水、钻井固废运输车辆严格执行签认制度。签认单保存期不得少于二年，以便备查。 </w:t>
      </w:r>
    </w:p>
    <w:p>
      <w:pPr>
        <w:pStyle w:val="6"/>
        <w:ind w:firstLine="480"/>
        <w:rPr>
          <w:rFonts w:ascii="Times New Roman" w:cs="Times New Roman"/>
        </w:rPr>
      </w:pPr>
      <w:r>
        <w:rPr>
          <w:rFonts w:ascii="Times New Roman" w:cs="Times New Roman"/>
        </w:rPr>
        <w:t xml:space="preserve">（8）废水、钻井固废转运单位应做好应急管理工作，做好风险防范识别，编制生产废水、钻井固废运输应急预案，每次废水、钻井固废运输任务都应制定运输方案和应急措施，严禁超速超载，路过环境敏感区需减速慢性，安全驶离，强化运输过程的安全管理，防止因安全事故衍生成环保事故。 </w:t>
      </w:r>
    </w:p>
    <w:p>
      <w:pPr>
        <w:pStyle w:val="6"/>
        <w:ind w:firstLine="480"/>
        <w:rPr>
          <w:rFonts w:ascii="Times New Roman" w:cs="Times New Roman"/>
        </w:rPr>
      </w:pPr>
      <w:r>
        <w:rPr>
          <w:rFonts w:ascii="Times New Roman" w:cs="Times New Roman"/>
        </w:rPr>
        <w:t xml:space="preserve">（9）废水、钻井固废产生单位和废水、钻井固废转运单位应建立健全管理制度和办法，加强与地方相关部门的联系和协调。废水运输过程中，废水、钻井固废产生单位、承运单位应做好相关记录，建立相关台账。在发生事故后应及时通报当地环保部门，并积极配合环保部门抢险。确保安全通过，同时要注意清洁运输，防止废水、钻井固废泄漏。 </w:t>
      </w:r>
    </w:p>
    <w:p>
      <w:pPr>
        <w:pStyle w:val="6"/>
        <w:ind w:firstLine="480"/>
        <w:rPr>
          <w:rFonts w:ascii="Times New Roman" w:cs="Times New Roman"/>
        </w:rPr>
      </w:pPr>
      <w:r>
        <w:rPr>
          <w:rFonts w:ascii="Times New Roman" w:cs="Times New Roman"/>
        </w:rPr>
        <w:t xml:space="preserve">（10）转运路线避开饮用水水源地保护区。 </w:t>
      </w:r>
    </w:p>
    <w:p>
      <w:pPr>
        <w:pStyle w:val="6"/>
        <w:ind w:firstLine="482"/>
        <w:rPr>
          <w:rFonts w:ascii="Times New Roman" w:cs="Times New Roman"/>
          <w:b/>
        </w:rPr>
      </w:pPr>
      <w:r>
        <w:rPr>
          <w:rFonts w:ascii="Times New Roman" w:cs="Times New Roman"/>
          <w:b/>
        </w:rPr>
        <w:t xml:space="preserve">8、油类使用、储运过程中的风险防范措施 </w:t>
      </w:r>
    </w:p>
    <w:p>
      <w:pPr>
        <w:pStyle w:val="6"/>
        <w:ind w:firstLine="480"/>
        <w:rPr>
          <w:rFonts w:ascii="Times New Roman" w:cs="Times New Roman"/>
        </w:rPr>
      </w:pPr>
      <w:r>
        <w:rPr>
          <w:rFonts w:ascii="Times New Roman" w:cs="Times New Roman"/>
        </w:rPr>
        <w:t xml:space="preserve">（1）提高柴油危险性的认识。从柴油的燃烧爆炸危险性分析可以看出，正常条件下，如炎热干燥的天气、附近存在火源、工作中违章操作、油库的安全设备、设施配备不合理或管理使用不当等，都有可能将柴油引燃、引爆。 </w:t>
      </w:r>
    </w:p>
    <w:p>
      <w:pPr>
        <w:pStyle w:val="6"/>
        <w:ind w:firstLine="480"/>
        <w:rPr>
          <w:rFonts w:ascii="Times New Roman" w:cs="Times New Roman"/>
        </w:rPr>
      </w:pPr>
      <w:r>
        <w:rPr>
          <w:rFonts w:ascii="Times New Roman" w:cs="Times New Roman"/>
        </w:rPr>
        <w:t xml:space="preserve">（2）加强对柴油和废油的储存管理，应采取减少油品蒸发、防止形成爆炸性油品混合物的一次防护措施。工程采用柴油罐对柴油进行储存，确保呼吸阀、测量孔、接地装置等附件完整可靠，防止油气的产生和积聚。油罐区均设置有围堰，可防止油罐破损泄露的柴油污染地表土壤、地表水等。油罐区使用前底部及墙体内侧采用三油两布（沥青、玻璃纤维布）作防渗处理。油桶选择完好无损的油桶，置于防渗区，保持盖子紧盖，及时综合利用。 </w:t>
      </w:r>
    </w:p>
    <w:p>
      <w:pPr>
        <w:pStyle w:val="6"/>
        <w:ind w:firstLine="480"/>
        <w:rPr>
          <w:rFonts w:ascii="Times New Roman" w:cs="Times New Roman"/>
        </w:rPr>
      </w:pPr>
      <w:r>
        <w:rPr>
          <w:rFonts w:ascii="Times New Roman" w:cs="Times New Roman"/>
        </w:rPr>
        <w:t xml:space="preserve">（3）按照危险物品贮存场地相关要求，对柴油和废油储存和使用场所设置标识标牌。 </w:t>
      </w:r>
    </w:p>
    <w:p>
      <w:pPr>
        <w:pStyle w:val="6"/>
        <w:ind w:firstLine="480"/>
        <w:rPr>
          <w:rFonts w:ascii="Times New Roman" w:cs="Times New Roman"/>
        </w:rPr>
      </w:pPr>
      <w:r>
        <w:rPr>
          <w:rFonts w:ascii="Times New Roman" w:cs="Times New Roman"/>
        </w:rPr>
        <w:t xml:space="preserve">（4）柴油储存和使用场所要设置在通风条件较好的地势较高处，设置机械排风系统。柴油储存和使用场所内的通风、照明、通信、控制等电气设备的选型、安装、电力线路敷设等，必须符合现行国家标准《爆炸和火灾危险环境电力装置设计规范》的规定。加强油罐、油桶的管理及安全检查，防止发生结构安全事故引起重大泄露。 </w:t>
      </w:r>
    </w:p>
    <w:p>
      <w:pPr>
        <w:pStyle w:val="6"/>
        <w:ind w:firstLine="480"/>
        <w:rPr>
          <w:rFonts w:ascii="Times New Roman" w:cs="Times New Roman"/>
        </w:rPr>
      </w:pPr>
      <w:r>
        <w:rPr>
          <w:rFonts w:ascii="Times New Roman" w:cs="Times New Roman"/>
        </w:rPr>
        <w:t>（5）建设方将柴油和废油储存和运输列入环境事故应急处置预案，且应与当地政府的环境事故应急处置预案相衔接。</w:t>
      </w:r>
    </w:p>
    <w:p>
      <w:pPr>
        <w:pStyle w:val="4"/>
        <w:rPr>
          <w:rFonts w:eastAsia="宋体"/>
        </w:rPr>
      </w:pPr>
      <w:bookmarkStart w:id="549" w:name="_Toc12288752"/>
      <w:r>
        <w:rPr>
          <w:rFonts w:eastAsia="宋体"/>
        </w:rPr>
        <w:t>7.</w:t>
      </w:r>
      <w:r>
        <w:rPr>
          <w:rFonts w:hint="eastAsia" w:eastAsia="宋体"/>
        </w:rPr>
        <w:t>10</w:t>
      </w:r>
      <w:r>
        <w:rPr>
          <w:rFonts w:eastAsia="宋体"/>
        </w:rPr>
        <w:t>.2 运营阶段的事故防范措施</w:t>
      </w:r>
    </w:p>
    <w:bookmarkEnd w:id="549"/>
    <w:p>
      <w:pPr>
        <w:pStyle w:val="6"/>
        <w:ind w:firstLine="482"/>
        <w:rPr>
          <w:rFonts w:ascii="Times New Roman" w:cs="Times New Roman"/>
          <w:b/>
          <w:bCs/>
        </w:rPr>
      </w:pPr>
      <w:r>
        <w:rPr>
          <w:rFonts w:ascii="Times New Roman" w:cs="Times New Roman"/>
          <w:b/>
          <w:bCs/>
        </w:rPr>
        <w:t>1、常规环境风险防范措施</w:t>
      </w:r>
    </w:p>
    <w:p>
      <w:pPr>
        <w:pStyle w:val="6"/>
        <w:ind w:firstLine="480"/>
        <w:rPr>
          <w:rFonts w:ascii="Times New Roman" w:cs="Times New Roman"/>
        </w:rPr>
      </w:pPr>
      <w:r>
        <w:rPr>
          <w:rFonts w:ascii="Times New Roman" w:cs="Times New Roman"/>
        </w:rPr>
        <w:t xml:space="preserve">（1）对重要的仪器设备有完善的检查项目、维护方法；按计划进行定期维护；有专门档案（包括维护记录档案），文件齐全。 </w:t>
      </w:r>
    </w:p>
    <w:p>
      <w:pPr>
        <w:pStyle w:val="6"/>
        <w:ind w:firstLine="480"/>
        <w:rPr>
          <w:rFonts w:ascii="Times New Roman" w:cs="Times New Roman"/>
        </w:rPr>
      </w:pPr>
      <w:r>
        <w:rPr>
          <w:rFonts w:ascii="Times New Roman" w:cs="Times New Roman"/>
        </w:rPr>
        <w:t>（2）</w:t>
      </w:r>
      <w:r>
        <w:rPr>
          <w:rFonts w:hint="eastAsia" w:ascii="Times New Roman" w:cs="Times New Roman"/>
          <w:lang w:eastAsia="zh-CN"/>
        </w:rPr>
        <w:t>制定</w:t>
      </w:r>
      <w:r>
        <w:rPr>
          <w:rFonts w:ascii="Times New Roman" w:cs="Times New Roman"/>
        </w:rPr>
        <w:t xml:space="preserve">应急操作规程，在规程中应说明发生事故时应采取的操作步骤，规定抢修进度，限制事故的影响，另外还应说明与操作人员有关的安全问题。 </w:t>
      </w:r>
    </w:p>
    <w:p>
      <w:pPr>
        <w:pStyle w:val="6"/>
        <w:ind w:firstLine="480"/>
        <w:rPr>
          <w:rFonts w:ascii="Times New Roman" w:cs="Times New Roman"/>
        </w:rPr>
      </w:pPr>
      <w:r>
        <w:rPr>
          <w:rFonts w:ascii="Times New Roman" w:cs="Times New Roman"/>
        </w:rPr>
        <w:t xml:space="preserve">（3）操作人员每周应进行安全活动，提高职工的安全意识，识别事故发生前的异常状态，并采取相应的措施。 </w:t>
      </w:r>
    </w:p>
    <w:p>
      <w:pPr>
        <w:pStyle w:val="6"/>
        <w:ind w:firstLine="480"/>
        <w:rPr>
          <w:rFonts w:ascii="Times New Roman" w:cs="Times New Roman"/>
        </w:rPr>
      </w:pPr>
      <w:r>
        <w:rPr>
          <w:rFonts w:ascii="Times New Roman" w:cs="Times New Roman"/>
        </w:rPr>
        <w:t>（4）配备移动式灭火设备，按《建筑灭火器配置设计规范》规定，对可能发生火灾的各类场所（工艺装置区、主要建筑物、仪表及电气设备间等），根据其火灾危险性、区域大小等实际情况，分别配置有一定数量不同类型、不同规格的固定式和移动式灭火器材，以及时扑救初期零星火灾。</w:t>
      </w:r>
    </w:p>
    <w:p>
      <w:pPr>
        <w:ind w:firstLine="482"/>
        <w:rPr>
          <w:rFonts w:ascii="Times New Roman" w:cs="Times New Roman"/>
          <w:b/>
          <w:bCs/>
        </w:rPr>
      </w:pPr>
      <w:r>
        <w:rPr>
          <w:rFonts w:ascii="Times New Roman" w:cs="Times New Roman"/>
          <w:b/>
          <w:bCs/>
        </w:rPr>
        <w:t>2、硫化氢泄漏的相关措施</w:t>
      </w:r>
    </w:p>
    <w:p>
      <w:pPr>
        <w:pStyle w:val="114"/>
        <w:ind w:firstLine="480"/>
      </w:pPr>
      <w:r>
        <w:t>①制定应急救援预案并定期演练，出现事故后必须立即向当地政府报告，同时通知事故影响范围内的厂矿企业和居民立即撤离，并组织和协助当地政府作好事故影响范围内居民的疏散工作。根据当地情况，应立即组织周边居民向管道上风向方向进行撤离。考虑风向、地形、人口密度、受影响程度等情况及时作出风险和危害程度评估，决定是否扩大撤离范围。</w:t>
      </w:r>
    </w:p>
    <w:p>
      <w:pPr>
        <w:pStyle w:val="114"/>
        <w:ind w:firstLine="480"/>
      </w:pPr>
      <w:r>
        <w:t>②确保项目的紧急切断装置保持正常状态，确保在事故状态下能够做到立即进行放空作业，以减缓硫化氢对周边环境造成的影响。</w:t>
      </w:r>
    </w:p>
    <w:p>
      <w:pPr>
        <w:pStyle w:val="114"/>
        <w:ind w:firstLine="480"/>
      </w:pPr>
      <w:r>
        <w:t>③发生泄漏后，应在泄漏点下风向立即设置临时观察点，定时取样，监测（大气/空气）中的（天然气、硫化氢和二氧化碳含量/有毒有害气体（如H</w:t>
      </w:r>
      <w:r>
        <w:rPr>
          <w:vertAlign w:val="subscript"/>
        </w:rPr>
        <w:t>2</w:t>
      </w:r>
      <w:r>
        <w:t>S）的浓度），划分安全范围，并根据监测情况决定是否扩大撤离范围。</w:t>
      </w:r>
    </w:p>
    <w:p>
      <w:pPr>
        <w:pStyle w:val="114"/>
        <w:ind w:firstLine="480"/>
      </w:pPr>
      <w:r>
        <w:t>④迅速成立现场抢险领导小组，根据失控状况制定抢险方案，统一指挥、组织和协调抢险工作。抢险方案</w:t>
      </w:r>
      <w:r>
        <w:rPr>
          <w:rFonts w:hint="eastAsia"/>
          <w:lang w:eastAsia="zh-CN"/>
        </w:rPr>
        <w:t>制定</w:t>
      </w:r>
      <w:r>
        <w:t>及实施，要把环境保护同时考虑，同时实施，防止出现次生环境事故。</w:t>
      </w:r>
    </w:p>
    <w:p>
      <w:pPr>
        <w:pStyle w:val="114"/>
        <w:ind w:firstLine="482"/>
        <w:rPr>
          <w:b/>
          <w:bCs/>
        </w:rPr>
      </w:pPr>
      <w:r>
        <w:rPr>
          <w:b/>
          <w:bCs/>
        </w:rPr>
        <w:t>3、柴油泄漏风险防范措施</w:t>
      </w:r>
    </w:p>
    <w:p>
      <w:pPr>
        <w:pStyle w:val="114"/>
        <w:ind w:firstLine="480"/>
        <w:rPr>
          <w:szCs w:val="24"/>
        </w:rPr>
      </w:pPr>
      <w:r>
        <w:rPr>
          <w:szCs w:val="24"/>
        </w:rPr>
        <w:t>①柴油储罐四周设置围堰，并进行防渗处理，避免泄漏物料进入环境。</w:t>
      </w:r>
    </w:p>
    <w:p>
      <w:pPr>
        <w:pStyle w:val="114"/>
        <w:ind w:firstLine="480"/>
        <w:rPr>
          <w:szCs w:val="24"/>
        </w:rPr>
      </w:pPr>
      <w:r>
        <w:rPr>
          <w:szCs w:val="24"/>
        </w:rPr>
        <w:t>②做好日常安全检查，定期检测罐体的完好情况，避免柴油泄漏导致环境风险事故。定期对储罐进行维护检修。</w:t>
      </w:r>
    </w:p>
    <w:p>
      <w:pPr>
        <w:pStyle w:val="114"/>
        <w:ind w:firstLine="480"/>
        <w:rPr>
          <w:szCs w:val="24"/>
        </w:rPr>
      </w:pPr>
      <w:r>
        <w:rPr>
          <w:szCs w:val="24"/>
        </w:rPr>
        <w:t>③站场内按要求储备灭火毯、干沙等消防用品，可用作泄漏时吸收之用。</w:t>
      </w:r>
    </w:p>
    <w:p>
      <w:pPr>
        <w:pStyle w:val="114"/>
        <w:ind w:firstLine="480"/>
      </w:pPr>
      <w:r>
        <w:rPr>
          <w:szCs w:val="24"/>
        </w:rPr>
        <w:t>④</w:t>
      </w:r>
      <w:r>
        <w:t>在发现</w:t>
      </w:r>
      <w:r>
        <w:rPr>
          <w:szCs w:val="24"/>
        </w:rPr>
        <w:t>柴油储罐</w:t>
      </w:r>
      <w:r>
        <w:t>泄漏时立即进行截断，减小对地下水和土壤环境影响。</w:t>
      </w:r>
    </w:p>
    <w:p>
      <w:pPr>
        <w:pStyle w:val="114"/>
        <w:ind w:firstLine="482"/>
        <w:rPr>
          <w:b/>
          <w:bCs/>
        </w:rPr>
      </w:pPr>
      <w:r>
        <w:rPr>
          <w:b/>
          <w:bCs/>
        </w:rPr>
        <w:t>4、压裂、洗井废水泄漏风险防范措施</w:t>
      </w:r>
    </w:p>
    <w:p>
      <w:pPr>
        <w:pStyle w:val="114"/>
        <w:ind w:firstLine="480"/>
        <w:rPr>
          <w:szCs w:val="24"/>
        </w:rPr>
      </w:pPr>
      <w:r>
        <w:rPr>
          <w:szCs w:val="24"/>
        </w:rPr>
        <w:t>①污水缓冲罐四周设置围堰，并进行防渗处理，避免泄漏物料进入环境。</w:t>
      </w:r>
    </w:p>
    <w:p>
      <w:pPr>
        <w:pStyle w:val="114"/>
        <w:ind w:firstLine="480"/>
        <w:rPr>
          <w:szCs w:val="24"/>
        </w:rPr>
      </w:pPr>
      <w:r>
        <w:rPr>
          <w:szCs w:val="24"/>
        </w:rPr>
        <w:t>②做好日常安全检查，定期检测罐体的完好情况，避免</w:t>
      </w:r>
      <w:r>
        <w:t>压裂、洗井废水</w:t>
      </w:r>
      <w:r>
        <w:rPr>
          <w:szCs w:val="24"/>
        </w:rPr>
        <w:t>泄漏导致环境风险事故。定期检查</w:t>
      </w:r>
      <w:r>
        <w:rPr>
          <w:kern w:val="2"/>
          <w:szCs w:val="22"/>
        </w:rPr>
        <w:t>污水缓冲罐</w:t>
      </w:r>
      <w:r>
        <w:rPr>
          <w:szCs w:val="24"/>
        </w:rPr>
        <w:t>安全保护系统（如截断阀、安全阀等），使管道在超压时能够得到安全处理。</w:t>
      </w:r>
    </w:p>
    <w:p>
      <w:pPr>
        <w:pStyle w:val="114"/>
        <w:ind w:firstLine="480"/>
        <w:rPr>
          <w:szCs w:val="24"/>
        </w:rPr>
      </w:pPr>
      <w:r>
        <w:rPr>
          <w:szCs w:val="24"/>
        </w:rPr>
        <w:t>③站场内按要求储备灭火毯、干沙等消防用品，可用作泄漏时吸收之用。</w:t>
      </w:r>
    </w:p>
    <w:p>
      <w:pPr>
        <w:pStyle w:val="114"/>
        <w:ind w:firstLine="480"/>
      </w:pPr>
      <w:r>
        <w:rPr>
          <w:szCs w:val="24"/>
        </w:rPr>
        <w:t>④</w:t>
      </w:r>
      <w:r>
        <w:t>在发现</w:t>
      </w:r>
      <w:r>
        <w:rPr>
          <w:kern w:val="2"/>
          <w:szCs w:val="22"/>
        </w:rPr>
        <w:t>污水缓冲罐</w:t>
      </w:r>
      <w:r>
        <w:t>泄漏时立即进行截断，减小对地下水和土壤环境影响。</w:t>
      </w:r>
    </w:p>
    <w:p>
      <w:pPr>
        <w:pStyle w:val="3"/>
        <w:spacing w:before="120"/>
        <w:rPr>
          <w:rFonts w:cs="Times New Roman"/>
        </w:rPr>
      </w:pPr>
      <w:bookmarkStart w:id="550" w:name="_Toc3326"/>
      <w:r>
        <w:rPr>
          <w:rFonts w:cs="Times New Roman"/>
        </w:rPr>
        <w:t>7.1</w:t>
      </w:r>
      <w:r>
        <w:rPr>
          <w:rFonts w:hint="eastAsia" w:cs="Times New Roman"/>
        </w:rPr>
        <w:t>1</w:t>
      </w:r>
      <w:r>
        <w:rPr>
          <w:rFonts w:cs="Times New Roman"/>
        </w:rPr>
        <w:t xml:space="preserve"> 事故应急预案</w:t>
      </w:r>
      <w:bookmarkEnd w:id="550"/>
    </w:p>
    <w:p>
      <w:pPr>
        <w:pStyle w:val="4"/>
        <w:rPr>
          <w:rFonts w:eastAsia="宋体"/>
        </w:rPr>
      </w:pPr>
      <w:bookmarkStart w:id="551" w:name="_Toc19816116"/>
      <w:bookmarkStart w:id="552" w:name="_Toc12288761"/>
      <w:r>
        <w:rPr>
          <w:rFonts w:eastAsia="宋体"/>
        </w:rPr>
        <w:t>7.1</w:t>
      </w:r>
      <w:r>
        <w:rPr>
          <w:rFonts w:hint="eastAsia" w:eastAsia="宋体"/>
        </w:rPr>
        <w:t>1</w:t>
      </w:r>
      <w:r>
        <w:rPr>
          <w:rFonts w:eastAsia="宋体"/>
        </w:rPr>
        <w:t>.1</w:t>
      </w:r>
      <w:bookmarkEnd w:id="551"/>
      <w:bookmarkEnd w:id="552"/>
      <w:r>
        <w:rPr>
          <w:rFonts w:eastAsia="宋体"/>
        </w:rPr>
        <w:t xml:space="preserve"> 普光分公司应急预案体系介绍</w:t>
      </w:r>
    </w:p>
    <w:p>
      <w:pPr>
        <w:ind w:firstLine="482"/>
        <w:rPr>
          <w:rFonts w:ascii="Times New Roman" w:cs="Times New Roman"/>
          <w:b/>
        </w:rPr>
      </w:pPr>
      <w:r>
        <w:rPr>
          <w:rFonts w:ascii="Times New Roman" w:cs="Times New Roman"/>
          <w:b/>
        </w:rPr>
        <w:t>1、备案情况</w:t>
      </w:r>
    </w:p>
    <w:p>
      <w:pPr>
        <w:pStyle w:val="114"/>
        <w:ind w:firstLine="480"/>
      </w:pPr>
      <w:r>
        <w:t>中原油田普光分公司编制有《中原油田普光分公司环境应急预案（2021年6月》，2021年6月6日，达州市环保局同意备案（备案号：511722-2021-012-L），详见附件。</w:t>
      </w:r>
    </w:p>
    <w:p>
      <w:pPr>
        <w:pStyle w:val="6"/>
        <w:ind w:firstLine="482"/>
        <w:rPr>
          <w:rFonts w:ascii="Times New Roman" w:cs="Times New Roman"/>
          <w:b/>
        </w:rPr>
      </w:pPr>
      <w:bookmarkStart w:id="553" w:name="_Toc12288762"/>
      <w:r>
        <w:rPr>
          <w:rFonts w:ascii="Times New Roman" w:cs="Times New Roman"/>
          <w:b/>
        </w:rPr>
        <w:t>2、</w:t>
      </w:r>
      <w:bookmarkEnd w:id="553"/>
      <w:r>
        <w:rPr>
          <w:rFonts w:ascii="Times New Roman" w:cs="Times New Roman"/>
          <w:b/>
        </w:rPr>
        <w:t>应急预案体系</w:t>
      </w:r>
    </w:p>
    <w:p>
      <w:pPr>
        <w:pStyle w:val="6"/>
        <w:ind w:firstLine="482"/>
        <w:rPr>
          <w:rFonts w:ascii="Times New Roman" w:cs="Times New Roman"/>
          <w:b/>
        </w:rPr>
      </w:pPr>
      <w:r>
        <w:rPr>
          <w:rFonts w:ascii="Times New Roman" w:cs="Times New Roman"/>
          <w:b/>
        </w:rPr>
        <w:t>（1）体系介绍</w:t>
      </w:r>
    </w:p>
    <w:p>
      <w:pPr>
        <w:pStyle w:val="6"/>
        <w:ind w:firstLine="480"/>
        <w:rPr>
          <w:rFonts w:ascii="Times New Roman" w:cs="Times New Roman"/>
          <w:bCs/>
        </w:rPr>
      </w:pPr>
      <w:r>
        <w:rPr>
          <w:rFonts w:ascii="Times New Roman" w:cs="Times New Roman"/>
          <w:bCs/>
        </w:rPr>
        <w:t>普光分公司应急预案体系见图7.10-1。</w:t>
      </w:r>
    </w:p>
    <w:p>
      <w:pPr>
        <w:pStyle w:val="39"/>
        <w:rPr>
          <w:rFonts w:cs="Times New Roman"/>
        </w:rPr>
      </w:pPr>
      <w:r>
        <w:rPr>
          <w:rFonts w:cs="Times New Roman"/>
        </w:rPr>
        <w:drawing>
          <wp:inline distT="0" distB="0" distL="0" distR="0">
            <wp:extent cx="4137660" cy="2641600"/>
            <wp:effectExtent l="19050" t="0" r="0" b="0"/>
            <wp:docPr id="6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7"/>
                    <pic:cNvPicPr>
                      <a:picLocks noChangeAspect="1" noChangeArrowheads="1"/>
                    </pic:cNvPicPr>
                  </pic:nvPicPr>
                  <pic:blipFill>
                    <a:blip r:embed="rId82" cstate="print"/>
                    <a:srcRect/>
                    <a:stretch>
                      <a:fillRect/>
                    </a:stretch>
                  </pic:blipFill>
                  <pic:spPr>
                    <a:xfrm>
                      <a:off x="0" y="0"/>
                      <a:ext cx="4137660" cy="2641600"/>
                    </a:xfrm>
                    <a:prstGeom prst="rect">
                      <a:avLst/>
                    </a:prstGeom>
                    <a:noFill/>
                    <a:ln w="9525">
                      <a:noFill/>
                      <a:miter lim="800000"/>
                      <a:headEnd/>
                      <a:tailEnd/>
                    </a:ln>
                  </pic:spPr>
                </pic:pic>
              </a:graphicData>
            </a:graphic>
          </wp:inline>
        </w:drawing>
      </w:r>
      <w:r>
        <w:rPr>
          <w:rFonts w:cs="Times New Roman"/>
        </w:rPr>
        <w:t xml:space="preserve"> </w:t>
      </w:r>
    </w:p>
    <w:p>
      <w:pPr>
        <w:pStyle w:val="39"/>
        <w:rPr>
          <w:rFonts w:cs="Times New Roman"/>
        </w:rPr>
      </w:pPr>
      <w:bookmarkStart w:id="554" w:name="_Ref524704207"/>
      <w:r>
        <w:rPr>
          <w:rFonts w:cs="Times New Roman"/>
        </w:rPr>
        <w:t>图7.1</w:t>
      </w:r>
      <w:r>
        <w:rPr>
          <w:rFonts w:hint="eastAsia" w:cs="Times New Roman"/>
        </w:rPr>
        <w:t>1</w:t>
      </w:r>
      <w:r>
        <w:rPr>
          <w:rFonts w:cs="Times New Roman"/>
        </w:rPr>
        <w:noBreakHyphen/>
      </w:r>
      <w:r>
        <w:rPr>
          <w:rFonts w:cs="Times New Roman"/>
        </w:rPr>
        <w:fldChar w:fldCharType="begin"/>
      </w:r>
      <w:r>
        <w:rPr>
          <w:rFonts w:cs="Times New Roman"/>
        </w:rPr>
        <w:instrText xml:space="preserve"> SEQ 图 \* ARABIC \s 1 </w:instrText>
      </w:r>
      <w:r>
        <w:rPr>
          <w:rFonts w:cs="Times New Roman"/>
        </w:rPr>
        <w:fldChar w:fldCharType="separate"/>
      </w:r>
      <w:r>
        <w:rPr>
          <w:rFonts w:cs="Times New Roman"/>
        </w:rPr>
        <w:t>1</w:t>
      </w:r>
      <w:r>
        <w:rPr>
          <w:rFonts w:cs="Times New Roman"/>
        </w:rPr>
        <w:fldChar w:fldCharType="end"/>
      </w:r>
      <w:bookmarkEnd w:id="554"/>
      <w:r>
        <w:rPr>
          <w:rFonts w:cs="Times New Roman"/>
        </w:rPr>
        <w:t xml:space="preserve">  普光分公司应急预案体系图</w:t>
      </w:r>
    </w:p>
    <w:p>
      <w:pPr>
        <w:pStyle w:val="114"/>
        <w:ind w:firstLine="480"/>
      </w:pPr>
      <w:r>
        <w:t>专项应急预案包括高含H</w:t>
      </w:r>
      <w:r>
        <w:rPr>
          <w:vertAlign w:val="subscript"/>
        </w:rPr>
        <w:t>2</w:t>
      </w:r>
      <w:r>
        <w:t>S泄漏环境应急预案、火灾爆炸环境应急预案、水体环境污染应急预案、大气环境污染应急预案等。此外，普光分公司应急救援中心还编制了水体污染事件环境应急监测预案和H</w:t>
      </w:r>
      <w:r>
        <w:rPr>
          <w:vertAlign w:val="subscript"/>
        </w:rPr>
        <w:t>2</w:t>
      </w:r>
      <w:r>
        <w:t>S泄漏应急监测预案。</w:t>
      </w:r>
    </w:p>
    <w:p>
      <w:pPr>
        <w:pStyle w:val="6"/>
        <w:ind w:firstLine="482"/>
        <w:rPr>
          <w:rFonts w:ascii="Times New Roman" w:cs="Times New Roman"/>
          <w:b/>
        </w:rPr>
      </w:pPr>
      <w:r>
        <w:rPr>
          <w:rFonts w:ascii="Times New Roman" w:cs="Times New Roman"/>
          <w:b/>
        </w:rPr>
        <w:t>（2）普光分公司应急预案</w:t>
      </w:r>
    </w:p>
    <w:p>
      <w:pPr>
        <w:pStyle w:val="114"/>
        <w:ind w:firstLine="480"/>
      </w:pPr>
      <w:r>
        <w:t>普光分公司综合应急预案框架见</w:t>
      </w:r>
      <w:r>
        <w:fldChar w:fldCharType="begin"/>
      </w:r>
      <w:r>
        <w:instrText xml:space="preserve"> REF _Ref473017352 \h  \* MERGEFORMAT </w:instrText>
      </w:r>
      <w:r>
        <w:fldChar w:fldCharType="separate"/>
      </w:r>
      <w:r>
        <w:t>图7.1</w:t>
      </w:r>
      <w:r>
        <w:rPr>
          <w:rFonts w:hint="eastAsia"/>
        </w:rPr>
        <w:t>1</w:t>
      </w:r>
      <w:r>
        <w:noBreakHyphen/>
      </w:r>
      <w:r>
        <w:t>2</w:t>
      </w:r>
      <w:r>
        <w:fldChar w:fldCharType="end"/>
      </w:r>
      <w:r>
        <w:t>，普光分公司专项应急预案框架见</w:t>
      </w:r>
      <w:r>
        <w:fldChar w:fldCharType="begin"/>
      </w:r>
      <w:r>
        <w:instrText xml:space="preserve"> REF _Ref473017362 \h  \* MERGEFORMAT </w:instrText>
      </w:r>
      <w:r>
        <w:fldChar w:fldCharType="separate"/>
      </w:r>
      <w:r>
        <w:t>图7.1</w:t>
      </w:r>
      <w:r>
        <w:rPr>
          <w:rFonts w:hint="eastAsia"/>
        </w:rPr>
        <w:t>1</w:t>
      </w:r>
      <w:r>
        <w:noBreakHyphen/>
      </w:r>
      <w:r>
        <w:t>3</w:t>
      </w:r>
      <w:r>
        <w:fldChar w:fldCharType="end"/>
      </w:r>
      <w:r>
        <w:t>。</w:t>
      </w:r>
    </w:p>
    <w:p>
      <w:pPr>
        <w:pStyle w:val="39"/>
        <w:rPr>
          <w:rFonts w:cs="Times New Roman"/>
        </w:rPr>
      </w:pPr>
      <w:r>
        <w:rPr>
          <w:rFonts w:cs="Times New Roman"/>
        </w:rPr>
        <w:drawing>
          <wp:inline distT="0" distB="0" distL="0" distR="0">
            <wp:extent cx="5273675" cy="5883275"/>
            <wp:effectExtent l="19050" t="0" r="3175" b="0"/>
            <wp:docPr id="62" name="图片 28" descr="综合应急预案框架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8" descr="综合应急预案框架图.jpg"/>
                    <pic:cNvPicPr>
                      <a:picLocks noChangeAspect="1" noChangeArrowheads="1"/>
                    </pic:cNvPicPr>
                  </pic:nvPicPr>
                  <pic:blipFill>
                    <a:blip r:embed="rId83" cstate="print"/>
                    <a:srcRect/>
                    <a:stretch>
                      <a:fillRect/>
                    </a:stretch>
                  </pic:blipFill>
                  <pic:spPr>
                    <a:xfrm>
                      <a:off x="0" y="0"/>
                      <a:ext cx="5273675" cy="5883275"/>
                    </a:xfrm>
                    <a:prstGeom prst="rect">
                      <a:avLst/>
                    </a:prstGeom>
                    <a:noFill/>
                    <a:ln w="9525">
                      <a:noFill/>
                      <a:miter lim="800000"/>
                      <a:headEnd/>
                      <a:tailEnd/>
                    </a:ln>
                  </pic:spPr>
                </pic:pic>
              </a:graphicData>
            </a:graphic>
          </wp:inline>
        </w:drawing>
      </w:r>
    </w:p>
    <w:p>
      <w:pPr>
        <w:pStyle w:val="39"/>
        <w:rPr>
          <w:rFonts w:cs="Times New Roman"/>
        </w:rPr>
      </w:pPr>
      <w:bookmarkStart w:id="555" w:name="_Ref473017352"/>
      <w:r>
        <w:rPr>
          <w:rFonts w:cs="Times New Roman"/>
        </w:rPr>
        <w:t>图7.1</w:t>
      </w:r>
      <w:r>
        <w:rPr>
          <w:rFonts w:hint="eastAsia" w:cs="Times New Roman"/>
        </w:rPr>
        <w:t>1</w:t>
      </w:r>
      <w:r>
        <w:rPr>
          <w:rFonts w:cs="Times New Roman"/>
        </w:rPr>
        <w:noBreakHyphen/>
      </w:r>
      <w:r>
        <w:rPr>
          <w:rFonts w:cs="Times New Roman"/>
        </w:rPr>
        <w:fldChar w:fldCharType="begin"/>
      </w:r>
      <w:r>
        <w:rPr>
          <w:rFonts w:cs="Times New Roman"/>
        </w:rPr>
        <w:instrText xml:space="preserve"> SEQ 图 \* ARABIC \s 1 </w:instrText>
      </w:r>
      <w:r>
        <w:rPr>
          <w:rFonts w:cs="Times New Roman"/>
        </w:rPr>
        <w:fldChar w:fldCharType="separate"/>
      </w:r>
      <w:r>
        <w:rPr>
          <w:rFonts w:cs="Times New Roman"/>
        </w:rPr>
        <w:t>2</w:t>
      </w:r>
      <w:r>
        <w:rPr>
          <w:rFonts w:cs="Times New Roman"/>
        </w:rPr>
        <w:fldChar w:fldCharType="end"/>
      </w:r>
      <w:bookmarkEnd w:id="555"/>
      <w:r>
        <w:rPr>
          <w:rFonts w:cs="Times New Roman"/>
        </w:rPr>
        <w:t xml:space="preserve">  普光分公司综合应急预案框架图</w:t>
      </w:r>
    </w:p>
    <w:p>
      <w:pPr>
        <w:pStyle w:val="39"/>
        <w:rPr>
          <w:rFonts w:cs="Times New Roman"/>
        </w:rPr>
      </w:pPr>
      <w:r>
        <w:rPr>
          <w:rFonts w:cs="Times New Roman"/>
        </w:rPr>
        <w:drawing>
          <wp:inline distT="0" distB="0" distL="0" distR="0">
            <wp:extent cx="5144770" cy="5754370"/>
            <wp:effectExtent l="19050" t="0" r="0" b="0"/>
            <wp:docPr id="63" name="图片 33" descr="应急预案结构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3" descr="应急预案结构图.jpg"/>
                    <pic:cNvPicPr>
                      <a:picLocks noChangeAspect="1" noChangeArrowheads="1"/>
                    </pic:cNvPicPr>
                  </pic:nvPicPr>
                  <pic:blipFill>
                    <a:blip r:embed="rId84" cstate="print"/>
                    <a:srcRect/>
                    <a:stretch>
                      <a:fillRect/>
                    </a:stretch>
                  </pic:blipFill>
                  <pic:spPr>
                    <a:xfrm>
                      <a:off x="0" y="0"/>
                      <a:ext cx="5144770" cy="5754370"/>
                    </a:xfrm>
                    <a:prstGeom prst="rect">
                      <a:avLst/>
                    </a:prstGeom>
                    <a:noFill/>
                    <a:ln w="9525">
                      <a:noFill/>
                      <a:miter lim="800000"/>
                      <a:headEnd/>
                      <a:tailEnd/>
                    </a:ln>
                  </pic:spPr>
                </pic:pic>
              </a:graphicData>
            </a:graphic>
          </wp:inline>
        </w:drawing>
      </w:r>
    </w:p>
    <w:p>
      <w:pPr>
        <w:pStyle w:val="39"/>
        <w:rPr>
          <w:rFonts w:cs="Times New Roman"/>
        </w:rPr>
      </w:pPr>
      <w:bookmarkStart w:id="556" w:name="_Ref473017362"/>
      <w:r>
        <w:rPr>
          <w:rFonts w:cs="Times New Roman"/>
        </w:rPr>
        <w:t>图7.1</w:t>
      </w:r>
      <w:r>
        <w:rPr>
          <w:rFonts w:hint="eastAsia" w:cs="Times New Roman"/>
        </w:rPr>
        <w:t>1</w:t>
      </w:r>
      <w:r>
        <w:rPr>
          <w:rFonts w:cs="Times New Roman"/>
        </w:rPr>
        <w:noBreakHyphen/>
      </w:r>
      <w:r>
        <w:rPr>
          <w:rFonts w:cs="Times New Roman"/>
        </w:rPr>
        <w:fldChar w:fldCharType="begin"/>
      </w:r>
      <w:r>
        <w:rPr>
          <w:rFonts w:cs="Times New Roman"/>
        </w:rPr>
        <w:instrText xml:space="preserve"> SEQ 图 \* ARABIC \s 1 </w:instrText>
      </w:r>
      <w:r>
        <w:rPr>
          <w:rFonts w:cs="Times New Roman"/>
        </w:rPr>
        <w:fldChar w:fldCharType="separate"/>
      </w:r>
      <w:r>
        <w:rPr>
          <w:rFonts w:cs="Times New Roman"/>
        </w:rPr>
        <w:t>3</w:t>
      </w:r>
      <w:r>
        <w:rPr>
          <w:rFonts w:cs="Times New Roman"/>
        </w:rPr>
        <w:fldChar w:fldCharType="end"/>
      </w:r>
      <w:bookmarkEnd w:id="556"/>
      <w:r>
        <w:rPr>
          <w:rFonts w:cs="Times New Roman"/>
        </w:rPr>
        <w:t xml:space="preserve">  普光分公司专项应急预案框架图</w:t>
      </w:r>
    </w:p>
    <w:p>
      <w:pPr>
        <w:pStyle w:val="6"/>
        <w:ind w:firstLine="482"/>
        <w:rPr>
          <w:rFonts w:ascii="Times New Roman" w:cs="Times New Roman"/>
          <w:b/>
        </w:rPr>
      </w:pPr>
      <w:r>
        <w:rPr>
          <w:rFonts w:ascii="Times New Roman" w:cs="Times New Roman"/>
          <w:b/>
        </w:rPr>
        <w:t>3、普光分公司应急组织机构</w:t>
      </w:r>
    </w:p>
    <w:p>
      <w:pPr>
        <w:pStyle w:val="39"/>
        <w:rPr>
          <w:rFonts w:cs="Times New Roman"/>
        </w:rPr>
      </w:pPr>
      <w:r>
        <w:rPr>
          <w:rFonts w:cs="Times New Roman"/>
        </w:rPr>
        <w:drawing>
          <wp:inline distT="0" distB="0" distL="0" distR="0">
            <wp:extent cx="5273675" cy="4202430"/>
            <wp:effectExtent l="19050" t="0" r="3175" b="0"/>
            <wp:docPr id="6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6"/>
                    <pic:cNvPicPr>
                      <a:picLocks noChangeAspect="1" noChangeArrowheads="1"/>
                    </pic:cNvPicPr>
                  </pic:nvPicPr>
                  <pic:blipFill>
                    <a:blip r:embed="rId85" cstate="print"/>
                    <a:srcRect/>
                    <a:stretch>
                      <a:fillRect/>
                    </a:stretch>
                  </pic:blipFill>
                  <pic:spPr>
                    <a:xfrm>
                      <a:off x="0" y="0"/>
                      <a:ext cx="5273675" cy="4202430"/>
                    </a:xfrm>
                    <a:prstGeom prst="rect">
                      <a:avLst/>
                    </a:prstGeom>
                    <a:noFill/>
                    <a:ln w="9525">
                      <a:noFill/>
                      <a:miter lim="800000"/>
                      <a:headEnd/>
                      <a:tailEnd/>
                    </a:ln>
                  </pic:spPr>
                </pic:pic>
              </a:graphicData>
            </a:graphic>
          </wp:inline>
        </w:drawing>
      </w:r>
    </w:p>
    <w:p>
      <w:pPr>
        <w:pStyle w:val="39"/>
        <w:rPr>
          <w:rFonts w:cs="Times New Roman"/>
        </w:rPr>
      </w:pPr>
      <w:bookmarkStart w:id="557" w:name="_Ref524448984"/>
      <w:r>
        <w:rPr>
          <w:rFonts w:cs="Times New Roman"/>
        </w:rPr>
        <w:t>图7.1</w:t>
      </w:r>
      <w:r>
        <w:rPr>
          <w:rFonts w:hint="eastAsia" w:cs="Times New Roman"/>
        </w:rPr>
        <w:t>1</w:t>
      </w:r>
      <w:r>
        <w:rPr>
          <w:rFonts w:cs="Times New Roman"/>
        </w:rPr>
        <w:noBreakHyphen/>
      </w:r>
      <w:r>
        <w:rPr>
          <w:rFonts w:cs="Times New Roman"/>
        </w:rPr>
        <w:fldChar w:fldCharType="begin"/>
      </w:r>
      <w:r>
        <w:rPr>
          <w:rFonts w:cs="Times New Roman"/>
        </w:rPr>
        <w:instrText xml:space="preserve"> SEQ 图 \* ARABIC \s 1 </w:instrText>
      </w:r>
      <w:r>
        <w:rPr>
          <w:rFonts w:cs="Times New Roman"/>
        </w:rPr>
        <w:fldChar w:fldCharType="separate"/>
      </w:r>
      <w:r>
        <w:rPr>
          <w:rFonts w:cs="Times New Roman"/>
        </w:rPr>
        <w:t>4</w:t>
      </w:r>
      <w:r>
        <w:rPr>
          <w:rFonts w:cs="Times New Roman"/>
        </w:rPr>
        <w:fldChar w:fldCharType="end"/>
      </w:r>
      <w:bookmarkEnd w:id="557"/>
      <w:r>
        <w:rPr>
          <w:rFonts w:cs="Times New Roman"/>
        </w:rPr>
        <w:t xml:space="preserve">  应急管理组织机构框图</w:t>
      </w:r>
    </w:p>
    <w:p>
      <w:pPr>
        <w:pStyle w:val="6"/>
        <w:ind w:firstLine="482"/>
        <w:rPr>
          <w:rFonts w:ascii="Times New Roman" w:cs="Times New Roman"/>
          <w:b/>
        </w:rPr>
      </w:pPr>
      <w:r>
        <w:rPr>
          <w:rFonts w:ascii="Times New Roman" w:cs="Times New Roman"/>
          <w:b/>
        </w:rPr>
        <w:t>4、应急响应</w:t>
      </w:r>
    </w:p>
    <w:p>
      <w:pPr>
        <w:pStyle w:val="114"/>
        <w:ind w:firstLine="480"/>
      </w:pPr>
      <w:r>
        <w:t>（1）分类与分级</w:t>
      </w:r>
    </w:p>
    <w:p>
      <w:pPr>
        <w:pStyle w:val="114"/>
        <w:ind w:firstLine="480"/>
      </w:pPr>
      <w:r>
        <w:t>①分类</w:t>
      </w:r>
    </w:p>
    <w:p>
      <w:pPr>
        <w:pStyle w:val="114"/>
        <w:ind w:firstLine="480"/>
      </w:pPr>
      <w:r>
        <w:t>分公司各所属单位应根据应急事件的发生过程、性质和机理，按照工业生产事件、公共卫生事件、自然灾害事件和社会安全事件的类别，经危害识别、风险评估，确定单位内可能发生或易发生的应急事件。</w:t>
      </w:r>
    </w:p>
    <w:p>
      <w:pPr>
        <w:pStyle w:val="114"/>
        <w:ind w:firstLine="480"/>
      </w:pPr>
      <w:r>
        <w:t>②分级</w:t>
      </w:r>
    </w:p>
    <w:p>
      <w:pPr>
        <w:pStyle w:val="114"/>
        <w:ind w:firstLine="480"/>
      </w:pPr>
      <w:r>
        <w:t>为了有效处置各类突发事件，按照突发事件的性质、危害程度、可控性、影响范围、人员伤亡和财产损失等因素，并依据机构设置情况，由高到低分为五个级别：Ⅰ（中国石化）级、Ⅱ（中原油田）级、Ⅲ（分公司）级、Ⅳ（厂）级、Ⅴ（车间、区）级等。</w:t>
      </w:r>
    </w:p>
    <w:p>
      <w:pPr>
        <w:pStyle w:val="114"/>
        <w:ind w:firstLine="480"/>
      </w:pPr>
      <w:r>
        <w:t>（2）响应程序</w:t>
      </w:r>
    </w:p>
    <w:p>
      <w:pPr>
        <w:pStyle w:val="114"/>
        <w:ind w:firstLine="480"/>
      </w:pPr>
      <w:r>
        <w:t>①应急启动条件</w:t>
      </w:r>
    </w:p>
    <w:p>
      <w:pPr>
        <w:pStyle w:val="114"/>
        <w:ind w:firstLine="480"/>
      </w:pPr>
      <w:r>
        <w:t>符合以下条件之一时，应启动本预案：</w:t>
      </w:r>
    </w:p>
    <w:p>
      <w:pPr>
        <w:pStyle w:val="114"/>
        <w:ind w:firstLine="480"/>
      </w:pPr>
      <w:r>
        <w:t>a）中原油田要求分公司启动应急预案时；</w:t>
      </w:r>
    </w:p>
    <w:p>
      <w:pPr>
        <w:pStyle w:val="114"/>
        <w:ind w:firstLine="480"/>
      </w:pPr>
      <w:r>
        <w:t>b）市、县级人民政府要求分公司启动应急预案时；</w:t>
      </w:r>
    </w:p>
    <w:p>
      <w:pPr>
        <w:pStyle w:val="114"/>
        <w:ind w:firstLine="480"/>
      </w:pPr>
      <w:r>
        <w:t>c）发生Ⅲ（分公司）级及Ⅲ级以上事件时；</w:t>
      </w:r>
    </w:p>
    <w:p>
      <w:pPr>
        <w:pStyle w:val="114"/>
        <w:ind w:firstLine="480"/>
      </w:pPr>
      <w:r>
        <w:t>d）所属单位请求时。</w:t>
      </w:r>
    </w:p>
    <w:p>
      <w:pPr>
        <w:pStyle w:val="114"/>
        <w:ind w:firstLine="480"/>
      </w:pPr>
      <w:r>
        <w:t>②应急指令</w:t>
      </w:r>
    </w:p>
    <w:p>
      <w:pPr>
        <w:pStyle w:val="114"/>
        <w:ind w:firstLine="480"/>
      </w:pPr>
      <w:r>
        <w:t>发生突发事件时，应急指令下达程序见下图。</w:t>
      </w:r>
    </w:p>
    <w:p>
      <w:pPr>
        <w:pStyle w:val="39"/>
        <w:rPr>
          <w:rFonts w:cs="Times New Roman"/>
        </w:rPr>
      </w:pPr>
      <w:r>
        <w:rPr>
          <w:rFonts w:cs="Times New Roman"/>
        </w:rPr>
        <w:drawing>
          <wp:inline distT="0" distB="0" distL="0" distR="0">
            <wp:extent cx="5273675" cy="4932045"/>
            <wp:effectExtent l="19050" t="0" r="3175" b="0"/>
            <wp:docPr id="6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8"/>
                    <pic:cNvPicPr>
                      <a:picLocks noChangeAspect="1" noChangeArrowheads="1"/>
                    </pic:cNvPicPr>
                  </pic:nvPicPr>
                  <pic:blipFill>
                    <a:blip r:embed="rId86" cstate="print"/>
                    <a:srcRect/>
                    <a:stretch>
                      <a:fillRect/>
                    </a:stretch>
                  </pic:blipFill>
                  <pic:spPr>
                    <a:xfrm>
                      <a:off x="0" y="0"/>
                      <a:ext cx="5273675" cy="4932045"/>
                    </a:xfrm>
                    <a:prstGeom prst="rect">
                      <a:avLst/>
                    </a:prstGeom>
                    <a:noFill/>
                    <a:ln w="9525">
                      <a:noFill/>
                      <a:miter lim="800000"/>
                      <a:headEnd/>
                      <a:tailEnd/>
                    </a:ln>
                  </pic:spPr>
                </pic:pic>
              </a:graphicData>
            </a:graphic>
          </wp:inline>
        </w:drawing>
      </w:r>
    </w:p>
    <w:p>
      <w:pPr>
        <w:pStyle w:val="39"/>
        <w:rPr>
          <w:rFonts w:cs="Times New Roman"/>
        </w:rPr>
      </w:pPr>
      <w:r>
        <w:rPr>
          <w:rFonts w:cs="Times New Roman"/>
        </w:rPr>
        <w:t>图7.1</w:t>
      </w:r>
      <w:r>
        <w:rPr>
          <w:rFonts w:hint="eastAsia" w:cs="Times New Roman"/>
        </w:rPr>
        <w:t>1</w:t>
      </w:r>
      <w:r>
        <w:rPr>
          <w:rFonts w:cs="Times New Roman"/>
        </w:rPr>
        <w:t>-5  普光分公司应急指令下达程序框图</w:t>
      </w:r>
    </w:p>
    <w:p>
      <w:pPr>
        <w:pStyle w:val="114"/>
        <w:ind w:firstLine="480"/>
      </w:pPr>
      <w:r>
        <w:t>③应急处置</w:t>
      </w:r>
    </w:p>
    <w:p>
      <w:pPr>
        <w:pStyle w:val="114"/>
        <w:ind w:firstLine="480"/>
      </w:pPr>
      <w:r>
        <w:t>当符合应急预案启动条件时，分公司应急指挥中心应立即下达启动本预案的指令，并按照本预案中相应专项应急预案的要求实施应急处置。</w:t>
      </w:r>
    </w:p>
    <w:p>
      <w:pPr>
        <w:pStyle w:val="114"/>
        <w:ind w:firstLine="480"/>
      </w:pPr>
      <w:r>
        <w:t>当事件难以控制时，分公司应急指挥中心应请求启动相应的应急预案，并向市级政府应急管理办公室报告，请求支援。</w:t>
      </w:r>
    </w:p>
    <w:p>
      <w:pPr>
        <w:pStyle w:val="6"/>
        <w:ind w:firstLine="482"/>
        <w:rPr>
          <w:rFonts w:ascii="Times New Roman" w:cs="Times New Roman"/>
          <w:b/>
        </w:rPr>
      </w:pPr>
      <w:r>
        <w:rPr>
          <w:rFonts w:ascii="Times New Roman" w:cs="Times New Roman"/>
          <w:b/>
        </w:rPr>
        <w:t>5、应急结束</w:t>
      </w:r>
    </w:p>
    <w:p>
      <w:pPr>
        <w:pStyle w:val="114"/>
        <w:ind w:firstLine="480"/>
      </w:pPr>
      <w:r>
        <w:t>经应急处置后，现场应急指挥部确认满足专项应急预案终止条件时，向分公司应急指挥中心报告，分公司应急指挥中心可下达应急终止指令。</w:t>
      </w:r>
    </w:p>
    <w:p>
      <w:pPr>
        <w:pStyle w:val="114"/>
        <w:ind w:firstLine="480"/>
      </w:pPr>
      <w:r>
        <w:t>应急终止后，现场应急指挥部负责编写应急总结，应急指挥中心办公室负责对现场应急指挥部的应急总结、值班记录等资料进行汇总、归档，经理办公室负责起草分公司应急指挥中心的应急总结上报材料。现场应急指挥部向事件调查组移交相关材料。分公司应急指挥中心负责向中原油田上报应急总结。</w:t>
      </w:r>
    </w:p>
    <w:p>
      <w:pPr>
        <w:pStyle w:val="6"/>
        <w:ind w:firstLine="482"/>
        <w:rPr>
          <w:rFonts w:ascii="Times New Roman" w:cs="Times New Roman"/>
          <w:b/>
        </w:rPr>
      </w:pPr>
      <w:r>
        <w:rPr>
          <w:rFonts w:ascii="Times New Roman" w:cs="Times New Roman"/>
          <w:b/>
        </w:rPr>
        <w:t>6、应急保障</w:t>
      </w:r>
    </w:p>
    <w:p>
      <w:pPr>
        <w:pStyle w:val="114"/>
        <w:ind w:firstLine="480"/>
      </w:pPr>
      <w:r>
        <w:t>（1）应急队伍保障</w:t>
      </w:r>
    </w:p>
    <w:p>
      <w:pPr>
        <w:pStyle w:val="114"/>
        <w:ind w:firstLine="480"/>
      </w:pPr>
      <w:r>
        <w:t>分公司应急救援队伍由采气厂、净化厂、应急救援中心和社会应急资源组成。应急队伍配备必要的人员、装备等，平时加强应急队伍的业务培训和应急演练，提高应急人员业务水平；与社会应急资源签订互助协议，提供应急期间的消气防、医疗卫生、治安保卫、交通维护和运输等应急救援力量的保障。</w:t>
      </w:r>
    </w:p>
    <w:p>
      <w:pPr>
        <w:pStyle w:val="114"/>
        <w:ind w:firstLine="480"/>
      </w:pPr>
      <w:r>
        <w:t>（2）财力保障</w:t>
      </w:r>
    </w:p>
    <w:p>
      <w:pPr>
        <w:pStyle w:val="114"/>
        <w:ind w:firstLine="480"/>
      </w:pPr>
      <w:r>
        <w:t>事件处置过程中的费用，由计划财务部门负责保障；事件应急处置结束后，各级应急指挥中心办公室对应急处置费用进行整理汇总，计划财务部给予核销。</w:t>
      </w:r>
    </w:p>
    <w:p>
      <w:pPr>
        <w:pStyle w:val="114"/>
        <w:ind w:firstLine="480"/>
      </w:pPr>
      <w:r>
        <w:t>（3）物资保障</w:t>
      </w:r>
    </w:p>
    <w:p>
      <w:pPr>
        <w:pStyle w:val="114"/>
        <w:ind w:firstLine="480"/>
      </w:pPr>
      <w:r>
        <w:t>分公司应急物资由物资保障部应急物资、应急救援中心应急物资、所属单位应急物资和社会救援物资组成。为满足应急处置的需求，同社会救援物资单位签订协议，在应急状态下，由分公司应急指挥中心统一调配使用。</w:t>
      </w:r>
    </w:p>
    <w:p>
      <w:pPr>
        <w:pStyle w:val="114"/>
        <w:ind w:firstLine="480"/>
        <w:rPr>
          <w:rFonts w:hint="eastAsia"/>
          <w:lang w:val="en-US" w:eastAsia="zh-CN"/>
        </w:rPr>
      </w:pPr>
      <w:r>
        <w:t>（4）</w:t>
      </w:r>
      <w:r>
        <w:rPr>
          <w:rFonts w:hint="eastAsia"/>
          <w:lang w:val="en-US" w:eastAsia="zh-CN"/>
        </w:rPr>
        <w:t>通信</w:t>
      </w:r>
    </w:p>
    <w:p>
      <w:pPr>
        <w:rPr>
          <w:rFonts w:hint="eastAsia"/>
          <w:lang w:val="en-US" w:eastAsia="zh-CN"/>
        </w:rPr>
      </w:pPr>
      <w:r>
        <w:rPr>
          <w:rFonts w:hint="eastAsia"/>
          <w:lang w:val="en-US" w:eastAsia="zh-CN"/>
        </w:rPr>
        <w:br w:type="page"/>
      </w:r>
    </w:p>
    <w:p>
      <w:pPr>
        <w:pStyle w:val="114"/>
        <w:ind w:firstLine="480"/>
      </w:pPr>
      <w:r>
        <w:t>保障</w:t>
      </w:r>
    </w:p>
    <w:p>
      <w:pPr>
        <w:pStyle w:val="114"/>
        <w:ind w:firstLine="480"/>
      </w:pPr>
      <w:r>
        <w:t>生产服务中心负责建立、完善应急通讯网络系统，在应急工作中确保应急通信畅通。</w:t>
      </w:r>
    </w:p>
    <w:p>
      <w:pPr>
        <w:pStyle w:val="114"/>
        <w:ind w:firstLine="480"/>
      </w:pPr>
      <w:r>
        <w:t>（5）技术保障</w:t>
      </w:r>
    </w:p>
    <w:p>
      <w:pPr>
        <w:pStyle w:val="114"/>
        <w:ind w:firstLine="480"/>
      </w:pPr>
      <w:r>
        <w:t>天然气技术管理部负责建立由各专业领域技术、经验丰富的人员组成技术专家组，结合事故发生厂所属技术力量，为事故的应急处置提供技术支持。</w:t>
      </w:r>
    </w:p>
    <w:p>
      <w:pPr>
        <w:pStyle w:val="114"/>
        <w:ind w:firstLine="480"/>
      </w:pPr>
      <w:r>
        <w:t>（6）基本生活保障</w:t>
      </w:r>
    </w:p>
    <w:p>
      <w:pPr>
        <w:pStyle w:val="114"/>
        <w:ind w:firstLine="480"/>
      </w:pPr>
      <w:r>
        <w:t>分公司应急指挥中心应会同</w:t>
      </w:r>
      <w:r>
        <w:rPr>
          <w:rFonts w:hint="eastAsia"/>
          <w:lang w:val="en-US" w:eastAsia="zh-CN"/>
        </w:rPr>
        <w:t>当</w:t>
      </w:r>
      <w:r>
        <w:t>地人民政府做好抢险队伍、受灾员工和疏散群众的基本生活保障工作。</w:t>
      </w:r>
    </w:p>
    <w:p>
      <w:pPr>
        <w:pStyle w:val="114"/>
        <w:ind w:firstLine="480"/>
      </w:pPr>
      <w:r>
        <w:t>（7）人员防护</w:t>
      </w:r>
    </w:p>
    <w:p>
      <w:pPr>
        <w:pStyle w:val="114"/>
        <w:ind w:firstLine="480"/>
      </w:pPr>
      <w:r>
        <w:t>按照国家法律法规、标准、规范的要求，应急救援人员配备安全职业防护装备，严格按照救援程序开展应急救援工作，确保人员安全。在生产区域内岗位人员配备安全职业防护装备，建立紧急集合点。</w:t>
      </w:r>
    </w:p>
    <w:p>
      <w:pPr>
        <w:pStyle w:val="6"/>
        <w:ind w:firstLine="482"/>
        <w:rPr>
          <w:rFonts w:ascii="Times New Roman" w:cs="Times New Roman"/>
          <w:b/>
        </w:rPr>
      </w:pPr>
      <w:r>
        <w:rPr>
          <w:rFonts w:ascii="Times New Roman" w:cs="Times New Roman"/>
          <w:b/>
        </w:rPr>
        <w:t>7、培训与演练</w:t>
      </w:r>
    </w:p>
    <w:p>
      <w:pPr>
        <w:pStyle w:val="114"/>
        <w:ind w:firstLine="480"/>
      </w:pPr>
      <w:r>
        <w:t>1）宣传和培训</w:t>
      </w:r>
    </w:p>
    <w:p>
      <w:pPr>
        <w:pStyle w:val="114"/>
        <w:ind w:firstLine="480"/>
      </w:pPr>
      <w:r>
        <w:t>党群工作部会同相关职能部门，通过各种宣传手段，对分公司员工和周边公众广泛宣传应急法律法规和应急常识。</w:t>
      </w:r>
    </w:p>
    <w:p>
      <w:pPr>
        <w:pStyle w:val="114"/>
        <w:ind w:firstLine="480"/>
      </w:pPr>
      <w:r>
        <w:t>HSE监督管理部应组织编制对各类专业应急人员、企业员工的年度培训计划，由人力资源部负责组织实施。</w:t>
      </w:r>
    </w:p>
    <w:p>
      <w:pPr>
        <w:pStyle w:val="114"/>
        <w:ind w:firstLine="480"/>
      </w:pPr>
      <w:r>
        <w:t>2）预案演练</w:t>
      </w:r>
    </w:p>
    <w:p>
      <w:pPr>
        <w:pStyle w:val="114"/>
        <w:ind w:firstLine="480"/>
      </w:pPr>
      <w:r>
        <w:t>普光分公司预案演练每年不少于一次。应急指挥中心办公室应做好演练方案的策划。演练结束后做好总结。</w:t>
      </w:r>
    </w:p>
    <w:p>
      <w:pPr>
        <w:pStyle w:val="4"/>
        <w:rPr>
          <w:rFonts w:eastAsia="宋体"/>
        </w:rPr>
      </w:pPr>
      <w:r>
        <w:rPr>
          <w:rFonts w:eastAsia="宋体"/>
        </w:rPr>
        <w:t>7.1</w:t>
      </w:r>
      <w:r>
        <w:rPr>
          <w:rFonts w:hint="eastAsia" w:eastAsia="宋体"/>
        </w:rPr>
        <w:t>1</w:t>
      </w:r>
      <w:r>
        <w:rPr>
          <w:rFonts w:eastAsia="宋体"/>
        </w:rPr>
        <w:t>.2 本项目环境风险应急预案</w:t>
      </w:r>
    </w:p>
    <w:p>
      <w:pPr>
        <w:pStyle w:val="114"/>
        <w:ind w:firstLine="480"/>
      </w:pPr>
      <w:r>
        <w:t>根据前述环境风险事故分析，本次评价将针对本项目钻井作业的特点，结合企业制定的应急预案，提出环境风险事故应急预案编制要求，供企业及有关部门参考。见</w:t>
      </w:r>
      <w:r>
        <w:fldChar w:fldCharType="begin"/>
      </w:r>
      <w:r>
        <w:instrText xml:space="preserve"> REF _Ref524449032 \h  \* MERGEFORMAT </w:instrText>
      </w:r>
      <w:r>
        <w:fldChar w:fldCharType="separate"/>
      </w:r>
      <w:r>
        <w:t>表7.1</w:t>
      </w:r>
      <w:r>
        <w:rPr>
          <w:rFonts w:hint="eastAsia"/>
        </w:rPr>
        <w:t>1</w:t>
      </w:r>
      <w:r>
        <w:noBreakHyphen/>
      </w:r>
      <w:r>
        <w:t>1</w:t>
      </w:r>
      <w:r>
        <w:fldChar w:fldCharType="end"/>
      </w:r>
      <w:r>
        <w:t>。</w:t>
      </w:r>
    </w:p>
    <w:p>
      <w:pPr>
        <w:widowControl/>
        <w:topLinePunct w:val="0"/>
        <w:snapToGrid w:val="0"/>
        <w:spacing w:before="156" w:beforeLines="50"/>
        <w:ind w:firstLine="0" w:firstLineChars="0"/>
        <w:jc w:val="center"/>
        <w:rPr>
          <w:rFonts w:ascii="Times New Roman" w:cs="Times New Roman"/>
          <w:b/>
          <w:kern w:val="2"/>
          <w:sz w:val="21"/>
          <w:szCs w:val="20"/>
        </w:rPr>
      </w:pPr>
      <w:bookmarkStart w:id="558" w:name="_Ref524449032"/>
      <w:r>
        <w:rPr>
          <w:rFonts w:ascii="Times New Roman" w:cs="Times New Roman"/>
          <w:b/>
          <w:kern w:val="2"/>
          <w:sz w:val="21"/>
          <w:szCs w:val="20"/>
        </w:rPr>
        <w:t>表</w:t>
      </w:r>
      <w:r>
        <w:rPr>
          <w:rFonts w:ascii="Times New Roman" w:cs="Times New Roman"/>
          <w:b/>
          <w:kern w:val="2"/>
          <w:sz w:val="21"/>
          <w:szCs w:val="20"/>
        </w:rPr>
        <w:fldChar w:fldCharType="begin"/>
      </w:r>
      <w:r>
        <w:rPr>
          <w:rFonts w:ascii="Times New Roman" w:cs="Times New Roman"/>
          <w:b/>
          <w:kern w:val="2"/>
          <w:sz w:val="21"/>
          <w:szCs w:val="20"/>
        </w:rPr>
        <w:instrText xml:space="preserve"> STYLEREF 1 \s </w:instrText>
      </w:r>
      <w:r>
        <w:rPr>
          <w:rFonts w:ascii="Times New Roman" w:cs="Times New Roman"/>
          <w:b/>
          <w:kern w:val="2"/>
          <w:sz w:val="21"/>
          <w:szCs w:val="20"/>
        </w:rPr>
        <w:fldChar w:fldCharType="separate"/>
      </w:r>
      <w:r>
        <w:rPr>
          <w:rFonts w:ascii="Times New Roman" w:cs="Times New Roman"/>
          <w:b/>
          <w:kern w:val="2"/>
          <w:sz w:val="21"/>
          <w:szCs w:val="20"/>
        </w:rPr>
        <w:t>7</w:t>
      </w:r>
      <w:r>
        <w:rPr>
          <w:rFonts w:ascii="Times New Roman" w:cs="Times New Roman"/>
          <w:b/>
          <w:kern w:val="2"/>
          <w:sz w:val="21"/>
          <w:szCs w:val="20"/>
        </w:rPr>
        <w:fldChar w:fldCharType="end"/>
      </w:r>
      <w:r>
        <w:rPr>
          <w:rFonts w:ascii="Times New Roman" w:cs="Times New Roman"/>
          <w:b/>
          <w:kern w:val="2"/>
          <w:sz w:val="21"/>
          <w:szCs w:val="20"/>
        </w:rPr>
        <w:t>.1</w:t>
      </w:r>
      <w:r>
        <w:rPr>
          <w:rFonts w:hint="eastAsia" w:ascii="Times New Roman" w:cs="Times New Roman"/>
          <w:b/>
          <w:kern w:val="2"/>
          <w:sz w:val="21"/>
          <w:szCs w:val="20"/>
        </w:rPr>
        <w:t>1</w:t>
      </w:r>
      <w:r>
        <w:rPr>
          <w:rFonts w:ascii="Times New Roman" w:cs="Times New Roman"/>
          <w:b/>
          <w:kern w:val="2"/>
          <w:sz w:val="21"/>
          <w:szCs w:val="20"/>
        </w:rPr>
        <w:noBreakHyphen/>
      </w:r>
      <w:r>
        <w:rPr>
          <w:rFonts w:ascii="Times New Roman" w:cs="Times New Roman"/>
          <w:b/>
          <w:kern w:val="2"/>
          <w:sz w:val="21"/>
          <w:szCs w:val="20"/>
        </w:rPr>
        <w:fldChar w:fldCharType="begin"/>
      </w:r>
      <w:r>
        <w:rPr>
          <w:rFonts w:ascii="Times New Roman" w:cs="Times New Roman"/>
          <w:b/>
          <w:kern w:val="2"/>
          <w:sz w:val="21"/>
          <w:szCs w:val="20"/>
        </w:rPr>
        <w:instrText xml:space="preserve"> SEQ 表 \* ARABIC \s 1 </w:instrText>
      </w:r>
      <w:r>
        <w:rPr>
          <w:rFonts w:ascii="Times New Roman" w:cs="Times New Roman"/>
          <w:b/>
          <w:kern w:val="2"/>
          <w:sz w:val="21"/>
          <w:szCs w:val="20"/>
        </w:rPr>
        <w:fldChar w:fldCharType="separate"/>
      </w:r>
      <w:r>
        <w:rPr>
          <w:rFonts w:ascii="Times New Roman" w:cs="Times New Roman"/>
          <w:b/>
          <w:kern w:val="2"/>
          <w:sz w:val="21"/>
          <w:szCs w:val="20"/>
        </w:rPr>
        <w:t>1</w:t>
      </w:r>
      <w:r>
        <w:rPr>
          <w:rFonts w:ascii="Times New Roman" w:cs="Times New Roman"/>
          <w:b/>
          <w:kern w:val="2"/>
          <w:sz w:val="21"/>
          <w:szCs w:val="20"/>
        </w:rPr>
        <w:fldChar w:fldCharType="end"/>
      </w:r>
      <w:bookmarkEnd w:id="558"/>
      <w:r>
        <w:rPr>
          <w:rFonts w:ascii="Times New Roman" w:cs="Times New Roman"/>
          <w:b/>
          <w:kern w:val="2"/>
          <w:sz w:val="21"/>
          <w:szCs w:val="20"/>
        </w:rPr>
        <w:t xml:space="preserve">  应急预案主要内容一览表</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258"/>
        <w:gridCol w:w="67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785"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序号</w:t>
            </w:r>
          </w:p>
        </w:tc>
        <w:tc>
          <w:tcPr>
            <w:tcW w:w="1285"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项目</w:t>
            </w:r>
          </w:p>
        </w:tc>
        <w:tc>
          <w:tcPr>
            <w:tcW w:w="6876"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内容及要求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12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应急计划区</w:t>
            </w:r>
          </w:p>
        </w:tc>
        <w:tc>
          <w:tcPr>
            <w:tcW w:w="6876" w:type="dxa"/>
            <w:vAlign w:val="center"/>
          </w:tcPr>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危险目标：钻井地层</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环境保护目标：当发生井喷失控时，一般撤离范围可根据监测情况决定。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12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应急组织机构、人员</w:t>
            </w:r>
          </w:p>
        </w:tc>
        <w:tc>
          <w:tcPr>
            <w:tcW w:w="6876" w:type="dxa"/>
            <w:vAlign w:val="center"/>
          </w:tcPr>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组织机构为中原油田普光分公司，钻井队及其管理单位、当地政府。</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关键依靠钻井队、当地政府。</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充分、重点发挥地方镇乡、村级政府的组织能力，纳入应急组织机构中。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w:t>
            </w:r>
          </w:p>
        </w:tc>
        <w:tc>
          <w:tcPr>
            <w:tcW w:w="12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预案分级</w:t>
            </w:r>
          </w:p>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响应条件</w:t>
            </w:r>
          </w:p>
        </w:tc>
        <w:tc>
          <w:tcPr>
            <w:tcW w:w="6876" w:type="dxa"/>
            <w:vAlign w:val="center"/>
          </w:tcPr>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规定预案的级别及分级响应程序：</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把重大环境污染事故定为三级，定性为一般，涉及组织单位为中原油田普光分公司、钻井队和当地环保部门。</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井喷及井喷失控定为一级。涉及组织单位为中原油田普光分公司、钻井队及其管理单位、当地政府。响应程度依次增强。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w:t>
            </w:r>
          </w:p>
        </w:tc>
        <w:tc>
          <w:tcPr>
            <w:tcW w:w="12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应急救援</w:t>
            </w:r>
          </w:p>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保障</w:t>
            </w:r>
          </w:p>
        </w:tc>
        <w:tc>
          <w:tcPr>
            <w:tcW w:w="6876" w:type="dxa"/>
            <w:vAlign w:val="center"/>
          </w:tcPr>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应急设施，设备与器材等：</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井场配备H</w:t>
            </w:r>
            <w:r>
              <w:rPr>
                <w:rFonts w:ascii="Times New Roman" w:cs="Times New Roman"/>
                <w:kern w:val="2"/>
                <w:sz w:val="21"/>
                <w:szCs w:val="21"/>
                <w:vertAlign w:val="subscript"/>
              </w:rPr>
              <w:t>2</w:t>
            </w:r>
            <w:r>
              <w:rPr>
                <w:rFonts w:ascii="Times New Roman" w:cs="Times New Roman"/>
                <w:kern w:val="2"/>
                <w:sz w:val="21"/>
                <w:szCs w:val="21"/>
              </w:rPr>
              <w:t>S测试、防毒、医疗、消防、疏散等应急设施。</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钻开气层前通知当地医院、消防队等方面救援保障力量以及钻井队主管部门、普光分公司的应急救援单位。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w:t>
            </w:r>
          </w:p>
        </w:tc>
        <w:tc>
          <w:tcPr>
            <w:tcW w:w="12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报警、通讯联络方式</w:t>
            </w:r>
          </w:p>
        </w:tc>
        <w:tc>
          <w:tcPr>
            <w:tcW w:w="6876" w:type="dxa"/>
            <w:vAlign w:val="center"/>
          </w:tcPr>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规定应急状态下的报警通讯方式、通知方式和交通保障、管制：</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协调井队通过广播系统和电话通知。至少在1个小组设2个电话联络点。小组通知人员应指定4人负责通知本小组内的居民。并电话通知当地交警队负责交通保障、管制，不允许非救援车辆进入危险井口周边区域。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6</w:t>
            </w:r>
          </w:p>
        </w:tc>
        <w:tc>
          <w:tcPr>
            <w:tcW w:w="12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应急环境监测、抢险、救援及控制</w:t>
            </w:r>
          </w:p>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措施</w:t>
            </w:r>
          </w:p>
        </w:tc>
        <w:tc>
          <w:tcPr>
            <w:tcW w:w="6876" w:type="dxa"/>
            <w:vAlign w:val="center"/>
          </w:tcPr>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环境应急监测可组织协调当地环境监测中心站。</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抢险、救援组织协调当地消防队、医院和钻井主管部门及普光分公司的应急队伍。</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控制措施主要由钻井队和其管理部门、普光分公司等部门共同协商控制。</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井喷失控的关键控制措施：应立即组织撤离井口周边的居民</w:t>
            </w:r>
            <w:r>
              <w:rPr>
                <w:rFonts w:hint="eastAsia" w:ascii="Times New Roman" w:cs="Times New Roman"/>
                <w:kern w:val="2"/>
                <w:sz w:val="21"/>
                <w:szCs w:val="21"/>
              </w:rPr>
              <w:t>撤离</w:t>
            </w:r>
            <w:r>
              <w:rPr>
                <w:rFonts w:ascii="Times New Roman" w:cs="Times New Roman"/>
                <w:kern w:val="2"/>
                <w:sz w:val="21"/>
                <w:szCs w:val="21"/>
              </w:rPr>
              <w:t>。同时保证井喷失控在15min内点火，燃烧泄漏天然气。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7</w:t>
            </w:r>
          </w:p>
        </w:tc>
        <w:tc>
          <w:tcPr>
            <w:tcW w:w="12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应急检测、防护措施、清除泄漏措施和器材</w:t>
            </w:r>
          </w:p>
        </w:tc>
        <w:tc>
          <w:tcPr>
            <w:tcW w:w="6876" w:type="dxa"/>
            <w:vAlign w:val="center"/>
          </w:tcPr>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应急检测、防护采用井队配备的设备和消防队伍的设备，必要可增加普光分公司、钻井队主管部门的检测防护设备。清除泄漏必要时可通过消防车喷雾状水溶解将大气污染物转化为地表水污染物。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8</w:t>
            </w:r>
          </w:p>
        </w:tc>
        <w:tc>
          <w:tcPr>
            <w:tcW w:w="12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人员紧急撤离、疏散，应急剂量控制、撤离组织计划</w:t>
            </w:r>
          </w:p>
        </w:tc>
        <w:tc>
          <w:tcPr>
            <w:tcW w:w="6876" w:type="dxa"/>
            <w:vAlign w:val="center"/>
          </w:tcPr>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紧急撤离区：撤离路线应根据钻井井场风向标，沿发生事故时的上风向方向或侧风向远离事故源方向撤离。通过高音喇叭、广播、电话及时通知周边各户居民，保证全部及时通知撤离。</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一般撤离区：当发生井喷失控时，一般撤离范围可根据监测情况决定。在发生事故时应自发和在应急组织机构的带领下及时撤离。撤离路线应根据钻井井场风向标，沿发生事故时的上风向或侧风向方向远离事故源方向撤离。由于涉及人员多，应通过应急组织机构负责组织撤离，通过广播系统和电话系统通知。由于远处居民不能看到风向标，在通知撤离时要由专业人员根据风向标说明撤离方向。可通过广播系统和电话系统通知，应通过协调村委会通过电话通知到小组，各组至少设立2个联络点。小组负责人指定4人负责通知小组内的居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9</w:t>
            </w:r>
          </w:p>
        </w:tc>
        <w:tc>
          <w:tcPr>
            <w:tcW w:w="12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事故应急救援关闭程序与恢复措施</w:t>
            </w:r>
          </w:p>
        </w:tc>
        <w:tc>
          <w:tcPr>
            <w:tcW w:w="6876" w:type="dxa"/>
            <w:vAlign w:val="center"/>
          </w:tcPr>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规定应急状态终止程序事故现场善后处理，恢复措施邻近区域解除事故警戒及善后恢复措施</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（1）井喷失控得到控制，伤亡人员得到全部救援和安置，危险区域的居民全部撤离。</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2）恢复措施：对事故伤亡情况进行统计，应做好详细的记录并存档。行政领导组应尽快协调各部做好医疗救护工作，包括医疗经费的提供、受伤人员的住院安排与护理以及善后赔偿等；钻井队主管单位配合相关部门人员对受损设备尽快安排修复并投入生产使用。钻井队主管部门、普光分公司、当地政府成立事故调查小组，调查原因并按“四不放过”的原则进行事故处理；做出事故调查报告，同时总结事件教训，实行安全事故的教育培训，杜绝类似事件的再次发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10</w:t>
            </w:r>
          </w:p>
        </w:tc>
        <w:tc>
          <w:tcPr>
            <w:tcW w:w="12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应急培训</w:t>
            </w:r>
          </w:p>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计划</w:t>
            </w:r>
          </w:p>
        </w:tc>
        <w:tc>
          <w:tcPr>
            <w:tcW w:w="6876" w:type="dxa"/>
            <w:vAlign w:val="center"/>
          </w:tcPr>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应急计划制定后，平时安排人员培训与演练：</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着重在钻含气层前的演练，把井口周边居民纳入培训、演练队伍。井队安全监督要对井队全体员工进行应急救援培训，提高员工的应急救援能力。加强对组织人员向井场附近居民宣传H</w:t>
            </w:r>
            <w:r>
              <w:rPr>
                <w:rFonts w:ascii="Times New Roman" w:cs="Times New Roman"/>
                <w:kern w:val="2"/>
                <w:sz w:val="21"/>
                <w:szCs w:val="21"/>
                <w:vertAlign w:val="subscript"/>
              </w:rPr>
              <w:t>2</w:t>
            </w:r>
            <w:r>
              <w:rPr>
                <w:rFonts w:ascii="Times New Roman" w:cs="Times New Roman"/>
                <w:kern w:val="2"/>
                <w:sz w:val="21"/>
                <w:szCs w:val="21"/>
              </w:rPr>
              <w:t>S和井喷的危害及相关知识。井队队长及安全员负责指定应急培训计划，定期对应急组织机构成员和应急保障系统、应急信息的有关人员进行综合性应急培训并做好培训记录。应急演练应每个月开展一次，进入气层后半个月开展一次，通过演练掌握应急人员在应急抢险中对预案的熟悉程度和能力，二是加强抢险应急设备的维护保养，检查是否备足所需应急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11</w:t>
            </w:r>
          </w:p>
        </w:tc>
        <w:tc>
          <w:tcPr>
            <w:tcW w:w="12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公众教育和信息</w:t>
            </w:r>
          </w:p>
        </w:tc>
        <w:tc>
          <w:tcPr>
            <w:tcW w:w="6876" w:type="dxa"/>
            <w:vAlign w:val="center"/>
          </w:tcPr>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对井场邻近地区开展公众教育、培训和发布有关信息：</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安全距离内居民进行公众教育，发宣传册。钻井工程前，要向可能危及居民安全范围内进行H</w:t>
            </w:r>
            <w:r>
              <w:rPr>
                <w:rFonts w:ascii="Times New Roman" w:cs="Times New Roman"/>
                <w:kern w:val="2"/>
                <w:sz w:val="21"/>
                <w:szCs w:val="21"/>
                <w:vertAlign w:val="subscript"/>
              </w:rPr>
              <w:t>2</w:t>
            </w:r>
            <w:r>
              <w:rPr>
                <w:rFonts w:ascii="Times New Roman" w:cs="Times New Roman"/>
                <w:kern w:val="2"/>
                <w:sz w:val="21"/>
                <w:szCs w:val="21"/>
              </w:rPr>
              <w:t>S安全知识和遇紧急情况时的应急预案教育，提出紧急情况下的安全撤离要求。</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施工单位应主动联系当地政府，对紧急撤离区范围内的居民通过发放宣传册普及安全知识，内容应有危害程度、防范应急救护措施。同时应在进入含硫气层前对</w:t>
            </w:r>
            <w:r>
              <w:rPr>
                <w:rFonts w:hint="eastAsia" w:ascii="Times New Roman" w:cs="Times New Roman"/>
                <w:kern w:val="2"/>
                <w:sz w:val="21"/>
                <w:szCs w:val="21"/>
              </w:rPr>
              <w:t>周边</w:t>
            </w:r>
            <w:r>
              <w:rPr>
                <w:rFonts w:ascii="Times New Roman" w:cs="Times New Roman"/>
                <w:kern w:val="2"/>
                <w:sz w:val="21"/>
                <w:szCs w:val="21"/>
              </w:rPr>
              <w:t>的居民进行应急演练一次。对一般撤离区范围居民发放宣传册普及安全知识，内容应有危害程度、防范应急救护措施。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12</w:t>
            </w:r>
          </w:p>
        </w:tc>
        <w:tc>
          <w:tcPr>
            <w:tcW w:w="12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夜间特别管理机制</w:t>
            </w:r>
          </w:p>
        </w:tc>
        <w:tc>
          <w:tcPr>
            <w:tcW w:w="6876" w:type="dxa"/>
            <w:vAlign w:val="center"/>
          </w:tcPr>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井场配备高音喇叭、防爆灯具，以便夜间事故及时通知周边较近距离的居民，防爆灯具应布置在井场内风向标处，以便井场人员和周边较近居民可判断风向，带领其他人员撤离。</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井场实行轮班制度，保证夜间各岗位有相应值班人员。对居民进行公众教育、培训中应强调夜间自救内容，要求居民夜间保持通讯设备的畅通，夜间不关手机等教育。强调在钻气层期间夜间保持一定的警惕，提出在夜间事故报警后应立即穿少量衣服，及时保证人员撤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13</w:t>
            </w:r>
          </w:p>
        </w:tc>
        <w:tc>
          <w:tcPr>
            <w:tcW w:w="12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备案</w:t>
            </w:r>
          </w:p>
        </w:tc>
        <w:tc>
          <w:tcPr>
            <w:tcW w:w="6876" w:type="dxa"/>
            <w:vAlign w:val="center"/>
          </w:tcPr>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将本项目应急预案报送地方环保部门备案。</w:t>
            </w:r>
          </w:p>
        </w:tc>
      </w:tr>
    </w:tbl>
    <w:p>
      <w:pPr>
        <w:pStyle w:val="6"/>
        <w:ind w:firstLine="482"/>
        <w:rPr>
          <w:rFonts w:ascii="Times New Roman" w:cs="Times New Roman"/>
          <w:b/>
        </w:rPr>
      </w:pPr>
      <w:bookmarkStart w:id="559" w:name="_Toc12288765"/>
      <w:r>
        <w:rPr>
          <w:rFonts w:ascii="Times New Roman" w:cs="Times New Roman"/>
          <w:b/>
        </w:rPr>
        <w:t>1、通讯联络方式</w:t>
      </w:r>
      <w:bookmarkEnd w:id="559"/>
    </w:p>
    <w:p>
      <w:pPr>
        <w:pStyle w:val="6"/>
        <w:ind w:firstLine="480"/>
        <w:rPr>
          <w:rFonts w:ascii="Times New Roman" w:cs="Times New Roman"/>
        </w:rPr>
      </w:pPr>
      <w:r>
        <w:rPr>
          <w:rFonts w:ascii="Times New Roman" w:cs="Times New Roman"/>
        </w:rPr>
        <w:t>①报告方式</w:t>
      </w:r>
    </w:p>
    <w:p>
      <w:pPr>
        <w:pStyle w:val="6"/>
        <w:ind w:firstLine="480"/>
        <w:rPr>
          <w:rFonts w:ascii="Times New Roman" w:cs="Times New Roman"/>
        </w:rPr>
      </w:pPr>
      <w:r>
        <w:rPr>
          <w:rFonts w:ascii="Times New Roman" w:cs="Times New Roman"/>
        </w:rPr>
        <w:t>通常方式有：捎口信、固定电话、移动电话、传真和网络。</w:t>
      </w:r>
    </w:p>
    <w:p>
      <w:pPr>
        <w:pStyle w:val="6"/>
        <w:ind w:firstLine="480"/>
        <w:rPr>
          <w:rFonts w:ascii="Times New Roman" w:cs="Times New Roman"/>
        </w:rPr>
      </w:pPr>
      <w:r>
        <w:rPr>
          <w:rFonts w:ascii="Times New Roman" w:cs="Times New Roman"/>
        </w:rPr>
        <w:t>作业区向分公司报告，除非特别紧急的情况采用电话报告外，其它一律书面报告（电传）。</w:t>
      </w:r>
    </w:p>
    <w:p>
      <w:pPr>
        <w:pStyle w:val="6"/>
        <w:ind w:firstLine="480"/>
        <w:rPr>
          <w:rFonts w:ascii="Times New Roman" w:cs="Times New Roman"/>
        </w:rPr>
      </w:pPr>
      <w:r>
        <w:rPr>
          <w:rFonts w:ascii="Times New Roman" w:cs="Times New Roman"/>
        </w:rPr>
        <w:t>作业区向当地镇、县、市级政府及其职能部门报告事故时，采用先电话</w:t>
      </w:r>
      <w:r>
        <w:rPr>
          <w:rFonts w:hint="eastAsia" w:ascii="Times New Roman" w:cs="Times New Roman"/>
          <w:lang w:eastAsia="zh-CN"/>
        </w:rPr>
        <w:t>告知</w:t>
      </w:r>
      <w:r>
        <w:rPr>
          <w:rFonts w:ascii="Times New Roman" w:cs="Times New Roman"/>
        </w:rPr>
        <w:t>，后附书面报告。</w:t>
      </w:r>
    </w:p>
    <w:p>
      <w:pPr>
        <w:pStyle w:val="6"/>
        <w:ind w:firstLine="480"/>
        <w:rPr>
          <w:rFonts w:ascii="Times New Roman" w:cs="Times New Roman"/>
        </w:rPr>
      </w:pPr>
      <w:r>
        <w:rPr>
          <w:rFonts w:ascii="Times New Roman" w:cs="Times New Roman"/>
        </w:rPr>
        <w:t>作业区向村社报告事故时，采用电话或口头报告形式。</w:t>
      </w:r>
    </w:p>
    <w:p>
      <w:pPr>
        <w:pStyle w:val="6"/>
        <w:ind w:firstLine="480"/>
        <w:rPr>
          <w:rFonts w:ascii="Times New Roman" w:cs="Times New Roman"/>
        </w:rPr>
      </w:pPr>
      <w:r>
        <w:rPr>
          <w:rFonts w:ascii="Times New Roman" w:cs="Times New Roman"/>
        </w:rPr>
        <w:t>②报警方式，作业区确认事故后，对社会公众报警的方式为：电告当地市、区、镇人民政府和所属村社。</w:t>
      </w:r>
    </w:p>
    <w:p>
      <w:pPr>
        <w:pStyle w:val="6"/>
        <w:ind w:firstLine="480"/>
        <w:rPr>
          <w:rFonts w:ascii="Times New Roman" w:cs="Times New Roman"/>
        </w:rPr>
      </w:pPr>
      <w:r>
        <w:rPr>
          <w:rFonts w:ascii="Times New Roman" w:cs="Times New Roman"/>
        </w:rPr>
        <w:t>电告110、119。</w:t>
      </w:r>
    </w:p>
    <w:p>
      <w:pPr>
        <w:pStyle w:val="6"/>
        <w:ind w:firstLine="480"/>
        <w:rPr>
          <w:rFonts w:ascii="Times New Roman" w:cs="Times New Roman"/>
        </w:rPr>
      </w:pPr>
      <w:r>
        <w:rPr>
          <w:rFonts w:ascii="Times New Roman" w:cs="Times New Roman"/>
        </w:rPr>
        <w:t>电告社会团体或企事业单位。</w:t>
      </w:r>
    </w:p>
    <w:p>
      <w:pPr>
        <w:pStyle w:val="6"/>
        <w:ind w:firstLine="480"/>
        <w:rPr>
          <w:rFonts w:ascii="Times New Roman" w:cs="Times New Roman"/>
        </w:rPr>
      </w:pPr>
      <w:r>
        <w:rPr>
          <w:rFonts w:ascii="Times New Roman" w:cs="Times New Roman"/>
        </w:rPr>
        <w:t>用高音喇叭通知社会居民或采用口信，一传十，十传百的方式。借助天然气救险车的扩音设备，巡回</w:t>
      </w:r>
      <w:r>
        <w:rPr>
          <w:rFonts w:hint="eastAsia" w:ascii="Times New Roman" w:cs="Times New Roman"/>
          <w:lang w:eastAsia="zh-CN"/>
        </w:rPr>
        <w:t>告知</w:t>
      </w:r>
      <w:r>
        <w:rPr>
          <w:rFonts w:ascii="Times New Roman" w:cs="Times New Roman"/>
        </w:rPr>
        <w:t>。</w:t>
      </w:r>
    </w:p>
    <w:p>
      <w:pPr>
        <w:pStyle w:val="114"/>
        <w:ind w:firstLine="482"/>
        <w:rPr>
          <w:b/>
          <w:bCs/>
        </w:rPr>
      </w:pPr>
      <w:bookmarkStart w:id="560" w:name="_Toc12288766"/>
      <w:r>
        <w:rPr>
          <w:b/>
          <w:bCs/>
        </w:rPr>
        <w:t>2、应急响应</w:t>
      </w:r>
    </w:p>
    <w:p>
      <w:pPr>
        <w:pStyle w:val="6"/>
        <w:ind w:firstLine="480"/>
        <w:rPr>
          <w:rFonts w:ascii="Times New Roman" w:cs="Times New Roman"/>
        </w:rPr>
      </w:pPr>
      <w:r>
        <w:rPr>
          <w:rFonts w:ascii="Times New Roman" w:cs="Times New Roman"/>
        </w:rPr>
        <w:t>（1）险情发生后，应急指挥启动应急预案；</w:t>
      </w:r>
    </w:p>
    <w:p>
      <w:pPr>
        <w:pStyle w:val="6"/>
        <w:ind w:firstLine="480"/>
        <w:rPr>
          <w:rFonts w:ascii="Times New Roman" w:cs="Times New Roman"/>
        </w:rPr>
      </w:pPr>
      <w:r>
        <w:rPr>
          <w:rFonts w:ascii="Times New Roman" w:cs="Times New Roman"/>
        </w:rPr>
        <w:t>（2）应急小组立即形成，由应急指挥组组长统一发布应急指挥命令；</w:t>
      </w:r>
    </w:p>
    <w:p>
      <w:pPr>
        <w:pStyle w:val="6"/>
        <w:ind w:firstLine="480"/>
        <w:rPr>
          <w:rFonts w:ascii="Times New Roman" w:cs="Times New Roman"/>
        </w:rPr>
      </w:pPr>
      <w:r>
        <w:rPr>
          <w:rFonts w:ascii="Times New Roman" w:cs="Times New Roman"/>
        </w:rPr>
        <w:t>（3）生产抢修组负责现场流程的切换，协调、配合抢险单位实施应急抢险工作，以及在应急情况下现场人员的疏散（考虑该工程管道据居民房屋近的特点，还应组织附近居民的疏散）；</w:t>
      </w:r>
    </w:p>
    <w:p>
      <w:pPr>
        <w:pStyle w:val="6"/>
        <w:ind w:firstLine="480"/>
        <w:rPr>
          <w:rFonts w:ascii="Times New Roman" w:cs="Times New Roman"/>
        </w:rPr>
      </w:pPr>
      <w:r>
        <w:rPr>
          <w:rFonts w:ascii="Times New Roman" w:cs="Times New Roman"/>
        </w:rPr>
        <w:t>（4）安全监护组负责现场可燃气体的检测，安全警戒线的设置，并配合相关单位实施应急救援；</w:t>
      </w:r>
    </w:p>
    <w:p>
      <w:pPr>
        <w:pStyle w:val="6"/>
        <w:ind w:firstLine="480"/>
        <w:rPr>
          <w:rFonts w:ascii="Times New Roman" w:cs="Times New Roman"/>
        </w:rPr>
      </w:pPr>
      <w:r>
        <w:rPr>
          <w:rFonts w:ascii="Times New Roman" w:cs="Times New Roman"/>
        </w:rPr>
        <w:t>（5）通讯联络组负责建立抢险单位、救援单位及地方政府有关部门的联络；</w:t>
      </w:r>
    </w:p>
    <w:p>
      <w:pPr>
        <w:pStyle w:val="6"/>
        <w:ind w:firstLine="480"/>
        <w:rPr>
          <w:rFonts w:ascii="Times New Roman" w:cs="Times New Roman"/>
        </w:rPr>
      </w:pPr>
      <w:r>
        <w:rPr>
          <w:rFonts w:ascii="Times New Roman" w:cs="Times New Roman"/>
        </w:rPr>
        <w:t>（6）后勤保障组负责抢险物资组织，后勤、车辆的保障。</w:t>
      </w:r>
    </w:p>
    <w:p>
      <w:pPr>
        <w:pStyle w:val="6"/>
        <w:ind w:firstLine="480"/>
        <w:rPr>
          <w:rFonts w:ascii="Times New Roman" w:cs="Times New Roman"/>
        </w:rPr>
      </w:pPr>
      <w:r>
        <w:rPr>
          <w:rFonts w:ascii="Times New Roman" w:cs="Times New Roman"/>
        </w:rPr>
        <w:t>（7）站场发生异常情况（大面积泄漏、火灾、爆炸）</w:t>
      </w:r>
    </w:p>
    <w:p>
      <w:pPr>
        <w:pStyle w:val="6"/>
        <w:ind w:firstLine="480"/>
        <w:rPr>
          <w:rFonts w:ascii="Times New Roman" w:cs="Times New Roman"/>
        </w:rPr>
      </w:pPr>
      <w:r>
        <w:rPr>
          <w:rFonts w:ascii="Times New Roman" w:cs="Times New Roman"/>
        </w:rPr>
        <w:t>（8）站场值班人员在站控室按下装置ESD按钮，实行全站ESD紧急关断，生产系统闭式放空，同时即向应急指挥汇报起火部位、情况；</w:t>
      </w:r>
    </w:p>
    <w:p>
      <w:pPr>
        <w:pStyle w:val="6"/>
        <w:ind w:firstLine="480"/>
        <w:rPr>
          <w:rFonts w:ascii="Times New Roman" w:cs="Times New Roman"/>
        </w:rPr>
      </w:pPr>
      <w:r>
        <w:rPr>
          <w:rFonts w:ascii="Times New Roman" w:cs="Times New Roman"/>
        </w:rPr>
        <w:t>（9）应急指挥下令启动事故应急预案，在控制室向现场下达应急指令；</w:t>
      </w:r>
    </w:p>
    <w:p>
      <w:pPr>
        <w:pStyle w:val="6"/>
        <w:ind w:firstLine="480"/>
        <w:rPr>
          <w:rFonts w:ascii="Times New Roman" w:cs="Times New Roman"/>
        </w:rPr>
      </w:pPr>
      <w:r>
        <w:rPr>
          <w:rFonts w:ascii="Times New Roman" w:cs="Times New Roman"/>
        </w:rPr>
        <w:t>（10）通讯联络组迅速打电话报警，向中原油田普光分公司、中国石油化工股份有限公司汇报现场情况，并联系抢险单位实施紧急抢险工作，同时向有关地方政府机构通报情况，请求救援；</w:t>
      </w:r>
    </w:p>
    <w:p>
      <w:pPr>
        <w:pStyle w:val="6"/>
        <w:ind w:firstLine="480"/>
        <w:rPr>
          <w:rFonts w:ascii="Times New Roman" w:cs="Times New Roman"/>
        </w:rPr>
      </w:pPr>
      <w:r>
        <w:rPr>
          <w:rFonts w:ascii="Times New Roman" w:cs="Times New Roman"/>
        </w:rPr>
        <w:t>（11）生产抢修组人员立即切断生产现场电源，并对现场流程切断情况进行确认；</w:t>
      </w:r>
    </w:p>
    <w:p>
      <w:pPr>
        <w:pStyle w:val="6"/>
        <w:ind w:firstLine="480"/>
        <w:rPr>
          <w:rFonts w:ascii="Times New Roman" w:cs="Times New Roman"/>
        </w:rPr>
      </w:pPr>
      <w:r>
        <w:rPr>
          <w:rFonts w:ascii="Times New Roman" w:cs="Times New Roman"/>
        </w:rPr>
        <w:t>（12）如现场存在火情，现场抢修组使用固定式消防系统和移动式灭火器进行灭火；</w:t>
      </w:r>
    </w:p>
    <w:p>
      <w:pPr>
        <w:pStyle w:val="6"/>
        <w:ind w:firstLine="480"/>
        <w:rPr>
          <w:rFonts w:ascii="Times New Roman" w:cs="Times New Roman"/>
        </w:rPr>
      </w:pPr>
      <w:r>
        <w:rPr>
          <w:rFonts w:ascii="Times New Roman" w:cs="Times New Roman"/>
        </w:rPr>
        <w:t>（13）安全监护组负责在现场进行检测，在影响距离外设置警戒线，进行安全监护；</w:t>
      </w:r>
    </w:p>
    <w:p>
      <w:pPr>
        <w:pStyle w:val="6"/>
        <w:ind w:firstLine="480"/>
        <w:rPr>
          <w:rFonts w:ascii="Times New Roman" w:cs="Times New Roman"/>
        </w:rPr>
      </w:pPr>
      <w:r>
        <w:rPr>
          <w:rFonts w:ascii="Times New Roman" w:cs="Times New Roman"/>
        </w:rPr>
        <w:t>（14）抢修现场严禁使用非防爆用具，车辆一律熄火站外停放，确因工作需要进入现场的车辆必须</w:t>
      </w:r>
      <w:r>
        <w:rPr>
          <w:rFonts w:hint="eastAsia" w:ascii="Times New Roman" w:cs="Times New Roman"/>
          <w:lang w:eastAsia="zh-CN"/>
        </w:rPr>
        <w:t>佩戴</w:t>
      </w:r>
      <w:r>
        <w:rPr>
          <w:rFonts w:ascii="Times New Roman" w:cs="Times New Roman"/>
        </w:rPr>
        <w:t>防火帽，经安全监护组确认安全后，按指定路线行进；</w:t>
      </w:r>
    </w:p>
    <w:p>
      <w:pPr>
        <w:pStyle w:val="6"/>
        <w:ind w:firstLine="480"/>
        <w:rPr>
          <w:rFonts w:ascii="Times New Roman" w:cs="Times New Roman"/>
        </w:rPr>
      </w:pPr>
      <w:r>
        <w:rPr>
          <w:rFonts w:ascii="Times New Roman" w:cs="Times New Roman"/>
        </w:rPr>
        <w:t>（15）后勤保障组负责组织相关的应急抢险物资；</w:t>
      </w:r>
    </w:p>
    <w:p>
      <w:pPr>
        <w:pStyle w:val="6"/>
        <w:ind w:firstLine="480"/>
        <w:rPr>
          <w:rFonts w:ascii="Times New Roman" w:cs="Times New Roman"/>
        </w:rPr>
      </w:pPr>
      <w:r>
        <w:rPr>
          <w:rFonts w:ascii="Times New Roman" w:cs="Times New Roman"/>
        </w:rPr>
        <w:t>（16）若现场情况无法控制，现场抢修组组织现场人员进行撤离。</w:t>
      </w:r>
    </w:p>
    <w:p>
      <w:pPr>
        <w:pStyle w:val="6"/>
        <w:ind w:firstLine="482"/>
        <w:rPr>
          <w:rFonts w:ascii="Times New Roman" w:cs="Times New Roman"/>
          <w:b/>
          <w:bCs/>
        </w:rPr>
      </w:pPr>
      <w:r>
        <w:rPr>
          <w:rFonts w:ascii="Times New Roman" w:cs="Times New Roman"/>
          <w:b/>
          <w:bCs/>
        </w:rPr>
        <w:t>3、事故应急处理措施</w:t>
      </w:r>
      <w:bookmarkEnd w:id="560"/>
    </w:p>
    <w:p>
      <w:pPr>
        <w:pStyle w:val="114"/>
        <w:ind w:firstLine="482"/>
        <w:rPr>
          <w:b/>
        </w:rPr>
      </w:pPr>
      <w:r>
        <w:rPr>
          <w:b/>
        </w:rPr>
        <w:t>3.1井喷及井喷失控应急措施</w:t>
      </w:r>
    </w:p>
    <w:p>
      <w:pPr>
        <w:pStyle w:val="114"/>
        <w:ind w:firstLine="480"/>
      </w:pPr>
      <w:r>
        <w:t>井喷时立即启动应急预案，根据事态发展变化情况，事故现场抢险指挥部根据应急领导小组的指令并充分考虑专家和有关意见的基础上，依法采取紧急措施，并注意做好以下工作：</w:t>
      </w:r>
    </w:p>
    <w:p>
      <w:pPr>
        <w:pStyle w:val="114"/>
        <w:ind w:firstLine="480"/>
      </w:pPr>
      <w:r>
        <w:t>1）井喷失控后严防着火和爆炸。应立即停钻机、机房柴油机，切断井架、钻台、机泵房等处全部照明灯和用电设备的电源，熄灭一切火源，需要时打开专用探照灯，并组织警戒。</w:t>
      </w:r>
    </w:p>
    <w:p>
      <w:pPr>
        <w:pStyle w:val="114"/>
        <w:ind w:firstLine="480"/>
      </w:pPr>
      <w:r>
        <w:t>2）立即向当地政府报告，协助当地政府作好井口周围较近居民的疏散工作，同时通报普光分公司应急指挥中心办公室。</w:t>
      </w:r>
    </w:p>
    <w:p>
      <w:pPr>
        <w:pStyle w:val="114"/>
        <w:ind w:firstLine="480"/>
      </w:pPr>
      <w:r>
        <w:t>3）设置观察点，定时取样，监测（大气/空气）中的（天然气、H</w:t>
      </w:r>
      <w:r>
        <w:rPr>
          <w:vertAlign w:val="subscript"/>
        </w:rPr>
        <w:t>2</w:t>
      </w:r>
      <w:r>
        <w:t>S和二氧化碳含量/有毒有害气体（如H</w:t>
      </w:r>
      <w:r>
        <w:rPr>
          <w:vertAlign w:val="subscript"/>
        </w:rPr>
        <w:t>2</w:t>
      </w:r>
      <w:r>
        <w:t>S）的浓度），划分安全范围。</w:t>
      </w:r>
    </w:p>
    <w:p>
      <w:pPr>
        <w:pStyle w:val="114"/>
        <w:ind w:firstLine="480"/>
      </w:pPr>
      <w:r>
        <w:t>4）迅速成立现场抢险领导小组，根据失控状况制定抢险方案，统一指挥、组织和协调抢险工作。抢险方案</w:t>
      </w:r>
      <w:r>
        <w:rPr>
          <w:rFonts w:hint="eastAsia"/>
          <w:lang w:eastAsia="zh-CN"/>
        </w:rPr>
        <w:t>制定</w:t>
      </w:r>
      <w:r>
        <w:t>及实施，要把环境保护同时考虑，同时实施，防止出现次生环境事故。</w:t>
      </w:r>
    </w:p>
    <w:p>
      <w:pPr>
        <w:pStyle w:val="114"/>
        <w:ind w:firstLine="480"/>
      </w:pPr>
      <w:r>
        <w:t>5）继续监测污染区有毒有害气体的浓度，根据监测情况决定是否扩大撤离范围。</w:t>
      </w:r>
    </w:p>
    <w:p>
      <w:pPr>
        <w:pStyle w:val="114"/>
        <w:ind w:firstLine="480"/>
      </w:pPr>
      <w:r>
        <w:t>6）当空气中H</w:t>
      </w:r>
      <w:r>
        <w:rPr>
          <w:vertAlign w:val="subscript"/>
        </w:rPr>
        <w:t>2</w:t>
      </w:r>
      <w:r>
        <w:t>S浓度达到15mg/m</w:t>
      </w:r>
      <w:r>
        <w:rPr>
          <w:vertAlign w:val="superscript"/>
        </w:rPr>
        <w:t>3</w:t>
      </w:r>
      <w:r>
        <w:t>（10ppm）的阈限值时，现场应：</w:t>
      </w:r>
    </w:p>
    <w:p>
      <w:pPr>
        <w:pStyle w:val="114"/>
        <w:ind w:firstLine="480"/>
      </w:pPr>
      <w:r>
        <w:t>（1）安排专人观察风向、风速确定危险区。</w:t>
      </w:r>
    </w:p>
    <w:p>
      <w:pPr>
        <w:pStyle w:val="114"/>
        <w:ind w:firstLine="480"/>
      </w:pPr>
      <w:r>
        <w:t>（2）切断危险区不防爆电器的电源。</w:t>
      </w:r>
    </w:p>
    <w:p>
      <w:pPr>
        <w:pStyle w:val="114"/>
        <w:ind w:firstLine="480"/>
      </w:pPr>
      <w:r>
        <w:t>（3）安排专人佩戴正压式空气呼吸器到危险区检测泄漏点。</w:t>
      </w:r>
    </w:p>
    <w:p>
      <w:pPr>
        <w:pStyle w:val="114"/>
        <w:ind w:firstLine="480"/>
      </w:pPr>
      <w:r>
        <w:t>（4）非作业人员撤入安全区。</w:t>
      </w:r>
    </w:p>
    <w:p>
      <w:pPr>
        <w:pStyle w:val="114"/>
        <w:ind w:firstLine="480"/>
      </w:pPr>
      <w:r>
        <w:t>（5）继续监测空气中H</w:t>
      </w:r>
      <w:r>
        <w:rPr>
          <w:vertAlign w:val="subscript"/>
        </w:rPr>
        <w:t>2</w:t>
      </w:r>
      <w:r>
        <w:t>S浓度（进行监测）。</w:t>
      </w:r>
    </w:p>
    <w:p>
      <w:pPr>
        <w:pStyle w:val="114"/>
        <w:ind w:firstLine="480"/>
      </w:pPr>
      <w:r>
        <w:t>7）当空气中H</w:t>
      </w:r>
      <w:r>
        <w:rPr>
          <w:vertAlign w:val="subscript"/>
        </w:rPr>
        <w:t>2</w:t>
      </w:r>
      <w:r>
        <w:t>S浓度达到30mg/m</w:t>
      </w:r>
      <w:r>
        <w:rPr>
          <w:vertAlign w:val="superscript"/>
        </w:rPr>
        <w:t>3</w:t>
      </w:r>
      <w:r>
        <w:t>（20ppm）的安全临界浓度时，应：</w:t>
      </w:r>
    </w:p>
    <w:p>
      <w:pPr>
        <w:pStyle w:val="114"/>
        <w:ind w:firstLine="480"/>
      </w:pPr>
      <w:r>
        <w:t>（1）启动报警音响，戴上正压式空气呼吸器。</w:t>
      </w:r>
    </w:p>
    <w:p>
      <w:pPr>
        <w:pStyle w:val="114"/>
        <w:ind w:firstLine="480"/>
      </w:pPr>
      <w:r>
        <w:t>（2）实施井控程序，控制H</w:t>
      </w:r>
      <w:r>
        <w:rPr>
          <w:vertAlign w:val="subscript"/>
        </w:rPr>
        <w:t>2</w:t>
      </w:r>
      <w:r>
        <w:t>S泄漏源。</w:t>
      </w:r>
    </w:p>
    <w:p>
      <w:pPr>
        <w:pStyle w:val="114"/>
        <w:ind w:firstLine="480"/>
      </w:pPr>
      <w:r>
        <w:t>（3）切断作业现场所有可能的着火源。</w:t>
      </w:r>
    </w:p>
    <w:p>
      <w:pPr>
        <w:pStyle w:val="114"/>
        <w:ind w:firstLine="480"/>
      </w:pPr>
      <w:r>
        <w:t>（4）立即向上级部门报告。</w:t>
      </w:r>
    </w:p>
    <w:p>
      <w:pPr>
        <w:pStyle w:val="114"/>
        <w:ind w:firstLine="480"/>
      </w:pPr>
      <w:r>
        <w:t>（5）指派专人在井口100m、500m和1000m处进行H</w:t>
      </w:r>
      <w:r>
        <w:rPr>
          <w:vertAlign w:val="subscript"/>
        </w:rPr>
        <w:t>2</w:t>
      </w:r>
      <w:r>
        <w:t>S监测，需要时监测点可适当加密。</w:t>
      </w:r>
    </w:p>
    <w:p>
      <w:pPr>
        <w:pStyle w:val="114"/>
        <w:ind w:firstLine="480"/>
      </w:pPr>
      <w:r>
        <w:t>（6）设立警戒区，任何人未经许可不得入内。</w:t>
      </w:r>
    </w:p>
    <w:p>
      <w:pPr>
        <w:pStyle w:val="114"/>
        <w:ind w:firstLine="480"/>
      </w:pPr>
      <w:r>
        <w:t>（7）撤离现场的非应急处置人员。</w:t>
      </w:r>
    </w:p>
    <w:p>
      <w:pPr>
        <w:pStyle w:val="114"/>
        <w:ind w:firstLine="480"/>
      </w:pPr>
      <w:r>
        <w:t>（8）清点现场人员。</w:t>
      </w:r>
    </w:p>
    <w:p>
      <w:pPr>
        <w:pStyle w:val="114"/>
        <w:ind w:firstLine="480"/>
      </w:pPr>
      <w:r>
        <w:t>（9）通知救援机构，救护人员进入戒备状态。</w:t>
      </w:r>
    </w:p>
    <w:p>
      <w:pPr>
        <w:pStyle w:val="114"/>
        <w:ind w:firstLine="480"/>
      </w:pPr>
      <w:r>
        <w:t>8）当井喷失控时，应采取如下措施：</w:t>
      </w:r>
    </w:p>
    <w:p>
      <w:pPr>
        <w:pStyle w:val="114"/>
        <w:ind w:firstLine="480"/>
      </w:pPr>
      <w:r>
        <w:t>（1）立即通知并协助当地政府疏散井口</w:t>
      </w:r>
      <w:r>
        <w:rPr>
          <w:rFonts w:hint="eastAsia"/>
        </w:rPr>
        <w:t>周边</w:t>
      </w:r>
      <w:r>
        <w:t>的居民和其他人员，根据监测情况，考虑风向、地形、人口密度、受污染程度等情况及时作出风险和危害程度评估，决定是否扩大撤离范围。</w:t>
      </w:r>
    </w:p>
    <w:p>
      <w:pPr>
        <w:pStyle w:val="114"/>
        <w:ind w:firstLine="480"/>
      </w:pPr>
      <w:r>
        <w:t>（2）关停生产设施。</w:t>
      </w:r>
    </w:p>
    <w:p>
      <w:pPr>
        <w:pStyle w:val="114"/>
        <w:ind w:firstLine="480"/>
      </w:pPr>
      <w:r>
        <w:t>（3）请求援助。</w:t>
      </w:r>
    </w:p>
    <w:p>
      <w:pPr>
        <w:pStyle w:val="114"/>
        <w:ind w:firstLine="480"/>
      </w:pPr>
      <w:r>
        <w:t>9）当井喷失控、空气中H</w:t>
      </w:r>
      <w:r>
        <w:rPr>
          <w:vertAlign w:val="subscript"/>
        </w:rPr>
        <w:t>2</w:t>
      </w:r>
      <w:r>
        <w:t>S浓度达到150mg/m</w:t>
      </w:r>
      <w:r>
        <w:rPr>
          <w:vertAlign w:val="superscript"/>
        </w:rPr>
        <w:t>3</w:t>
      </w:r>
      <w:r>
        <w:t>（100ppm）的危险临界浓度时，现场作业人员应按预案立即撤离井场，通知当地政府和其他有关机构，同时向上级主管部门报告。</w:t>
      </w:r>
    </w:p>
    <w:p>
      <w:pPr>
        <w:pStyle w:val="114"/>
        <w:ind w:firstLine="480"/>
      </w:pPr>
      <w:r>
        <w:t>10）在确保人员安全前提下，将氧气瓶、油罐等易燃易爆物品撤离危险区。</w:t>
      </w:r>
    </w:p>
    <w:p>
      <w:pPr>
        <w:pStyle w:val="114"/>
        <w:ind w:firstLine="480"/>
      </w:pPr>
      <w:r>
        <w:t>11）点火条件及点火时间</w:t>
      </w:r>
    </w:p>
    <w:p>
      <w:pPr>
        <w:pStyle w:val="114"/>
        <w:ind w:firstLine="480"/>
      </w:pPr>
      <w:r>
        <w:t>（1）含硫化氢天然气井出现井喷事故征兆时，现场作业人员应立即进行点火准备工作；</w:t>
      </w:r>
    </w:p>
    <w:p>
      <w:pPr>
        <w:pStyle w:val="114"/>
        <w:ind w:firstLine="480"/>
      </w:pPr>
      <w:r>
        <w:t>（2）井喷失控后，在15min内完成井口点火燃烧泄漏天然气，将H</w:t>
      </w:r>
      <w:r>
        <w:rPr>
          <w:vertAlign w:val="subscript"/>
        </w:rPr>
        <w:t>2</w:t>
      </w:r>
      <w:r>
        <w:t>S燃烧转化为SO</w:t>
      </w:r>
      <w:r>
        <w:rPr>
          <w:vertAlign w:val="subscript"/>
        </w:rPr>
        <w:t>2</w:t>
      </w:r>
      <w:r>
        <w:t>和H</w:t>
      </w:r>
      <w:r>
        <w:rPr>
          <w:vertAlign w:val="subscript"/>
        </w:rPr>
        <w:t>2</w:t>
      </w:r>
      <w:r>
        <w:t>O。</w:t>
      </w:r>
    </w:p>
    <w:p>
      <w:pPr>
        <w:pStyle w:val="114"/>
        <w:ind w:firstLine="480"/>
      </w:pPr>
      <w:r>
        <w:t>12）含硫气井井口点火程序：</w:t>
      </w:r>
    </w:p>
    <w:p>
      <w:pPr>
        <w:pStyle w:val="114"/>
        <w:ind w:firstLine="480"/>
      </w:pPr>
      <w:r>
        <w:t>（1）含硫气井井喷或井喷失控事故发生后，应防止着火和爆炸。</w:t>
      </w:r>
    </w:p>
    <w:p>
      <w:pPr>
        <w:pStyle w:val="114"/>
        <w:ind w:firstLine="480"/>
      </w:pPr>
      <w:r>
        <w:t>（2）发生井喷后应采取措施控制井喷，若井口压力有可能超过允许关井压力，需点火放喷时，井场应先点火后放喷。</w:t>
      </w:r>
    </w:p>
    <w:p>
      <w:pPr>
        <w:pStyle w:val="114"/>
        <w:ind w:firstLine="480"/>
      </w:pPr>
      <w:r>
        <w:t>（3）井喷失控后，在人员的生命受到巨大威胁、人员撤离无望、失控井无希望得到控制的情况下，作为最后手段应按抢险作业程序对油气井井口实施点火。</w:t>
      </w:r>
    </w:p>
    <w:p>
      <w:pPr>
        <w:pStyle w:val="114"/>
        <w:ind w:firstLine="480"/>
      </w:pPr>
      <w:r>
        <w:t>（4）气井点火程序的相关内容应在应急预案中予以明确。油气井点火决策人宜由建设单位代表或其授权的现场负责人来担任，并列入应急预案中。</w:t>
      </w:r>
    </w:p>
    <w:p>
      <w:pPr>
        <w:pStyle w:val="114"/>
        <w:ind w:firstLine="480"/>
      </w:pPr>
      <w:r>
        <w:t>（5）井场应配备自动点火装置，并备用手动点火器具。点火人员佩戴防护器具，在上风方向，尽量远离井口使用移动点火器具点火；其他人员集中到上风方向的安全区。</w:t>
      </w:r>
    </w:p>
    <w:p>
      <w:pPr>
        <w:pStyle w:val="114"/>
        <w:ind w:firstLine="480"/>
      </w:pPr>
      <w:r>
        <w:t>（6）点火后应对下风方向尤其是井场生活区、周围集中居住区、医院、学校等人员聚集场所的二氧化硫的浓度进行监测。</w:t>
      </w:r>
    </w:p>
    <w:p>
      <w:pPr>
        <w:pStyle w:val="114"/>
        <w:ind w:firstLine="480"/>
      </w:pPr>
      <w:r>
        <w:t>13）井喷发生后，及时安排消防车、救护车、医护人员和技安人员到现场。</w:t>
      </w:r>
    </w:p>
    <w:p>
      <w:pPr>
        <w:pStyle w:val="114"/>
        <w:ind w:firstLine="480"/>
      </w:pPr>
      <w:r>
        <w:t>14）在邻近江河、湖泊、环境敏感区以及交通干线等地区，要在进行处置井喷事故的同时，充分考虑到事故和次生事故对环境可能造成的威胁，要严密制定并采取对环境敏感区和易受损资源的保护措施，防止事态扩大和引发次生灾害。</w:t>
      </w:r>
    </w:p>
    <w:p>
      <w:pPr>
        <w:pStyle w:val="114"/>
        <w:ind w:firstLine="480"/>
      </w:pPr>
      <w:r>
        <w:t>15）在事故处理结束后，确认作业现场及其周边环境安全的情况下，和地方政府商定撤离群众的返回时间。</w:t>
      </w:r>
    </w:p>
    <w:p>
      <w:pPr>
        <w:pStyle w:val="114"/>
        <w:ind w:firstLine="482"/>
        <w:rPr>
          <w:b/>
        </w:rPr>
      </w:pPr>
      <w:r>
        <w:rPr>
          <w:b/>
        </w:rPr>
        <w:t>3.2井喷H</w:t>
      </w:r>
      <w:r>
        <w:rPr>
          <w:b/>
          <w:vertAlign w:val="subscript"/>
        </w:rPr>
        <w:t>2</w:t>
      </w:r>
      <w:r>
        <w:rPr>
          <w:b/>
        </w:rPr>
        <w:t>S中毒应急救援预案</w:t>
      </w:r>
    </w:p>
    <w:p>
      <w:pPr>
        <w:pStyle w:val="553"/>
        <w:spacing w:line="360" w:lineRule="auto"/>
        <w:ind w:firstLine="480"/>
        <w:rPr>
          <w:rFonts w:ascii="Times New Roman" w:hAnsi="Times New Roman"/>
        </w:rPr>
      </w:pPr>
      <w:r>
        <w:rPr>
          <w:rFonts w:ascii="Times New Roman" w:hAnsi="Times New Roman"/>
        </w:rPr>
        <w:t>1）在钻井作业中严格执行《硫化氢环境钻井场所作业安全规范》（SY/T 5087-2017）的规定；在可能存在H</w:t>
      </w:r>
      <w:r>
        <w:rPr>
          <w:rFonts w:ascii="Times New Roman" w:hAnsi="Times New Roman"/>
          <w:vertAlign w:val="subscript"/>
        </w:rPr>
        <w:t>2</w:t>
      </w:r>
      <w:r>
        <w:rPr>
          <w:rFonts w:ascii="Times New Roman" w:hAnsi="Times New Roman"/>
        </w:rPr>
        <w:t>S的场所设立H</w:t>
      </w:r>
      <w:r>
        <w:rPr>
          <w:rFonts w:ascii="Times New Roman" w:hAnsi="Times New Roman"/>
          <w:vertAlign w:val="subscript"/>
        </w:rPr>
        <w:t>2</w:t>
      </w:r>
      <w:r>
        <w:rPr>
          <w:rFonts w:ascii="Times New Roman" w:hAnsi="Times New Roman"/>
        </w:rPr>
        <w:t>S中毒的警示标志和风向标，作业人员尽可能在上风口位置作业；为避免H</w:t>
      </w:r>
      <w:r>
        <w:rPr>
          <w:rFonts w:ascii="Times New Roman" w:hAnsi="Times New Roman"/>
          <w:vertAlign w:val="subscript"/>
        </w:rPr>
        <w:t>2</w:t>
      </w:r>
      <w:r>
        <w:rPr>
          <w:rFonts w:ascii="Times New Roman" w:hAnsi="Times New Roman"/>
        </w:rPr>
        <w:t>S外溢造成人、牲畜伤亡，在即将钻入含H</w:t>
      </w:r>
      <w:r>
        <w:rPr>
          <w:rFonts w:ascii="Times New Roman" w:hAnsi="Times New Roman"/>
          <w:vertAlign w:val="subscript"/>
        </w:rPr>
        <w:t>2</w:t>
      </w:r>
      <w:r>
        <w:rPr>
          <w:rFonts w:ascii="Times New Roman" w:hAnsi="Times New Roman"/>
        </w:rPr>
        <w:t>S地层时，实施现场警戒施工当天应提前疏散村民及牲口，疏散的范围由应急领导小组确定，提前24小时通知当地村社干部。</w:t>
      </w:r>
    </w:p>
    <w:p>
      <w:pPr>
        <w:pStyle w:val="553"/>
        <w:spacing w:line="360" w:lineRule="auto"/>
        <w:ind w:firstLine="480"/>
        <w:rPr>
          <w:rFonts w:ascii="Times New Roman" w:hAnsi="Times New Roman"/>
        </w:rPr>
      </w:pPr>
      <w:r>
        <w:rPr>
          <w:rFonts w:ascii="Times New Roman" w:hAnsi="Times New Roman"/>
        </w:rPr>
        <w:t>2）在井场按规定配置H</w:t>
      </w:r>
      <w:r>
        <w:rPr>
          <w:rFonts w:ascii="Times New Roman" w:hAnsi="Times New Roman"/>
          <w:vertAlign w:val="subscript"/>
        </w:rPr>
        <w:t>2</w:t>
      </w:r>
      <w:r>
        <w:rPr>
          <w:rFonts w:ascii="Times New Roman" w:hAnsi="Times New Roman"/>
        </w:rPr>
        <w:t>S检测仪，并保证其灵敏可靠；在可能产生H</w:t>
      </w:r>
      <w:r>
        <w:rPr>
          <w:rFonts w:ascii="Times New Roman" w:hAnsi="Times New Roman"/>
          <w:vertAlign w:val="subscript"/>
        </w:rPr>
        <w:t>2</w:t>
      </w:r>
      <w:r>
        <w:rPr>
          <w:rFonts w:ascii="Times New Roman" w:hAnsi="Times New Roman"/>
        </w:rPr>
        <w:t>S的场所工作的员工每人配备防毒面具和空（氧）气呼吸器，并保证有效使用；</w:t>
      </w:r>
    </w:p>
    <w:p>
      <w:pPr>
        <w:pStyle w:val="553"/>
        <w:spacing w:line="360" w:lineRule="auto"/>
        <w:ind w:firstLine="480"/>
        <w:rPr>
          <w:rFonts w:ascii="Times New Roman" w:hAnsi="Times New Roman"/>
        </w:rPr>
      </w:pPr>
      <w:r>
        <w:rPr>
          <w:rFonts w:ascii="Times New Roman" w:hAnsi="Times New Roman"/>
        </w:rPr>
        <w:t>3）向周围居民进行井喷和防H</w:t>
      </w:r>
      <w:r>
        <w:rPr>
          <w:rFonts w:ascii="Times New Roman" w:hAnsi="Times New Roman"/>
          <w:vertAlign w:val="subscript"/>
        </w:rPr>
        <w:t>2</w:t>
      </w:r>
      <w:r>
        <w:rPr>
          <w:rFonts w:ascii="Times New Roman" w:hAnsi="Times New Roman"/>
        </w:rPr>
        <w:t>S中毒的防护知识的宣传，并调查了解附近居民的分布情况，掌握其最有效的联系方式；</w:t>
      </w:r>
    </w:p>
    <w:p>
      <w:pPr>
        <w:pStyle w:val="553"/>
        <w:spacing w:line="360" w:lineRule="auto"/>
        <w:ind w:firstLine="480"/>
        <w:rPr>
          <w:rFonts w:ascii="Times New Roman" w:hAnsi="Times New Roman"/>
        </w:rPr>
      </w:pPr>
      <w:r>
        <w:rPr>
          <w:rFonts w:ascii="Times New Roman" w:hAnsi="Times New Roman"/>
        </w:rPr>
        <w:t>4）听到H</w:t>
      </w:r>
      <w:r>
        <w:rPr>
          <w:rFonts w:ascii="Times New Roman" w:hAnsi="Times New Roman"/>
          <w:vertAlign w:val="subscript"/>
        </w:rPr>
        <w:t>2</w:t>
      </w:r>
      <w:r>
        <w:rPr>
          <w:rFonts w:ascii="Times New Roman" w:hAnsi="Times New Roman"/>
        </w:rPr>
        <w:t>S报警信号后立即戴上防毒面具或氧气呼吸器；</w:t>
      </w:r>
    </w:p>
    <w:p>
      <w:pPr>
        <w:pStyle w:val="553"/>
        <w:spacing w:line="360" w:lineRule="auto"/>
        <w:ind w:firstLine="480"/>
        <w:rPr>
          <w:rFonts w:ascii="Times New Roman" w:hAnsi="Times New Roman"/>
        </w:rPr>
      </w:pPr>
      <w:r>
        <w:rPr>
          <w:rFonts w:ascii="Times New Roman" w:hAnsi="Times New Roman"/>
        </w:rPr>
        <w:t>5）发出警报信号（鸣喇叭），全队处于应急状态；当班人员按“四七”动作控制井口；非当班人员立即赶到井场作救护准备；卫生员准备担架、氧气袋和急救箱到井场；HSE监督（安全员）检查空气呼吸器并搬出备用；</w:t>
      </w:r>
    </w:p>
    <w:p>
      <w:pPr>
        <w:pStyle w:val="553"/>
        <w:spacing w:line="360" w:lineRule="auto"/>
        <w:ind w:firstLine="480"/>
        <w:rPr>
          <w:rFonts w:ascii="Times New Roman" w:hAnsi="Times New Roman"/>
        </w:rPr>
      </w:pPr>
      <w:r>
        <w:rPr>
          <w:rFonts w:ascii="Times New Roman" w:hAnsi="Times New Roman"/>
        </w:rPr>
        <w:t>6）救护人员戴好空气呼吸器到岗位检查井口是否控制住，有无人员中毒；若发现有人员中毒立即抬至空气流通处施行现场急救，同时与挂钩医院联系；</w:t>
      </w:r>
    </w:p>
    <w:p>
      <w:pPr>
        <w:pStyle w:val="114"/>
        <w:ind w:firstLine="480"/>
      </w:pPr>
      <w:r>
        <w:t>7）由队长和钻井技术员组织处理消除井内的H</w:t>
      </w:r>
      <w:r>
        <w:rPr>
          <w:vertAlign w:val="subscript"/>
        </w:rPr>
        <w:t>2</w:t>
      </w:r>
      <w:r>
        <w:t>S外逸工作。</w:t>
      </w:r>
    </w:p>
    <w:p>
      <w:pPr>
        <w:pStyle w:val="114"/>
        <w:ind w:firstLine="482"/>
        <w:rPr>
          <w:b/>
        </w:rPr>
      </w:pPr>
      <w:r>
        <w:rPr>
          <w:b/>
        </w:rPr>
        <w:t>3.3井喷应急疏散预案</w:t>
      </w:r>
    </w:p>
    <w:p>
      <w:pPr>
        <w:pStyle w:val="114"/>
        <w:ind w:firstLine="480"/>
      </w:pPr>
      <w:r>
        <w:t>当井喷失控时，应立即通知并协助当地政府疏散井口</w:t>
      </w:r>
      <w:r>
        <w:rPr>
          <w:rFonts w:hint="eastAsia"/>
        </w:rPr>
        <w:t>周边</w:t>
      </w:r>
      <w:r>
        <w:t>的居民和其他人员，根据监测情况，考虑风向、地形、人口密度、受污染程度等情况及时作出风险和危害程度评估，决定是否扩大撤离范围。</w:t>
      </w:r>
      <w:r>
        <w:rPr>
          <w:rFonts w:hint="eastAsia"/>
        </w:rPr>
        <w:t>经现场调查，P108集气站及周边已建立疏散路线及通道，本项目不新建疏散路线及通道。</w:t>
      </w:r>
    </w:p>
    <w:p>
      <w:pPr>
        <w:pStyle w:val="114"/>
        <w:ind w:firstLine="482"/>
      </w:pPr>
      <w:r>
        <w:rPr>
          <w:b/>
          <w:bCs/>
        </w:rPr>
        <w:t>1</w:t>
      </w:r>
      <w:r>
        <w:rPr>
          <w:rFonts w:hint="eastAsia"/>
          <w:b/>
          <w:bCs/>
        </w:rPr>
        <w:t>、</w:t>
      </w:r>
      <w:r>
        <w:rPr>
          <w:b/>
          <w:bCs/>
        </w:rPr>
        <w:t>疏散方向原则</w:t>
      </w:r>
      <w:r>
        <w:rPr>
          <w:rFonts w:hint="eastAsia"/>
          <w:b/>
          <w:bCs/>
        </w:rPr>
        <w:t>：</w:t>
      </w:r>
      <w:r>
        <w:rPr>
          <w:b/>
          <w:bCs/>
        </w:rPr>
        <w:t>总体原则为远离泄漏源。</w:t>
      </w:r>
    </w:p>
    <w:p>
      <w:pPr>
        <w:pStyle w:val="114"/>
        <w:ind w:firstLine="480"/>
      </w:pPr>
      <w:r>
        <w:t>（1）首先向远离泄漏源的方向撤离；</w:t>
      </w:r>
    </w:p>
    <w:p>
      <w:pPr>
        <w:pStyle w:val="114"/>
        <w:ind w:firstLine="480"/>
      </w:pPr>
      <w:r>
        <w:t>（2）其次向上风向或侧风向撤离；</w:t>
      </w:r>
    </w:p>
    <w:p>
      <w:pPr>
        <w:pStyle w:val="114"/>
        <w:ind w:firstLine="480"/>
      </w:pPr>
      <w:r>
        <w:t>（3）向高处撤离；</w:t>
      </w:r>
    </w:p>
    <w:p>
      <w:pPr>
        <w:pStyle w:val="114"/>
        <w:ind w:firstLine="480"/>
      </w:pPr>
      <w:r>
        <w:t>（4）向交通方便处撤离。</w:t>
      </w:r>
    </w:p>
    <w:p>
      <w:pPr>
        <w:pStyle w:val="114"/>
        <w:ind w:firstLine="482"/>
        <w:rPr>
          <w:b/>
          <w:bCs/>
        </w:rPr>
      </w:pPr>
      <w:r>
        <w:rPr>
          <w:b/>
          <w:bCs/>
        </w:rPr>
        <w:t>2</w:t>
      </w:r>
      <w:r>
        <w:rPr>
          <w:rFonts w:hint="eastAsia"/>
          <w:b/>
          <w:bCs/>
        </w:rPr>
        <w:t>、</w:t>
      </w:r>
      <w:r>
        <w:rPr>
          <w:b/>
          <w:bCs/>
        </w:rPr>
        <w:t>考虑高程情况下应急撤离路径选择原则</w:t>
      </w:r>
    </w:p>
    <w:p>
      <w:pPr>
        <w:pStyle w:val="114"/>
        <w:ind w:firstLine="480"/>
      </w:pPr>
      <w:r>
        <w:t>（1）首先确保应急撤离路径为远离泄漏源的路径；</w:t>
      </w:r>
    </w:p>
    <w:p>
      <w:pPr>
        <w:pStyle w:val="114"/>
        <w:ind w:firstLine="480"/>
      </w:pPr>
      <w:r>
        <w:t>（2）选择与泄漏源同一高程或高程增加的应急撤离路径；</w:t>
      </w:r>
    </w:p>
    <w:p>
      <w:pPr>
        <w:pStyle w:val="114"/>
        <w:ind w:firstLine="480"/>
      </w:pPr>
      <w:r>
        <w:t>（3）选择交通方便的主要应急撤离路径。</w:t>
      </w:r>
    </w:p>
    <w:p>
      <w:pPr>
        <w:pStyle w:val="114"/>
        <w:ind w:firstLine="480"/>
      </w:pPr>
      <w:r>
        <w:t>3</w:t>
      </w:r>
      <w:r>
        <w:rPr>
          <w:rFonts w:hint="eastAsia"/>
        </w:rPr>
        <w:t>、</w:t>
      </w:r>
      <w:r>
        <w:t>井场人员撤离方式方法</w:t>
      </w:r>
    </w:p>
    <w:p>
      <w:pPr>
        <w:pStyle w:val="114"/>
        <w:ind w:firstLine="480"/>
      </w:pPr>
      <w:r>
        <w:t>指挥小组根据对事故发展的预测，撤离警报发出后，调度组将井场两处出口通道开至最大，指挥井场内人员及车辆离开，并禁止再次进入，同时指挥外部救援车辆有序进入场区进行事故抢险。</w:t>
      </w:r>
    </w:p>
    <w:p>
      <w:pPr>
        <w:pStyle w:val="114"/>
        <w:ind w:firstLine="480"/>
      </w:pPr>
      <w:r>
        <w:t>岗位操作人员，根据当班调度的指令，采取控制事故扩大的措施进行紧急工艺处理（含紧急停车）。非事故岗位人员按照要求关闭电器设备后，并根据当时风向撤离井场前后两集合点。并根据毒物扩散情况，适时撤离到安全地点。撤离时全体人员带上应急自救器材，发现有人受伤时，应先判断环境的安全性再进行救助。人员清点，由后勤保障组长或安全环保组组长指定人员统计应到人数，并及时报告领导小组，以便及时了解是否存在员工滞留在事故区。全体人员在指定的安全点停留，直到警报解除。</w:t>
      </w:r>
    </w:p>
    <w:p>
      <w:pPr>
        <w:pStyle w:val="114"/>
        <w:ind w:firstLine="480"/>
      </w:pPr>
      <w:r>
        <w:t>4</w:t>
      </w:r>
      <w:r>
        <w:rPr>
          <w:rFonts w:hint="eastAsia"/>
        </w:rPr>
        <w:t>、</w:t>
      </w:r>
      <w:r>
        <w:t>周边区域的单位、村居人员的疏散方式方法</w:t>
      </w:r>
    </w:p>
    <w:p>
      <w:pPr>
        <w:pStyle w:val="114"/>
        <w:ind w:firstLine="480"/>
      </w:pPr>
      <w:r>
        <w:t>指挥小组根据事故发展趋势的预测，通过警报器向周边单位、村居民发出疏散警报，警报一声表示井场发生严重事故；连续警报不停，告知周边单位、村居人员要进行疏散。对外联系组立即通过电话报告普光镇、宣汉县政府等行政主管部门，申请联动应急救援，同时通知周边单位，村居负责人。周边单位、村居负责人立即组织本单位、村居人员，根据自己所处的位置，徒步有序地疏散到普光镇设定的安全集合点。疏散人员要带上湿毛巾衣物，当闻到臭鸡蛋气味时将口鼻捂住。疏散时HSE管理组、后勤保障组、对外关系组应全力配合普光镇政府的疏散工作。</w:t>
      </w:r>
    </w:p>
    <w:p>
      <w:pPr>
        <w:pStyle w:val="114"/>
        <w:ind w:firstLine="480"/>
      </w:pPr>
      <w:r>
        <w:t>周边居民安全须知和硫化氢泄漏逃生方向示意图见</w:t>
      </w:r>
      <w:r>
        <w:fldChar w:fldCharType="begin"/>
      </w:r>
      <w:r>
        <w:instrText xml:space="preserve"> REF _Ref473017866 \h  \* MERGEFORMAT </w:instrText>
      </w:r>
      <w:r>
        <w:fldChar w:fldCharType="separate"/>
      </w:r>
      <w:r>
        <w:t>图7.1</w:t>
      </w:r>
      <w:r>
        <w:rPr>
          <w:rFonts w:hint="eastAsia"/>
        </w:rPr>
        <w:t>1</w:t>
      </w:r>
      <w:r>
        <w:noBreakHyphen/>
      </w:r>
      <w:r>
        <w:t>6</w:t>
      </w:r>
      <w:r>
        <w:fldChar w:fldCharType="end"/>
      </w:r>
      <w:r>
        <w:t>，静风条件下硫化氢泄漏逃生方向示意图见</w:t>
      </w:r>
      <w:r>
        <w:fldChar w:fldCharType="begin"/>
      </w:r>
      <w:r>
        <w:instrText xml:space="preserve"> REF _Ref473017890 \h  \* MERGEFORMAT </w:instrText>
      </w:r>
      <w:r>
        <w:fldChar w:fldCharType="separate"/>
      </w:r>
      <w:r>
        <w:t>图7.1</w:t>
      </w:r>
      <w:r>
        <w:rPr>
          <w:rFonts w:hint="eastAsia"/>
        </w:rPr>
        <w:t>1</w:t>
      </w:r>
      <w:r>
        <w:noBreakHyphen/>
      </w:r>
      <w:r>
        <w:t>7</w:t>
      </w:r>
      <w:r>
        <w:fldChar w:fldCharType="end"/>
      </w:r>
      <w:r>
        <w:t>。</w:t>
      </w:r>
    </w:p>
    <w:p>
      <w:pPr>
        <w:pStyle w:val="114"/>
        <w:ind w:firstLine="480"/>
      </w:pPr>
    </w:p>
    <w:p>
      <w:pPr>
        <w:pStyle w:val="114"/>
        <w:ind w:firstLine="480"/>
      </w:pPr>
    </w:p>
    <w:p>
      <w:pPr>
        <w:pStyle w:val="114"/>
        <w:ind w:firstLine="480"/>
      </w:pPr>
    </w:p>
    <w:p>
      <w:pPr>
        <w:pStyle w:val="114"/>
        <w:ind w:firstLine="480"/>
      </w:pPr>
    </w:p>
    <w:p>
      <w:pPr>
        <w:pStyle w:val="114"/>
        <w:ind w:firstLine="480"/>
      </w:pPr>
    </w:p>
    <w:p>
      <w:pPr>
        <w:pStyle w:val="114"/>
        <w:ind w:firstLine="480"/>
      </w:pPr>
    </w:p>
    <w:p>
      <w:pPr>
        <w:pStyle w:val="114"/>
        <w:ind w:firstLine="480"/>
      </w:pPr>
    </w:p>
    <w:p>
      <w:pPr>
        <w:pStyle w:val="114"/>
        <w:ind w:firstLine="480"/>
      </w:pPr>
    </w:p>
    <w:p>
      <w:pPr>
        <w:pStyle w:val="114"/>
        <w:ind w:firstLine="480"/>
      </w:pPr>
    </w:p>
    <w:p>
      <w:pPr>
        <w:pStyle w:val="114"/>
        <w:ind w:firstLine="480"/>
      </w:pPr>
    </w:p>
    <w:p>
      <w:pPr>
        <w:pStyle w:val="114"/>
        <w:ind w:firstLine="480"/>
      </w:pPr>
    </w:p>
    <w:p>
      <w:pPr>
        <w:pStyle w:val="114"/>
        <w:ind w:firstLine="480"/>
      </w:pPr>
    </w:p>
    <w:p>
      <w:pPr>
        <w:pStyle w:val="114"/>
        <w:ind w:firstLine="480"/>
      </w:pPr>
    </w:p>
    <w:p>
      <w:pPr>
        <w:pStyle w:val="114"/>
        <w:ind w:firstLine="480"/>
      </w:pPr>
    </w:p>
    <w:p>
      <w:pPr>
        <w:pStyle w:val="114"/>
        <w:ind w:firstLine="480"/>
      </w:pPr>
    </w:p>
    <w:p>
      <w:pPr>
        <w:pStyle w:val="114"/>
        <w:ind w:firstLine="480"/>
        <w:sectPr>
          <w:headerReference r:id="rId34" w:type="first"/>
          <w:footerReference r:id="rId37" w:type="first"/>
          <w:headerReference r:id="rId32" w:type="default"/>
          <w:footerReference r:id="rId35" w:type="default"/>
          <w:headerReference r:id="rId33" w:type="even"/>
          <w:footerReference r:id="rId36" w:type="even"/>
          <w:pgSz w:w="11906" w:h="16838"/>
          <w:pgMar w:top="1417" w:right="1417" w:bottom="1417" w:left="1701" w:header="851" w:footer="992" w:gutter="0"/>
          <w:pgBorders>
            <w:top w:val="none" w:sz="0" w:space="0"/>
            <w:left w:val="none" w:sz="0" w:space="0"/>
            <w:bottom w:val="none" w:sz="0" w:space="0"/>
            <w:right w:val="none" w:sz="0" w:space="0"/>
          </w:pgBorders>
          <w:cols w:space="425" w:num="1"/>
          <w:docGrid w:type="lines" w:linePitch="312" w:charSpace="0"/>
        </w:sectPr>
      </w:pPr>
    </w:p>
    <w:p>
      <w:pPr>
        <w:pStyle w:val="114"/>
        <w:ind w:firstLine="0" w:firstLineChars="0"/>
        <w:jc w:val="center"/>
      </w:pPr>
      <w:r>
        <w:drawing>
          <wp:inline distT="0" distB="0" distL="0" distR="0">
            <wp:extent cx="8170545" cy="4275455"/>
            <wp:effectExtent l="19050" t="0" r="1905" b="0"/>
            <wp:docPr id="30" name="图片 30" descr="C:\Users\HUANG\Documents\WeChat Files\wxid_f0asumrra2c221\FileStorage\Temp\166072962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HUANG\Documents\WeChat Files\wxid_f0asumrra2c221\FileStorage\Temp\1660729620852.jpg"/>
                    <pic:cNvPicPr>
                      <a:picLocks noChangeAspect="1" noChangeArrowheads="1"/>
                    </pic:cNvPicPr>
                  </pic:nvPicPr>
                  <pic:blipFill>
                    <a:blip r:embed="rId87" cstate="print"/>
                    <a:srcRect/>
                    <a:stretch>
                      <a:fillRect/>
                    </a:stretch>
                  </pic:blipFill>
                  <pic:spPr>
                    <a:xfrm>
                      <a:off x="0" y="0"/>
                      <a:ext cx="8170545" cy="4275455"/>
                    </a:xfrm>
                    <a:prstGeom prst="rect">
                      <a:avLst/>
                    </a:prstGeom>
                    <a:noFill/>
                    <a:ln w="9525">
                      <a:noFill/>
                      <a:miter lim="800000"/>
                      <a:headEnd/>
                      <a:tailEnd/>
                    </a:ln>
                  </pic:spPr>
                </pic:pic>
              </a:graphicData>
            </a:graphic>
          </wp:inline>
        </w:drawing>
      </w:r>
    </w:p>
    <w:p>
      <w:pPr>
        <w:pStyle w:val="114"/>
        <w:ind w:firstLine="480"/>
        <w:jc w:val="center"/>
      </w:pPr>
      <w:bookmarkStart w:id="561" w:name="_Ref473017866"/>
      <w:r>
        <w:t>图</w:t>
      </w:r>
      <w:r>
        <w:fldChar w:fldCharType="begin"/>
      </w:r>
      <w:r>
        <w:instrText xml:space="preserve"> STYLEREF 1 \s </w:instrText>
      </w:r>
      <w:r>
        <w:fldChar w:fldCharType="separate"/>
      </w:r>
      <w:r>
        <w:t>7</w:t>
      </w:r>
      <w:r>
        <w:fldChar w:fldCharType="end"/>
      </w:r>
      <w:r>
        <w:t>.1</w:t>
      </w:r>
      <w:r>
        <w:rPr>
          <w:rFonts w:hint="eastAsia"/>
        </w:rPr>
        <w:t>1</w:t>
      </w:r>
      <w:r>
        <w:noBreakHyphen/>
      </w:r>
      <w:bookmarkEnd w:id="561"/>
      <w:r>
        <w:t>6  周边居民安全须知和硫化氢泄漏逃生方向示意图</w:t>
      </w:r>
    </w:p>
    <w:p>
      <w:pPr>
        <w:pStyle w:val="114"/>
        <w:ind w:firstLine="480"/>
      </w:pPr>
    </w:p>
    <w:p>
      <w:pPr>
        <w:pStyle w:val="114"/>
        <w:ind w:firstLine="480"/>
      </w:pPr>
    </w:p>
    <w:p>
      <w:pPr>
        <w:pStyle w:val="114"/>
        <w:ind w:firstLine="0" w:firstLineChars="0"/>
        <w:jc w:val="center"/>
      </w:pPr>
      <w:r>
        <w:drawing>
          <wp:inline distT="0" distB="0" distL="0" distR="0">
            <wp:extent cx="6918960" cy="4800600"/>
            <wp:effectExtent l="19050" t="0" r="0" b="0"/>
            <wp:docPr id="25" name="图片 31" descr="C:\Users\HUANG\Documents\WeChat Files\wxid_f0asumrra2c221\FileStorage\Temp\166072965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1" descr="C:\Users\HUANG\Documents\WeChat Files\wxid_f0asumrra2c221\FileStorage\Temp\1660729652504.jpg"/>
                    <pic:cNvPicPr>
                      <a:picLocks noChangeAspect="1" noChangeArrowheads="1"/>
                    </pic:cNvPicPr>
                  </pic:nvPicPr>
                  <pic:blipFill>
                    <a:blip r:embed="rId88" cstate="print"/>
                    <a:srcRect/>
                    <a:stretch>
                      <a:fillRect/>
                    </a:stretch>
                  </pic:blipFill>
                  <pic:spPr>
                    <a:xfrm>
                      <a:off x="0" y="0"/>
                      <a:ext cx="6927562" cy="4806917"/>
                    </a:xfrm>
                    <a:prstGeom prst="rect">
                      <a:avLst/>
                    </a:prstGeom>
                    <a:noFill/>
                    <a:ln w="9525">
                      <a:noFill/>
                      <a:miter lim="800000"/>
                      <a:headEnd/>
                      <a:tailEnd/>
                    </a:ln>
                  </pic:spPr>
                </pic:pic>
              </a:graphicData>
            </a:graphic>
          </wp:inline>
        </w:drawing>
      </w:r>
    </w:p>
    <w:p>
      <w:pPr>
        <w:pStyle w:val="114"/>
        <w:ind w:firstLine="0" w:firstLineChars="0"/>
        <w:jc w:val="center"/>
      </w:pPr>
      <w:bookmarkStart w:id="562" w:name="_Ref473017890"/>
      <w:r>
        <w:t>图</w:t>
      </w:r>
      <w:r>
        <w:fldChar w:fldCharType="begin"/>
      </w:r>
      <w:r>
        <w:instrText xml:space="preserve"> STYLEREF 1 \s </w:instrText>
      </w:r>
      <w:r>
        <w:fldChar w:fldCharType="separate"/>
      </w:r>
      <w:r>
        <w:t>7</w:t>
      </w:r>
      <w:r>
        <w:fldChar w:fldCharType="end"/>
      </w:r>
      <w:r>
        <w:t>.1</w:t>
      </w:r>
      <w:r>
        <w:rPr>
          <w:rFonts w:hint="eastAsia"/>
        </w:rPr>
        <w:t>1</w:t>
      </w:r>
      <w:r>
        <w:noBreakHyphen/>
      </w:r>
      <w:bookmarkEnd w:id="562"/>
      <w:r>
        <w:t>7   静风条件下硫化氢泄漏逃生方向示意图</w:t>
      </w:r>
    </w:p>
    <w:p>
      <w:pPr>
        <w:pStyle w:val="114"/>
        <w:ind w:firstLine="480"/>
        <w:sectPr>
          <w:pgSz w:w="16838" w:h="11906" w:orient="landscape"/>
          <w:pgMar w:top="1797" w:right="1440" w:bottom="1797" w:left="1440" w:header="851" w:footer="992" w:gutter="0"/>
          <w:pgBorders>
            <w:top w:val="none" w:sz="0" w:space="0"/>
            <w:left w:val="none" w:sz="0" w:space="0"/>
            <w:bottom w:val="none" w:sz="0" w:space="0"/>
            <w:right w:val="none" w:sz="0" w:space="0"/>
          </w:pgBorders>
          <w:cols w:space="425" w:num="1"/>
          <w:docGrid w:type="linesAndChars" w:linePitch="312" w:charSpace="0"/>
        </w:sectPr>
      </w:pPr>
    </w:p>
    <w:p>
      <w:pPr>
        <w:pStyle w:val="114"/>
        <w:ind w:firstLine="482"/>
        <w:rPr>
          <w:b/>
        </w:rPr>
      </w:pPr>
      <w:r>
        <w:rPr>
          <w:b/>
        </w:rPr>
        <w:t>3.4天然气管道风险事故应急措施</w:t>
      </w:r>
    </w:p>
    <w:p>
      <w:pPr>
        <w:pStyle w:val="114"/>
        <w:ind w:firstLine="480"/>
      </w:pPr>
      <w:r>
        <w:t>当项目依托天然气管道发生泄漏时，项目总负责人或其指定人员应向当地政府报告，协助当地政府立即疏散管线周围的居民，并立即组织对项目周边社会关注点的撤离。</w:t>
      </w:r>
    </w:p>
    <w:p>
      <w:pPr>
        <w:pStyle w:val="114"/>
        <w:ind w:firstLine="480"/>
      </w:pPr>
      <w:r>
        <w:t>（1）天然气管道风险事故应急措施</w:t>
      </w:r>
    </w:p>
    <w:p>
      <w:pPr>
        <w:pStyle w:val="114"/>
        <w:ind w:firstLine="480"/>
      </w:pPr>
      <w:r>
        <w:t>①依托天然气管道发生泄漏时：应关闭其进出口阀，截断站场气源，尽量控制、减少天然气的泄漏量。</w:t>
      </w:r>
    </w:p>
    <w:p>
      <w:pPr>
        <w:pStyle w:val="114"/>
        <w:ind w:firstLine="480"/>
      </w:pPr>
      <w:r>
        <w:t>②依托天然气管线、设备的焊缝、甩头、仪表短接因腐蚀而引起的泄漏：应将手动打开装置前天然气压力调节阀、联锁阀，将天然气排放至放空系统；同时向调度室汇报，通知停止供气。</w:t>
      </w:r>
    </w:p>
    <w:p>
      <w:pPr>
        <w:pStyle w:val="114"/>
        <w:ind w:firstLine="480"/>
      </w:pPr>
      <w:r>
        <w:t>③发生中毒事故：立即报告并调度就近救护车立即进入生产区，同时抢救人员戴好防毒面具，把中毒者救出现场，移至通风良好处，对呼吸及心跳停止者，立刻做人工呼吸，直至恢复正常或救护车到来。</w:t>
      </w:r>
    </w:p>
    <w:p>
      <w:pPr>
        <w:pStyle w:val="114"/>
        <w:ind w:firstLine="480"/>
      </w:pPr>
      <w:r>
        <w:t>④根据事故可能危害的范围设置警戒，人员疏散路线朝泄漏处上风向，逃生时要注意风向，要沿上风（逆风）方向</w:t>
      </w:r>
      <w:r>
        <w:rPr>
          <w:kern w:val="24"/>
        </w:rPr>
        <w:t>（东北侧）</w:t>
      </w:r>
      <w:r>
        <w:t>逃生，若所处位置沿上风方向</w:t>
      </w:r>
      <w:r>
        <w:rPr>
          <w:kern w:val="24"/>
        </w:rPr>
        <w:t>（东北侧）</w:t>
      </w:r>
      <w:r>
        <w:t>逃生时的近道要经过甲烷严重污染区，则横向绕道避开管线吹来的下风，到达非污染区后，再沿上风方向</w:t>
      </w:r>
      <w:r>
        <w:rPr>
          <w:kern w:val="24"/>
        </w:rPr>
        <w:t>（东北侧）</w:t>
      </w:r>
      <w:r>
        <w:t>逃生（离管线越远越好）；若所处位置在管线下风方向的较远处，且风速较小，不能沿上风方向</w:t>
      </w:r>
      <w:r>
        <w:rPr>
          <w:kern w:val="24"/>
        </w:rPr>
        <w:t>（东北侧）</w:t>
      </w:r>
      <w:r>
        <w:t>逃生而又无横向逃生小道时，可以最快捷的方式顺风逃生到有横向绕道的地方，再横向逃生避开污染区后向上风方向及沿着地面上的高点方向逃生。</w:t>
      </w:r>
    </w:p>
    <w:p>
      <w:pPr>
        <w:pStyle w:val="114"/>
        <w:ind w:firstLine="480"/>
      </w:pPr>
      <w:r>
        <w:t>⑤通知消防队，监护泄漏区域，防止引起火灾、爆炸。</w:t>
      </w:r>
    </w:p>
    <w:p>
      <w:pPr>
        <w:pStyle w:val="114"/>
        <w:ind w:firstLine="480"/>
      </w:pPr>
      <w:r>
        <w:t>⑥时间就是生命，紧急逃生时，不要因收贵重物品等事宜延误时间，并且要轻装撤离逃生。</w:t>
      </w:r>
    </w:p>
    <w:p>
      <w:pPr>
        <w:pStyle w:val="114"/>
        <w:ind w:firstLine="480"/>
      </w:pPr>
      <w:r>
        <w:t>⑦当所处位置离管线很远时，则只要偏离风向往离管线越来越远的方向逃生即可。</w:t>
      </w:r>
    </w:p>
    <w:p>
      <w:pPr>
        <w:pStyle w:val="114"/>
        <w:ind w:firstLine="480"/>
      </w:pPr>
      <w:r>
        <w:t>（2）硫化氢泄漏应急疏散预案</w:t>
      </w:r>
    </w:p>
    <w:p>
      <w:pPr>
        <w:pStyle w:val="114"/>
        <w:ind w:firstLine="480"/>
      </w:pPr>
      <w:r>
        <w:t>当硫化氢气体泄漏时，应立即通知并协助当地政府疏站场</w:t>
      </w:r>
      <w:r>
        <w:rPr>
          <w:rFonts w:hint="eastAsia"/>
        </w:rPr>
        <w:t>周边的</w:t>
      </w:r>
      <w:r>
        <w:t>居民，应急疏散线路图见附图8，根据监测情况，考虑风向、地形、人口密度、受污染程度等情况及时作出风险和危害程度评估，决定是否扩大撤离范围。</w:t>
      </w:r>
    </w:p>
    <w:p>
      <w:pPr>
        <w:pStyle w:val="114"/>
        <w:ind w:firstLine="480"/>
        <w:rPr>
          <w:kern w:val="24"/>
        </w:rPr>
      </w:pPr>
      <w:r>
        <w:rPr>
          <w:kern w:val="24"/>
        </w:rPr>
        <w:t>为了在紧急突发事件情况下防止H</w:t>
      </w:r>
      <w:r>
        <w:rPr>
          <w:kern w:val="24"/>
          <w:vertAlign w:val="subscript"/>
        </w:rPr>
        <w:t>2</w:t>
      </w:r>
      <w:r>
        <w:rPr>
          <w:kern w:val="24"/>
        </w:rPr>
        <w:t>S中毒，保障每位员工和站场周围群众的生命安全，应按上风方向和高处撤离，每位接到撤离通知的员工和群众应按下列程序撤离：</w:t>
      </w:r>
    </w:p>
    <w:p>
      <w:pPr>
        <w:pStyle w:val="114"/>
        <w:ind w:firstLine="480"/>
        <w:rPr>
          <w:kern w:val="24"/>
        </w:rPr>
      </w:pPr>
      <w:r>
        <w:rPr>
          <w:kern w:val="24"/>
        </w:rPr>
        <w:t>①群众由当地政府组织撤离，</w:t>
      </w:r>
      <w:r>
        <w:rPr>
          <w:kern w:val="24"/>
          <w:lang w:val="en-GB"/>
        </w:rPr>
        <w:t>集气站员工由集气站</w:t>
      </w:r>
      <w:r>
        <w:rPr>
          <w:kern w:val="24"/>
        </w:rPr>
        <w:t>组织撤离；</w:t>
      </w:r>
    </w:p>
    <w:p>
      <w:pPr>
        <w:pStyle w:val="114"/>
        <w:ind w:firstLine="480"/>
      </w:pPr>
      <w:r>
        <w:rPr>
          <w:kern w:val="24"/>
        </w:rPr>
        <w:t>②</w:t>
      </w:r>
      <w:r>
        <w:rPr>
          <w:kern w:val="24"/>
          <w:lang w:val="en-GB"/>
        </w:rPr>
        <w:t>集气站</w:t>
      </w:r>
      <w:r>
        <w:rPr>
          <w:kern w:val="24"/>
        </w:rPr>
        <w:t>操作人员戴上正压式空气呼吸器撤离逃生；</w:t>
      </w:r>
    </w:p>
    <w:p>
      <w:pPr>
        <w:pStyle w:val="114"/>
        <w:ind w:firstLine="480"/>
        <w:rPr>
          <w:kern w:val="24"/>
        </w:rPr>
      </w:pPr>
      <w:r>
        <w:rPr>
          <w:kern w:val="24"/>
        </w:rPr>
        <w:t>③无正压式空气呼吸器者用干净湿毛巾捂住口鼻逃生；</w:t>
      </w:r>
    </w:p>
    <w:p>
      <w:pPr>
        <w:pStyle w:val="114"/>
        <w:ind w:firstLine="480"/>
        <w:rPr>
          <w:kern w:val="24"/>
        </w:rPr>
      </w:pPr>
      <w:r>
        <w:rPr>
          <w:kern w:val="24"/>
        </w:rPr>
        <w:t>④逃生时要注意风向，一要沿上风（逆风）方向（东北侧）逃生，二要沿着地面上的高处跑，不要接触低凹处的水源。若所处位置沿上风方向（东北侧）逃生时的近道要经过H</w:t>
      </w:r>
      <w:r>
        <w:rPr>
          <w:kern w:val="24"/>
          <w:vertAlign w:val="subscript"/>
        </w:rPr>
        <w:t>2</w:t>
      </w:r>
      <w:r>
        <w:rPr>
          <w:kern w:val="24"/>
        </w:rPr>
        <w:t>S严重污染区，则横向绕道避</w:t>
      </w:r>
      <w:r>
        <w:rPr>
          <w:rFonts w:hint="eastAsia"/>
          <w:kern w:val="24"/>
          <w:lang w:eastAsia="zh-CN"/>
        </w:rPr>
        <w:t>开展</w:t>
      </w:r>
      <w:r>
        <w:rPr>
          <w:kern w:val="24"/>
        </w:rPr>
        <w:t>场吹来的下风，到达非污染区后，再沿上风方向（东北侧）逃生（离站场越远越好）；若所处位置在站场下风方向的较远处，且风速较小，不能沿上风方向（东北侧）逃生而又无横向逃生小道时，可以最快捷的方式顺风逃生到有横向绕道的地方，再横向逃生避开污染区后向上风方向及沿着地面上的高点方向逃生。</w:t>
      </w:r>
    </w:p>
    <w:p>
      <w:pPr>
        <w:pStyle w:val="114"/>
        <w:ind w:firstLine="480"/>
        <w:rPr>
          <w:kern w:val="24"/>
        </w:rPr>
      </w:pPr>
      <w:r>
        <w:rPr>
          <w:kern w:val="24"/>
        </w:rPr>
        <w:t>⑤时间就是生命，紧急逃生时，不要因收贵重物品等事宜延误时间，并且要轻装撤离逃生。</w:t>
      </w:r>
    </w:p>
    <w:p>
      <w:pPr>
        <w:pStyle w:val="114"/>
        <w:ind w:firstLine="480"/>
        <w:rPr>
          <w:kern w:val="24"/>
        </w:rPr>
      </w:pPr>
      <w:r>
        <w:rPr>
          <w:kern w:val="24"/>
        </w:rPr>
        <w:t>⑥当所处位置离站场很远时，则只要偏离风向往离站场越来越远的方向逃生即可。</w:t>
      </w:r>
    </w:p>
    <w:p>
      <w:pPr>
        <w:pStyle w:val="114"/>
        <w:ind w:firstLine="480"/>
      </w:pPr>
      <w:r>
        <w:t>（3）硫化氢中毒应急救援预案</w:t>
      </w:r>
    </w:p>
    <w:p>
      <w:pPr>
        <w:pStyle w:val="114"/>
        <w:ind w:firstLine="480"/>
        <w:rPr>
          <w:bCs/>
        </w:rPr>
      </w:pPr>
      <w:r>
        <w:rPr>
          <w:bCs/>
        </w:rPr>
        <w:t>①</w:t>
      </w:r>
      <w:r>
        <w:t>集气站内需设置硫化氢气体泄漏检测报警系统，对站场天然气泄漏进行检测及报警。硫化氢气体检测报警系统由现场探测器、控制器及配套报警喇叭等设备组成。工艺设备区及井口安装固定式硫化氢探测器，现场探测器的检测信号采用铠装控制电缆敷设至控制器，控制器接收到超标信号，传送至配套喇叭进行报警。RTU的数据上传至集气站控制室、脱硫净化厂中控室。硫化氢气体检测报警1级报警值10mg，2级报警值20mg，工作人员应根据报警值采取相应处理措施。同时在站内设置便携式硫化氢气体检测报警仪1套，对天然气泄漏进行定期巡检。</w:t>
      </w:r>
      <w:r>
        <w:rPr>
          <w:bCs/>
        </w:rPr>
        <w:t>在可能产生硫化氢的场所工作的员工每人配备防毒面具和空（氧）气呼吸器，并保证有效使用；</w:t>
      </w:r>
    </w:p>
    <w:p>
      <w:pPr>
        <w:pStyle w:val="114"/>
        <w:ind w:firstLine="480"/>
        <w:rPr>
          <w:bCs/>
        </w:rPr>
      </w:pPr>
      <w:r>
        <w:rPr>
          <w:bCs/>
        </w:rPr>
        <w:t>②向周围居民进行防硫化氢中毒的防护知识的宣传，并调查了解附近居民的分布情况，掌握其最有效的联系方式；</w:t>
      </w:r>
    </w:p>
    <w:p>
      <w:pPr>
        <w:pStyle w:val="114"/>
        <w:ind w:firstLine="480"/>
        <w:rPr>
          <w:bCs/>
        </w:rPr>
      </w:pPr>
      <w:r>
        <w:rPr>
          <w:bCs/>
        </w:rPr>
        <w:t>③听到硫化氢报警信号后立即戴上防毒面具或氧气呼吸器；</w:t>
      </w:r>
    </w:p>
    <w:p>
      <w:pPr>
        <w:pStyle w:val="114"/>
        <w:ind w:firstLine="480"/>
        <w:rPr>
          <w:bCs/>
        </w:rPr>
      </w:pPr>
      <w:r>
        <w:rPr>
          <w:bCs/>
        </w:rPr>
        <w:t>④发出警报信号（鸣喇叭），全队处于应急状态；工作人员需立即赶往现场，按“四七”动作控制井口至脱硫塔前区域；做好站场救护准备；卫生员准备担架、氧气袋和急救箱到站场；HSE监督（安全员）检查空气呼吸器并搬出备用；</w:t>
      </w:r>
    </w:p>
    <w:p>
      <w:pPr>
        <w:pStyle w:val="114"/>
        <w:ind w:firstLine="480"/>
        <w:rPr>
          <w:bCs/>
        </w:rPr>
      </w:pPr>
      <w:r>
        <w:rPr>
          <w:bCs/>
        </w:rPr>
        <w:t>⑤救护人员戴好空气呼吸器到岗位检查井口区域是否控制住，有无人员中毒；若发现有人员中毒立即抬至空气流通处施行现场急救，同时与挂钩医院联系；</w:t>
      </w:r>
    </w:p>
    <w:p>
      <w:pPr>
        <w:pStyle w:val="114"/>
        <w:ind w:firstLine="480"/>
        <w:rPr>
          <w:bCs/>
        </w:rPr>
      </w:pPr>
      <w:r>
        <w:rPr>
          <w:bCs/>
        </w:rPr>
        <w:t>⑥由技术员组织处理消除井内的H</w:t>
      </w:r>
      <w:r>
        <w:rPr>
          <w:bCs/>
          <w:vertAlign w:val="subscript"/>
        </w:rPr>
        <w:t>2</w:t>
      </w:r>
      <w:r>
        <w:rPr>
          <w:bCs/>
        </w:rPr>
        <w:t>S外逸工作。</w:t>
      </w:r>
    </w:p>
    <w:p>
      <w:pPr>
        <w:pStyle w:val="114"/>
        <w:ind w:firstLine="482"/>
        <w:rPr>
          <w:b/>
          <w:bCs/>
        </w:rPr>
      </w:pPr>
      <w:bookmarkStart w:id="563" w:name="_Toc12288767"/>
      <w:r>
        <w:rPr>
          <w:b/>
          <w:bCs/>
        </w:rPr>
        <w:t>4、应急监测</w:t>
      </w:r>
      <w:bookmarkEnd w:id="563"/>
    </w:p>
    <w:p>
      <w:pPr>
        <w:pStyle w:val="114"/>
        <w:ind w:firstLine="480"/>
      </w:pPr>
      <w:r>
        <w:t>应急监测的项目：非甲烷总烃、硫化氢、SO</w:t>
      </w:r>
      <w:r>
        <w:rPr>
          <w:vertAlign w:val="subscript"/>
        </w:rPr>
        <w:t>2</w:t>
      </w:r>
      <w:r>
        <w:t>。监测地点：出现事故地点</w:t>
      </w:r>
    </w:p>
    <w:p>
      <w:pPr>
        <w:pStyle w:val="114"/>
        <w:ind w:firstLine="480"/>
      </w:pPr>
      <w:r>
        <w:t>监测要求：主导风向结合敏感点进行布设。</w:t>
      </w:r>
    </w:p>
    <w:p>
      <w:pPr>
        <w:pStyle w:val="114"/>
        <w:ind w:firstLine="482"/>
        <w:rPr>
          <w:b/>
          <w:bCs/>
        </w:rPr>
      </w:pPr>
      <w:bookmarkStart w:id="564" w:name="_Toc12288768"/>
      <w:r>
        <w:rPr>
          <w:b/>
          <w:bCs/>
        </w:rPr>
        <w:t>5、事故后的恢复程序</w:t>
      </w:r>
      <w:bookmarkEnd w:id="564"/>
    </w:p>
    <w:p>
      <w:pPr>
        <w:pStyle w:val="114"/>
        <w:ind w:firstLine="480"/>
      </w:pPr>
      <w:r>
        <w:t>当恢复生产后，善后工作由现场人员负责具体落实，主要包括以下内容：</w:t>
      </w:r>
    </w:p>
    <w:p>
      <w:pPr>
        <w:pStyle w:val="114"/>
        <w:ind w:firstLine="480"/>
      </w:pPr>
      <w:r>
        <w:t>（1）对现场进行清理，撤除所有的机具设备。</w:t>
      </w:r>
    </w:p>
    <w:p>
      <w:pPr>
        <w:pStyle w:val="114"/>
        <w:ind w:firstLine="480"/>
      </w:pPr>
      <w:r>
        <w:t>（2）恢复地貌、植被；疏通河道、交通。</w:t>
      </w:r>
    </w:p>
    <w:p>
      <w:pPr>
        <w:pStyle w:val="114"/>
        <w:ind w:firstLine="480"/>
      </w:pPr>
      <w:r>
        <w:t>（3）根据事故破坏情况，进行评估，按照相关法律，进行赔偿。</w:t>
      </w:r>
    </w:p>
    <w:p>
      <w:pPr>
        <w:pStyle w:val="114"/>
        <w:ind w:firstLine="480"/>
      </w:pPr>
      <w:r>
        <w:t>（4）做好各项记录，进行归档整理。</w:t>
      </w:r>
    </w:p>
    <w:p>
      <w:pPr>
        <w:pStyle w:val="114"/>
        <w:ind w:firstLine="482"/>
        <w:rPr>
          <w:b/>
          <w:bCs/>
        </w:rPr>
      </w:pPr>
      <w:bookmarkStart w:id="565" w:name="_Toc12288769"/>
      <w:r>
        <w:rPr>
          <w:b/>
          <w:bCs/>
        </w:rPr>
        <w:t>6、应急培训与演练</w:t>
      </w:r>
      <w:bookmarkEnd w:id="565"/>
    </w:p>
    <w:p>
      <w:pPr>
        <w:pStyle w:val="114"/>
        <w:ind w:firstLine="480"/>
      </w:pPr>
      <w:r>
        <w:t>应急培训和演练是培养和提高各岗位操作人员以及其他人员的日常应急处理能力的重要手段。应急预案应明确规定以下内容：</w:t>
      </w:r>
    </w:p>
    <w:p>
      <w:pPr>
        <w:pStyle w:val="114"/>
        <w:ind w:firstLine="480"/>
      </w:pPr>
      <w:r>
        <w:t>（1）演练及考核计划</w:t>
      </w:r>
    </w:p>
    <w:p>
      <w:pPr>
        <w:pStyle w:val="114"/>
        <w:ind w:firstLine="480"/>
      </w:pPr>
      <w:r>
        <w:t>演练计划包括应急预案类型、演练时间、演练内容、参加人员、考核方式等要求。</w:t>
      </w:r>
    </w:p>
    <w:p>
      <w:pPr>
        <w:pStyle w:val="114"/>
        <w:ind w:firstLine="480"/>
      </w:pPr>
      <w:r>
        <w:t>（2）演练记录</w:t>
      </w:r>
    </w:p>
    <w:p>
      <w:pPr>
        <w:pStyle w:val="114"/>
        <w:ind w:firstLine="480"/>
      </w:pPr>
      <w:r>
        <w:t>演练记录包括应急预案类型、演练时间、演练人员名单、演练过程、考核结果、存在问题等项内容。演练记录存档备查。</w:t>
      </w:r>
    </w:p>
    <w:p>
      <w:pPr>
        <w:pStyle w:val="114"/>
        <w:ind w:firstLine="480"/>
      </w:pPr>
      <w:r>
        <w:t>（3）演练内容和形式</w:t>
      </w:r>
    </w:p>
    <w:p>
      <w:pPr>
        <w:pStyle w:val="114"/>
        <w:ind w:firstLine="480"/>
      </w:pPr>
      <w:r>
        <w:t>强化应急器材、医疗急救等方面的演练；</w:t>
      </w:r>
    </w:p>
    <w:p>
      <w:pPr>
        <w:pStyle w:val="114"/>
        <w:ind w:firstLine="480"/>
      </w:pPr>
      <w:r>
        <w:t>采用答卷方式对操作人员进行应急预案教育；</w:t>
      </w:r>
    </w:p>
    <w:p>
      <w:pPr>
        <w:pStyle w:val="114"/>
        <w:ind w:firstLine="480"/>
      </w:pPr>
      <w:r>
        <w:t>按照事故应急预案，以岗位为单位进行实战模拟演练；和地方消防、医疗等单位举行较大规模的实战模拟演练；</w:t>
      </w:r>
    </w:p>
    <w:p>
      <w:pPr>
        <w:pStyle w:val="114"/>
        <w:ind w:firstLine="480"/>
      </w:pPr>
      <w:r>
        <w:t>采取各种形式（如电视、电影、宣传手册等）对站场周边的民众进行应急知识宣传</w:t>
      </w:r>
      <w:r>
        <w:rPr>
          <w:rFonts w:hint="eastAsia"/>
        </w:rPr>
        <w:t>并</w:t>
      </w:r>
      <w:r>
        <w:t>进行居民疏散演练。</w:t>
      </w:r>
    </w:p>
    <w:p>
      <w:pPr>
        <w:pStyle w:val="114"/>
        <w:ind w:firstLine="480"/>
      </w:pPr>
      <w:r>
        <w:t>（4）总结</w:t>
      </w:r>
    </w:p>
    <w:p>
      <w:pPr>
        <w:pStyle w:val="114"/>
        <w:ind w:firstLine="480"/>
      </w:pPr>
      <w:r>
        <w:t>演练结束后应就演练过程与应急预案的要求进行对比，可采取自我评估或第三方评估的方式对预案实施过程中存在的问题进行评估，根据评估结果对应急预案进行修改、完善。</w:t>
      </w:r>
    </w:p>
    <w:p>
      <w:pPr>
        <w:pStyle w:val="3"/>
        <w:spacing w:before="120"/>
        <w:rPr>
          <w:rFonts w:cs="Times New Roman"/>
        </w:rPr>
      </w:pPr>
      <w:bookmarkStart w:id="566" w:name="bookmark65"/>
      <w:bookmarkEnd w:id="566"/>
      <w:bookmarkStart w:id="567" w:name="_Toc12288770"/>
      <w:bookmarkStart w:id="568" w:name="_Toc19816117"/>
      <w:bookmarkStart w:id="569" w:name="_Toc18286"/>
      <w:r>
        <w:rPr>
          <w:rFonts w:cs="Times New Roman"/>
        </w:rPr>
        <w:t>7.1</w:t>
      </w:r>
      <w:bookmarkEnd w:id="567"/>
      <w:bookmarkEnd w:id="568"/>
      <w:r>
        <w:rPr>
          <w:rFonts w:hint="eastAsia" w:cs="Times New Roman"/>
        </w:rPr>
        <w:t>2</w:t>
      </w:r>
      <w:r>
        <w:rPr>
          <w:rFonts w:cs="Times New Roman"/>
        </w:rPr>
        <w:t xml:space="preserve"> 环境风险评价结论与建议</w:t>
      </w:r>
      <w:bookmarkEnd w:id="569"/>
    </w:p>
    <w:p>
      <w:pPr>
        <w:pStyle w:val="114"/>
        <w:ind w:firstLine="480"/>
      </w:pPr>
      <w:bookmarkStart w:id="570" w:name="bookmark66"/>
      <w:bookmarkEnd w:id="570"/>
      <w:r>
        <w:t>最不利气象状况下，甲烷泄漏，超过毒性终点浓度-1和毒性终点浓度-2的距离均为0m，下风向的最大浓度均远低于毒性终点浓度-1和毒性终点浓度-2；最不利气象状况下，硫化氢泄漏，超过毒性终点浓度-1的距离范围为2830m，其下风向影响范围内约有150人；超过毒性终点浓度-2的距离范围为3990m，其影响范围内有386人，最不利气象状况下，一氧化碳泄漏，超过毒性终点浓度-1的距离范围为210m，其影响范围内有25人；超过毒性终点浓度-2的距离范围为610m，其影响范围内无人居住，次生污染物二氧化硫泄漏，超过毒性终点浓度-1的距离范围为0m；超过毒性终点浓度-2的距离范围为3040m，因此，若发生井喷事故，应对井场周边的居民采取紧急疏散措施，同时井喷失控事故发生后及时进行点火，以减轻事故风险对环境的影响</w:t>
      </w:r>
      <w:r>
        <w:rPr>
          <w:rFonts w:hint="eastAsia"/>
        </w:rPr>
        <w:t>。</w:t>
      </w:r>
    </w:p>
    <w:p>
      <w:pPr>
        <w:pStyle w:val="114"/>
        <w:ind w:firstLine="480"/>
      </w:pPr>
      <w:r>
        <w:t>与工程地层情况类似的相邻井在钻井中未发生井喷失控事故，发生可能诱发井喷失控的不良现象很少，但事故发生对环境的影响重大，工程主管部门通过完善井控、防火、防爆安全以及硫化氢安全防护等措施，尤其是井喷失控后在15min内点火、撤离居民等关键措施。制定详尽有效的事故应急方案，充分提高队伍的事故防范能力，严格按照钻井设计和行业规范作业，强化健康、安全、环境管理（HSE），该项目的环境风险值会大大的降低。通过按行业规范要求和环评要求进行风险防范和制定应急措施，将该项目环境风险</w:t>
      </w:r>
      <w:r>
        <w:rPr>
          <w:rFonts w:hint="eastAsia"/>
          <w:lang w:eastAsia="zh-CN"/>
        </w:rPr>
        <w:t>几率</w:t>
      </w:r>
      <w:r>
        <w:t>和风险影响降低，本项目环境风险可控。</w:t>
      </w:r>
    </w:p>
    <w:p>
      <w:pPr>
        <w:pStyle w:val="114"/>
        <w:ind w:firstLine="480"/>
      </w:pPr>
      <w:r>
        <w:t>本项目的其他风险防范措施：本项目为天然气开采工程，工程在原址上建设，项目周边无人口密集区和不良地质区。依托站场均设置了安全截断装置，一旦发生事故可以立即采取措施，将其对环境的影响控制在可接受范围内，不会对当地环境造成重大不良影响。此外，柴油储罐和污水缓冲罐四周设置围堰，并进行防渗处理，加强管道、储罐的巡检。</w:t>
      </w:r>
    </w:p>
    <w:p>
      <w:pPr>
        <w:pStyle w:val="114"/>
        <w:ind w:firstLine="480"/>
      </w:pPr>
      <w:r>
        <w:t>本项目通过采取相应的环境风险防范措施，加强环境风险管理，落实应急预案，项目环境风险</w:t>
      </w:r>
      <w:r>
        <w:rPr>
          <w:rFonts w:hint="eastAsia"/>
          <w:lang w:eastAsia="zh-CN"/>
        </w:rPr>
        <w:t>几率</w:t>
      </w:r>
      <w:r>
        <w:t>和风险影响为可接受水平。因此，从环境风险的角度而言，项目建设可行。</w:t>
      </w:r>
    </w:p>
    <w:bookmarkEnd w:id="547"/>
    <w:p>
      <w:pPr>
        <w:pStyle w:val="6"/>
        <w:ind w:firstLine="480"/>
        <w:rPr>
          <w:rFonts w:asci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spacing w:before="0" w:beforeAutospacing="0" w:after="0" w:afterAutospacing="0"/>
        <w:rPr>
          <w:rFonts w:eastAsia="宋体"/>
        </w:rPr>
      </w:pPr>
      <w:bookmarkStart w:id="571" w:name="_Toc3460"/>
      <w:bookmarkStart w:id="572" w:name="_Toc19816123"/>
      <w:r>
        <w:rPr>
          <w:rFonts w:eastAsia="宋体"/>
        </w:rPr>
        <w:t>8 环保措施及其经济技术论证</w:t>
      </w:r>
      <w:bookmarkEnd w:id="571"/>
      <w:bookmarkEnd w:id="572"/>
    </w:p>
    <w:p>
      <w:pPr>
        <w:pStyle w:val="3"/>
        <w:spacing w:before="120"/>
        <w:rPr>
          <w:rFonts w:cs="Times New Roman"/>
        </w:rPr>
      </w:pPr>
      <w:bookmarkStart w:id="573" w:name="bookmark72"/>
      <w:bookmarkEnd w:id="573"/>
      <w:bookmarkStart w:id="574" w:name="_Toc1348"/>
      <w:bookmarkStart w:id="575" w:name="_Toc19816124"/>
      <w:bookmarkStart w:id="576" w:name="_Toc12288778"/>
      <w:r>
        <w:rPr>
          <w:rFonts w:cs="Times New Roman"/>
        </w:rPr>
        <w:t>8.1 施工期的环境保护措施</w:t>
      </w:r>
      <w:bookmarkEnd w:id="574"/>
      <w:bookmarkEnd w:id="575"/>
      <w:bookmarkEnd w:id="576"/>
    </w:p>
    <w:p>
      <w:pPr>
        <w:pStyle w:val="4"/>
        <w:rPr>
          <w:rFonts w:eastAsia="宋体"/>
        </w:rPr>
      </w:pPr>
      <w:bookmarkStart w:id="577" w:name="_Toc12288779"/>
      <w:bookmarkStart w:id="578" w:name="_Toc19816125"/>
      <w:r>
        <w:rPr>
          <w:rFonts w:eastAsia="宋体"/>
        </w:rPr>
        <w:t>8.1.1 施工期环境保护管理措施</w:t>
      </w:r>
      <w:bookmarkEnd w:id="577"/>
      <w:bookmarkEnd w:id="578"/>
    </w:p>
    <w:p>
      <w:pPr>
        <w:ind w:firstLine="482"/>
        <w:rPr>
          <w:rFonts w:ascii="Times New Roman" w:cs="Times New Roman"/>
          <w:b/>
        </w:rPr>
      </w:pPr>
      <w:r>
        <w:rPr>
          <w:rFonts w:ascii="Times New Roman" w:cs="Times New Roman"/>
          <w:b/>
        </w:rPr>
        <w:t>1、建立高效、务实的环境保护管理体系</w:t>
      </w:r>
    </w:p>
    <w:p>
      <w:pPr>
        <w:pStyle w:val="6"/>
        <w:ind w:firstLine="480"/>
        <w:rPr>
          <w:rFonts w:ascii="Times New Roman" w:cs="Times New Roman"/>
        </w:rPr>
      </w:pPr>
      <w:r>
        <w:rPr>
          <w:rFonts w:ascii="Times New Roman" w:cs="Times New Roman"/>
        </w:rPr>
        <w:t>（1）建设单位成立项目安全环保管理机构，制定相应的环境管理办法。</w:t>
      </w:r>
    </w:p>
    <w:p>
      <w:pPr>
        <w:pStyle w:val="6"/>
        <w:ind w:firstLine="480"/>
        <w:rPr>
          <w:rFonts w:ascii="Times New Roman" w:cs="Times New Roman"/>
        </w:rPr>
      </w:pPr>
      <w:r>
        <w:rPr>
          <w:rFonts w:ascii="Times New Roman" w:cs="Times New Roman"/>
        </w:rPr>
        <w:t>①根据环境影响评价成果，制定系统的、分阶段环境管理目标、方针，确定与项目建设有关单位的环境保护义务、职责和管理办法。</w:t>
      </w:r>
    </w:p>
    <w:p>
      <w:pPr>
        <w:pStyle w:val="6"/>
        <w:ind w:firstLine="480"/>
        <w:rPr>
          <w:rFonts w:ascii="Times New Roman" w:cs="Times New Roman"/>
        </w:rPr>
      </w:pPr>
      <w:r>
        <w:rPr>
          <w:rFonts w:ascii="Times New Roman" w:cs="Times New Roman"/>
        </w:rPr>
        <w:t>②确定环境管理措施实施效果的监督体系，制定激励和奖惩措施。</w:t>
      </w:r>
    </w:p>
    <w:p>
      <w:pPr>
        <w:pStyle w:val="6"/>
        <w:ind w:firstLine="480"/>
        <w:rPr>
          <w:rFonts w:ascii="Times New Roman" w:cs="Times New Roman"/>
        </w:rPr>
      </w:pPr>
      <w:r>
        <w:rPr>
          <w:rFonts w:ascii="Times New Roman" w:cs="Times New Roman"/>
        </w:rPr>
        <w:t>③开展施工期的环境保护知识普及和宣教活动。</w:t>
      </w:r>
    </w:p>
    <w:p>
      <w:pPr>
        <w:pStyle w:val="6"/>
        <w:ind w:firstLine="480"/>
        <w:rPr>
          <w:rFonts w:ascii="Times New Roman" w:cs="Times New Roman"/>
        </w:rPr>
      </w:pPr>
      <w:r>
        <w:rPr>
          <w:rFonts w:ascii="Times New Roman" w:cs="Times New Roman"/>
        </w:rPr>
        <w:t>④监控、评价和改进施工期环境保护管理办法。</w:t>
      </w:r>
    </w:p>
    <w:p>
      <w:pPr>
        <w:pStyle w:val="6"/>
        <w:ind w:firstLine="480"/>
        <w:rPr>
          <w:rFonts w:ascii="Times New Roman" w:cs="Times New Roman"/>
        </w:rPr>
      </w:pPr>
      <w:r>
        <w:rPr>
          <w:rFonts w:ascii="Times New Roman" w:cs="Times New Roman"/>
        </w:rPr>
        <w:t>（2）委托有资质的环境监测单位进行施工期污染监测，落实施工期污染控制措施，建立完善的监测报告编制、上报制度。</w:t>
      </w:r>
    </w:p>
    <w:p>
      <w:pPr>
        <w:pStyle w:val="6"/>
        <w:ind w:firstLine="480"/>
        <w:rPr>
          <w:rFonts w:ascii="Times New Roman" w:cs="Times New Roman"/>
        </w:rPr>
      </w:pPr>
      <w:r>
        <w:rPr>
          <w:rFonts w:ascii="Times New Roman" w:cs="Times New Roman"/>
        </w:rPr>
        <w:t>（4）促使施工期建设管理与环境管理的有机结合，为实现工程的环境管理目标提供充足的资源保证，包括合格的环境管理人员、管理和治理资金的到位等。</w:t>
      </w:r>
    </w:p>
    <w:p>
      <w:pPr>
        <w:pStyle w:val="6"/>
        <w:ind w:firstLine="480"/>
        <w:rPr>
          <w:rFonts w:ascii="Times New Roman" w:cs="Times New Roman"/>
        </w:rPr>
      </w:pPr>
      <w:r>
        <w:rPr>
          <w:rFonts w:ascii="Times New Roman" w:cs="Times New Roman"/>
        </w:rPr>
        <w:t>（5）充分利用工程支付的调节手段，将工程的环境保护工作落到实处。</w:t>
      </w:r>
    </w:p>
    <w:p>
      <w:pPr>
        <w:pStyle w:val="6"/>
        <w:ind w:firstLine="480"/>
        <w:rPr>
          <w:rFonts w:ascii="Times New Roman" w:cs="Times New Roman"/>
        </w:rPr>
      </w:pPr>
      <w:r>
        <w:rPr>
          <w:rFonts w:ascii="Times New Roman" w:cs="Times New Roman"/>
        </w:rPr>
        <w:t>（6）做好工程施工期环境保护工作文档管理工作。</w:t>
      </w:r>
    </w:p>
    <w:p>
      <w:pPr>
        <w:pStyle w:val="6"/>
        <w:ind w:firstLine="482"/>
        <w:rPr>
          <w:rFonts w:ascii="Times New Roman" w:cs="Times New Roman"/>
          <w:b/>
        </w:rPr>
      </w:pPr>
      <w:bookmarkStart w:id="579" w:name="_Toc12288780"/>
      <w:r>
        <w:rPr>
          <w:rFonts w:ascii="Times New Roman" w:cs="Times New Roman"/>
          <w:b/>
        </w:rPr>
        <w:t>2、加强招、投标工作的管理</w:t>
      </w:r>
      <w:bookmarkEnd w:id="579"/>
    </w:p>
    <w:p>
      <w:pPr>
        <w:pStyle w:val="6"/>
        <w:ind w:firstLine="480"/>
        <w:rPr>
          <w:rFonts w:ascii="Times New Roman" w:cs="Times New Roman"/>
        </w:rPr>
      </w:pPr>
      <w:r>
        <w:rPr>
          <w:rFonts w:ascii="Times New Roman" w:cs="Times New Roman"/>
        </w:rPr>
        <w:t>（1）招标阶段</w:t>
      </w:r>
    </w:p>
    <w:p>
      <w:pPr>
        <w:pStyle w:val="6"/>
        <w:ind w:firstLine="480"/>
        <w:rPr>
          <w:rFonts w:ascii="Times New Roman" w:cs="Times New Roman"/>
        </w:rPr>
      </w:pPr>
      <w:r>
        <w:rPr>
          <w:rFonts w:ascii="Times New Roman" w:cs="Times New Roman"/>
        </w:rPr>
        <w:t>①招标文件编制应体现工程的环境影响评价成果，明确制定在每一标段中的环境保护目标，明确工程承包商对国土、生物多样性、水等环境资源保护以及生态环境保护、水土保持、人群健康和环境整治的责任和义务。</w:t>
      </w:r>
    </w:p>
    <w:p>
      <w:pPr>
        <w:pStyle w:val="6"/>
        <w:ind w:firstLine="480"/>
        <w:rPr>
          <w:rFonts w:ascii="Times New Roman" w:cs="Times New Roman"/>
        </w:rPr>
      </w:pPr>
      <w:r>
        <w:rPr>
          <w:rFonts w:ascii="Times New Roman" w:cs="Times New Roman"/>
        </w:rPr>
        <w:t>②对各标段的施工组织计划提出具体的环境保护要求，要求编制环境保护实施计划，并配备相应的环境管理人员和环保设施。</w:t>
      </w:r>
    </w:p>
    <w:p>
      <w:pPr>
        <w:pStyle w:val="6"/>
        <w:ind w:firstLine="480"/>
        <w:rPr>
          <w:rFonts w:ascii="Times New Roman" w:cs="Times New Roman"/>
        </w:rPr>
      </w:pPr>
      <w:r>
        <w:rPr>
          <w:rFonts w:ascii="Times New Roman" w:cs="Times New Roman"/>
        </w:rPr>
        <w:t>③规范标底的编制和审定工作，保证工程承包商的合理利润，使其能够实施其环境保护计划。</w:t>
      </w:r>
    </w:p>
    <w:p>
      <w:pPr>
        <w:pStyle w:val="6"/>
        <w:ind w:firstLine="480"/>
        <w:rPr>
          <w:rFonts w:ascii="Times New Roman" w:cs="Times New Roman"/>
        </w:rPr>
      </w:pPr>
      <w:r>
        <w:rPr>
          <w:rFonts w:ascii="Times New Roman" w:cs="Times New Roman"/>
        </w:rPr>
        <w:t>（2）投标阶段</w:t>
      </w:r>
    </w:p>
    <w:p>
      <w:pPr>
        <w:pStyle w:val="6"/>
        <w:ind w:firstLine="480"/>
        <w:rPr>
          <w:rFonts w:ascii="Times New Roman" w:cs="Times New Roman"/>
        </w:rPr>
      </w:pPr>
      <w:r>
        <w:rPr>
          <w:rFonts w:ascii="Times New Roman" w:cs="Times New Roman"/>
        </w:rPr>
        <w:t>①投标文件必须响应招标文件有关环境保护问题的要求，制定符合环境保护要求的施工组织计划和实施措施，配备相应的环保管理人员和相应的设施。</w:t>
      </w:r>
    </w:p>
    <w:p>
      <w:pPr>
        <w:pStyle w:val="6"/>
        <w:ind w:firstLine="480"/>
        <w:rPr>
          <w:rFonts w:ascii="Times New Roman" w:cs="Times New Roman"/>
        </w:rPr>
      </w:pPr>
      <w:r>
        <w:rPr>
          <w:rFonts w:ascii="Times New Roman" w:cs="Times New Roman"/>
        </w:rPr>
        <w:t>②投标文件报价应根据标段的具体环境保护要求，合理地制定其实施环境保护管理和对策所需的投资费用预算。</w:t>
      </w:r>
    </w:p>
    <w:p>
      <w:pPr>
        <w:pStyle w:val="6"/>
        <w:ind w:firstLine="480"/>
        <w:rPr>
          <w:rFonts w:ascii="Times New Roman" w:cs="Times New Roman"/>
        </w:rPr>
      </w:pPr>
      <w:r>
        <w:rPr>
          <w:rFonts w:ascii="Times New Roman" w:cs="Times New Roman"/>
        </w:rPr>
        <w:t>③工程承包商要承诺其环境保护责任和义务，不得发生层层转包、层层提取管理费的现象，自愿接受建设单位和地方环保单位的监督。</w:t>
      </w:r>
    </w:p>
    <w:p>
      <w:pPr>
        <w:pStyle w:val="6"/>
        <w:ind w:firstLine="480"/>
        <w:rPr>
          <w:rFonts w:ascii="Times New Roman" w:cs="Times New Roman"/>
        </w:rPr>
      </w:pPr>
      <w:r>
        <w:rPr>
          <w:rFonts w:ascii="Times New Roman" w:cs="Times New Roman"/>
        </w:rPr>
        <w:t>（3）评标阶段</w:t>
      </w:r>
    </w:p>
    <w:p>
      <w:pPr>
        <w:pStyle w:val="6"/>
        <w:ind w:firstLine="480"/>
        <w:rPr>
          <w:rFonts w:ascii="Times New Roman" w:cs="Times New Roman"/>
        </w:rPr>
      </w:pPr>
      <w:r>
        <w:rPr>
          <w:rFonts w:ascii="Times New Roman" w:cs="Times New Roman"/>
        </w:rPr>
        <w:t>①建立高素质的评标专家队伍，注意引进高素质的环保专家参与评标。</w:t>
      </w:r>
    </w:p>
    <w:p>
      <w:pPr>
        <w:pStyle w:val="6"/>
        <w:ind w:firstLine="480"/>
        <w:rPr>
          <w:rFonts w:ascii="Times New Roman" w:cs="Times New Roman"/>
        </w:rPr>
      </w:pPr>
      <w:r>
        <w:rPr>
          <w:rFonts w:ascii="Times New Roman" w:cs="Times New Roman"/>
        </w:rPr>
        <w:t>③加强投标单位的资质、施工能力、管理水平和业绩的审查工作。</w:t>
      </w:r>
    </w:p>
    <w:p>
      <w:pPr>
        <w:pStyle w:val="6"/>
        <w:ind w:firstLine="480"/>
        <w:rPr>
          <w:rFonts w:ascii="Times New Roman" w:cs="Times New Roman"/>
        </w:rPr>
      </w:pPr>
      <w:r>
        <w:rPr>
          <w:rFonts w:ascii="Times New Roman" w:cs="Times New Roman"/>
        </w:rPr>
        <w:t>③认真审查其施工组织计划有关环境保护和施工文明的内容，尤其应对其环境保护保障条件加强审查，禁止那些旨在中标而随意压低环保投入的工程承包商入围。</w:t>
      </w:r>
    </w:p>
    <w:p>
      <w:pPr>
        <w:pStyle w:val="6"/>
        <w:ind w:firstLine="480"/>
        <w:rPr>
          <w:rFonts w:ascii="Times New Roman" w:cs="Times New Roman"/>
        </w:rPr>
      </w:pPr>
      <w:r>
        <w:rPr>
          <w:rFonts w:ascii="Times New Roman" w:cs="Times New Roman"/>
        </w:rPr>
        <w:t>④加强中标价格的评价和审定工作，保证工程承包商的合理利润，从根源上避免其因追求正当利润而牺牲环境的现象发生。</w:t>
      </w:r>
    </w:p>
    <w:p>
      <w:pPr>
        <w:pStyle w:val="6"/>
        <w:ind w:firstLine="482"/>
        <w:rPr>
          <w:rFonts w:ascii="Times New Roman" w:cs="Times New Roman"/>
          <w:b/>
        </w:rPr>
      </w:pPr>
      <w:bookmarkStart w:id="580" w:name="_Toc12288781"/>
      <w:r>
        <w:rPr>
          <w:rFonts w:ascii="Times New Roman" w:cs="Times New Roman"/>
          <w:b/>
        </w:rPr>
        <w:t>3、加强工程的环境保护监理工作</w:t>
      </w:r>
      <w:bookmarkEnd w:id="580"/>
    </w:p>
    <w:p>
      <w:pPr>
        <w:pStyle w:val="6"/>
        <w:ind w:firstLine="480"/>
        <w:rPr>
          <w:rFonts w:ascii="Times New Roman" w:cs="Times New Roman"/>
        </w:rPr>
      </w:pPr>
      <w:r>
        <w:rPr>
          <w:rFonts w:ascii="Times New Roman" w:cs="Times New Roman"/>
        </w:rPr>
        <w:t>（1）建设单位</w:t>
      </w:r>
    </w:p>
    <w:p>
      <w:pPr>
        <w:pStyle w:val="6"/>
        <w:ind w:firstLine="480"/>
        <w:rPr>
          <w:rFonts w:ascii="Times New Roman" w:cs="Times New Roman"/>
        </w:rPr>
      </w:pPr>
      <w:r>
        <w:rPr>
          <w:rFonts w:ascii="Times New Roman" w:cs="Times New Roman"/>
        </w:rPr>
        <w:t>①加强工程监理的招投标工作，保证合理的监理费用，使工程监理单位能够独立开展工程质量、环境保护的监理工作。</w:t>
      </w:r>
    </w:p>
    <w:p>
      <w:pPr>
        <w:pStyle w:val="6"/>
        <w:ind w:firstLine="480"/>
        <w:rPr>
          <w:rFonts w:ascii="Times New Roman" w:cs="Times New Roman"/>
        </w:rPr>
      </w:pPr>
      <w:r>
        <w:rPr>
          <w:rFonts w:ascii="Times New Roman" w:cs="Times New Roman"/>
        </w:rPr>
        <w:t>②通过招标选择优秀的监理队伍，严把监理上岗资质关、能力关，明确提出配备具有一定环保素质的工程技术人员以及相应的检测设备的要求。</w:t>
      </w:r>
    </w:p>
    <w:p>
      <w:pPr>
        <w:pStyle w:val="6"/>
        <w:ind w:firstLine="480"/>
        <w:rPr>
          <w:rFonts w:ascii="Times New Roman" w:cs="Times New Roman"/>
        </w:rPr>
      </w:pPr>
      <w:r>
        <w:rPr>
          <w:rFonts w:ascii="Times New Roman" w:cs="Times New Roman"/>
        </w:rPr>
        <w:t>③保证工程监理工作的正常条件和独立行使监理功能的权利，并将其包括环境监理在内的监理权力的内容明确通告施工单位。</w:t>
      </w:r>
    </w:p>
    <w:p>
      <w:pPr>
        <w:pStyle w:val="6"/>
        <w:ind w:firstLine="480"/>
        <w:rPr>
          <w:rFonts w:ascii="Times New Roman" w:cs="Times New Roman"/>
        </w:rPr>
      </w:pPr>
      <w:r>
        <w:rPr>
          <w:rFonts w:ascii="Times New Roman" w:cs="Times New Roman"/>
        </w:rPr>
        <w:t>④建立工程监理监督的有效体制，杜绝监理人员的不端行为。</w:t>
      </w:r>
    </w:p>
    <w:p>
      <w:pPr>
        <w:pStyle w:val="6"/>
        <w:ind w:firstLine="480"/>
        <w:rPr>
          <w:rFonts w:ascii="Times New Roman" w:cs="Times New Roman"/>
        </w:rPr>
      </w:pPr>
      <w:r>
        <w:rPr>
          <w:rFonts w:ascii="Times New Roman" w:cs="Times New Roman"/>
        </w:rPr>
        <w:t>（2）工程监理单位</w:t>
      </w:r>
    </w:p>
    <w:p>
      <w:pPr>
        <w:pStyle w:val="6"/>
        <w:ind w:firstLine="480"/>
        <w:rPr>
          <w:rFonts w:ascii="Times New Roman" w:cs="Times New Roman"/>
        </w:rPr>
      </w:pPr>
      <w:r>
        <w:rPr>
          <w:rFonts w:ascii="Times New Roman" w:cs="Times New Roman"/>
        </w:rPr>
        <w:t>①按监理合同配备具有一定的环保素质的监理人员，并就监理服务的内容强化所有现场监理人员的环境保护知识培训，提高监理人员的环保专业技能。</w:t>
      </w:r>
    </w:p>
    <w:p>
      <w:pPr>
        <w:pStyle w:val="6"/>
        <w:ind w:firstLine="480"/>
        <w:rPr>
          <w:rFonts w:ascii="Times New Roman" w:cs="Times New Roman"/>
        </w:rPr>
      </w:pPr>
      <w:r>
        <w:rPr>
          <w:rFonts w:ascii="Times New Roman" w:cs="Times New Roman"/>
        </w:rPr>
        <w:t>②监督符合环保要求的施工组织计划的实施，工程变更必须经过环保论证，经监理单位审批后方可实施。</w:t>
      </w:r>
    </w:p>
    <w:p>
      <w:pPr>
        <w:pStyle w:val="6"/>
        <w:ind w:firstLine="480"/>
        <w:rPr>
          <w:rFonts w:ascii="Times New Roman" w:cs="Times New Roman"/>
        </w:rPr>
      </w:pPr>
      <w:r>
        <w:rPr>
          <w:rFonts w:ascii="Times New Roman" w:cs="Times New Roman"/>
        </w:rPr>
        <w:t>③监理单位应加大对生态环境影响较大的土方工程监理力度，包括有肥力土层的剥离和临时储存等，避免土壤资源浪费和土壤侵蚀现象的发生。</w:t>
      </w:r>
    </w:p>
    <w:p>
      <w:pPr>
        <w:pStyle w:val="6"/>
        <w:ind w:firstLine="480"/>
        <w:rPr>
          <w:rFonts w:ascii="Times New Roman" w:cs="Times New Roman"/>
        </w:rPr>
      </w:pPr>
      <w:r>
        <w:rPr>
          <w:rFonts w:ascii="Times New Roman" w:cs="Times New Roman"/>
        </w:rPr>
        <w:t>④在施工单位自检基础上，进行其环境保护工作的终检、评定和验收，确保工程正常、有序地进行。</w:t>
      </w:r>
    </w:p>
    <w:p>
      <w:pPr>
        <w:pStyle w:val="6"/>
        <w:ind w:firstLine="480"/>
        <w:rPr>
          <w:rFonts w:ascii="Times New Roman" w:cs="Times New Roman"/>
        </w:rPr>
      </w:pPr>
      <w:r>
        <w:rPr>
          <w:rFonts w:ascii="Times New Roman" w:cs="Times New Roman"/>
        </w:rPr>
        <w:t>（3）施工单位</w:t>
      </w:r>
    </w:p>
    <w:p>
      <w:pPr>
        <w:pStyle w:val="6"/>
        <w:ind w:firstLine="480"/>
        <w:rPr>
          <w:rFonts w:ascii="Times New Roman" w:cs="Times New Roman"/>
        </w:rPr>
      </w:pPr>
      <w:r>
        <w:rPr>
          <w:rFonts w:ascii="Times New Roman" w:cs="Times New Roman"/>
        </w:rPr>
        <w:t>①作为具体的施工机构，施工单位行为直接关系到能否将环境的影响和破坏降低到最小程度。施工单位必须自觉遵守和维护有关环境保护的政策法规，教育好队伍人员爱护施工路段周围的一草一木。在施工前对施工平面图设计进行科学合理的规划，充分利用原有的地形、地物，以尽量少占农田、防护林为原则，施工中严禁乱挖乱弃，做到文明施工，规范施工，按设计施工。</w:t>
      </w:r>
    </w:p>
    <w:p>
      <w:pPr>
        <w:pStyle w:val="6"/>
        <w:ind w:firstLine="480"/>
        <w:rPr>
          <w:rFonts w:ascii="Times New Roman" w:cs="Times New Roman"/>
        </w:rPr>
      </w:pPr>
      <w:r>
        <w:rPr>
          <w:rFonts w:ascii="Times New Roman" w:cs="Times New Roman"/>
        </w:rPr>
        <w:t>②施工单位应合理进行施工布置，精心组织施工管理，严格将施工作业活动施工作业区生态环境的影响范围和程度。</w:t>
      </w:r>
    </w:p>
    <w:p>
      <w:pPr>
        <w:pStyle w:val="6"/>
        <w:ind w:firstLine="480"/>
        <w:rPr>
          <w:rFonts w:ascii="Times New Roman" w:cs="Times New Roman"/>
        </w:rPr>
      </w:pPr>
      <w:r>
        <w:rPr>
          <w:rFonts w:ascii="Times New Roman" w:cs="Times New Roman"/>
        </w:rPr>
        <w:t>③合理安排施工季节和作业时间，优化施工方案，减少废弃土方的临时堆放，并尽量避免在雨天进行开挖作业活动，避免加重项目所在地水土流失的危害。</w:t>
      </w:r>
    </w:p>
    <w:p>
      <w:pPr>
        <w:pStyle w:val="6"/>
        <w:ind w:firstLine="480"/>
        <w:rPr>
          <w:rFonts w:ascii="Times New Roman" w:cs="Times New Roman"/>
        </w:rPr>
      </w:pPr>
      <w:r>
        <w:rPr>
          <w:rFonts w:ascii="Times New Roman" w:cs="Times New Roman"/>
        </w:rPr>
        <w:t>④强化施工迹地整治工作。</w:t>
      </w:r>
    </w:p>
    <w:p>
      <w:pPr>
        <w:pStyle w:val="4"/>
        <w:rPr>
          <w:rFonts w:eastAsia="宋体"/>
        </w:rPr>
      </w:pPr>
      <w:bookmarkStart w:id="581" w:name="_Toc19816126"/>
      <w:bookmarkStart w:id="582" w:name="_Toc12288782"/>
      <w:r>
        <w:rPr>
          <w:rFonts w:eastAsia="宋体"/>
        </w:rPr>
        <w:t>8.1.2 生态保护措施</w:t>
      </w:r>
      <w:bookmarkEnd w:id="581"/>
      <w:bookmarkEnd w:id="582"/>
    </w:p>
    <w:p>
      <w:pPr>
        <w:pStyle w:val="6"/>
        <w:ind w:firstLine="480"/>
        <w:rPr>
          <w:rFonts w:ascii="Times New Roman" w:cs="Times New Roman"/>
        </w:rPr>
      </w:pPr>
      <w:r>
        <w:rPr>
          <w:rFonts w:ascii="Times New Roman" w:cs="Times New Roman"/>
        </w:rPr>
        <w:t>根据天然气开采工程建设的特点，提出以下生态环境保护的措施。</w:t>
      </w:r>
    </w:p>
    <w:p>
      <w:pPr>
        <w:pStyle w:val="6"/>
        <w:ind w:firstLine="482"/>
        <w:rPr>
          <w:rFonts w:ascii="Times New Roman" w:cs="Times New Roman"/>
          <w:b/>
        </w:rPr>
      </w:pPr>
      <w:bookmarkStart w:id="583" w:name="_Toc12288783"/>
      <w:r>
        <w:rPr>
          <w:rFonts w:ascii="Times New Roman" w:cs="Times New Roman"/>
          <w:b/>
        </w:rPr>
        <w:t>1、土地利用现有格局的保护和恢复措施</w:t>
      </w:r>
      <w:bookmarkEnd w:id="583"/>
    </w:p>
    <w:p>
      <w:pPr>
        <w:pStyle w:val="6"/>
        <w:ind w:firstLine="480"/>
        <w:rPr>
          <w:rFonts w:ascii="Times New Roman" w:cs="Times New Roman"/>
        </w:rPr>
      </w:pPr>
      <w:r>
        <w:rPr>
          <w:rFonts w:ascii="Times New Roman" w:cs="Times New Roman"/>
        </w:rPr>
        <w:t>（1）严格控制施工占用土地</w:t>
      </w:r>
    </w:p>
    <w:p>
      <w:pPr>
        <w:pStyle w:val="6"/>
        <w:ind w:firstLine="480"/>
        <w:rPr>
          <w:rFonts w:ascii="Times New Roman" w:cs="Times New Roman"/>
        </w:rPr>
      </w:pPr>
      <w:r>
        <w:rPr>
          <w:rFonts w:ascii="Times New Roman" w:cs="Times New Roman"/>
        </w:rPr>
        <w:t>①对临时占地合理规划，严格控制占地面积，严禁占用永久基本农田。</w:t>
      </w:r>
    </w:p>
    <w:p>
      <w:pPr>
        <w:pStyle w:val="6"/>
        <w:ind w:firstLine="480"/>
        <w:rPr>
          <w:rFonts w:ascii="Times New Roman" w:cs="Times New Roman"/>
        </w:rPr>
      </w:pPr>
      <w:r>
        <w:rPr>
          <w:rFonts w:ascii="Times New Roman" w:cs="Times New Roman"/>
        </w:rPr>
        <w:t>②按设计标准规定，以减少土壤扰动和地表植被破坏，减少裸地和土方暴露面积。</w:t>
      </w:r>
    </w:p>
    <w:p>
      <w:pPr>
        <w:pStyle w:val="6"/>
        <w:ind w:firstLine="480"/>
        <w:rPr>
          <w:rFonts w:ascii="Times New Roman" w:cs="Times New Roman"/>
        </w:rPr>
      </w:pPr>
      <w:r>
        <w:rPr>
          <w:rFonts w:ascii="Times New Roman" w:cs="Times New Roman"/>
        </w:rPr>
        <w:t>③一切施工作业尽量利用原有公路，沿已有车辙行驶。杜绝车辆乱碾乱轧的情况发生，不随意开设便道。管线尽量沿公路侧平行布置，便于施工及试采期检修维护，避免修筑专门施工便道。</w:t>
      </w:r>
    </w:p>
    <w:p>
      <w:pPr>
        <w:pStyle w:val="6"/>
        <w:ind w:firstLine="480"/>
        <w:rPr>
          <w:rFonts w:ascii="Times New Roman" w:cs="Times New Roman"/>
        </w:rPr>
      </w:pPr>
      <w:r>
        <w:rPr>
          <w:rFonts w:ascii="Times New Roman" w:cs="Times New Roman"/>
        </w:rPr>
        <w:t>④现场施工作业机械应严格管理，划定活动范围，不得在道路以外的地方行驶和作业，保持路外植被不被破坏。</w:t>
      </w:r>
    </w:p>
    <w:p>
      <w:pPr>
        <w:pStyle w:val="6"/>
        <w:ind w:firstLine="480"/>
        <w:rPr>
          <w:rFonts w:ascii="Times New Roman" w:cs="Times New Roman"/>
        </w:rPr>
      </w:pPr>
      <w:r>
        <w:rPr>
          <w:rFonts w:ascii="Times New Roman" w:cs="Times New Roman"/>
        </w:rPr>
        <w:t>（2）恢复土地利用原有格局</w:t>
      </w:r>
    </w:p>
    <w:p>
      <w:pPr>
        <w:pStyle w:val="6"/>
        <w:ind w:firstLine="480"/>
        <w:rPr>
          <w:rFonts w:ascii="Times New Roman" w:cs="Times New Roman"/>
        </w:rPr>
      </w:pPr>
      <w:r>
        <w:rPr>
          <w:rFonts w:ascii="Times New Roman" w:cs="Times New Roman"/>
        </w:rPr>
        <w:t>施工结束后，应恢复地貌原状。施工时对站场开挖的土壤做分层堆放，分层回填压实，以保护植被生长层，降低对土壤养分的影响，尽快使土壤恢复生产力，同时减少水土流失。</w:t>
      </w:r>
    </w:p>
    <w:p>
      <w:pPr>
        <w:pStyle w:val="6"/>
        <w:ind w:firstLine="480"/>
        <w:rPr>
          <w:rFonts w:ascii="Times New Roman" w:cs="Times New Roman"/>
        </w:rPr>
      </w:pPr>
      <w:r>
        <w:rPr>
          <w:rFonts w:ascii="Times New Roman" w:cs="Times New Roman"/>
        </w:rPr>
        <w:t>（3）表土堆存与复耕盖土</w:t>
      </w:r>
    </w:p>
    <w:p>
      <w:pPr>
        <w:pStyle w:val="6"/>
        <w:ind w:firstLine="480"/>
        <w:rPr>
          <w:rFonts w:ascii="Times New Roman" w:cs="Times New Roman"/>
        </w:rPr>
      </w:pPr>
      <w:r>
        <w:rPr>
          <w:rFonts w:ascii="Times New Roman" w:cs="Times New Roman"/>
        </w:rPr>
        <w:t>设置专门的表土堆场对表土进行暂存，表土堆场位于</w:t>
      </w:r>
      <w:r>
        <w:rPr>
          <w:rFonts w:hint="eastAsia" w:ascii="Times New Roman" w:cs="Times New Roman"/>
        </w:rPr>
        <w:t>井场北侧</w:t>
      </w:r>
      <w:r>
        <w:rPr>
          <w:rFonts w:ascii="Times New Roman" w:cs="Times New Roman"/>
        </w:rPr>
        <w:t>，施工结束后表土全部回用于绿化、复耕盖土等。</w:t>
      </w:r>
    </w:p>
    <w:p>
      <w:pPr>
        <w:pStyle w:val="6"/>
        <w:ind w:firstLine="482"/>
        <w:rPr>
          <w:rFonts w:ascii="Times New Roman" w:cs="Times New Roman"/>
          <w:b/>
        </w:rPr>
      </w:pPr>
      <w:bookmarkStart w:id="584" w:name="_Toc12288784"/>
      <w:r>
        <w:rPr>
          <w:rFonts w:ascii="Times New Roman" w:cs="Times New Roman"/>
          <w:b/>
        </w:rPr>
        <w:t>2、生物多样性的保护措施</w:t>
      </w:r>
      <w:bookmarkEnd w:id="584"/>
    </w:p>
    <w:p>
      <w:pPr>
        <w:pStyle w:val="6"/>
        <w:ind w:firstLine="480"/>
        <w:rPr>
          <w:rFonts w:ascii="Times New Roman" w:cs="Times New Roman"/>
        </w:rPr>
      </w:pPr>
      <w:r>
        <w:rPr>
          <w:rFonts w:ascii="Times New Roman" w:cs="Times New Roman"/>
        </w:rPr>
        <w:t>（1）在施工过程中，应加强施工人员的管理，禁止施工人员对野外植被滥砍滥伐，破坏站场所在地区的生态环境。</w:t>
      </w:r>
    </w:p>
    <w:p>
      <w:pPr>
        <w:pStyle w:val="6"/>
        <w:ind w:firstLine="480"/>
        <w:rPr>
          <w:rFonts w:ascii="Times New Roman" w:cs="Times New Roman"/>
        </w:rPr>
      </w:pPr>
      <w:r>
        <w:rPr>
          <w:rFonts w:ascii="Times New Roman" w:cs="Times New Roman"/>
        </w:rPr>
        <w:t>（2）禁止施工人员对野生动物尤其是珍稀动物的滥捕滥杀，作好野生动物的保护工作。</w:t>
      </w:r>
    </w:p>
    <w:p>
      <w:pPr>
        <w:pStyle w:val="6"/>
        <w:ind w:firstLine="480"/>
        <w:rPr>
          <w:rFonts w:ascii="Times New Roman" w:cs="Times New Roman"/>
        </w:rPr>
      </w:pPr>
      <w:r>
        <w:rPr>
          <w:rFonts w:ascii="Times New Roman" w:cs="Times New Roman"/>
        </w:rPr>
        <w:t>（3）施工期要加大对保护野生动物的宣传力度，大力宣传两栖、爬行动物、鸟类对农林卫生业的作用。蛙类、蜥蜴类和蛇类要吃掉大量的农林卫生业上害虫害鼠，对人类有益，应克服任意拘杀两栖、爬行动物和鸟类的恶习。</w:t>
      </w:r>
    </w:p>
    <w:p>
      <w:pPr>
        <w:pStyle w:val="6"/>
        <w:ind w:firstLine="480"/>
        <w:rPr>
          <w:rFonts w:ascii="Times New Roman" w:cs="Times New Roman"/>
        </w:rPr>
      </w:pPr>
      <w:r>
        <w:rPr>
          <w:rFonts w:ascii="Times New Roman" w:cs="Times New Roman"/>
        </w:rPr>
        <w:t>（4）对施工期处于繁殖的动物，在车辆行驶中，遇见动物通过时，应避让。施工结束后，应采取相应的恢复替代措施，如对破坏植被的恢复等。</w:t>
      </w:r>
    </w:p>
    <w:p>
      <w:pPr>
        <w:pStyle w:val="6"/>
        <w:ind w:firstLine="480"/>
        <w:rPr>
          <w:rFonts w:ascii="Times New Roman" w:cs="Times New Roman"/>
        </w:rPr>
      </w:pPr>
      <w:r>
        <w:rPr>
          <w:rFonts w:ascii="Times New Roman" w:cs="Times New Roman"/>
        </w:rPr>
        <w:t>（5）对水生生物的一般保护措施为：切实加强对水环境的保护，避免局部水域发生富营养化，把对水生生物生息环境的影响减少到最低程度。具体如下：</w:t>
      </w:r>
    </w:p>
    <w:p>
      <w:pPr>
        <w:pStyle w:val="6"/>
        <w:ind w:firstLine="480"/>
        <w:rPr>
          <w:rFonts w:ascii="Times New Roman" w:cs="Times New Roman"/>
        </w:rPr>
      </w:pPr>
      <w:r>
        <w:rPr>
          <w:rFonts w:ascii="Times New Roman" w:cs="Times New Roman"/>
        </w:rPr>
        <w:t>施工用料的堆放应远离水源和其他水体，选择暴雨径流难以冲刷的地方。防止被暴雨径流带入水体，影响水质，各类材料应备有防雨遮雨设施。</w:t>
      </w:r>
    </w:p>
    <w:p>
      <w:pPr>
        <w:pStyle w:val="6"/>
        <w:ind w:firstLine="482"/>
        <w:rPr>
          <w:rFonts w:ascii="Times New Roman" w:cs="Times New Roman"/>
          <w:b/>
        </w:rPr>
      </w:pPr>
      <w:bookmarkStart w:id="585" w:name="_Toc12288785"/>
      <w:r>
        <w:rPr>
          <w:rFonts w:ascii="Times New Roman" w:cs="Times New Roman"/>
          <w:b/>
        </w:rPr>
        <w:t>3、植被保护及恢复措施</w:t>
      </w:r>
      <w:bookmarkEnd w:id="585"/>
    </w:p>
    <w:p>
      <w:pPr>
        <w:pStyle w:val="6"/>
        <w:ind w:firstLine="480"/>
        <w:rPr>
          <w:rFonts w:ascii="Times New Roman" w:cs="Times New Roman"/>
        </w:rPr>
      </w:pPr>
      <w:r>
        <w:rPr>
          <w:rFonts w:ascii="Times New Roman" w:cs="Times New Roman"/>
        </w:rPr>
        <w:t>（1）植被保护措施</w:t>
      </w:r>
    </w:p>
    <w:p>
      <w:pPr>
        <w:pStyle w:val="6"/>
        <w:ind w:firstLine="480"/>
        <w:rPr>
          <w:rFonts w:ascii="Times New Roman" w:cs="Times New Roman"/>
        </w:rPr>
      </w:pPr>
      <w:r>
        <w:rPr>
          <w:rFonts w:ascii="Times New Roman" w:cs="Times New Roman"/>
        </w:rPr>
        <w:t>植物保护的一般原则为：首先应尽量保存施工区的熟化土，对于建设中永久占用地、临时用地占用耕地部分的表层土予以收集保存，施工结束后及时清理、松土、覆盖收集的耕作土，复耕或选择当地适宜植物及时恢复绿化。</w:t>
      </w:r>
    </w:p>
    <w:p>
      <w:pPr>
        <w:pStyle w:val="6"/>
        <w:ind w:firstLine="480"/>
        <w:rPr>
          <w:rFonts w:ascii="Times New Roman" w:cs="Times New Roman"/>
        </w:rPr>
      </w:pPr>
      <w:r>
        <w:rPr>
          <w:rFonts w:ascii="Times New Roman" w:cs="Times New Roman"/>
        </w:rPr>
        <w:t>在项目植被恢复建设过程中除考虑选择适合当地速成树种外，在布局上还应考虑多种树种的交错分布，既提高植物种类的多样性又不至于太大改变原来的生态组分，增强其稳定性。另外修复树种种苗的选择应经过严格检疫，防止引入病害。对于森林防火要采取有效措施，对国家重点保护的物种要列入工程建设中要注意的事项。针对工程所在区域植物资源分布的特点，对不同的保护对象提出如下的保护措施：</w:t>
      </w:r>
    </w:p>
    <w:p>
      <w:pPr>
        <w:pStyle w:val="6"/>
        <w:ind w:firstLine="480"/>
        <w:rPr>
          <w:rFonts w:ascii="Times New Roman" w:cs="Times New Roman"/>
        </w:rPr>
      </w:pPr>
      <w:r>
        <w:rPr>
          <w:rFonts w:ascii="Times New Roman" w:cs="Times New Roman"/>
        </w:rPr>
        <w:t>①对工程施工中无法避让的需保护树种，要进行异地移栽</w:t>
      </w:r>
    </w:p>
    <w:p>
      <w:pPr>
        <w:pStyle w:val="6"/>
        <w:ind w:firstLine="480"/>
        <w:rPr>
          <w:rFonts w:ascii="Times New Roman" w:cs="Times New Roman"/>
        </w:rPr>
      </w:pPr>
      <w:r>
        <w:rPr>
          <w:rFonts w:ascii="Times New Roman" w:cs="Times New Roman"/>
        </w:rPr>
        <w:t>站场施工应避免和尽量减少对地表植被的破坏和影响。站场施工过程中，尽可能不破坏地形、地貌；施工完毕后，尽可能将施工地带地形、地貌恢复至施工前时的地形地貌。根据现场踏勘，没有发现需要特别保护的树种，在具体施工中，如发现特别需保护的树种并且无法避让时，应进行移栽。</w:t>
      </w:r>
    </w:p>
    <w:p>
      <w:pPr>
        <w:pStyle w:val="6"/>
        <w:ind w:firstLine="480"/>
        <w:rPr>
          <w:rFonts w:ascii="Times New Roman" w:cs="Times New Roman"/>
        </w:rPr>
      </w:pPr>
      <w:r>
        <w:rPr>
          <w:rFonts w:ascii="Times New Roman" w:cs="Times New Roman"/>
        </w:rPr>
        <w:t>本项目土壤影响范围内（200m范围）分布有公益林，建议施工期对本项目200m范围的公益林进行保护</w:t>
      </w:r>
      <w:r>
        <w:rPr>
          <w:rFonts w:ascii="Times New Roman" w:cs="Times New Roman"/>
          <w:bCs/>
        </w:rPr>
        <w:t>（如：封山育林、人工造林等）</w:t>
      </w:r>
      <w:r>
        <w:rPr>
          <w:rFonts w:ascii="Times New Roman" w:cs="Times New Roman"/>
        </w:rPr>
        <w:t>，防止施工期对公益林的扰动。</w:t>
      </w:r>
    </w:p>
    <w:p>
      <w:pPr>
        <w:pStyle w:val="6"/>
        <w:ind w:firstLine="480"/>
        <w:rPr>
          <w:rFonts w:ascii="Times New Roman" w:cs="Times New Roman"/>
        </w:rPr>
      </w:pPr>
      <w:r>
        <w:rPr>
          <w:rFonts w:ascii="Times New Roman" w:cs="Times New Roman"/>
        </w:rPr>
        <w:t>②加强施工人员的环保意识</w:t>
      </w:r>
    </w:p>
    <w:p>
      <w:pPr>
        <w:pStyle w:val="6"/>
        <w:ind w:firstLine="480"/>
        <w:rPr>
          <w:rFonts w:ascii="Times New Roman" w:cs="Times New Roman"/>
        </w:rPr>
      </w:pPr>
      <w:r>
        <w:rPr>
          <w:rFonts w:ascii="Times New Roman" w:cs="Times New Roman"/>
        </w:rPr>
        <w:t>不随意砍伐植物，在开挖的工程中，如发现有国家重点保护植物，要报告当地环保部门，立即组织挽救，移栽他处。</w:t>
      </w:r>
    </w:p>
    <w:p>
      <w:pPr>
        <w:pStyle w:val="6"/>
        <w:ind w:firstLine="480"/>
        <w:rPr>
          <w:rFonts w:ascii="Times New Roman" w:cs="Times New Roman"/>
        </w:rPr>
      </w:pPr>
      <w:r>
        <w:rPr>
          <w:rFonts w:ascii="Times New Roman" w:cs="Times New Roman"/>
        </w:rPr>
        <w:t>③加强环境管理</w:t>
      </w:r>
    </w:p>
    <w:p>
      <w:pPr>
        <w:pStyle w:val="6"/>
        <w:ind w:firstLine="480"/>
        <w:rPr>
          <w:rFonts w:ascii="Times New Roman" w:cs="Times New Roman"/>
        </w:rPr>
      </w:pPr>
      <w:r>
        <w:rPr>
          <w:rFonts w:ascii="Times New Roman" w:cs="Times New Roman"/>
        </w:rPr>
        <w:t>对已经发现的保护物种，环境管理体系的工作就显得十分重要，尤其是在施工期，工程单位与生态环境部门要合作，建立完善的管理体系，使之有法可依，执法有效，确保国家重点保护植物资源的安全。同时也要加大宣传的力度，并采取各种方式，如宣传栏、挂牌等，让施工人员了解保护的重要性。通过宣传植物的显著的特征，使施工人员会识别分布在此地的国家重点保护植物。</w:t>
      </w:r>
    </w:p>
    <w:p>
      <w:pPr>
        <w:pStyle w:val="6"/>
        <w:ind w:firstLine="480"/>
        <w:rPr>
          <w:rFonts w:ascii="Times New Roman" w:cs="Times New Roman"/>
        </w:rPr>
      </w:pPr>
      <w:r>
        <w:rPr>
          <w:rFonts w:ascii="Times New Roman" w:cs="Times New Roman"/>
        </w:rPr>
        <w:t>（2）植被恢复措施及建议</w:t>
      </w:r>
    </w:p>
    <w:p>
      <w:pPr>
        <w:pStyle w:val="6"/>
        <w:ind w:firstLine="480"/>
        <w:rPr>
          <w:rFonts w:ascii="Times New Roman" w:cs="Times New Roman"/>
        </w:rPr>
      </w:pPr>
      <w:r>
        <w:rPr>
          <w:rFonts w:ascii="Times New Roman" w:cs="Times New Roman"/>
        </w:rPr>
        <w:t>对于原农业用地，在覆土后施肥，恢复农业用地。对不能复垦为耕地，根据气候条件采取种树种草绿化措施。</w:t>
      </w:r>
    </w:p>
    <w:p>
      <w:pPr>
        <w:pStyle w:val="6"/>
        <w:ind w:firstLine="480"/>
        <w:rPr>
          <w:rFonts w:ascii="Times New Roman" w:cs="Times New Roman"/>
        </w:rPr>
      </w:pPr>
      <w:r>
        <w:rPr>
          <w:rFonts w:ascii="Times New Roman" w:cs="Times New Roman"/>
        </w:rPr>
        <w:t>施工中应加强施工管理，对边界以外的植被应不破坏或尽量减少破坏，两侧植被恢复除考虑管道防护、水土保持外，使水保、绿化、美化、环保有机结合为一体。</w:t>
      </w:r>
    </w:p>
    <w:p>
      <w:pPr>
        <w:pStyle w:val="6"/>
        <w:ind w:firstLine="480"/>
        <w:rPr>
          <w:rFonts w:ascii="Times New Roman" w:cs="Times New Roman"/>
        </w:rPr>
      </w:pPr>
      <w:r>
        <w:rPr>
          <w:rFonts w:ascii="Times New Roman" w:cs="Times New Roman"/>
        </w:rPr>
        <w:t>草种、树种的选择：在“适地适树、适地适草”的原则下，树种、草种的选择应对各地区的地形、土壤和气候条件经过详细的调查以当地优良乡土树种为主，适当引进新的优良树种草种，保证绿化栽植的成活率。</w:t>
      </w:r>
    </w:p>
    <w:p>
      <w:pPr>
        <w:pStyle w:val="6"/>
        <w:ind w:firstLine="482"/>
        <w:rPr>
          <w:rFonts w:ascii="Times New Roman" w:cs="Times New Roman"/>
          <w:b/>
        </w:rPr>
      </w:pPr>
      <w:bookmarkStart w:id="586" w:name="_Toc12288786"/>
      <w:r>
        <w:rPr>
          <w:rFonts w:ascii="Times New Roman" w:cs="Times New Roman"/>
          <w:b/>
        </w:rPr>
        <w:t>4、对农业生态系统的保护措施</w:t>
      </w:r>
      <w:bookmarkEnd w:id="586"/>
    </w:p>
    <w:p>
      <w:pPr>
        <w:pStyle w:val="6"/>
        <w:ind w:firstLine="480"/>
        <w:rPr>
          <w:rFonts w:ascii="Times New Roman" w:cs="Times New Roman"/>
        </w:rPr>
      </w:pPr>
      <w:r>
        <w:rPr>
          <w:rFonts w:ascii="Times New Roman" w:cs="Times New Roman"/>
        </w:rPr>
        <w:t>（1）在工程的总体规划中必须考虑施工对农业生产的影响，将农业损失纳入到工程预算中，尤其是占用园地、菜地、果林等经济农业区时应尽量缩小影响范围，减少损失，降低工程对农业生态环境的干扰和破坏，避免占用国家规定的耕地。</w:t>
      </w:r>
    </w:p>
    <w:p>
      <w:pPr>
        <w:pStyle w:val="6"/>
        <w:ind w:firstLine="480"/>
        <w:rPr>
          <w:rFonts w:ascii="Times New Roman" w:cs="Times New Roman"/>
        </w:rPr>
      </w:pPr>
      <w:r>
        <w:rPr>
          <w:rFonts w:ascii="Times New Roman" w:cs="Times New Roman"/>
        </w:rPr>
        <w:t>（2）由于本项目所涉及的临时占地应按有关土地管理办法的要求，逐级上报有审批权的政府部门批准。</w:t>
      </w:r>
    </w:p>
    <w:p>
      <w:pPr>
        <w:pStyle w:val="6"/>
        <w:ind w:firstLine="480"/>
        <w:rPr>
          <w:rFonts w:ascii="Times New Roman" w:cs="Times New Roman"/>
        </w:rPr>
      </w:pPr>
      <w:r>
        <w:rPr>
          <w:rFonts w:ascii="Times New Roman" w:cs="Times New Roman"/>
        </w:rPr>
        <w:t>（3）提高施工效率，缩短施工时间，以保持耕作层肥力，缩短农业生产季节的损失。因地制宜地选择施工季节，尽量避开农作物的生长和收获期，减少农业当季损失。</w:t>
      </w:r>
    </w:p>
    <w:p>
      <w:pPr>
        <w:pStyle w:val="6"/>
        <w:ind w:firstLine="480"/>
        <w:rPr>
          <w:rFonts w:ascii="Times New Roman" w:cs="Times New Roman"/>
        </w:rPr>
      </w:pPr>
    </w:p>
    <w:p>
      <w:pPr>
        <w:pStyle w:val="6"/>
        <w:ind w:firstLine="480"/>
        <w:rPr>
          <w:rFonts w:ascii="Times New Roman" w:cs="Times New Roman"/>
        </w:rPr>
      </w:pPr>
      <w:r>
        <w:rPr>
          <w:rFonts w:ascii="Times New Roman" w:cs="Times New Roman"/>
        </w:rPr>
        <w:t>（4）施工完成后做好现场清理及恢复工作，包括田埂、水渠妥善处治等，尽可能降低施工对农田生态系统带来的不利影响。</w:t>
      </w:r>
    </w:p>
    <w:p>
      <w:pPr>
        <w:pStyle w:val="6"/>
        <w:ind w:firstLine="480"/>
        <w:rPr>
          <w:rFonts w:ascii="Times New Roman" w:cs="Times New Roman"/>
        </w:rPr>
      </w:pPr>
      <w:r>
        <w:rPr>
          <w:rFonts w:ascii="Times New Roman" w:cs="Times New Roman"/>
        </w:rPr>
        <w:t>（5）由于施工设备基本属于重型、庞大类别，在施工时，应避免农田基础设施受碾压而失去正常使用功能。例如：机井、灌渠、灌溉暗管（一般埋藏较浅）等水利设施的损坏，会导致灌溉区受益范围内农作物生长受影响。</w:t>
      </w:r>
    </w:p>
    <w:p>
      <w:pPr>
        <w:pStyle w:val="6"/>
        <w:ind w:firstLine="480"/>
        <w:rPr>
          <w:rFonts w:ascii="Times New Roman" w:cs="Times New Roman"/>
        </w:rPr>
      </w:pPr>
      <w:r>
        <w:rPr>
          <w:rFonts w:ascii="Times New Roman" w:cs="Times New Roman"/>
        </w:rPr>
        <w:t>（6）在开挖地表土壤时，在地形地貌允许的地方，应</w:t>
      </w:r>
      <w:r>
        <w:rPr>
          <w:rFonts w:hint="eastAsia" w:ascii="Times New Roman" w:cs="Times New Roman"/>
          <w:lang w:eastAsia="zh-CN"/>
        </w:rPr>
        <w:t>尽可能地</w:t>
      </w:r>
      <w:r>
        <w:rPr>
          <w:rFonts w:ascii="Times New Roman" w:cs="Times New Roman"/>
        </w:rPr>
        <w:t>把表土层单独堆放，放到编织带内临时堆放。回填时，把表土覆盖在最上面的地表层，这样可以大大缩短土壤生产力恢复的时间，减少工程影响时间。</w:t>
      </w:r>
    </w:p>
    <w:p>
      <w:pPr>
        <w:pStyle w:val="6"/>
        <w:ind w:firstLine="482"/>
        <w:rPr>
          <w:rFonts w:ascii="Times New Roman" w:cs="Times New Roman"/>
          <w:b/>
        </w:rPr>
      </w:pPr>
      <w:bookmarkStart w:id="587" w:name="_Toc12288787"/>
      <w:r>
        <w:rPr>
          <w:rFonts w:ascii="Times New Roman" w:cs="Times New Roman"/>
          <w:b/>
        </w:rPr>
        <w:t>5、林地恢复措施</w:t>
      </w:r>
      <w:bookmarkEnd w:id="587"/>
    </w:p>
    <w:p>
      <w:pPr>
        <w:pStyle w:val="6"/>
        <w:ind w:firstLine="480"/>
        <w:rPr>
          <w:rFonts w:ascii="Times New Roman" w:cs="Times New Roman"/>
        </w:rPr>
      </w:pPr>
      <w:r>
        <w:rPr>
          <w:rFonts w:ascii="Times New Roman" w:cs="Times New Roman"/>
        </w:rPr>
        <w:t>（1）加强对施工人员及施工活动的管理</w:t>
      </w:r>
    </w:p>
    <w:p>
      <w:pPr>
        <w:pStyle w:val="6"/>
        <w:ind w:firstLine="480"/>
        <w:rPr>
          <w:rFonts w:ascii="Times New Roman" w:cs="Times New Roman"/>
        </w:rPr>
      </w:pPr>
      <w:r>
        <w:rPr>
          <w:rFonts w:ascii="Times New Roman" w:cs="Times New Roman"/>
        </w:rPr>
        <w:t>施工过程中，加强施工人员的管理，禁止施工人员对野生植被滥砍滥伐，严格限制人员的活动范围，破坏站场周围的生态环境。</w:t>
      </w:r>
    </w:p>
    <w:p>
      <w:pPr>
        <w:pStyle w:val="6"/>
        <w:ind w:firstLine="480"/>
        <w:rPr>
          <w:rFonts w:ascii="Times New Roman" w:cs="Times New Roman"/>
        </w:rPr>
      </w:pPr>
      <w:r>
        <w:rPr>
          <w:rFonts w:ascii="Times New Roman" w:cs="Times New Roman"/>
        </w:rPr>
        <w:t>本项目土壤影响范围内（200m范围）分布有公益林，建议施工期对本项目200m范围的公益林进行保护</w:t>
      </w:r>
      <w:r>
        <w:rPr>
          <w:rFonts w:ascii="Times New Roman" w:cs="Times New Roman"/>
          <w:bCs/>
        </w:rPr>
        <w:t>（如：封山育林、人工造林等）</w:t>
      </w:r>
      <w:r>
        <w:rPr>
          <w:rFonts w:ascii="Times New Roman" w:cs="Times New Roman"/>
        </w:rPr>
        <w:t>，防止施工期对公益林的扰动。</w:t>
      </w:r>
    </w:p>
    <w:p>
      <w:pPr>
        <w:pStyle w:val="6"/>
        <w:ind w:firstLine="480"/>
        <w:rPr>
          <w:rFonts w:ascii="Times New Roman" w:cs="Times New Roman"/>
        </w:rPr>
      </w:pPr>
      <w:r>
        <w:rPr>
          <w:rFonts w:ascii="Times New Roman" w:cs="Times New Roman"/>
        </w:rPr>
        <w:t>（2）施工后的植被恢复</w:t>
      </w:r>
    </w:p>
    <w:p>
      <w:pPr>
        <w:pStyle w:val="6"/>
        <w:ind w:firstLine="480"/>
        <w:rPr>
          <w:rFonts w:ascii="Times New Roman" w:cs="Times New Roman"/>
        </w:rPr>
      </w:pPr>
      <w:r>
        <w:rPr>
          <w:rFonts w:ascii="Times New Roman" w:cs="Times New Roman"/>
        </w:rPr>
        <w:t>①总体原则</w:t>
      </w:r>
    </w:p>
    <w:p>
      <w:pPr>
        <w:pStyle w:val="6"/>
        <w:ind w:firstLine="480"/>
        <w:rPr>
          <w:rFonts w:ascii="Times New Roman" w:cs="Times New Roman"/>
        </w:rPr>
      </w:pPr>
      <w:r>
        <w:rPr>
          <w:rFonts w:ascii="Times New Roman" w:cs="Times New Roman"/>
        </w:rPr>
        <w:t>站场开挖填埋土方工程完成后，周围尽早植树种草，原为草地的要植草，原为林地的要植树。</w:t>
      </w:r>
    </w:p>
    <w:p>
      <w:pPr>
        <w:pStyle w:val="6"/>
        <w:ind w:firstLine="480"/>
        <w:rPr>
          <w:rFonts w:ascii="Times New Roman" w:cs="Times New Roman"/>
        </w:rPr>
      </w:pPr>
      <w:r>
        <w:rPr>
          <w:rFonts w:ascii="Times New Roman" w:cs="Times New Roman"/>
        </w:rPr>
        <w:t>②植被恢复措施</w:t>
      </w:r>
    </w:p>
    <w:p>
      <w:pPr>
        <w:pStyle w:val="6"/>
        <w:ind w:firstLine="480"/>
        <w:rPr>
          <w:rFonts w:ascii="Times New Roman" w:cs="Times New Roman"/>
        </w:rPr>
      </w:pPr>
      <w:r>
        <w:rPr>
          <w:rFonts w:ascii="Times New Roman" w:cs="Times New Roman"/>
        </w:rPr>
        <w:t>本项目植被措施主要布设在场站周边、附属配套工程裸露空地等工程单元。林草措施分为铺种草皮、人工种草、种植乔木、种植灌木、种植攀援植物、植物护坡等6种类型。</w:t>
      </w:r>
    </w:p>
    <w:p>
      <w:pPr>
        <w:pStyle w:val="6"/>
        <w:ind w:firstLine="480"/>
        <w:rPr>
          <w:rFonts w:ascii="Times New Roman" w:cs="Times New Roman"/>
        </w:rPr>
      </w:pPr>
      <w:r>
        <w:rPr>
          <w:rFonts w:ascii="Times New Roman" w:cs="Times New Roman"/>
        </w:rPr>
        <w:t>③植物种类选择</w:t>
      </w:r>
    </w:p>
    <w:p>
      <w:pPr>
        <w:pStyle w:val="6"/>
        <w:ind w:firstLine="480"/>
        <w:rPr>
          <w:rFonts w:ascii="Times New Roman" w:cs="Times New Roman"/>
        </w:rPr>
      </w:pPr>
      <w:r>
        <w:rPr>
          <w:rFonts w:ascii="Times New Roman" w:cs="Times New Roman"/>
        </w:rPr>
        <w:t>a.工程区属亚热带季风气候区，水热条件充沛，在地质、地形、土壤、气候和生物等因素的综合作用下，为植物生长提供了有利条件，形成亚热带常绿阔叶、落叶阔叶与针叶林为主的低山、丘陵天然林、人工次生林。项目所在区域主要为人工植被，有枇杷、葡萄、柑橘、梨等果林，以及杉木、柏木等用材林；农作物一般为水稻、蔬菜、玉米等季节性农作物；局部丘陵地貌顶部和山区为人工经济林。当地水土保持植物主要有紫穗槐、巴茅、狗牙根、三叶草等。</w:t>
      </w:r>
    </w:p>
    <w:p>
      <w:pPr>
        <w:pStyle w:val="6"/>
        <w:ind w:firstLine="480"/>
        <w:rPr>
          <w:rFonts w:ascii="Times New Roman" w:cs="Times New Roman"/>
        </w:rPr>
      </w:pPr>
      <w:r>
        <w:rPr>
          <w:rFonts w:ascii="Times New Roman" w:cs="Times New Roman"/>
        </w:rPr>
        <w:t>b.乔木树种选择抗逆性强、形体优美的树种，主要有马尾松、杨树、柏树、香樟、刺槐等；灌木树种选择耐瘠薄、生长迅速的树种，主要有紫穗槐、马桑、灌木柳、夹竹桃等，以及景观灌木种金叶女贞、小叶黄杨等；草种选择适应性强、耐瘠薄、易繁殖草种，主要有草坪草：狗牙根、黑麦草、地毯草、马尼拉，以及当地野生草种狗尾草、野羊茅、白三叶等；攀援植物种有爬山虎、地锦、岩爬藤等。</w:t>
      </w:r>
    </w:p>
    <w:p>
      <w:pPr>
        <w:pStyle w:val="6"/>
        <w:ind w:firstLine="480"/>
        <w:rPr>
          <w:rFonts w:ascii="Times New Roman" w:cs="Times New Roman"/>
        </w:rPr>
      </w:pPr>
      <w:r>
        <w:rPr>
          <w:rFonts w:ascii="Times New Roman" w:cs="Times New Roman"/>
        </w:rPr>
        <w:t>c.对于项目所在区域较大面积的林地中，林分单一，多为阔叶林，因此工程施工中严禁带入有害的外来物种，从而避免病虫害以及森林树种的竞争等。</w:t>
      </w:r>
    </w:p>
    <w:p>
      <w:pPr>
        <w:pStyle w:val="6"/>
        <w:ind w:firstLine="480"/>
        <w:rPr>
          <w:rFonts w:ascii="Times New Roman" w:cs="Times New Roman"/>
        </w:rPr>
      </w:pPr>
      <w:r>
        <w:rPr>
          <w:rFonts w:ascii="Times New Roman" w:cs="Times New Roman"/>
        </w:rPr>
        <w:t>④种草</w:t>
      </w:r>
    </w:p>
    <w:p>
      <w:pPr>
        <w:pStyle w:val="6"/>
        <w:ind w:firstLine="480"/>
        <w:rPr>
          <w:rFonts w:ascii="Times New Roman" w:cs="Times New Roman"/>
        </w:rPr>
      </w:pPr>
      <w:r>
        <w:rPr>
          <w:rFonts w:ascii="Times New Roman" w:cs="Times New Roman"/>
        </w:rPr>
        <w:t>本项目种草有护坡种草及站场草坪建植。</w:t>
      </w:r>
    </w:p>
    <w:p>
      <w:pPr>
        <w:pStyle w:val="6"/>
        <w:ind w:firstLine="480"/>
        <w:rPr>
          <w:rFonts w:ascii="Times New Roman" w:cs="Times New Roman"/>
        </w:rPr>
      </w:pPr>
      <w:r>
        <w:rPr>
          <w:rFonts w:ascii="Times New Roman" w:cs="Times New Roman"/>
        </w:rPr>
        <w:t>a.种植方式</w:t>
      </w:r>
    </w:p>
    <w:p>
      <w:pPr>
        <w:pStyle w:val="6"/>
        <w:ind w:firstLine="480"/>
        <w:rPr>
          <w:rFonts w:ascii="Times New Roman" w:cs="Times New Roman"/>
        </w:rPr>
      </w:pPr>
      <w:r>
        <w:rPr>
          <w:rFonts w:ascii="Times New Roman" w:cs="Times New Roman"/>
        </w:rPr>
        <w:t>栽植、埋植或直播。直播有条播、撒播、穴播和混播几种方式。部分植物护坡可采用网格状种草。草坪种草主要在站场区实施，按园林绿化要求进行，多为规则式草坪，有的要结合花灌、花台等进行建设。草种推荐选择狗牙根、黑麦草、地毯草、马尼拉等。</w:t>
      </w:r>
    </w:p>
    <w:p>
      <w:pPr>
        <w:pStyle w:val="6"/>
        <w:ind w:firstLine="480"/>
        <w:rPr>
          <w:rFonts w:ascii="Times New Roman" w:cs="Times New Roman"/>
        </w:rPr>
      </w:pPr>
      <w:r>
        <w:rPr>
          <w:rFonts w:ascii="Times New Roman" w:cs="Times New Roman"/>
        </w:rPr>
        <w:t>b.抚育管理：栽植、播种后，根据实际情况及时浇水、除草。</w:t>
      </w:r>
    </w:p>
    <w:p>
      <w:pPr>
        <w:pStyle w:val="6"/>
        <w:ind w:firstLine="480"/>
        <w:rPr>
          <w:rFonts w:ascii="Times New Roman" w:cs="Times New Roman"/>
        </w:rPr>
      </w:pPr>
      <w:r>
        <w:rPr>
          <w:rFonts w:ascii="Times New Roman" w:cs="Times New Roman"/>
        </w:rPr>
        <w:t>⑤种树</w:t>
      </w:r>
    </w:p>
    <w:p>
      <w:pPr>
        <w:pStyle w:val="6"/>
        <w:ind w:firstLine="480"/>
        <w:rPr>
          <w:rFonts w:ascii="Times New Roman" w:cs="Times New Roman"/>
        </w:rPr>
      </w:pPr>
      <w:r>
        <w:rPr>
          <w:rFonts w:ascii="Times New Roman" w:cs="Times New Roman"/>
        </w:rPr>
        <w:t>本项目种树主要包括灌草结合方式种植和行道树栽植两种。</w:t>
      </w:r>
    </w:p>
    <w:p>
      <w:pPr>
        <w:pStyle w:val="6"/>
        <w:ind w:firstLine="480"/>
        <w:rPr>
          <w:rFonts w:ascii="Times New Roman" w:cs="Times New Roman"/>
        </w:rPr>
      </w:pPr>
      <w:r>
        <w:rPr>
          <w:rFonts w:ascii="Times New Roman" w:cs="Times New Roman"/>
        </w:rPr>
        <w:t>a.行道树种植</w:t>
      </w:r>
    </w:p>
    <w:p>
      <w:pPr>
        <w:pStyle w:val="6"/>
        <w:ind w:firstLine="480"/>
        <w:rPr>
          <w:rFonts w:ascii="Times New Roman" w:cs="Times New Roman"/>
        </w:rPr>
      </w:pPr>
      <w:r>
        <w:rPr>
          <w:rFonts w:ascii="Times New Roman" w:cs="Times New Roman"/>
        </w:rPr>
        <w:t>选择树形整齐、树干通直、枝叶茂盛、冠大荫浓的树种作为行道数，如杨树、香樟、柏树、小叶榕，坑穴种植，株行距3m×3m，坑穴尺寸0.6m×0.6m×0.6m。</w:t>
      </w:r>
    </w:p>
    <w:p>
      <w:pPr>
        <w:pStyle w:val="6"/>
        <w:ind w:firstLine="480"/>
        <w:rPr>
          <w:rFonts w:ascii="Times New Roman" w:cs="Times New Roman"/>
        </w:rPr>
      </w:pPr>
      <w:r>
        <w:rPr>
          <w:rFonts w:ascii="Times New Roman" w:cs="Times New Roman"/>
        </w:rPr>
        <w:t>b.施工场地</w:t>
      </w:r>
    </w:p>
    <w:p>
      <w:pPr>
        <w:pStyle w:val="6"/>
        <w:ind w:firstLine="480"/>
        <w:rPr>
          <w:rFonts w:ascii="Times New Roman" w:cs="Times New Roman"/>
        </w:rPr>
      </w:pPr>
      <w:r>
        <w:rPr>
          <w:rFonts w:ascii="Times New Roman" w:cs="Times New Roman"/>
        </w:rPr>
        <w:t>施工场地采用灌草结合的方式进行绿化，灌木株行距为1.5m×2m，坑穴种植，坑穴尺寸0.4m×0.4m×0.4m，灌木林下撒播种草，撒播密度为60kg/hm</w:t>
      </w:r>
      <w:r>
        <w:rPr>
          <w:rFonts w:ascii="Times New Roman" w:cs="Times New Roman"/>
          <w:vertAlign w:val="superscript"/>
        </w:rPr>
        <w:t>2</w:t>
      </w:r>
      <w:r>
        <w:rPr>
          <w:rFonts w:ascii="Times New Roman" w:cs="Times New Roman"/>
        </w:rPr>
        <w:t>。</w:t>
      </w:r>
    </w:p>
    <w:p>
      <w:pPr>
        <w:pStyle w:val="6"/>
        <w:ind w:firstLine="480"/>
        <w:rPr>
          <w:rFonts w:ascii="Times New Roman" w:cs="Times New Roman"/>
        </w:rPr>
      </w:pPr>
      <w:r>
        <w:rPr>
          <w:rFonts w:ascii="Times New Roman" w:cs="Times New Roman"/>
        </w:rPr>
        <w:t>c.抚育管理</w:t>
      </w:r>
    </w:p>
    <w:p>
      <w:pPr>
        <w:pStyle w:val="6"/>
        <w:ind w:firstLine="480"/>
        <w:rPr>
          <w:rFonts w:ascii="Times New Roman" w:cs="Times New Roman"/>
        </w:rPr>
      </w:pPr>
      <w:r>
        <w:rPr>
          <w:rFonts w:ascii="Times New Roman" w:cs="Times New Roman"/>
        </w:rPr>
        <w:t>栽植、播种后，根据实际情况及时浇水、除草。</w:t>
      </w:r>
    </w:p>
    <w:p>
      <w:pPr>
        <w:pStyle w:val="6"/>
        <w:ind w:firstLine="480"/>
        <w:rPr>
          <w:rFonts w:ascii="Times New Roman" w:cs="Times New Roman"/>
        </w:rPr>
      </w:pPr>
      <w:r>
        <w:rPr>
          <w:rFonts w:ascii="Times New Roman" w:cs="Times New Roman"/>
        </w:rPr>
        <w:t>⑥植物措施管理技术要点</w:t>
      </w:r>
    </w:p>
    <w:p>
      <w:pPr>
        <w:pStyle w:val="6"/>
        <w:ind w:firstLine="480"/>
        <w:rPr>
          <w:rFonts w:ascii="Times New Roman" w:cs="Times New Roman"/>
        </w:rPr>
      </w:pPr>
      <w:r>
        <w:rPr>
          <w:rFonts w:ascii="Times New Roman" w:cs="Times New Roman"/>
        </w:rPr>
        <w:t>a.幼林抚育管理包括补植、松土、除草、灌水、修枝和平茬，对于成活率低于85%的林地要进行苗木补植，同时要禁止放牧和人为破坏，做好病虫害防治工作。</w:t>
      </w:r>
    </w:p>
    <w:p>
      <w:pPr>
        <w:pStyle w:val="6"/>
        <w:ind w:firstLine="480"/>
        <w:rPr>
          <w:rFonts w:ascii="Times New Roman" w:cs="Times New Roman"/>
        </w:rPr>
      </w:pPr>
      <w:r>
        <w:rPr>
          <w:rFonts w:ascii="Times New Roman" w:cs="Times New Roman"/>
        </w:rPr>
        <w:t>b.植苗造林所用的苗木必须是未受冻害、为损伤、根系较完整、失水少且经过较短时间和距离运输的苗木，尤其以附近苗圃繁育的优质壮苗为佳；草坪草播后洒水，保持土壤湿润至全部出苗。</w:t>
      </w:r>
    </w:p>
    <w:p>
      <w:pPr>
        <w:pStyle w:val="6"/>
        <w:ind w:firstLine="480"/>
        <w:rPr>
          <w:rFonts w:ascii="Times New Roman" w:cs="Times New Roman"/>
        </w:rPr>
      </w:pPr>
      <w:r>
        <w:rPr>
          <w:rFonts w:ascii="Times New Roman" w:cs="Times New Roman"/>
        </w:rPr>
        <w:t>c.乔木树种选用2年以上的实生壮苗，苗高1.5m左右，紫穗槐等灌木选用1年生壮苗，苗高0.5m，为提高成活率，每穴栽植两株。狗尾草、野羊茅等草种用当年收获且籽粒饱满、发芽率在80%以上的种子。</w:t>
      </w:r>
    </w:p>
    <w:p>
      <w:pPr>
        <w:pStyle w:val="6"/>
        <w:ind w:firstLine="482"/>
        <w:rPr>
          <w:rFonts w:ascii="Times New Roman" w:cs="Times New Roman"/>
          <w:b/>
        </w:rPr>
      </w:pPr>
      <w:bookmarkStart w:id="588" w:name="_Toc12288788"/>
      <w:r>
        <w:rPr>
          <w:rFonts w:ascii="Times New Roman" w:cs="Times New Roman"/>
          <w:b/>
        </w:rPr>
        <w:t>6、生态景观环境影响减缓措施</w:t>
      </w:r>
      <w:bookmarkEnd w:id="588"/>
    </w:p>
    <w:p>
      <w:pPr>
        <w:pStyle w:val="6"/>
        <w:ind w:firstLine="480"/>
        <w:rPr>
          <w:rFonts w:ascii="Times New Roman" w:cs="Times New Roman"/>
        </w:rPr>
      </w:pPr>
      <w:r>
        <w:rPr>
          <w:rFonts w:ascii="Times New Roman" w:cs="Times New Roman"/>
        </w:rPr>
        <w:t>（1）施工过程中，文明施工，有序作业，减少临时占地面积，尽量减少农作物的损失。</w:t>
      </w:r>
    </w:p>
    <w:p>
      <w:pPr>
        <w:pStyle w:val="6"/>
        <w:ind w:firstLine="480"/>
        <w:rPr>
          <w:rFonts w:ascii="Times New Roman" w:cs="Times New Roman"/>
        </w:rPr>
      </w:pPr>
      <w:r>
        <w:rPr>
          <w:rFonts w:ascii="Times New Roman" w:cs="Times New Roman"/>
        </w:rPr>
        <w:t>（2）在遇到确定为环境敏感点的区域时，施工人员、施工车辆以及各种设备应按规定的路线行驶、操作，不得随意破坏道路等设施。</w:t>
      </w:r>
    </w:p>
    <w:p>
      <w:pPr>
        <w:pStyle w:val="6"/>
        <w:ind w:firstLine="480"/>
        <w:rPr>
          <w:rFonts w:ascii="Times New Roman" w:cs="Times New Roman"/>
        </w:rPr>
      </w:pPr>
      <w:r>
        <w:rPr>
          <w:rFonts w:ascii="Times New Roman" w:cs="Times New Roman"/>
        </w:rPr>
        <w:t>（3）对必须毁坏的树木，予以经济补偿或者是易地种植，种植地通常可选择在铁路、公路两旁、河渠两侧等。</w:t>
      </w:r>
    </w:p>
    <w:p>
      <w:pPr>
        <w:pStyle w:val="6"/>
        <w:ind w:firstLine="480"/>
        <w:rPr>
          <w:rFonts w:ascii="Times New Roman" w:cs="Times New Roman"/>
        </w:rPr>
      </w:pPr>
      <w:r>
        <w:rPr>
          <w:rFonts w:ascii="Times New Roman" w:cs="Times New Roman"/>
        </w:rPr>
        <w:t>（4）尽量缩短施工期，使土壤暴露时间缩短，并快速回填。</w:t>
      </w:r>
    </w:p>
    <w:p>
      <w:pPr>
        <w:pStyle w:val="6"/>
        <w:ind w:firstLine="482"/>
        <w:rPr>
          <w:rFonts w:ascii="Times New Roman" w:cs="Times New Roman"/>
          <w:b/>
        </w:rPr>
      </w:pPr>
      <w:bookmarkStart w:id="589" w:name="_Toc12288789"/>
      <w:r>
        <w:rPr>
          <w:rFonts w:ascii="Times New Roman" w:cs="Times New Roman"/>
          <w:b/>
        </w:rPr>
        <w:t>7、水土流失防治措施</w:t>
      </w:r>
      <w:bookmarkEnd w:id="589"/>
    </w:p>
    <w:p>
      <w:pPr>
        <w:pStyle w:val="6"/>
        <w:ind w:firstLine="480"/>
        <w:rPr>
          <w:rFonts w:ascii="Times New Roman" w:cs="Times New Roman"/>
        </w:rPr>
      </w:pPr>
      <w:r>
        <w:rPr>
          <w:rFonts w:ascii="Times New Roman" w:cs="Times New Roman"/>
        </w:rPr>
        <w:t>项目位于宣汉县普光镇</w:t>
      </w:r>
      <w:r>
        <w:rPr>
          <w:rFonts w:hint="eastAsia" w:ascii="Times New Roman" w:cs="Times New Roman"/>
        </w:rPr>
        <w:t>塔娅村</w:t>
      </w:r>
      <w:r>
        <w:rPr>
          <w:rFonts w:ascii="Times New Roman" w:cs="Times New Roman"/>
        </w:rPr>
        <w:t>，涉及嘉陵江及沱江中下游国家级水土流失重点治理区，因此，本项目需采取水土流水污染</w:t>
      </w:r>
      <w:r>
        <w:rPr>
          <w:rFonts w:hint="eastAsia" w:ascii="Times New Roman" w:cs="Times New Roman"/>
          <w:lang w:val="en-US" w:eastAsia="zh-CN"/>
        </w:rPr>
        <w:t>防治</w:t>
      </w:r>
      <w:r>
        <w:rPr>
          <w:rFonts w:ascii="Times New Roman" w:cs="Times New Roman"/>
        </w:rPr>
        <w:t>高标准，采取严格的水土保持防护措施及施工管理措施，从水土保持角度来看，通过提高防治标准，采取积极的水土保持措施，加强工程施工期间的临时防护以及管控，可以将不利影响降到最低。</w:t>
      </w:r>
    </w:p>
    <w:p>
      <w:pPr>
        <w:pStyle w:val="6"/>
        <w:ind w:firstLine="482"/>
        <w:rPr>
          <w:rFonts w:ascii="Times New Roman" w:cs="Times New Roman"/>
          <w:b/>
        </w:rPr>
      </w:pPr>
      <w:r>
        <w:rPr>
          <w:rFonts w:ascii="Times New Roman" w:cs="Times New Roman"/>
          <w:b/>
        </w:rPr>
        <w:t>7.1水土流失防治措施总体布设原则</w:t>
      </w:r>
    </w:p>
    <w:p>
      <w:pPr>
        <w:pStyle w:val="6"/>
        <w:ind w:firstLine="480"/>
        <w:rPr>
          <w:rFonts w:ascii="Times New Roman" w:cs="Times New Roman"/>
        </w:rPr>
      </w:pPr>
      <w:r>
        <w:rPr>
          <w:rFonts w:ascii="Times New Roman" w:cs="Times New Roman"/>
        </w:rPr>
        <w:t>（1）结合工程实际和项目区水土流失现状，因地制宜、因害设防、防治结合、全面布局、科学配置。</w:t>
      </w:r>
    </w:p>
    <w:p>
      <w:pPr>
        <w:pStyle w:val="6"/>
        <w:ind w:firstLine="480"/>
        <w:rPr>
          <w:rFonts w:ascii="Times New Roman" w:cs="Times New Roman"/>
        </w:rPr>
      </w:pPr>
      <w:r>
        <w:rPr>
          <w:rFonts w:ascii="Times New Roman" w:cs="Times New Roman"/>
        </w:rPr>
        <w:t>（2）应控制和减少对原地貌、地表植被、水系的扰动和损毁，保护原地表植被、表土层，减少占用水、土资源，提高利用效率。</w:t>
      </w:r>
    </w:p>
    <w:p>
      <w:pPr>
        <w:pStyle w:val="6"/>
        <w:ind w:firstLine="480"/>
        <w:rPr>
          <w:rFonts w:ascii="Times New Roman" w:cs="Times New Roman"/>
        </w:rPr>
      </w:pPr>
      <w:r>
        <w:rPr>
          <w:rFonts w:ascii="Times New Roman" w:cs="Times New Roman"/>
        </w:rPr>
        <w:t>（3）开挖、排弃、堆垫的场地必须采取拦挡、护坡、排水及土地整治等措施。</w:t>
      </w:r>
    </w:p>
    <w:p>
      <w:pPr>
        <w:pStyle w:val="6"/>
        <w:ind w:firstLine="480"/>
        <w:rPr>
          <w:rFonts w:ascii="Times New Roman" w:cs="Times New Roman"/>
        </w:rPr>
      </w:pPr>
      <w:r>
        <w:rPr>
          <w:rFonts w:ascii="Times New Roman" w:cs="Times New Roman"/>
        </w:rPr>
        <w:t>（4）弃土（石、渣）应综合利用，不能利用的应集中堆放在专门的存放地，并按“先拦后弃”的原则采取拦挡措施，不得在饮用水源保护区、建成水库、河道及灌渠管理范围内布设弃土（石、渣）场。</w:t>
      </w:r>
    </w:p>
    <w:p>
      <w:pPr>
        <w:pStyle w:val="6"/>
        <w:ind w:firstLine="480"/>
        <w:rPr>
          <w:rFonts w:ascii="Times New Roman" w:cs="Times New Roman"/>
        </w:rPr>
      </w:pPr>
      <w:r>
        <w:rPr>
          <w:rFonts w:ascii="Times New Roman" w:cs="Times New Roman"/>
        </w:rPr>
        <w:t>（5）施工迹地应及时进行土地平整压实，采取水土保持措施，恢复其利用功能。</w:t>
      </w:r>
    </w:p>
    <w:p>
      <w:pPr>
        <w:pStyle w:val="6"/>
        <w:ind w:firstLine="480"/>
        <w:rPr>
          <w:rFonts w:ascii="Times New Roman" w:cs="Times New Roman"/>
        </w:rPr>
      </w:pPr>
      <w:r>
        <w:rPr>
          <w:rFonts w:ascii="Times New Roman" w:cs="Times New Roman"/>
        </w:rPr>
        <w:t>（6）项目建设过程中应注重生态环境保护，设置临时性防护措施，减少施工过程中造成的人为干扰及产生的弃土、石、渣。</w:t>
      </w:r>
    </w:p>
    <w:p>
      <w:pPr>
        <w:pStyle w:val="6"/>
        <w:ind w:firstLine="480"/>
        <w:rPr>
          <w:rFonts w:ascii="Times New Roman" w:cs="Times New Roman"/>
        </w:rPr>
      </w:pPr>
      <w:r>
        <w:rPr>
          <w:rFonts w:ascii="Times New Roman" w:cs="Times New Roman"/>
        </w:rPr>
        <w:t>（7）注重吸收当地水土保持的成功经验，借鉴国内外先进技术。</w:t>
      </w:r>
    </w:p>
    <w:p>
      <w:pPr>
        <w:pStyle w:val="6"/>
        <w:ind w:firstLine="480"/>
        <w:rPr>
          <w:rFonts w:ascii="Times New Roman" w:cs="Times New Roman"/>
        </w:rPr>
      </w:pPr>
      <w:r>
        <w:rPr>
          <w:rFonts w:ascii="Times New Roman" w:cs="Times New Roman"/>
        </w:rPr>
        <w:t>（8）工程措施、临时措施合理配置，统筹兼顾，形成综合防护体系。</w:t>
      </w:r>
    </w:p>
    <w:p>
      <w:pPr>
        <w:pStyle w:val="6"/>
        <w:ind w:firstLine="480"/>
        <w:rPr>
          <w:rFonts w:ascii="Times New Roman" w:cs="Times New Roman"/>
        </w:rPr>
      </w:pPr>
      <w:r>
        <w:rPr>
          <w:rFonts w:ascii="Times New Roman" w:cs="Times New Roman"/>
        </w:rPr>
        <w:t>（9）工程措施要尽量选用当地材料，做到技术上可靠、经济上合理。</w:t>
      </w:r>
    </w:p>
    <w:p>
      <w:pPr>
        <w:pStyle w:val="6"/>
        <w:ind w:firstLine="480"/>
        <w:rPr>
          <w:rFonts w:ascii="Times New Roman" w:cs="Times New Roman"/>
        </w:rPr>
      </w:pPr>
      <w:r>
        <w:rPr>
          <w:rFonts w:ascii="Times New Roman" w:cs="Times New Roman"/>
        </w:rPr>
        <w:t>（10）防治措施布设要与主体工程密切配合，相互协调，形成整体。</w:t>
      </w:r>
    </w:p>
    <w:p>
      <w:pPr>
        <w:pStyle w:val="6"/>
        <w:ind w:firstLine="482"/>
        <w:rPr>
          <w:rFonts w:ascii="Times New Roman" w:cs="Times New Roman"/>
          <w:b/>
        </w:rPr>
      </w:pPr>
      <w:r>
        <w:rPr>
          <w:rFonts w:ascii="Times New Roman" w:cs="Times New Roman"/>
          <w:b/>
        </w:rPr>
        <w:t>7.2水土流失防治措施总体布局</w:t>
      </w:r>
    </w:p>
    <w:p>
      <w:pPr>
        <w:pStyle w:val="6"/>
        <w:ind w:firstLine="480"/>
        <w:rPr>
          <w:rFonts w:ascii="Times New Roman" w:cs="Times New Roman"/>
        </w:rPr>
      </w:pPr>
      <w:r>
        <w:rPr>
          <w:rFonts w:ascii="Times New Roman" w:cs="Times New Roman"/>
        </w:rPr>
        <w:t>本项目水土保持防治措施由工程措施、植物措施和临时措施构成。水土保持防治措施布局按照综合防治的原则进行规划，从而确定本项目水土流失防治体系和总体布局。</w:t>
      </w:r>
    </w:p>
    <w:p>
      <w:pPr>
        <w:pStyle w:val="6"/>
        <w:ind w:firstLine="480"/>
        <w:rPr>
          <w:rFonts w:ascii="Times New Roman" w:cs="Times New Roman"/>
        </w:rPr>
      </w:pPr>
      <w:r>
        <w:rPr>
          <w:rFonts w:ascii="Times New Roman" w:cs="Times New Roman"/>
        </w:rPr>
        <w:t>本项目分为两个区即井场及附属工程防治区、临时堆土防治区进行水土保持措施总体布局：</w:t>
      </w:r>
    </w:p>
    <w:p>
      <w:pPr>
        <w:pStyle w:val="6"/>
        <w:ind w:firstLine="480"/>
        <w:rPr>
          <w:rFonts w:ascii="Times New Roman" w:cs="Times New Roman"/>
        </w:rPr>
      </w:pPr>
      <w:r>
        <w:rPr>
          <w:rFonts w:ascii="Times New Roman" w:cs="Times New Roman"/>
        </w:rPr>
        <w:t>（1）井场及附属工程防治区</w:t>
      </w:r>
    </w:p>
    <w:p>
      <w:pPr>
        <w:pStyle w:val="6"/>
        <w:ind w:firstLine="480"/>
        <w:rPr>
          <w:rFonts w:ascii="Times New Roman" w:cs="Times New Roman"/>
        </w:rPr>
      </w:pPr>
      <w:r>
        <w:rPr>
          <w:rFonts w:ascii="Times New Roman" w:cs="Times New Roman"/>
        </w:rPr>
        <w:t>1）场地平整前先进行表土剥离，剥离后的表土集中堆放于临时堆土区；</w:t>
      </w:r>
    </w:p>
    <w:p>
      <w:pPr>
        <w:pStyle w:val="6"/>
        <w:ind w:firstLine="480"/>
        <w:rPr>
          <w:rFonts w:ascii="Times New Roman" w:cs="Times New Roman"/>
        </w:rPr>
      </w:pPr>
      <w:r>
        <w:rPr>
          <w:rFonts w:ascii="Times New Roman" w:cs="Times New Roman"/>
        </w:rPr>
        <w:t>2）建设中，主体在井场四周布设井场边沟，新建井场内设置排污沟，井场边沟出水接入周边自然水系；在井场北侧、东侧边坡坡顶设置截水沟，出口接入自然水系；在开挖裸露面设置植草绿化护坡；方案对井场裸露面进行临时彩条布苫盖。</w:t>
      </w:r>
    </w:p>
    <w:p>
      <w:pPr>
        <w:pStyle w:val="6"/>
        <w:ind w:firstLine="480"/>
        <w:rPr>
          <w:rFonts w:ascii="Times New Roman" w:cs="Times New Roman"/>
        </w:rPr>
      </w:pPr>
      <w:r>
        <w:rPr>
          <w:rFonts w:ascii="Times New Roman" w:cs="Times New Roman"/>
        </w:rPr>
        <w:t>3）完井工程拆除临时设施后，对井场进行土地整治和表土回填，恢复地表作物和植被。</w:t>
      </w:r>
    </w:p>
    <w:p>
      <w:pPr>
        <w:pStyle w:val="6"/>
        <w:ind w:firstLine="480"/>
        <w:rPr>
          <w:rFonts w:ascii="Times New Roman" w:cs="Times New Roman"/>
        </w:rPr>
      </w:pPr>
      <w:r>
        <w:rPr>
          <w:rFonts w:ascii="Times New Roman" w:cs="Times New Roman"/>
        </w:rPr>
        <w:t>（2）临时堆土防治区</w:t>
      </w:r>
    </w:p>
    <w:p>
      <w:pPr>
        <w:pStyle w:val="6"/>
        <w:ind w:firstLine="480"/>
        <w:rPr>
          <w:rFonts w:ascii="Times New Roman" w:cs="Times New Roman"/>
        </w:rPr>
      </w:pPr>
      <w:r>
        <w:rPr>
          <w:rFonts w:ascii="Times New Roman" w:cs="Times New Roman"/>
        </w:rPr>
        <w:t>1）表土堆放中，方案在临时堆土区外边缘设置临时土袋挡墙，在临时堆土区外边设置临时排水沟；</w:t>
      </w:r>
      <w:r>
        <w:rPr>
          <w:rFonts w:ascii="Times New Roman" w:cs="Times New Roman"/>
          <w:bCs/>
        </w:rPr>
        <w:t>对</w:t>
      </w:r>
      <w:r>
        <w:rPr>
          <w:rFonts w:ascii="Times New Roman" w:cs="Times New Roman"/>
        </w:rPr>
        <w:t>堆土区域撒播草籽进行临时植被恢复；对堆土裸露面进行临时彩条布苫盖；</w:t>
      </w:r>
    </w:p>
    <w:p>
      <w:pPr>
        <w:pStyle w:val="6"/>
        <w:ind w:firstLine="480"/>
        <w:rPr>
          <w:rFonts w:ascii="Times New Roman" w:cs="Times New Roman"/>
        </w:rPr>
      </w:pPr>
      <w:r>
        <w:rPr>
          <w:rFonts w:ascii="Times New Roman" w:cs="Times New Roman"/>
        </w:rPr>
        <w:t>2）表土全部用于各区回填后，进行土地整治并恢复地表作物。</w:t>
      </w:r>
    </w:p>
    <w:p>
      <w:pPr>
        <w:topLinePunct w:val="0"/>
        <w:adjustRightInd/>
        <w:spacing w:line="240" w:lineRule="auto"/>
        <w:ind w:firstLine="0" w:firstLineChars="0"/>
        <w:jc w:val="center"/>
        <w:rPr>
          <w:rFonts w:ascii="Times New Roman" w:cs="Times New Roman"/>
          <w:b/>
          <w:kern w:val="2"/>
          <w:sz w:val="21"/>
          <w:szCs w:val="22"/>
        </w:rPr>
      </w:pPr>
      <w:r>
        <w:rPr>
          <w:rFonts w:ascii="Times New Roman" w:cs="Times New Roman"/>
          <w:b/>
          <w:kern w:val="2"/>
          <w:sz w:val="21"/>
          <w:szCs w:val="22"/>
        </w:rPr>
        <w:t>表</w:t>
      </w:r>
      <w:r>
        <w:rPr>
          <w:rFonts w:ascii="Times New Roman" w:cs="Times New Roman" w:eastAsiaTheme="minorEastAsia"/>
          <w:b/>
          <w:kern w:val="2"/>
          <w:sz w:val="21"/>
          <w:szCs w:val="22"/>
        </w:rPr>
        <w:t>8.1</w:t>
      </w:r>
      <w:r>
        <w:rPr>
          <w:rFonts w:ascii="Times New Roman" w:cs="Times New Roman"/>
          <w:b/>
          <w:kern w:val="2"/>
          <w:sz w:val="21"/>
          <w:szCs w:val="22"/>
        </w:rPr>
        <w:t>-</w:t>
      </w:r>
      <w:r>
        <w:rPr>
          <w:rFonts w:ascii="Times New Roman" w:cs="Times New Roman" w:eastAsiaTheme="minorEastAsia"/>
          <w:b/>
          <w:kern w:val="2"/>
          <w:sz w:val="21"/>
          <w:szCs w:val="22"/>
        </w:rPr>
        <w:t>1</w:t>
      </w:r>
      <w:r>
        <w:rPr>
          <w:rFonts w:ascii="Times New Roman" w:cs="Times New Roman"/>
          <w:b/>
          <w:kern w:val="2"/>
          <w:sz w:val="21"/>
          <w:szCs w:val="22"/>
        </w:rPr>
        <w:t xml:space="preserve">  水土流失防治措施总体布局</w:t>
      </w:r>
    </w:p>
    <w:tbl>
      <w:tblPr>
        <w:tblStyle w:val="59"/>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622"/>
        <w:gridCol w:w="1205"/>
        <w:gridCol w:w="591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26" w:type="dxa"/>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ascii="Times New Roman" w:cs="Times New Roman"/>
                <w:b/>
                <w:kern w:val="2"/>
                <w:sz w:val="21"/>
                <w:szCs w:val="21"/>
              </w:rPr>
            </w:pPr>
            <w:r>
              <w:rPr>
                <w:rFonts w:ascii="Times New Roman" w:cs="Times New Roman"/>
                <w:b/>
                <w:kern w:val="2"/>
                <w:sz w:val="21"/>
                <w:szCs w:val="21"/>
              </w:rPr>
              <w:t>分区</w:t>
            </w:r>
          </w:p>
        </w:tc>
        <w:tc>
          <w:tcPr>
            <w:tcW w:w="1134" w:type="dxa"/>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ascii="Times New Roman" w:cs="Times New Roman"/>
                <w:b/>
                <w:kern w:val="2"/>
                <w:sz w:val="21"/>
                <w:szCs w:val="21"/>
              </w:rPr>
            </w:pPr>
            <w:r>
              <w:rPr>
                <w:rFonts w:ascii="Times New Roman" w:cs="Times New Roman"/>
                <w:b/>
                <w:kern w:val="2"/>
                <w:sz w:val="21"/>
                <w:szCs w:val="21"/>
              </w:rPr>
              <w:t>措施类型</w:t>
            </w:r>
          </w:p>
        </w:tc>
        <w:tc>
          <w:tcPr>
            <w:tcW w:w="5562" w:type="dxa"/>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ascii="Times New Roman" w:cs="Times New Roman"/>
                <w:b/>
                <w:kern w:val="2"/>
                <w:sz w:val="21"/>
                <w:szCs w:val="18"/>
              </w:rPr>
            </w:pPr>
            <w:r>
              <w:rPr>
                <w:rFonts w:ascii="Times New Roman" w:cs="Times New Roman"/>
                <w:b/>
                <w:kern w:val="2"/>
                <w:sz w:val="21"/>
                <w:szCs w:val="21"/>
              </w:rPr>
              <w:t>实施措施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26" w:type="dxa"/>
            <w:vMerge w:val="restart"/>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井场及附属工程</w:t>
            </w:r>
          </w:p>
        </w:tc>
        <w:tc>
          <w:tcPr>
            <w:tcW w:w="1134" w:type="dxa"/>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工程措施</w:t>
            </w:r>
          </w:p>
        </w:tc>
        <w:tc>
          <w:tcPr>
            <w:tcW w:w="5562" w:type="dxa"/>
            <w:vAlign w:val="center"/>
          </w:tcPr>
          <w:p>
            <w:pPr>
              <w:widowControl/>
              <w:tabs>
                <w:tab w:val="left" w:pos="3720"/>
              </w:tabs>
              <w:topLinePunct w:val="0"/>
              <w:autoSpaceDE w:val="0"/>
              <w:autoSpaceDN w:val="0"/>
              <w:snapToGrid w:val="0"/>
              <w:spacing w:before="40" w:line="240" w:lineRule="auto"/>
              <w:ind w:firstLine="0" w:firstLineChars="0"/>
              <w:jc w:val="left"/>
              <w:textAlignment w:val="bottom"/>
              <w:rPr>
                <w:rFonts w:ascii="Times New Roman" w:cs="Times New Roman"/>
                <w:kern w:val="2"/>
                <w:sz w:val="21"/>
                <w:szCs w:val="21"/>
              </w:rPr>
            </w:pPr>
            <w:r>
              <w:rPr>
                <w:rFonts w:ascii="Times New Roman" w:cs="Times New Roman"/>
                <w:kern w:val="2"/>
                <w:sz w:val="21"/>
                <w:szCs w:val="21"/>
              </w:rPr>
              <w:t>表土剥离</w:t>
            </w:r>
            <w:r>
              <w:rPr>
                <w:rFonts w:ascii="Times New Roman" w:cs="Times New Roman"/>
                <w:kern w:val="2"/>
                <w:sz w:val="21"/>
                <w:szCs w:val="21"/>
                <w:vertAlign w:val="superscript"/>
              </w:rPr>
              <w:t>*</w:t>
            </w:r>
            <w:r>
              <w:rPr>
                <w:rFonts w:ascii="Times New Roman" w:cs="Times New Roman"/>
                <w:kern w:val="2"/>
                <w:sz w:val="21"/>
                <w:szCs w:val="21"/>
              </w:rPr>
              <w:t>、截排水沟</w:t>
            </w:r>
            <w:r>
              <w:rPr>
                <w:rFonts w:ascii="Times New Roman" w:cs="Times New Roman"/>
                <w:kern w:val="2"/>
                <w:sz w:val="21"/>
                <w:szCs w:val="21"/>
                <w:vertAlign w:val="superscript"/>
              </w:rPr>
              <w:t>*</w:t>
            </w:r>
            <w:r>
              <w:rPr>
                <w:rFonts w:ascii="Times New Roman" w:cs="Times New Roman"/>
                <w:kern w:val="2"/>
                <w:sz w:val="21"/>
                <w:szCs w:val="21"/>
              </w:rPr>
              <w:t>、排污沟</w:t>
            </w:r>
            <w:r>
              <w:rPr>
                <w:rFonts w:ascii="Times New Roman" w:cs="Times New Roman"/>
                <w:kern w:val="2"/>
                <w:sz w:val="21"/>
                <w:szCs w:val="21"/>
                <w:vertAlign w:val="superscript"/>
              </w:rPr>
              <w:t>*</w:t>
            </w:r>
            <w:r>
              <w:rPr>
                <w:rFonts w:ascii="Times New Roman" w:cs="Times New Roman"/>
                <w:kern w:val="2"/>
                <w:sz w:val="21"/>
                <w:szCs w:val="21"/>
              </w:rPr>
              <w:t>、井场边沟</w:t>
            </w:r>
            <w:r>
              <w:rPr>
                <w:rFonts w:ascii="Times New Roman" w:cs="Times New Roman"/>
                <w:kern w:val="2"/>
                <w:sz w:val="21"/>
                <w:szCs w:val="21"/>
                <w:vertAlign w:val="superscript"/>
              </w:rPr>
              <w:t>*</w:t>
            </w:r>
            <w:r>
              <w:rPr>
                <w:rFonts w:ascii="Times New Roman" w:cs="Times New Roman"/>
                <w:kern w:val="2"/>
                <w:sz w:val="21"/>
                <w:szCs w:val="21"/>
              </w:rPr>
              <w:t>、土地整治、覆土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26" w:type="dxa"/>
            <w:vMerge w:val="continue"/>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ascii="Times New Roman" w:cs="Times New Roman"/>
                <w:kern w:val="2"/>
                <w:sz w:val="21"/>
                <w:szCs w:val="21"/>
              </w:rPr>
            </w:pPr>
          </w:p>
        </w:tc>
        <w:tc>
          <w:tcPr>
            <w:tcW w:w="1134" w:type="dxa"/>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植物措施</w:t>
            </w:r>
          </w:p>
        </w:tc>
        <w:tc>
          <w:tcPr>
            <w:tcW w:w="5562" w:type="dxa"/>
            <w:vAlign w:val="center"/>
          </w:tcPr>
          <w:p>
            <w:pPr>
              <w:widowControl/>
              <w:tabs>
                <w:tab w:val="left" w:pos="3720"/>
              </w:tabs>
              <w:topLinePunct w:val="0"/>
              <w:autoSpaceDE w:val="0"/>
              <w:autoSpaceDN w:val="0"/>
              <w:snapToGrid w:val="0"/>
              <w:spacing w:before="40" w:line="240" w:lineRule="auto"/>
              <w:ind w:firstLine="0" w:firstLineChars="0"/>
              <w:jc w:val="left"/>
              <w:textAlignment w:val="bottom"/>
              <w:rPr>
                <w:rFonts w:ascii="Times New Roman" w:cs="Times New Roman"/>
                <w:kern w:val="2"/>
                <w:sz w:val="21"/>
                <w:szCs w:val="21"/>
              </w:rPr>
            </w:pPr>
            <w:r>
              <w:rPr>
                <w:rFonts w:ascii="Times New Roman" w:cs="Times New Roman"/>
                <w:kern w:val="2"/>
                <w:sz w:val="21"/>
                <w:szCs w:val="21"/>
              </w:rPr>
              <w:t>植草</w:t>
            </w:r>
            <w:r>
              <w:rPr>
                <w:rFonts w:ascii="Times New Roman" w:cs="Times New Roman"/>
                <w:kern w:val="2"/>
                <w:sz w:val="21"/>
                <w:szCs w:val="21"/>
                <w:vertAlign w:val="superscript"/>
              </w:rPr>
              <w:t>*</w:t>
            </w:r>
            <w:r>
              <w:rPr>
                <w:rFonts w:ascii="Times New Roman" w:cs="Times New Roman"/>
                <w:kern w:val="2"/>
                <w:sz w:val="21"/>
                <w:szCs w:val="21"/>
              </w:rPr>
              <w:t>、撒播种草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26" w:type="dxa"/>
            <w:vMerge w:val="continue"/>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ascii="Times New Roman" w:cs="Times New Roman"/>
                <w:kern w:val="2"/>
                <w:sz w:val="21"/>
                <w:szCs w:val="21"/>
              </w:rPr>
            </w:pPr>
          </w:p>
        </w:tc>
        <w:tc>
          <w:tcPr>
            <w:tcW w:w="1134" w:type="dxa"/>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临时措施</w:t>
            </w:r>
          </w:p>
        </w:tc>
        <w:tc>
          <w:tcPr>
            <w:tcW w:w="5562" w:type="dxa"/>
            <w:vAlign w:val="center"/>
          </w:tcPr>
          <w:p>
            <w:pPr>
              <w:widowControl/>
              <w:tabs>
                <w:tab w:val="left" w:pos="3720"/>
              </w:tabs>
              <w:topLinePunct w:val="0"/>
              <w:autoSpaceDE w:val="0"/>
              <w:autoSpaceDN w:val="0"/>
              <w:snapToGrid w:val="0"/>
              <w:spacing w:before="40" w:line="240" w:lineRule="auto"/>
              <w:ind w:firstLine="0" w:firstLineChars="0"/>
              <w:jc w:val="left"/>
              <w:textAlignment w:val="bottom"/>
              <w:rPr>
                <w:rFonts w:ascii="Times New Roman" w:cs="Times New Roman"/>
                <w:kern w:val="2"/>
                <w:sz w:val="21"/>
                <w:szCs w:val="21"/>
              </w:rPr>
            </w:pPr>
            <w:r>
              <w:rPr>
                <w:rFonts w:ascii="Times New Roman" w:cs="Times New Roman"/>
                <w:kern w:val="2"/>
                <w:sz w:val="21"/>
                <w:szCs w:val="21"/>
              </w:rPr>
              <w:t>彩条布苫盖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26" w:type="dxa"/>
            <w:vMerge w:val="restart"/>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ascii="Times New Roman" w:cs="Times New Roman"/>
                <w:kern w:val="2"/>
                <w:sz w:val="21"/>
                <w:szCs w:val="21"/>
              </w:rPr>
            </w:pPr>
            <w:r>
              <w:rPr>
                <w:rFonts w:ascii="Times New Roman" w:cs="Times New Roman"/>
                <w:snapToGrid w:val="0"/>
                <w:kern w:val="2"/>
                <w:sz w:val="21"/>
              </w:rPr>
              <w:t>临时堆土区</w:t>
            </w:r>
          </w:p>
        </w:tc>
        <w:tc>
          <w:tcPr>
            <w:tcW w:w="1134" w:type="dxa"/>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工程措施</w:t>
            </w:r>
          </w:p>
        </w:tc>
        <w:tc>
          <w:tcPr>
            <w:tcW w:w="5562" w:type="dxa"/>
            <w:vAlign w:val="center"/>
          </w:tcPr>
          <w:p>
            <w:pPr>
              <w:widowControl/>
              <w:tabs>
                <w:tab w:val="left" w:pos="3720"/>
              </w:tabs>
              <w:topLinePunct w:val="0"/>
              <w:autoSpaceDE w:val="0"/>
              <w:autoSpaceDN w:val="0"/>
              <w:snapToGrid w:val="0"/>
              <w:spacing w:before="40" w:line="240" w:lineRule="auto"/>
              <w:ind w:firstLine="0" w:firstLineChars="0"/>
              <w:jc w:val="left"/>
              <w:textAlignment w:val="bottom"/>
              <w:rPr>
                <w:rFonts w:ascii="Times New Roman" w:cs="Times New Roman"/>
                <w:kern w:val="2"/>
                <w:sz w:val="21"/>
                <w:szCs w:val="21"/>
              </w:rPr>
            </w:pPr>
            <w:r>
              <w:rPr>
                <w:rFonts w:ascii="Times New Roman" w:cs="Times New Roman"/>
                <w:kern w:val="2"/>
                <w:sz w:val="21"/>
                <w:szCs w:val="21"/>
              </w:rPr>
              <w:t>土地整治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26" w:type="dxa"/>
            <w:vMerge w:val="continue"/>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ascii="Times New Roman" w:cs="Times New Roman"/>
                <w:snapToGrid w:val="0"/>
                <w:kern w:val="2"/>
                <w:sz w:val="21"/>
              </w:rPr>
            </w:pPr>
          </w:p>
        </w:tc>
        <w:tc>
          <w:tcPr>
            <w:tcW w:w="1134" w:type="dxa"/>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植物措施</w:t>
            </w:r>
          </w:p>
        </w:tc>
        <w:tc>
          <w:tcPr>
            <w:tcW w:w="5562" w:type="dxa"/>
            <w:vAlign w:val="center"/>
          </w:tcPr>
          <w:p>
            <w:pPr>
              <w:widowControl/>
              <w:tabs>
                <w:tab w:val="left" w:pos="3720"/>
              </w:tabs>
              <w:topLinePunct w:val="0"/>
              <w:autoSpaceDE w:val="0"/>
              <w:autoSpaceDN w:val="0"/>
              <w:snapToGrid w:val="0"/>
              <w:spacing w:before="40" w:line="240" w:lineRule="auto"/>
              <w:ind w:firstLine="0" w:firstLineChars="0"/>
              <w:jc w:val="left"/>
              <w:textAlignment w:val="bottom"/>
              <w:rPr>
                <w:rFonts w:ascii="Times New Roman" w:cs="Times New Roman"/>
                <w:kern w:val="2"/>
                <w:sz w:val="21"/>
                <w:szCs w:val="21"/>
              </w:rPr>
            </w:pPr>
            <w:r>
              <w:rPr>
                <w:rFonts w:ascii="Times New Roman" w:cs="Times New Roman"/>
                <w:kern w:val="2"/>
                <w:sz w:val="21"/>
                <w:szCs w:val="21"/>
              </w:rPr>
              <w:t>撒播种草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26" w:type="dxa"/>
            <w:vMerge w:val="continue"/>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ascii="Times New Roman" w:cs="Times New Roman"/>
                <w:snapToGrid w:val="0"/>
                <w:kern w:val="2"/>
                <w:sz w:val="21"/>
              </w:rPr>
            </w:pPr>
          </w:p>
        </w:tc>
        <w:tc>
          <w:tcPr>
            <w:tcW w:w="1134" w:type="dxa"/>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ascii="Times New Roman" w:cs="Times New Roman"/>
                <w:kern w:val="2"/>
                <w:sz w:val="21"/>
                <w:szCs w:val="21"/>
              </w:rPr>
            </w:pPr>
            <w:r>
              <w:rPr>
                <w:rFonts w:ascii="Times New Roman" w:cs="Times New Roman"/>
                <w:kern w:val="2"/>
                <w:sz w:val="21"/>
                <w:szCs w:val="21"/>
              </w:rPr>
              <w:t>临时措施</w:t>
            </w:r>
          </w:p>
        </w:tc>
        <w:tc>
          <w:tcPr>
            <w:tcW w:w="5562" w:type="dxa"/>
            <w:vAlign w:val="center"/>
          </w:tcPr>
          <w:p>
            <w:pPr>
              <w:widowControl/>
              <w:tabs>
                <w:tab w:val="left" w:pos="3720"/>
              </w:tabs>
              <w:topLinePunct w:val="0"/>
              <w:autoSpaceDE w:val="0"/>
              <w:autoSpaceDN w:val="0"/>
              <w:snapToGrid w:val="0"/>
              <w:spacing w:before="40" w:line="240" w:lineRule="auto"/>
              <w:ind w:firstLine="0" w:firstLineChars="0"/>
              <w:jc w:val="left"/>
              <w:textAlignment w:val="bottom"/>
              <w:rPr>
                <w:rFonts w:ascii="Times New Roman" w:cs="Times New Roman"/>
                <w:kern w:val="2"/>
                <w:sz w:val="21"/>
                <w:szCs w:val="21"/>
              </w:rPr>
            </w:pPr>
            <w:r>
              <w:rPr>
                <w:rFonts w:ascii="Times New Roman" w:cs="Times New Roman"/>
                <w:kern w:val="2"/>
                <w:sz w:val="21"/>
                <w:szCs w:val="21"/>
              </w:rPr>
              <w:t>临时排水沟、临时土袋挡墙、彩条布苫盖</w:t>
            </w:r>
          </w:p>
        </w:tc>
      </w:tr>
    </w:tbl>
    <w:p>
      <w:pPr>
        <w:pStyle w:val="6"/>
        <w:ind w:firstLine="482"/>
        <w:rPr>
          <w:rFonts w:ascii="Times New Roman" w:cs="Times New Roman"/>
          <w:b/>
        </w:rPr>
      </w:pPr>
      <w:r>
        <w:rPr>
          <w:rFonts w:ascii="Times New Roman" w:cs="Times New Roman"/>
          <w:b/>
        </w:rPr>
        <w:t>7.3水土流失防治措施分区布设</w:t>
      </w:r>
    </w:p>
    <w:p>
      <w:pPr>
        <w:pStyle w:val="6"/>
        <w:ind w:firstLine="482"/>
        <w:rPr>
          <w:rFonts w:ascii="Times New Roman" w:cs="Times New Roman"/>
          <w:b/>
        </w:rPr>
      </w:pPr>
      <w:r>
        <w:rPr>
          <w:rFonts w:ascii="Times New Roman" w:cs="Times New Roman"/>
          <w:b/>
        </w:rPr>
        <w:t>3.1井场</w:t>
      </w:r>
    </w:p>
    <w:p>
      <w:pPr>
        <w:pStyle w:val="6"/>
        <w:ind w:firstLine="480"/>
        <w:rPr>
          <w:rFonts w:ascii="Times New Roman" w:cs="Times New Roman"/>
        </w:rPr>
      </w:pPr>
      <w:r>
        <w:rPr>
          <w:rFonts w:ascii="Times New Roman" w:cs="Times New Roman"/>
        </w:rPr>
        <w:t>本项目井场水土流水防治措施主要为表土剥离、截排水沟、排污沟、井场边沟、植草等措施，覆土、土地整治及临时措施。</w:t>
      </w:r>
    </w:p>
    <w:p>
      <w:pPr>
        <w:pStyle w:val="6"/>
        <w:ind w:firstLine="482"/>
        <w:rPr>
          <w:rFonts w:ascii="Times New Roman" w:cs="Times New Roman"/>
          <w:b/>
        </w:rPr>
      </w:pPr>
      <w:r>
        <w:rPr>
          <w:rFonts w:ascii="Times New Roman" w:cs="Times New Roman"/>
          <w:b/>
        </w:rPr>
        <w:t>1、工程措施</w:t>
      </w:r>
    </w:p>
    <w:p>
      <w:pPr>
        <w:pStyle w:val="6"/>
        <w:ind w:firstLine="480"/>
        <w:rPr>
          <w:rFonts w:ascii="Times New Roman" w:cs="Times New Roman"/>
        </w:rPr>
      </w:pPr>
      <w:r>
        <w:rPr>
          <w:rFonts w:ascii="Times New Roman" w:cs="Times New Roman"/>
        </w:rPr>
        <w:t>（1）表土剥离</w:t>
      </w:r>
    </w:p>
    <w:p>
      <w:pPr>
        <w:pStyle w:val="6"/>
        <w:ind w:firstLine="480"/>
        <w:rPr>
          <w:rFonts w:ascii="Times New Roman" w:cs="Times New Roman"/>
        </w:rPr>
      </w:pPr>
      <w:r>
        <w:rPr>
          <w:rFonts w:ascii="Times New Roman" w:cs="Times New Roman"/>
        </w:rPr>
        <w:t>施工期对井场区内占用耕地进行表土剥离，剥离厚度约30cm，表土剥离总量约150m</w:t>
      </w:r>
      <w:r>
        <w:rPr>
          <w:rFonts w:ascii="Times New Roman" w:cs="Times New Roman"/>
          <w:vertAlign w:val="superscript"/>
        </w:rPr>
        <w:t>3</w:t>
      </w:r>
      <w:r>
        <w:rPr>
          <w:rFonts w:ascii="Times New Roman" w:cs="Times New Roman"/>
        </w:rPr>
        <w:t>，剥离的表土全部堆存于临时堆土区，后期用于复垦覆绿覆土。</w:t>
      </w:r>
    </w:p>
    <w:p>
      <w:pPr>
        <w:pStyle w:val="6"/>
        <w:ind w:firstLine="480"/>
        <w:rPr>
          <w:rFonts w:ascii="Times New Roman" w:cs="Times New Roman"/>
        </w:rPr>
      </w:pPr>
      <w:r>
        <w:rPr>
          <w:rFonts w:ascii="Times New Roman" w:cs="Times New Roman"/>
        </w:rPr>
        <w:t>（2）井场内排污沟及井场边沟</w:t>
      </w:r>
    </w:p>
    <w:p>
      <w:pPr>
        <w:pStyle w:val="6"/>
        <w:ind w:firstLine="480"/>
        <w:rPr>
          <w:rFonts w:ascii="Times New Roman" w:cs="Times New Roman"/>
        </w:rPr>
      </w:pPr>
      <w:r>
        <w:rPr>
          <w:rFonts w:ascii="Times New Roman" w:cs="Times New Roman"/>
        </w:rPr>
        <w:t>为了防止坡面和场内的地表水对钻井生产造成影响，在场内四周设排水边沟，站内雨水排向井场周围排水沟，再沿排水沟排向低洼处或新建截水沟。新建井场边沟3</w:t>
      </w:r>
      <w:r>
        <w:rPr>
          <w:rFonts w:hint="eastAsia" w:ascii="Times New Roman" w:cs="Times New Roman"/>
        </w:rPr>
        <w:t>50</w:t>
      </w:r>
      <w:r>
        <w:rPr>
          <w:rFonts w:ascii="Times New Roman" w:cs="Times New Roman"/>
        </w:rPr>
        <w:t>m，底宽0.5m，深0.5m，沟壁坡度1：0.2，纵坡i=0.2%；新建井场内排污沟</w:t>
      </w:r>
      <w:r>
        <w:rPr>
          <w:rFonts w:hint="eastAsia" w:ascii="Times New Roman" w:cs="Times New Roman"/>
        </w:rPr>
        <w:t>446</w:t>
      </w:r>
      <w:r>
        <w:rPr>
          <w:rFonts w:ascii="Times New Roman" w:cs="Times New Roman"/>
        </w:rPr>
        <w:t>m，底宽0.2m，深0.3m，纵坡i=0.2%；排污沟放坡坡率可根据现场做适当调整，但必须满足正常放坡和无倒流。</w:t>
      </w:r>
    </w:p>
    <w:p>
      <w:pPr>
        <w:pStyle w:val="6"/>
        <w:ind w:firstLine="480"/>
        <w:rPr>
          <w:rFonts w:ascii="Times New Roman" w:cs="Times New Roman"/>
        </w:rPr>
      </w:pPr>
      <w:r>
        <w:rPr>
          <w:rFonts w:ascii="Times New Roman" w:cs="Times New Roman"/>
        </w:rPr>
        <w:t>（3）截排水沟</w:t>
      </w:r>
    </w:p>
    <w:p>
      <w:pPr>
        <w:pStyle w:val="6"/>
        <w:ind w:firstLine="480"/>
        <w:rPr>
          <w:rFonts w:ascii="Times New Roman" w:cs="Times New Roman"/>
        </w:rPr>
      </w:pPr>
      <w:r>
        <w:rPr>
          <w:rFonts w:ascii="Times New Roman" w:cs="Times New Roman"/>
        </w:rPr>
        <w:t>为了防止坡面的地表水皮面冲刷造成影响，在井场在北侧、东侧边坡坡顶设置截水沟</w:t>
      </w:r>
      <w:r>
        <w:rPr>
          <w:rFonts w:hint="eastAsia" w:ascii="Times New Roman" w:cs="Times New Roman"/>
        </w:rPr>
        <w:t>227.5</w:t>
      </w:r>
      <w:r>
        <w:rPr>
          <w:rFonts w:ascii="Times New Roman" w:cs="Times New Roman"/>
        </w:rPr>
        <w:t>m，底宽0.5m，深0.5m，沟壁坡度1：1，纵坡i=0.2%；自然雨水排向坡顶新建截水沟，再沿水沟排向道路边沟或原有自然冲沟。</w:t>
      </w:r>
    </w:p>
    <w:p>
      <w:pPr>
        <w:pStyle w:val="6"/>
        <w:ind w:firstLine="480"/>
        <w:rPr>
          <w:rFonts w:ascii="Times New Roman" w:cs="Times New Roman"/>
        </w:rPr>
      </w:pPr>
      <w:r>
        <w:rPr>
          <w:rFonts w:ascii="Times New Roman" w:cs="Times New Roman"/>
        </w:rPr>
        <w:t>（4）表土回填</w:t>
      </w:r>
    </w:p>
    <w:p>
      <w:pPr>
        <w:pStyle w:val="6"/>
        <w:ind w:firstLine="480"/>
        <w:rPr>
          <w:rFonts w:ascii="Times New Roman" w:cs="Times New Roman"/>
        </w:rPr>
      </w:pPr>
      <w:r>
        <w:rPr>
          <w:rFonts w:ascii="Times New Roman" w:cs="Times New Roman"/>
        </w:rPr>
        <w:t>完井工程结束后拆除临时设施，堆存的表土回填至井场区复垦区域内，表土回填量150m³。</w:t>
      </w:r>
    </w:p>
    <w:p>
      <w:pPr>
        <w:pStyle w:val="6"/>
        <w:ind w:firstLine="480"/>
        <w:rPr>
          <w:rFonts w:ascii="Times New Roman" w:cs="Times New Roman"/>
        </w:rPr>
      </w:pPr>
      <w:r>
        <w:rPr>
          <w:rFonts w:ascii="Times New Roman" w:cs="Times New Roman"/>
        </w:rPr>
        <w:t>（5）土地整治</w:t>
      </w:r>
    </w:p>
    <w:p>
      <w:pPr>
        <w:pStyle w:val="6"/>
        <w:ind w:firstLine="480"/>
        <w:rPr>
          <w:rFonts w:ascii="Times New Roman" w:cs="Times New Roman"/>
        </w:rPr>
      </w:pPr>
      <w:r>
        <w:rPr>
          <w:rFonts w:ascii="Times New Roman" w:cs="Times New Roman"/>
        </w:rPr>
        <w:t>完井工程结束后拆除临时设施，对裸露或扰动区域进行土地整治，整治面积共计1000m</w:t>
      </w:r>
      <w:r>
        <w:rPr>
          <w:rFonts w:ascii="Times New Roman" w:cs="Times New Roman"/>
          <w:vertAlign w:val="superscript"/>
        </w:rPr>
        <w:t>2</w:t>
      </w:r>
      <w:r>
        <w:rPr>
          <w:rFonts w:ascii="Times New Roman" w:cs="Times New Roman"/>
        </w:rPr>
        <w:t>，土地整治后进行复耕复绿。土地整治包括场地清理和整地。</w:t>
      </w:r>
    </w:p>
    <w:p>
      <w:pPr>
        <w:pStyle w:val="6"/>
        <w:ind w:firstLine="480"/>
        <w:rPr>
          <w:rFonts w:ascii="Times New Roman" w:cs="Times New Roman"/>
        </w:rPr>
      </w:pPr>
      <w:r>
        <w:rPr>
          <w:rFonts w:ascii="Times New Roman" w:cs="Times New Roman"/>
        </w:rPr>
        <w:t>场地清理：清理并收集该区域的垃圾，集中堆放，对开挖动土区域进行坑凹回填，场地平整改造，恢复利用。</w:t>
      </w:r>
    </w:p>
    <w:p>
      <w:pPr>
        <w:pStyle w:val="6"/>
        <w:ind w:firstLine="480"/>
        <w:rPr>
          <w:rFonts w:ascii="Times New Roman" w:cs="Times New Roman"/>
        </w:rPr>
      </w:pPr>
      <w:r>
        <w:rPr>
          <w:rFonts w:ascii="Times New Roman" w:cs="Times New Roman"/>
        </w:rPr>
        <w:t>整地：包括平整土地、翻地改善土壤理化性状，给植物及农作物生长尤其是根的发育创造了适宜的土壤条件。其方法和要求：先将表土翻松，再进行细平工作，局部高差较大处，进行回填，做到挖填同时进行。平整时应采取就近原则，开挖及回填时应保证表土回填前土块有足够的保水层，防止表土层底部漏水，并配合平整进行表土覆土。</w:t>
      </w:r>
    </w:p>
    <w:p>
      <w:pPr>
        <w:pStyle w:val="6"/>
        <w:ind w:firstLine="480"/>
        <w:rPr>
          <w:rFonts w:ascii="Times New Roman" w:cs="Times New Roman"/>
        </w:rPr>
      </w:pPr>
      <w:r>
        <w:rPr>
          <w:rFonts w:ascii="Times New Roman" w:cs="Times New Roman"/>
        </w:rPr>
        <w:t>（6）锚索护坡</w:t>
      </w:r>
    </w:p>
    <w:p>
      <w:pPr>
        <w:pStyle w:val="6"/>
        <w:ind w:firstLine="480"/>
        <w:rPr>
          <w:rFonts w:ascii="Times New Roman" w:cs="Times New Roman"/>
        </w:rPr>
      </w:pPr>
      <w:r>
        <w:rPr>
          <w:rFonts w:ascii="Times New Roman" w:cs="Times New Roman"/>
        </w:rPr>
        <w:t>对挖填方区采取锚索护坡面积420m</w:t>
      </w:r>
      <w:r>
        <w:rPr>
          <w:rFonts w:ascii="Times New Roman" w:cs="Times New Roman"/>
          <w:vertAlign w:val="superscript"/>
        </w:rPr>
        <w:t>2</w:t>
      </w:r>
      <w:r>
        <w:rPr>
          <w:rFonts w:ascii="Times New Roman" w:cs="Times New Roman"/>
        </w:rPr>
        <w:t>。</w:t>
      </w:r>
    </w:p>
    <w:p>
      <w:pPr>
        <w:pStyle w:val="6"/>
        <w:ind w:firstLine="482"/>
        <w:rPr>
          <w:rFonts w:ascii="Times New Roman" w:cs="Times New Roman"/>
          <w:b/>
        </w:rPr>
      </w:pPr>
      <w:r>
        <w:rPr>
          <w:rFonts w:ascii="Times New Roman" w:cs="Times New Roman"/>
          <w:b/>
        </w:rPr>
        <w:t>2、植物措施</w:t>
      </w:r>
    </w:p>
    <w:p>
      <w:pPr>
        <w:pStyle w:val="6"/>
        <w:ind w:firstLine="480"/>
        <w:rPr>
          <w:rFonts w:ascii="Times New Roman" w:cs="Times New Roman"/>
        </w:rPr>
      </w:pPr>
      <w:r>
        <w:rPr>
          <w:rFonts w:ascii="Times New Roman" w:cs="Times New Roman"/>
        </w:rPr>
        <w:t>施工期，在开挖裸露面设计撒播植草面积</w:t>
      </w:r>
      <w:r>
        <w:rPr>
          <w:rFonts w:hint="eastAsia" w:ascii="Times New Roman" w:cs="Times New Roman"/>
        </w:rPr>
        <w:t>300</w:t>
      </w:r>
      <w:r>
        <w:rPr>
          <w:rFonts w:ascii="Times New Roman" w:cs="Times New Roman"/>
        </w:rPr>
        <w:t>m</w:t>
      </w:r>
      <w:r>
        <w:rPr>
          <w:rFonts w:ascii="Times New Roman" w:cs="Times New Roman"/>
          <w:vertAlign w:val="superscript"/>
        </w:rPr>
        <w:t>2</w:t>
      </w:r>
      <w:r>
        <w:rPr>
          <w:rFonts w:ascii="Times New Roman" w:cs="Times New Roman"/>
        </w:rPr>
        <w:t>，初步考虑种植高羊茅。按照每公顷40kg播撒。</w:t>
      </w:r>
    </w:p>
    <w:p>
      <w:pPr>
        <w:pStyle w:val="6"/>
        <w:ind w:firstLine="482"/>
        <w:rPr>
          <w:rFonts w:ascii="Times New Roman" w:cs="Times New Roman"/>
          <w:b/>
        </w:rPr>
      </w:pPr>
      <w:r>
        <w:rPr>
          <w:rFonts w:ascii="Times New Roman" w:cs="Times New Roman"/>
          <w:b/>
        </w:rPr>
        <w:t>3、临时措施</w:t>
      </w:r>
    </w:p>
    <w:p>
      <w:pPr>
        <w:pStyle w:val="6"/>
        <w:ind w:firstLine="480"/>
        <w:rPr>
          <w:rFonts w:ascii="Times New Roman" w:cs="Times New Roman"/>
        </w:rPr>
      </w:pPr>
      <w:r>
        <w:rPr>
          <w:rFonts w:ascii="Times New Roman" w:cs="Times New Roman"/>
        </w:rPr>
        <w:t>（1）临时彩条布苫盖</w:t>
      </w:r>
    </w:p>
    <w:p>
      <w:pPr>
        <w:pStyle w:val="6"/>
        <w:ind w:firstLine="480"/>
        <w:rPr>
          <w:rFonts w:ascii="Times New Roman" w:cs="Times New Roman"/>
        </w:rPr>
      </w:pPr>
      <w:r>
        <w:rPr>
          <w:rFonts w:ascii="Times New Roman" w:cs="Times New Roman"/>
        </w:rPr>
        <w:t>施工中对井场裸露面进行临时彩条布苫盖，需彩条布面积为1000m</w:t>
      </w:r>
      <w:r>
        <w:rPr>
          <w:rFonts w:ascii="Times New Roman" w:cs="Times New Roman"/>
          <w:vertAlign w:val="superscript"/>
        </w:rPr>
        <w:t>2</w:t>
      </w:r>
      <w:r>
        <w:rPr>
          <w:rFonts w:ascii="Times New Roman" w:cs="Times New Roman"/>
        </w:rPr>
        <w:t>。</w:t>
      </w:r>
    </w:p>
    <w:p>
      <w:pPr>
        <w:pStyle w:val="6"/>
        <w:ind w:firstLine="482"/>
        <w:rPr>
          <w:rFonts w:ascii="Times New Roman" w:cs="Times New Roman"/>
          <w:b/>
        </w:rPr>
      </w:pPr>
      <w:r>
        <w:rPr>
          <w:rFonts w:ascii="Times New Roman" w:cs="Times New Roman"/>
          <w:b/>
        </w:rPr>
        <w:t>3.2临时堆土区</w:t>
      </w:r>
    </w:p>
    <w:p>
      <w:pPr>
        <w:pStyle w:val="6"/>
        <w:ind w:firstLine="480"/>
        <w:rPr>
          <w:rFonts w:ascii="Times New Roman" w:cs="Times New Roman"/>
        </w:rPr>
      </w:pPr>
      <w:r>
        <w:rPr>
          <w:rFonts w:ascii="Times New Roman" w:cs="Times New Roman"/>
        </w:rPr>
        <w:t>本项目临时堆土区水土流水防治措施主要为覆土、土地整治、植物及临时措施。</w:t>
      </w:r>
    </w:p>
    <w:p>
      <w:pPr>
        <w:pStyle w:val="6"/>
        <w:ind w:firstLine="482"/>
        <w:rPr>
          <w:rFonts w:ascii="Times New Roman" w:cs="Times New Roman"/>
          <w:b/>
        </w:rPr>
      </w:pPr>
      <w:r>
        <w:rPr>
          <w:rFonts w:ascii="Times New Roman" w:cs="Times New Roman"/>
          <w:b/>
        </w:rPr>
        <w:t>1、工程措施</w:t>
      </w:r>
    </w:p>
    <w:p>
      <w:pPr>
        <w:pStyle w:val="6"/>
        <w:ind w:firstLine="480"/>
        <w:rPr>
          <w:rFonts w:ascii="Times New Roman" w:cs="Times New Roman"/>
        </w:rPr>
      </w:pPr>
      <w:r>
        <w:rPr>
          <w:rFonts w:ascii="Times New Roman" w:cs="Times New Roman"/>
        </w:rPr>
        <w:t>（1）土地整治</w:t>
      </w:r>
    </w:p>
    <w:p>
      <w:pPr>
        <w:pStyle w:val="6"/>
        <w:ind w:firstLine="480"/>
        <w:rPr>
          <w:rFonts w:ascii="Times New Roman" w:cs="Times New Roman"/>
        </w:rPr>
      </w:pPr>
      <w:r>
        <w:rPr>
          <w:rFonts w:ascii="Times New Roman" w:cs="Times New Roman"/>
        </w:rPr>
        <w:t>施工结束后，对裸露或扰动区域进行土地整治，整治面积共计300m</w:t>
      </w:r>
      <w:r>
        <w:rPr>
          <w:rFonts w:ascii="Times New Roman" w:cs="Times New Roman"/>
          <w:vertAlign w:val="superscript"/>
        </w:rPr>
        <w:t>2</w:t>
      </w:r>
      <w:r>
        <w:rPr>
          <w:rFonts w:ascii="Times New Roman" w:cs="Times New Roman"/>
        </w:rPr>
        <w:t>，土地整治后进行复耕。土地整治包括场地清理和整地。</w:t>
      </w:r>
    </w:p>
    <w:p>
      <w:pPr>
        <w:pStyle w:val="6"/>
        <w:ind w:firstLine="480"/>
        <w:rPr>
          <w:rFonts w:ascii="Times New Roman" w:cs="Times New Roman"/>
        </w:rPr>
      </w:pPr>
      <w:r>
        <w:rPr>
          <w:rFonts w:ascii="Times New Roman" w:cs="Times New Roman"/>
        </w:rPr>
        <w:t>场地清理：清理并收集该区域的垃圾，集中堆放，对开挖动土区域进行坑凹回填，场地平整改造，恢复利用。</w:t>
      </w:r>
    </w:p>
    <w:p>
      <w:pPr>
        <w:pStyle w:val="6"/>
        <w:ind w:firstLine="480"/>
        <w:rPr>
          <w:rFonts w:ascii="Times New Roman" w:cs="Times New Roman"/>
        </w:rPr>
      </w:pPr>
      <w:r>
        <w:rPr>
          <w:rFonts w:ascii="Times New Roman" w:cs="Times New Roman"/>
        </w:rPr>
        <w:t>整地：包括平整土地、翻地改善土壤理化性状，给植物及农作物生长尤其是根的发育创造了适宜的土壤条件。其方法和要求：先将表土翻松，再进行细平工作，局部高差较大处，进行回填，做到挖填同时进行。平整时应采取就近原则，开挖及回填时应保证表土回填前土块有足够的保水层，防止表土层底部漏水，并配合平整进行表土覆土。</w:t>
      </w:r>
    </w:p>
    <w:p>
      <w:pPr>
        <w:pStyle w:val="6"/>
        <w:ind w:firstLine="482"/>
        <w:rPr>
          <w:rFonts w:ascii="Times New Roman" w:cs="Times New Roman"/>
          <w:b/>
        </w:rPr>
      </w:pPr>
      <w:r>
        <w:rPr>
          <w:rFonts w:ascii="Times New Roman" w:cs="Times New Roman"/>
          <w:b/>
        </w:rPr>
        <w:t>2、植物措施</w:t>
      </w:r>
    </w:p>
    <w:p>
      <w:pPr>
        <w:pStyle w:val="6"/>
        <w:ind w:firstLine="480"/>
        <w:rPr>
          <w:rFonts w:ascii="Times New Roman" w:cs="Times New Roman"/>
        </w:rPr>
      </w:pPr>
      <w:r>
        <w:rPr>
          <w:rFonts w:ascii="Times New Roman" w:cs="Times New Roman"/>
        </w:rPr>
        <w:t>①撒播草籽</w:t>
      </w:r>
    </w:p>
    <w:p>
      <w:pPr>
        <w:pStyle w:val="6"/>
        <w:ind w:firstLine="480"/>
        <w:rPr>
          <w:rFonts w:ascii="Times New Roman" w:cs="Times New Roman"/>
        </w:rPr>
      </w:pPr>
      <w:r>
        <w:rPr>
          <w:rFonts w:ascii="Times New Roman" w:cs="Times New Roman"/>
        </w:rPr>
        <w:t>表土堆放过程中，对表土堆放放场堆土表面播撒草种进行临时植被恢复，播撒草种面积为约300m</w:t>
      </w:r>
      <w:r>
        <w:rPr>
          <w:rFonts w:ascii="Times New Roman" w:cs="Times New Roman"/>
          <w:vertAlign w:val="superscript"/>
        </w:rPr>
        <w:t>2</w:t>
      </w:r>
      <w:r>
        <w:rPr>
          <w:rFonts w:ascii="Times New Roman" w:cs="Times New Roman"/>
        </w:rPr>
        <w:t>，草种选用三叶草或狗牙根。</w:t>
      </w:r>
    </w:p>
    <w:p>
      <w:pPr>
        <w:pStyle w:val="6"/>
        <w:ind w:firstLine="482"/>
        <w:rPr>
          <w:rFonts w:ascii="Times New Roman" w:cs="Times New Roman"/>
          <w:b/>
        </w:rPr>
      </w:pPr>
      <w:r>
        <w:rPr>
          <w:rFonts w:ascii="Times New Roman" w:cs="Times New Roman"/>
          <w:b/>
        </w:rPr>
        <w:t>3、临时措施</w:t>
      </w:r>
    </w:p>
    <w:p>
      <w:pPr>
        <w:pStyle w:val="6"/>
        <w:ind w:firstLine="480"/>
        <w:rPr>
          <w:rFonts w:ascii="Times New Roman" w:cs="Times New Roman"/>
        </w:rPr>
      </w:pPr>
      <w:r>
        <w:rPr>
          <w:rFonts w:ascii="Times New Roman" w:cs="Times New Roman"/>
        </w:rPr>
        <w:t>对临时堆土区</w:t>
      </w:r>
      <w:r>
        <w:rPr>
          <w:rFonts w:ascii="Times New Roman" w:cs="Times New Roman"/>
          <w:lang w:val="en-GB"/>
        </w:rPr>
        <w:t>东侧设置挡墙，高度2~4.5m，</w:t>
      </w:r>
      <w:r>
        <w:rPr>
          <w:rFonts w:ascii="Times New Roman" w:cs="Times New Roman"/>
        </w:rPr>
        <w:t>长度15m</w:t>
      </w:r>
      <w:r>
        <w:rPr>
          <w:rFonts w:ascii="Times New Roman" w:cs="Times New Roman"/>
          <w:lang w:val="en-GB"/>
        </w:rPr>
        <w:t>，堆放的表土全部用于后期覆土。</w:t>
      </w:r>
    </w:p>
    <w:p>
      <w:pPr>
        <w:pStyle w:val="6"/>
        <w:ind w:firstLine="482"/>
        <w:rPr>
          <w:rFonts w:ascii="Times New Roman" w:cs="Times New Roman"/>
        </w:rPr>
      </w:pPr>
      <w:r>
        <w:rPr>
          <w:rFonts w:ascii="Times New Roman" w:cs="Times New Roman"/>
          <w:b/>
        </w:rPr>
        <w:t>7.4水土流失防治措施施工要求</w:t>
      </w:r>
    </w:p>
    <w:p>
      <w:pPr>
        <w:pStyle w:val="6"/>
        <w:ind w:firstLine="480"/>
        <w:rPr>
          <w:rFonts w:ascii="Times New Roman" w:cs="Times New Roman"/>
        </w:rPr>
      </w:pPr>
      <w:r>
        <w:rPr>
          <w:rFonts w:ascii="Times New Roman" w:cs="Times New Roman"/>
        </w:rPr>
        <w:t>水土保持工程措施和植物措施施工方法采用常规施工方法，交通不便和施工场地较狭窄区域以人工作业为主，其他施工作业时尽可能选择机械作业并辅以人工相结合。</w:t>
      </w:r>
    </w:p>
    <w:p>
      <w:pPr>
        <w:pStyle w:val="6"/>
        <w:ind w:firstLine="482"/>
        <w:rPr>
          <w:rFonts w:ascii="Times New Roman" w:cs="Times New Roman"/>
          <w:b/>
        </w:rPr>
      </w:pPr>
      <w:r>
        <w:rPr>
          <w:rFonts w:ascii="Times New Roman" w:cs="Times New Roman"/>
          <w:b/>
        </w:rPr>
        <w:t>1、土地整治工程</w:t>
      </w:r>
    </w:p>
    <w:p>
      <w:pPr>
        <w:pStyle w:val="6"/>
        <w:ind w:firstLine="480"/>
        <w:rPr>
          <w:rFonts w:ascii="Times New Roman" w:cs="Times New Roman"/>
        </w:rPr>
      </w:pPr>
      <w:r>
        <w:rPr>
          <w:rFonts w:ascii="Times New Roman" w:cs="Times New Roman"/>
        </w:rPr>
        <w:t>本项目土地整治工程主要是对临时占地施工完成后，需要回填表土并恢复原地貌土地类型，而进行的地貌平整、表层土翻松等一系列小型整治工程措施。在实施以上工程措施的同时，结合土地使用的立地条件及项目区生产建设需要，尽量采取深耕深松、增施有机肥等土壤改良措施，对防治责任范围内的耕作用地及林业用地进行改造整治，恢复原土地类型的生产力。</w:t>
      </w:r>
    </w:p>
    <w:p>
      <w:pPr>
        <w:pStyle w:val="6"/>
        <w:ind w:firstLine="482"/>
        <w:rPr>
          <w:rFonts w:ascii="Times New Roman" w:cs="Times New Roman"/>
          <w:b/>
        </w:rPr>
      </w:pPr>
      <w:r>
        <w:rPr>
          <w:rFonts w:ascii="Times New Roman" w:cs="Times New Roman"/>
          <w:b/>
        </w:rPr>
        <w:t>2、土石方开挖及回填</w:t>
      </w:r>
    </w:p>
    <w:p>
      <w:pPr>
        <w:pStyle w:val="6"/>
        <w:ind w:firstLine="480"/>
        <w:rPr>
          <w:rFonts w:ascii="Times New Roman" w:cs="Times New Roman"/>
        </w:rPr>
      </w:pPr>
      <w:r>
        <w:rPr>
          <w:rFonts w:ascii="Times New Roman" w:cs="Times New Roman"/>
        </w:rPr>
        <w:t>石方开挖采用手风钻浅孔，小范围爆破，人工开挖，开挖弃渣综合利用，土夹石开挖采用人工或机械进行。</w:t>
      </w:r>
    </w:p>
    <w:p>
      <w:pPr>
        <w:pStyle w:val="6"/>
        <w:ind w:firstLine="482"/>
        <w:rPr>
          <w:rFonts w:ascii="Times New Roman" w:cs="Times New Roman"/>
          <w:b/>
        </w:rPr>
      </w:pPr>
      <w:r>
        <w:rPr>
          <w:rFonts w:ascii="Times New Roman" w:cs="Times New Roman"/>
          <w:b/>
        </w:rPr>
        <w:t>3、林草措施布设</w:t>
      </w:r>
    </w:p>
    <w:p>
      <w:pPr>
        <w:pStyle w:val="6"/>
        <w:ind w:firstLine="480"/>
        <w:rPr>
          <w:rFonts w:ascii="Times New Roman" w:cs="Times New Roman"/>
        </w:rPr>
      </w:pPr>
      <w:r>
        <w:rPr>
          <w:rFonts w:ascii="Times New Roman" w:cs="Times New Roman"/>
        </w:rPr>
        <w:t>（1）植物种类选择</w:t>
      </w:r>
    </w:p>
    <w:p>
      <w:pPr>
        <w:pStyle w:val="6"/>
        <w:ind w:firstLine="480"/>
        <w:rPr>
          <w:rFonts w:ascii="Times New Roman" w:cs="Times New Roman"/>
        </w:rPr>
      </w:pPr>
      <w:r>
        <w:rPr>
          <w:rFonts w:ascii="Times New Roman" w:cs="Times New Roman"/>
        </w:rPr>
        <w:t>项目区地处亚热带湿润季风气候区，应选择喜湿、喜温、根系发达、固土作用强、生长迅速的植物种类。根据项目区植被分布及植被类型，尽量选用当地乡土树草种或适生树草种作为本方案的绿化树草种。</w:t>
      </w:r>
    </w:p>
    <w:p>
      <w:pPr>
        <w:pStyle w:val="6"/>
        <w:ind w:firstLine="480"/>
        <w:rPr>
          <w:rFonts w:ascii="Times New Roman" w:cs="Times New Roman"/>
        </w:rPr>
      </w:pPr>
      <w:r>
        <w:rPr>
          <w:rFonts w:ascii="Times New Roman" w:cs="Times New Roman"/>
        </w:rPr>
        <w:t>（2）种草</w:t>
      </w:r>
    </w:p>
    <w:p>
      <w:pPr>
        <w:pStyle w:val="6"/>
        <w:ind w:firstLine="480"/>
        <w:rPr>
          <w:rFonts w:ascii="Times New Roman" w:cs="Times New Roman"/>
        </w:rPr>
      </w:pPr>
      <w:r>
        <w:rPr>
          <w:rFonts w:ascii="Times New Roman" w:cs="Times New Roman"/>
        </w:rPr>
        <w:t>草本植物种植一般采用如下方式进行：</w:t>
      </w:r>
    </w:p>
    <w:p>
      <w:pPr>
        <w:pStyle w:val="6"/>
        <w:ind w:firstLine="480"/>
        <w:rPr>
          <w:rFonts w:ascii="Times New Roman" w:cs="Times New Roman"/>
        </w:rPr>
      </w:pPr>
      <w:r>
        <w:rPr>
          <w:rFonts w:ascii="Times New Roman" w:cs="Times New Roman"/>
        </w:rPr>
        <w:t>鉴于项目区水热条件较好，本项目主要采用撒播方式进行种草，草种应选用适应性强的耐热、耐湿、耐贫瘠；繁殖容易、管理方便的当地适生草种。</w:t>
      </w:r>
    </w:p>
    <w:p>
      <w:pPr>
        <w:pStyle w:val="6"/>
        <w:ind w:firstLine="480"/>
        <w:rPr>
          <w:rFonts w:ascii="Times New Roman" w:cs="Times New Roman"/>
        </w:rPr>
      </w:pPr>
      <w:r>
        <w:rPr>
          <w:rFonts w:ascii="Times New Roman" w:cs="Times New Roman"/>
        </w:rPr>
        <w:t>草籽撒播首先进行整地，耕翻土层20cm左右，清除土层中的碎石等杂物，以形成一个疏松、透气、透水等适宜草种生长的苗床。种子处理去杂、精选，保证种子质量，播种前将精选的草种浸泡24小时以利于出芽，宜在春末夏初或夏季播种，适当施有机肥或N、P、K复合肥，及时浇水、施肥。</w:t>
      </w:r>
    </w:p>
    <w:p>
      <w:pPr>
        <w:pStyle w:val="6"/>
        <w:ind w:firstLine="480"/>
        <w:rPr>
          <w:rFonts w:ascii="Times New Roman" w:cs="Times New Roman"/>
        </w:rPr>
      </w:pPr>
      <w:r>
        <w:rPr>
          <w:rFonts w:ascii="Times New Roman" w:cs="Times New Roman"/>
        </w:rPr>
        <w:t>植物措施抚育期6个月，播撒草种后植被在6个月内发挥植物措施效果。</w:t>
      </w:r>
    </w:p>
    <w:p>
      <w:pPr>
        <w:pStyle w:val="6"/>
        <w:ind w:firstLine="482"/>
        <w:rPr>
          <w:rFonts w:ascii="Times New Roman" w:cs="Times New Roman"/>
          <w:b/>
        </w:rPr>
      </w:pPr>
      <w:r>
        <w:rPr>
          <w:rFonts w:ascii="Times New Roman" w:cs="Times New Roman"/>
          <w:b/>
        </w:rPr>
        <w:t>4、临时措施实施</w:t>
      </w:r>
    </w:p>
    <w:p>
      <w:pPr>
        <w:pStyle w:val="6"/>
        <w:ind w:firstLine="480"/>
        <w:rPr>
          <w:rFonts w:ascii="Times New Roman" w:cs="Times New Roman"/>
        </w:rPr>
      </w:pPr>
      <w:r>
        <w:rPr>
          <w:rFonts w:ascii="Times New Roman" w:cs="Times New Roman"/>
        </w:rPr>
        <w:t>（1）挡墙：主要用于临时堆存表土的拦挡，具体做法为：利用挖除的土方装入编织袋中，扎紧袋口，将沙袋码放在规划堆土场地周围，上下交错码放。</w:t>
      </w:r>
    </w:p>
    <w:p>
      <w:pPr>
        <w:pStyle w:val="6"/>
        <w:ind w:firstLine="480"/>
        <w:rPr>
          <w:rFonts w:ascii="Times New Roman" w:cs="Times New Roman"/>
        </w:rPr>
      </w:pPr>
      <w:r>
        <w:rPr>
          <w:rFonts w:ascii="Times New Roman" w:cs="Times New Roman"/>
        </w:rPr>
        <w:t>（2）防雨布覆盖：将防雨布铺在堆土（或堆料）表面，并用砖石压护。</w:t>
      </w:r>
    </w:p>
    <w:p>
      <w:pPr>
        <w:pStyle w:val="4"/>
      </w:pPr>
      <w:bookmarkStart w:id="590" w:name="_Toc19816127"/>
      <w:bookmarkStart w:id="591" w:name="_Toc12288790"/>
      <w:r>
        <w:rPr>
          <w:rFonts w:eastAsia="宋体"/>
        </w:rPr>
        <w:t xml:space="preserve">8.1.3 </w:t>
      </w:r>
      <w:bookmarkEnd w:id="590"/>
      <w:bookmarkEnd w:id="591"/>
      <w:r>
        <w:rPr>
          <w:rFonts w:hint="eastAsia" w:eastAsia="宋体"/>
        </w:rPr>
        <w:t>施工期</w:t>
      </w:r>
      <w:r>
        <w:t>废气</w:t>
      </w:r>
      <w:r>
        <w:rPr>
          <w:rFonts w:hint="eastAsia" w:eastAsia="宋体"/>
          <w:lang w:val="en-US" w:eastAsia="zh-CN"/>
        </w:rPr>
        <w:t>污染</w:t>
      </w:r>
      <w:r>
        <w:t>防治措施</w:t>
      </w:r>
    </w:p>
    <w:p>
      <w:pPr>
        <w:pStyle w:val="6"/>
        <w:ind w:firstLine="480"/>
        <w:rPr>
          <w:rFonts w:ascii="Times New Roman" w:cs="Times New Roman"/>
        </w:rPr>
      </w:pPr>
      <w:r>
        <w:rPr>
          <w:rFonts w:ascii="Times New Roman" w:cs="Times New Roman"/>
        </w:rPr>
        <w:t>施工废气主要来自地面开挖和运输车辆行驶产生的扬尘、施工机械（柴油机）排放的尾气、气体钻粉尘、测试放喷废气。</w:t>
      </w:r>
    </w:p>
    <w:p>
      <w:pPr>
        <w:pStyle w:val="6"/>
        <w:ind w:firstLine="482"/>
        <w:rPr>
          <w:rFonts w:ascii="Times New Roman" w:cs="Times New Roman"/>
          <w:b/>
        </w:rPr>
      </w:pPr>
      <w:bookmarkStart w:id="592" w:name="_Toc12288791"/>
      <w:r>
        <w:rPr>
          <w:rFonts w:ascii="Times New Roman" w:cs="Times New Roman"/>
          <w:b/>
        </w:rPr>
        <w:t>（1）施工扬尘</w:t>
      </w:r>
      <w:bookmarkEnd w:id="592"/>
    </w:p>
    <w:p>
      <w:pPr>
        <w:pStyle w:val="6"/>
        <w:ind w:firstLine="480"/>
        <w:rPr>
          <w:rFonts w:ascii="Times New Roman" w:cs="Times New Roman"/>
        </w:rPr>
      </w:pPr>
      <w:r>
        <w:rPr>
          <w:rFonts w:ascii="Times New Roman" w:cs="Times New Roman"/>
        </w:rPr>
        <w:t>相比其它施工废气而言，施工扬尘是造成周围大气环境污染最严重的，根据设计资料，为减少施工工程中扬尘的产生量，拟采取如下措施：</w:t>
      </w:r>
    </w:p>
    <w:p>
      <w:pPr>
        <w:pStyle w:val="6"/>
        <w:ind w:firstLine="480"/>
        <w:rPr>
          <w:rFonts w:ascii="Times New Roman" w:cs="Times New Roman"/>
        </w:rPr>
      </w:pPr>
      <w:r>
        <w:rPr>
          <w:rFonts w:ascii="Times New Roman" w:cs="Times New Roman"/>
        </w:rPr>
        <w:t>①开挖施工过程中产生的扬尘，采用洒水车定期对作业面和土堆洒水，使其保持一定湿度，降低施工期的粉尘散发量。</w:t>
      </w:r>
    </w:p>
    <w:p>
      <w:pPr>
        <w:pStyle w:val="6"/>
        <w:ind w:firstLine="480"/>
        <w:rPr>
          <w:rFonts w:ascii="Times New Roman" w:cs="Times New Roman"/>
        </w:rPr>
      </w:pPr>
      <w:r>
        <w:rPr>
          <w:rFonts w:ascii="Times New Roman" w:cs="Times New Roman"/>
        </w:rPr>
        <w:t>②在施工现场进行合理化管理，统一堆放材料，设置专门库房堆放水泥，尽量减少搬运环节，搬运时轻举轻放，防止包装袋破裂，施工散料运输车辆应采用加盖</w:t>
      </w:r>
      <w:r>
        <w:rPr>
          <w:rFonts w:hint="eastAsia" w:ascii="Times New Roman" w:cs="Times New Roman"/>
          <w:lang w:eastAsia="zh-CN"/>
        </w:rPr>
        <w:t>篷布</w:t>
      </w:r>
      <w:r>
        <w:rPr>
          <w:rFonts w:ascii="Times New Roman" w:cs="Times New Roman"/>
        </w:rPr>
        <w:t>和湿法相结合的方式，减少扬尘对大气的污染，物料堆放时加盖</w:t>
      </w:r>
      <w:r>
        <w:rPr>
          <w:rFonts w:hint="eastAsia" w:ascii="Times New Roman" w:cs="Times New Roman"/>
          <w:lang w:eastAsia="zh-CN"/>
        </w:rPr>
        <w:t>篷布</w:t>
      </w:r>
      <w:r>
        <w:rPr>
          <w:rFonts w:ascii="Times New Roman" w:cs="Times New Roman"/>
        </w:rPr>
        <w:t>。</w:t>
      </w:r>
    </w:p>
    <w:p>
      <w:pPr>
        <w:pStyle w:val="6"/>
        <w:ind w:firstLine="480"/>
        <w:rPr>
          <w:rFonts w:ascii="Times New Roman" w:cs="Times New Roman"/>
        </w:rPr>
      </w:pPr>
      <w:r>
        <w:rPr>
          <w:rFonts w:ascii="Times New Roman" w:cs="Times New Roman"/>
        </w:rPr>
        <w:t>③当风速过大时，应停止施工作业，并对堆存的沙粉等建筑材料采取遮盖措施。</w:t>
      </w:r>
    </w:p>
    <w:p>
      <w:pPr>
        <w:pStyle w:val="6"/>
        <w:ind w:firstLine="480"/>
        <w:rPr>
          <w:rFonts w:ascii="Times New Roman" w:cs="Times New Roman"/>
        </w:rPr>
      </w:pPr>
      <w:r>
        <w:rPr>
          <w:rFonts w:ascii="Times New Roman" w:cs="Times New Roman"/>
        </w:rPr>
        <w:t>④保持运输车辆完好，不过满装载，尽量采取遮盖、密闭措施，减少沿程抛洒，及时清扫散落在路面上的泥土和建筑材料，冲洗轮胎，定时洒水压尘，减少运输过程中的扬尘。同时，在经过住户、学校附近时，应减速慢行，尽量减少粉尘对敏感点的影响。</w:t>
      </w:r>
    </w:p>
    <w:p>
      <w:pPr>
        <w:pStyle w:val="6"/>
        <w:ind w:firstLine="480"/>
        <w:rPr>
          <w:rFonts w:ascii="Times New Roman" w:cs="Times New Roman"/>
        </w:rPr>
      </w:pPr>
      <w:r>
        <w:rPr>
          <w:rFonts w:ascii="Times New Roman" w:cs="Times New Roman"/>
        </w:rPr>
        <w:t>⑤施工单位应严格遵守各级人民政府制定的建设施工管理制度，全面推行现场标准化管理，工地做到六必须（必须围挡作业、必须硬化道路、必须设置冲洗设施、必须及时洒水作业、必须落实保洁人员、必须定时清扫施工现场）；六不准（不准车辆带泥出门、不准运渣车辆冒顶装载、不准高空抛撒建筑垃圾、不准现场搅拌混凝土、不准场地积水、不准现场焚烧废弃物）。并且施工单位应严格落实本环评提出各项降尘措施。</w:t>
      </w:r>
    </w:p>
    <w:p>
      <w:pPr>
        <w:pStyle w:val="6"/>
        <w:ind w:firstLine="480"/>
        <w:rPr>
          <w:rFonts w:ascii="Times New Roman" w:cs="Times New Roman"/>
        </w:rPr>
      </w:pPr>
      <w:r>
        <w:rPr>
          <w:rFonts w:ascii="Times New Roman" w:cs="Times New Roman"/>
        </w:rPr>
        <w:t>根据达州市住房和城乡建设局《关于印发〈施工扬尘污染防治管理办法（试行）〉的通知》（达市住建发〔2018〕331号）的规定：招标文件中应明确扬尘污染防治目标要求，建设工程施工合同中应明确施工单位扬尘防治职责，并与施工单位签订扬尘防治责任书；应将建设工程施工现场扬尘污染防治费用列入工程概预算、招标文件工程量清单和施工合同，实行专款专用。</w:t>
      </w:r>
    </w:p>
    <w:p>
      <w:pPr>
        <w:pStyle w:val="6"/>
        <w:ind w:firstLine="480"/>
        <w:rPr>
          <w:rFonts w:ascii="Times New Roman" w:cs="Times New Roman"/>
        </w:rPr>
      </w:pPr>
      <w:r>
        <w:rPr>
          <w:rFonts w:ascii="Times New Roman" w:cs="Times New Roman"/>
        </w:rPr>
        <w:t>施工扬尘量随管理手段的提高而降低，如果管理措施得当，扬尘量将降低70～80%，大大减少对环境的影响。本项目在施工过程中，在落实以上措施的同时，应注意加强对施工队伍的管理，如建立施工规章制度，由通过IS014000认证的单位施工等。</w:t>
      </w:r>
    </w:p>
    <w:p>
      <w:pPr>
        <w:pStyle w:val="6"/>
        <w:ind w:firstLine="482"/>
        <w:rPr>
          <w:rFonts w:ascii="Times New Roman" w:cs="Times New Roman"/>
          <w:b/>
        </w:rPr>
      </w:pPr>
      <w:bookmarkStart w:id="593" w:name="_Toc12288793"/>
      <w:r>
        <w:rPr>
          <w:rFonts w:ascii="Times New Roman" w:cs="Times New Roman"/>
          <w:b/>
        </w:rPr>
        <w:t>（2）施工机械（柴油机）排放尾气</w:t>
      </w:r>
      <w:bookmarkEnd w:id="593"/>
    </w:p>
    <w:p>
      <w:pPr>
        <w:pStyle w:val="6"/>
        <w:ind w:firstLine="480"/>
        <w:rPr>
          <w:rFonts w:ascii="Times New Roman" w:cs="Times New Roman"/>
        </w:rPr>
      </w:pPr>
      <w:bookmarkStart w:id="594" w:name="_Hlk41407154"/>
      <w:r>
        <w:rPr>
          <w:rFonts w:ascii="Times New Roman" w:cs="Times New Roman"/>
        </w:rPr>
        <w:t>对于施工机械（柴油机）排放的尾气，污染源本身排放量较小，并具有间歇性和短期性，</w:t>
      </w:r>
      <w:bookmarkStart w:id="595" w:name="_Hlk41462172"/>
      <w:r>
        <w:rPr>
          <w:rFonts w:ascii="Times New Roman" w:cs="Times New Roman"/>
        </w:rPr>
        <w:t>施工过程中应加强大型施工机械和车辆管理，工程承包商的机械设备应配备相应的消烟除尘设备</w:t>
      </w:r>
      <w:bookmarkEnd w:id="595"/>
      <w:r>
        <w:rPr>
          <w:rFonts w:ascii="Times New Roman" w:cs="Times New Roman"/>
        </w:rPr>
        <w:t>；定期检查、维修，确保施工机械和车辆各项环保指标符合尾气排放要求；应采用优质、污染小的燃油，因此不会对周围环境造成很大的污染。</w:t>
      </w:r>
    </w:p>
    <w:p>
      <w:pPr>
        <w:pStyle w:val="6"/>
        <w:ind w:firstLine="482"/>
        <w:rPr>
          <w:rFonts w:ascii="Times New Roman" w:cs="Times New Roman"/>
          <w:b/>
        </w:rPr>
      </w:pPr>
      <w:r>
        <w:rPr>
          <w:rFonts w:ascii="Times New Roman" w:cs="Times New Roman"/>
          <w:b/>
        </w:rPr>
        <w:t>（3）气体钻粉尘</w:t>
      </w:r>
    </w:p>
    <w:p>
      <w:pPr>
        <w:pStyle w:val="6"/>
        <w:ind w:firstLine="480"/>
        <w:rPr>
          <w:rFonts w:ascii="Times New Roman" w:cs="Times New Roman"/>
          <w:bCs/>
        </w:rPr>
      </w:pPr>
      <w:r>
        <w:rPr>
          <w:rFonts w:ascii="Times New Roman" w:cs="Times New Roman"/>
        </w:rPr>
        <w:t>对于本项目</w:t>
      </w:r>
      <w:r>
        <w:rPr>
          <w:rFonts w:ascii="Times New Roman" w:cs="Times New Roman"/>
          <w:bCs/>
        </w:rPr>
        <w:t>使用气体钻时会返出一定量的粉尘，从而导致周围空气粉尘量增加。本项目在气体钻的排屑管处喷淋降尘，同时产生的污水及泥砂进入清洁化操作平台处理。由于产生的粉尘量小，因此对周围环境影响较小。</w:t>
      </w:r>
    </w:p>
    <w:p>
      <w:pPr>
        <w:pStyle w:val="6"/>
        <w:ind w:firstLine="482"/>
        <w:rPr>
          <w:rFonts w:ascii="Times New Roman" w:cs="Times New Roman"/>
          <w:b/>
          <w:bCs/>
        </w:rPr>
      </w:pPr>
      <w:r>
        <w:rPr>
          <w:rFonts w:ascii="Times New Roman" w:cs="Times New Roman"/>
          <w:b/>
          <w:bCs/>
        </w:rPr>
        <w:t>（4）测试放喷废气</w:t>
      </w:r>
    </w:p>
    <w:p>
      <w:pPr>
        <w:pStyle w:val="6"/>
        <w:ind w:firstLine="480"/>
        <w:rPr>
          <w:rFonts w:ascii="Times New Roman" w:cs="Times New Roman"/>
          <w:bCs/>
        </w:rPr>
      </w:pPr>
      <w:r>
        <w:rPr>
          <w:rFonts w:ascii="Times New Roman" w:cs="Times New Roman"/>
          <w:bCs/>
        </w:rPr>
        <w:t>本项目测试放喷通过专用的放喷管线将天然气引至放喷池进行点火燃烧，放喷池周围设置3面挡墙，高度3.</w:t>
      </w:r>
      <w:r>
        <w:rPr>
          <w:rFonts w:ascii="Times New Roman" w:cs="Times New Roman"/>
        </w:rPr>
        <w:t>5m</w:t>
      </w:r>
      <w:r>
        <w:rPr>
          <w:rFonts w:ascii="Times New Roman" w:cs="Times New Roman"/>
          <w:bCs/>
        </w:rPr>
        <w:t>，可有效减小热辐射对测试区周围植被的灼伤。放喷池周边植被主要为农作物及少量的杂草，均为常见植被，周围地势空旷便于燃烧热值扩散，一般情况下，放喷对植被的影响可自行恢复。测试放喷对放喷口周围植被产生的灼烧影响是暂时的，可逆的，测试完后一定时间内可恢复。并且在放喷测试前已对放喷池周围植被进行清理，因此测试放喷热污染不会影响到清理范围外的植被。</w:t>
      </w:r>
    </w:p>
    <w:p>
      <w:pPr>
        <w:pStyle w:val="6"/>
        <w:ind w:firstLine="480"/>
        <w:rPr>
          <w:rFonts w:ascii="Times New Roman" w:cs="Times New Roman"/>
          <w:bCs/>
        </w:rPr>
      </w:pPr>
      <w:r>
        <w:rPr>
          <w:rFonts w:ascii="Times New Roman" w:cs="Times New Roman"/>
          <w:bCs/>
        </w:rPr>
        <w:t>本项目测试放喷在昼间进行，且时间较短（类比同类钻井，一般测试时间为1d～2d，每次4h～6h），燃烧后主要污染物为SO</w:t>
      </w:r>
      <w:r>
        <w:rPr>
          <w:rFonts w:ascii="Times New Roman" w:cs="Times New Roman"/>
          <w:bCs/>
          <w:vertAlign w:val="subscript"/>
        </w:rPr>
        <w:t>2</w:t>
      </w:r>
      <w:r>
        <w:rPr>
          <w:rFonts w:ascii="Times New Roman" w:cs="Times New Roman"/>
          <w:bCs/>
        </w:rPr>
        <w:t>。测试放喷所产生的污染物产生量较小，并将随测试放喷的结束而消除，</w:t>
      </w:r>
      <w:r>
        <w:rPr>
          <w:rFonts w:ascii="Times New Roman" w:cs="Times New Roman"/>
          <w:kern w:val="2"/>
        </w:rPr>
        <w:t>测试放喷之前，须临时疏散</w:t>
      </w:r>
      <w:r>
        <w:rPr>
          <w:rFonts w:hint="eastAsia" w:ascii="Times New Roman" w:cs="Times New Roman"/>
          <w:kern w:val="2"/>
        </w:rPr>
        <w:t>井口周边</w:t>
      </w:r>
      <w:r>
        <w:rPr>
          <w:rFonts w:ascii="Times New Roman" w:cs="Times New Roman"/>
          <w:kern w:val="2"/>
        </w:rPr>
        <w:t>的居民，</w:t>
      </w:r>
      <w:r>
        <w:rPr>
          <w:rFonts w:ascii="Times New Roman" w:cs="Times New Roman"/>
          <w:bCs/>
        </w:rPr>
        <w:t>故对环境空气影响较小。</w:t>
      </w:r>
    </w:p>
    <w:bookmarkEnd w:id="594"/>
    <w:p>
      <w:pPr>
        <w:pStyle w:val="4"/>
        <w:rPr>
          <w:rFonts w:eastAsia="宋体"/>
        </w:rPr>
      </w:pPr>
      <w:bookmarkStart w:id="596" w:name="_Toc12288794"/>
      <w:r>
        <w:rPr>
          <w:rFonts w:hint="eastAsia" w:eastAsia="宋体"/>
        </w:rPr>
        <w:t>8.1.4施工期</w:t>
      </w:r>
      <w:r>
        <w:rPr>
          <w:rFonts w:eastAsia="宋体"/>
        </w:rPr>
        <w:t>废水</w:t>
      </w:r>
      <w:r>
        <w:rPr>
          <w:rFonts w:hint="eastAsia" w:eastAsia="宋体"/>
          <w:lang w:val="en-US" w:eastAsia="zh-CN"/>
        </w:rPr>
        <w:t>污</w:t>
      </w:r>
      <w:r>
        <w:rPr>
          <w:rFonts w:eastAsia="宋体"/>
        </w:rPr>
        <w:t>染防治措施</w:t>
      </w:r>
      <w:bookmarkEnd w:id="596"/>
    </w:p>
    <w:p>
      <w:pPr>
        <w:pStyle w:val="6"/>
        <w:ind w:firstLine="480"/>
        <w:rPr>
          <w:rFonts w:ascii="Times New Roman" w:cs="Times New Roman"/>
        </w:rPr>
      </w:pPr>
      <w:r>
        <w:rPr>
          <w:rFonts w:ascii="Times New Roman" w:cs="Times New Roman"/>
        </w:rPr>
        <w:t>施工期废水主要来自施工人员在施工作业中产生的生活污水、井场施工废水、初期雨水、钻井废水、压裂、洗井废水。</w:t>
      </w:r>
    </w:p>
    <w:p>
      <w:pPr>
        <w:pStyle w:val="6"/>
        <w:ind w:firstLine="482"/>
        <w:rPr>
          <w:rFonts w:ascii="Times New Roman" w:cs="Times New Roman"/>
          <w:b/>
        </w:rPr>
      </w:pPr>
      <w:bookmarkStart w:id="597" w:name="_Toc12288795"/>
      <w:r>
        <w:rPr>
          <w:rFonts w:ascii="Times New Roman" w:cs="Times New Roman"/>
          <w:b/>
        </w:rPr>
        <w:t>（1）生活污水</w:t>
      </w:r>
      <w:bookmarkEnd w:id="597"/>
    </w:p>
    <w:p>
      <w:pPr>
        <w:pStyle w:val="6"/>
        <w:ind w:firstLine="480"/>
        <w:rPr>
          <w:rFonts w:ascii="Times New Roman" w:cs="Times New Roman"/>
        </w:rPr>
      </w:pPr>
      <w:r>
        <w:rPr>
          <w:rFonts w:ascii="Times New Roman" w:cs="Times New Roman"/>
        </w:rPr>
        <w:t>本项目施工期不单独设置施工营地，</w:t>
      </w:r>
      <w:r>
        <w:rPr>
          <w:rFonts w:ascii="Times New Roman" w:cs="Times New Roman"/>
          <w:spacing w:val="-8"/>
          <w:szCs w:val="21"/>
        </w:rPr>
        <w:t>井场施工</w:t>
      </w:r>
      <w:r>
        <w:rPr>
          <w:rFonts w:hint="eastAsia" w:ascii="Times New Roman" w:cs="Times New Roman"/>
          <w:spacing w:val="-8"/>
          <w:szCs w:val="21"/>
          <w:lang w:eastAsia="zh-CN"/>
        </w:rPr>
        <w:t>人员</w:t>
      </w:r>
      <w:r>
        <w:rPr>
          <w:rFonts w:ascii="Times New Roman" w:cs="Times New Roman"/>
          <w:spacing w:val="-8"/>
          <w:szCs w:val="21"/>
        </w:rPr>
        <w:t>生活污水依托经</w:t>
      </w:r>
      <w:r>
        <w:rPr>
          <w:rFonts w:ascii="Times New Roman" w:cs="Times New Roman"/>
          <w:bCs/>
          <w:spacing w:val="-8"/>
          <w:szCs w:val="21"/>
        </w:rPr>
        <w:t>生态环保厕所收集处理</w:t>
      </w:r>
      <w:r>
        <w:rPr>
          <w:rFonts w:ascii="Times New Roman" w:cs="Times New Roman"/>
        </w:rPr>
        <w:t>后，用作周边农肥，不外排；员工洗澡、食堂废水经单独收集后拉运至普光镇场镇污水处理厂处理。</w:t>
      </w:r>
    </w:p>
    <w:p>
      <w:pPr>
        <w:pStyle w:val="6"/>
        <w:ind w:firstLine="480"/>
        <w:rPr>
          <w:rFonts w:ascii="Times New Roman" w:cs="Times New Roman"/>
        </w:rPr>
      </w:pPr>
      <w:r>
        <w:rPr>
          <w:rFonts w:ascii="Times New Roman" w:cs="Times New Roman"/>
        </w:rPr>
        <w:t>项目施工期短，产生量小，生活污水经上述措施处理完全可行、有效。</w:t>
      </w:r>
    </w:p>
    <w:p>
      <w:pPr>
        <w:pStyle w:val="6"/>
        <w:ind w:firstLine="482"/>
        <w:rPr>
          <w:rFonts w:ascii="Times New Roman" w:cs="Times New Roman"/>
          <w:b/>
        </w:rPr>
      </w:pPr>
      <w:r>
        <w:rPr>
          <w:rFonts w:ascii="Times New Roman" w:cs="Times New Roman"/>
          <w:b/>
        </w:rPr>
        <w:t>（2）井场施工废水</w:t>
      </w:r>
    </w:p>
    <w:p>
      <w:pPr>
        <w:pStyle w:val="6"/>
        <w:ind w:firstLine="480"/>
        <w:rPr>
          <w:rFonts w:ascii="Times New Roman" w:cs="Times New Roman"/>
        </w:rPr>
      </w:pPr>
      <w:r>
        <w:rPr>
          <w:rFonts w:ascii="Times New Roman" w:cs="Times New Roman"/>
        </w:rPr>
        <w:t>井场施工废水经沉淀后回用洒水，禁止未经处理直接外排。</w:t>
      </w:r>
    </w:p>
    <w:p>
      <w:pPr>
        <w:pStyle w:val="6"/>
        <w:ind w:firstLine="482"/>
        <w:rPr>
          <w:rFonts w:ascii="Times New Roman" w:cs="Times New Roman"/>
          <w:b/>
        </w:rPr>
      </w:pPr>
      <w:r>
        <w:rPr>
          <w:rFonts w:ascii="Times New Roman" w:cs="Times New Roman"/>
          <w:b/>
        </w:rPr>
        <w:t>（3）初期雨水</w:t>
      </w:r>
    </w:p>
    <w:p>
      <w:pPr>
        <w:pStyle w:val="6"/>
        <w:ind w:firstLine="480"/>
        <w:rPr>
          <w:rFonts w:ascii="Times New Roman" w:cs="Times New Roman"/>
        </w:rPr>
      </w:pPr>
      <w:r>
        <w:rPr>
          <w:rFonts w:ascii="Times New Roman" w:cs="Times New Roman"/>
        </w:rPr>
        <w:t>井场内四周设排水边沟，井场雨水随四周排水边沟汇至排放口，排放口设监控池，初期雨水收集进入清洁化操作平台，与钻井废水一同经清洁化操作平台处理后由罐车拉运至毛开1井回注标准后回注，不外排。</w:t>
      </w:r>
    </w:p>
    <w:p>
      <w:pPr>
        <w:pStyle w:val="6"/>
        <w:ind w:firstLine="482"/>
        <w:rPr>
          <w:rFonts w:ascii="Times New Roman" w:cs="Times New Roman"/>
          <w:b/>
        </w:rPr>
      </w:pPr>
      <w:r>
        <w:rPr>
          <w:rFonts w:ascii="Times New Roman" w:cs="Times New Roman"/>
          <w:b/>
        </w:rPr>
        <w:t>（4）钻井废水</w:t>
      </w:r>
    </w:p>
    <w:p>
      <w:pPr>
        <w:pStyle w:val="6"/>
        <w:ind w:firstLine="480"/>
        <w:rPr>
          <w:rFonts w:ascii="Times New Roman" w:cs="Times New Roman"/>
        </w:rPr>
      </w:pPr>
      <w:r>
        <w:rPr>
          <w:rFonts w:ascii="Times New Roman" w:cs="Times New Roman"/>
        </w:rPr>
        <w:t>钻井废水经清洁化操作平台预处理后达到毛开1井回注标准后，拉运至毛开1井回注。</w:t>
      </w:r>
    </w:p>
    <w:p>
      <w:pPr>
        <w:pStyle w:val="6"/>
        <w:ind w:firstLine="482"/>
        <w:rPr>
          <w:rFonts w:ascii="Times New Roman" w:cs="Times New Roman"/>
          <w:b/>
        </w:rPr>
      </w:pPr>
      <w:r>
        <w:rPr>
          <w:rFonts w:ascii="Times New Roman" w:cs="Times New Roman"/>
          <w:b/>
        </w:rPr>
        <w:t>（5）压裂、洗井废水</w:t>
      </w:r>
    </w:p>
    <w:p>
      <w:pPr>
        <w:pStyle w:val="6"/>
        <w:ind w:firstLine="480"/>
        <w:rPr>
          <w:rFonts w:ascii="Times New Roman" w:cs="Times New Roman"/>
        </w:rPr>
      </w:pPr>
      <w:r>
        <w:rPr>
          <w:rFonts w:hint="eastAsia" w:ascii="Times New Roman" w:cs="Times New Roman"/>
          <w:lang w:eastAsia="zh-CN"/>
        </w:rPr>
        <w:t>压裂废水和洗井废水</w:t>
      </w:r>
      <w:r>
        <w:rPr>
          <w:rFonts w:ascii="Times New Roman" w:cs="Times New Roman"/>
        </w:rPr>
        <w:t>暂存于</w:t>
      </w:r>
      <w:r>
        <w:rPr>
          <w:rFonts w:hint="eastAsia" w:ascii="Times New Roman" w:cs="Times New Roman"/>
        </w:rPr>
        <w:t>废水池</w:t>
      </w:r>
      <w:r>
        <w:rPr>
          <w:rFonts w:ascii="Times New Roman" w:cs="Times New Roman"/>
        </w:rPr>
        <w:t>，装车拉运至大湾403污水站处理达标后管输至毛开1井回注站回注。</w:t>
      </w:r>
    </w:p>
    <w:p>
      <w:pPr>
        <w:pStyle w:val="4"/>
        <w:rPr>
          <w:rFonts w:eastAsia="宋体"/>
        </w:rPr>
      </w:pPr>
      <w:bookmarkStart w:id="598" w:name="_Toc12288797"/>
      <w:r>
        <w:rPr>
          <w:rFonts w:hint="eastAsia" w:eastAsia="宋体"/>
        </w:rPr>
        <w:t>8.1.5施工期</w:t>
      </w:r>
      <w:r>
        <w:rPr>
          <w:rFonts w:eastAsia="宋体"/>
        </w:rPr>
        <w:t>固体废物</w:t>
      </w:r>
      <w:r>
        <w:rPr>
          <w:rFonts w:hint="eastAsia" w:eastAsia="宋体"/>
          <w:lang w:val="en-US" w:eastAsia="zh-CN"/>
        </w:rPr>
        <w:t>污</w:t>
      </w:r>
      <w:r>
        <w:rPr>
          <w:rFonts w:eastAsia="宋体"/>
        </w:rPr>
        <w:t>染防治措施</w:t>
      </w:r>
      <w:bookmarkEnd w:id="598"/>
    </w:p>
    <w:p>
      <w:pPr>
        <w:pStyle w:val="6"/>
        <w:ind w:firstLine="480"/>
        <w:rPr>
          <w:rFonts w:ascii="Times New Roman" w:cs="Times New Roman"/>
        </w:rPr>
      </w:pPr>
      <w:r>
        <w:rPr>
          <w:rFonts w:ascii="Times New Roman" w:cs="Times New Roman"/>
        </w:rPr>
        <w:t>施工期产生的固体废物主要为生活垃圾、土石方、钻井岩屑、废泥浆、废油等。</w:t>
      </w:r>
    </w:p>
    <w:p>
      <w:pPr>
        <w:pStyle w:val="6"/>
        <w:ind w:firstLine="482"/>
        <w:rPr>
          <w:rFonts w:ascii="Times New Roman" w:cs="Times New Roman"/>
          <w:b/>
          <w:bCs/>
        </w:rPr>
      </w:pPr>
      <w:bookmarkStart w:id="599" w:name="_Toc12288798"/>
      <w:r>
        <w:rPr>
          <w:rFonts w:hint="eastAsia" w:ascii="Times New Roman" w:cs="Times New Roman"/>
          <w:b/>
          <w:bCs/>
        </w:rPr>
        <w:t>1、</w:t>
      </w:r>
      <w:r>
        <w:rPr>
          <w:rFonts w:ascii="Times New Roman" w:cs="Times New Roman"/>
          <w:b/>
          <w:bCs/>
        </w:rPr>
        <w:t>生活垃圾</w:t>
      </w:r>
      <w:bookmarkEnd w:id="599"/>
    </w:p>
    <w:p>
      <w:pPr>
        <w:pStyle w:val="6"/>
        <w:ind w:firstLine="480"/>
        <w:rPr>
          <w:rFonts w:ascii="Times New Roman" w:cs="Times New Roman"/>
        </w:rPr>
      </w:pPr>
      <w:r>
        <w:rPr>
          <w:rFonts w:ascii="Times New Roman" w:cs="Times New Roman"/>
        </w:rPr>
        <w:t>施工期产生的生活垃圾经垃圾收集设施收集，统一按当地环卫部门要求处置。本次环评要求：在河流周围200m范围内不得随意向河流倾倒生活垃圾等固体废物。</w:t>
      </w:r>
    </w:p>
    <w:p>
      <w:pPr>
        <w:pStyle w:val="6"/>
        <w:ind w:firstLine="482"/>
        <w:rPr>
          <w:rFonts w:ascii="Times New Roman" w:cs="Times New Roman"/>
          <w:b/>
          <w:bCs/>
        </w:rPr>
      </w:pPr>
      <w:r>
        <w:rPr>
          <w:rFonts w:hint="eastAsia" w:ascii="Times New Roman" w:cs="Times New Roman"/>
          <w:b/>
          <w:bCs/>
        </w:rPr>
        <w:t>2、</w:t>
      </w:r>
      <w:r>
        <w:rPr>
          <w:rFonts w:ascii="Times New Roman" w:cs="Times New Roman"/>
          <w:b/>
          <w:bCs/>
        </w:rPr>
        <w:t>土石方</w:t>
      </w:r>
    </w:p>
    <w:p>
      <w:pPr>
        <w:pStyle w:val="6"/>
        <w:ind w:firstLine="480"/>
        <w:rPr>
          <w:rFonts w:ascii="Times New Roman" w:cs="Times New Roman"/>
        </w:rPr>
      </w:pPr>
      <w:r>
        <w:rPr>
          <w:rFonts w:ascii="Times New Roman" w:cs="Times New Roman"/>
        </w:rPr>
        <w:t xml:space="preserve">施工过程土石方挖填平衡，无外运弃渣，不设置弃渣场。 </w:t>
      </w:r>
    </w:p>
    <w:p>
      <w:pPr>
        <w:pStyle w:val="6"/>
        <w:ind w:firstLine="482"/>
        <w:rPr>
          <w:rFonts w:ascii="Times New Roman" w:cs="Times New Roman"/>
          <w:b/>
        </w:rPr>
      </w:pPr>
      <w:r>
        <w:rPr>
          <w:rFonts w:hint="eastAsia" w:ascii="Times New Roman" w:cs="Times New Roman"/>
          <w:b/>
        </w:rPr>
        <w:t>3、</w:t>
      </w:r>
      <w:r>
        <w:rPr>
          <w:rFonts w:ascii="Times New Roman" w:cs="Times New Roman"/>
          <w:b/>
        </w:rPr>
        <w:t>钻井岩屑</w:t>
      </w:r>
    </w:p>
    <w:p>
      <w:pPr>
        <w:pStyle w:val="6"/>
        <w:ind w:firstLine="480"/>
        <w:rPr>
          <w:rFonts w:ascii="Times New Roman" w:cs="Times New Roman"/>
        </w:rPr>
      </w:pPr>
      <w:r>
        <w:rPr>
          <w:rFonts w:ascii="Times New Roman" w:cs="Times New Roman"/>
        </w:rPr>
        <w:t>钻井岩屑治理措施按两种情况进行分析。</w:t>
      </w:r>
    </w:p>
    <w:p>
      <w:pPr>
        <w:pStyle w:val="6"/>
        <w:ind w:firstLine="480"/>
        <w:rPr>
          <w:rFonts w:ascii="Times New Roman" w:cs="Times New Roman"/>
        </w:rPr>
      </w:pPr>
      <w:r>
        <w:rPr>
          <w:rFonts w:ascii="Times New Roman" w:cs="Times New Roman"/>
        </w:rPr>
        <w:t>（1）一~三开井段均采用水基钻井液</w:t>
      </w:r>
    </w:p>
    <w:p>
      <w:pPr>
        <w:pStyle w:val="6"/>
        <w:ind w:firstLine="480"/>
        <w:rPr>
          <w:rFonts w:ascii="Times New Roman" w:cs="Times New Roman"/>
        </w:rPr>
      </w:pPr>
      <w:r>
        <w:rPr>
          <w:rFonts w:ascii="Times New Roman" w:cs="Times New Roman"/>
        </w:rPr>
        <w:t>本项目采取清洁化操作平台，空气钻岩屑及时拉运填埋处理，废泥浆和与常规钻产生的岩屑采用清洁化操作平台，并采取泥浆不落地措施，待项目完成后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w:t>
      </w:r>
    </w:p>
    <w:p>
      <w:pPr>
        <w:pStyle w:val="553"/>
        <w:spacing w:line="360" w:lineRule="auto"/>
        <w:ind w:firstLine="480"/>
        <w:rPr>
          <w:rFonts w:ascii="Times New Roman" w:hAnsi="Times New Roman"/>
        </w:rPr>
      </w:pPr>
      <w:r>
        <w:rPr>
          <w:rFonts w:ascii="Times New Roman" w:hAnsi="Times New Roman"/>
        </w:rPr>
        <w:t>（2）三开井段采用白油基钻井液</w:t>
      </w:r>
    </w:p>
    <w:p>
      <w:pPr>
        <w:pStyle w:val="553"/>
        <w:spacing w:line="360" w:lineRule="auto"/>
        <w:ind w:firstLine="480"/>
        <w:rPr>
          <w:rFonts w:ascii="Times New Roman" w:hAnsi="Times New Roman"/>
        </w:rPr>
      </w:pPr>
      <w:r>
        <w:rPr>
          <w:rFonts w:ascii="Times New Roman" w:hAnsi="Times New Roman"/>
        </w:rPr>
        <w:t>若封堵性聚合物润滑防塌钻井液不能满足三开井段安全钻井要求，则更换为白油基钻井液体系。本项目</w:t>
      </w:r>
      <w:r>
        <w:rPr>
          <w:rFonts w:ascii="Times New Roman" w:hAnsi="Times New Roman"/>
          <w:bCs/>
        </w:rPr>
        <w:t>采用清洁化操作平台，并采取泥浆不落地措施，</w:t>
      </w:r>
      <w:r>
        <w:rPr>
          <w:rFonts w:ascii="Times New Roman" w:hAnsi="Times New Roman"/>
        </w:rPr>
        <w:t>水基岩屑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废油基岩屑袋装后暂存于危废暂存间，面积约</w:t>
      </w:r>
      <w:r>
        <w:rPr>
          <w:rFonts w:hint="eastAsia" w:ascii="Times New Roman" w:hAnsi="Times New Roman"/>
        </w:rPr>
        <w:t>2</w:t>
      </w:r>
      <w:r>
        <w:rPr>
          <w:rFonts w:ascii="Times New Roman" w:hAnsi="Times New Roman"/>
        </w:rPr>
        <w:t>5m</w:t>
      </w:r>
      <w:r>
        <w:rPr>
          <w:rFonts w:ascii="Times New Roman" w:hAnsi="Times New Roman"/>
          <w:vertAlign w:val="superscript"/>
        </w:rPr>
        <w:t>2</w:t>
      </w:r>
      <w:r>
        <w:rPr>
          <w:rFonts w:ascii="Times New Roman" w:hAnsi="Times New Roman"/>
        </w:rPr>
        <w:t>，暂存间地面采取必要的防护措施（防风、防雨、防晒、防渗、防漏、防腐）及其他环境污染防护措施，委托有资质单位处理。</w:t>
      </w:r>
    </w:p>
    <w:p>
      <w:pPr>
        <w:pStyle w:val="114"/>
        <w:ind w:firstLine="482"/>
        <w:rPr>
          <w:b/>
          <w:bCs/>
        </w:rPr>
      </w:pPr>
      <w:r>
        <w:rPr>
          <w:rFonts w:hint="eastAsia"/>
          <w:b/>
          <w:bCs/>
        </w:rPr>
        <w:t>4、</w:t>
      </w:r>
      <w:r>
        <w:rPr>
          <w:b/>
          <w:bCs/>
        </w:rPr>
        <w:t>废泥浆</w:t>
      </w:r>
    </w:p>
    <w:p>
      <w:pPr>
        <w:pStyle w:val="553"/>
        <w:ind w:firstLine="480"/>
        <w:rPr>
          <w:rFonts w:ascii="Times New Roman" w:hAnsi="Times New Roman"/>
        </w:rPr>
      </w:pPr>
      <w:r>
        <w:rPr>
          <w:rFonts w:ascii="Times New Roman" w:hAnsi="Times New Roman"/>
        </w:rPr>
        <w:t>废泥浆治理措施按两种情况进行分析。</w:t>
      </w:r>
    </w:p>
    <w:p>
      <w:pPr>
        <w:pStyle w:val="553"/>
        <w:ind w:firstLine="480"/>
        <w:rPr>
          <w:rFonts w:ascii="Times New Roman" w:hAnsi="Times New Roman"/>
        </w:rPr>
      </w:pPr>
      <w:r>
        <w:rPr>
          <w:rFonts w:ascii="Times New Roman" w:hAnsi="Times New Roman"/>
        </w:rPr>
        <w:t>（1）一~三开井段均采用水基钻井液</w:t>
      </w:r>
    </w:p>
    <w:p>
      <w:pPr>
        <w:pStyle w:val="553"/>
        <w:spacing w:line="360" w:lineRule="auto"/>
        <w:ind w:firstLine="480"/>
        <w:rPr>
          <w:rFonts w:ascii="Times New Roman" w:hAnsi="Times New Roman"/>
        </w:rPr>
      </w:pPr>
      <w:r>
        <w:rPr>
          <w:rFonts w:ascii="Times New Roman" w:hAnsi="Times New Roman"/>
        </w:rPr>
        <w:t>废弃泥浆采用清洁化操作平台，并采取泥浆不落地措施，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w:t>
      </w:r>
    </w:p>
    <w:p>
      <w:pPr>
        <w:pStyle w:val="553"/>
        <w:ind w:firstLine="480"/>
        <w:rPr>
          <w:rFonts w:ascii="Times New Roman" w:hAnsi="Times New Roman"/>
        </w:rPr>
      </w:pPr>
      <w:r>
        <w:rPr>
          <w:rFonts w:ascii="Times New Roman" w:hAnsi="Times New Roman"/>
        </w:rPr>
        <w:t>（2）三开井段采用白油基钻井液</w:t>
      </w:r>
    </w:p>
    <w:p>
      <w:pPr>
        <w:pStyle w:val="553"/>
        <w:spacing w:line="360" w:lineRule="auto"/>
        <w:ind w:firstLine="480"/>
        <w:rPr>
          <w:rFonts w:ascii="Times New Roman" w:hAnsi="Times New Roman"/>
        </w:rPr>
      </w:pPr>
      <w:r>
        <w:rPr>
          <w:rFonts w:ascii="Times New Roman" w:hAnsi="Times New Roman"/>
        </w:rPr>
        <w:t>若封堵性聚合物润滑防塌钻井液不能满足三开井段安全钻井要求，则更换为白油基钻井液体系。本项目</w:t>
      </w:r>
      <w:r>
        <w:rPr>
          <w:rFonts w:ascii="Times New Roman" w:hAnsi="Times New Roman"/>
          <w:bCs/>
        </w:rPr>
        <w:t>采用清洁化操作平台，并采取泥浆不落地措施，</w:t>
      </w:r>
      <w:r>
        <w:rPr>
          <w:rFonts w:ascii="Times New Roman" w:hAnsi="Times New Roman"/>
        </w:rPr>
        <w:t>水基泥浆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废油基泥浆袋装后暂存于危废暂存间，面积约</w:t>
      </w:r>
      <w:r>
        <w:rPr>
          <w:rFonts w:hint="eastAsia" w:ascii="Times New Roman" w:hAnsi="Times New Roman"/>
        </w:rPr>
        <w:t>2</w:t>
      </w:r>
      <w:r>
        <w:rPr>
          <w:rFonts w:ascii="Times New Roman" w:hAnsi="Times New Roman"/>
        </w:rPr>
        <w:t>5m</w:t>
      </w:r>
      <w:r>
        <w:rPr>
          <w:rFonts w:ascii="Times New Roman" w:hAnsi="Times New Roman"/>
          <w:vertAlign w:val="superscript"/>
        </w:rPr>
        <w:t>2</w:t>
      </w:r>
      <w:r>
        <w:rPr>
          <w:rFonts w:ascii="Times New Roman" w:hAnsi="Times New Roman"/>
        </w:rPr>
        <w:t>，暂存间地面采取必要的防护措施（防风、防雨、防晒、防渗、防漏、防腐）及其他环境污染防护措施，委托有资质单位处理。</w:t>
      </w:r>
    </w:p>
    <w:p>
      <w:pPr>
        <w:pStyle w:val="114"/>
        <w:ind w:firstLine="482"/>
        <w:rPr>
          <w:b/>
          <w:bCs/>
        </w:rPr>
      </w:pPr>
      <w:r>
        <w:rPr>
          <w:rFonts w:hint="eastAsia"/>
          <w:b/>
          <w:bCs/>
        </w:rPr>
        <w:t>5、</w:t>
      </w:r>
      <w:r>
        <w:rPr>
          <w:b/>
        </w:rPr>
        <w:t>废油</w:t>
      </w:r>
    </w:p>
    <w:p>
      <w:pPr>
        <w:pStyle w:val="6"/>
        <w:ind w:firstLine="480"/>
        <w:rPr>
          <w:rFonts w:ascii="Times New Roman" w:cs="Times New Roman"/>
        </w:rPr>
      </w:pPr>
      <w:r>
        <w:rPr>
          <w:rFonts w:ascii="Times New Roman" w:cs="Times New Roman"/>
        </w:rPr>
        <w:t>钻井过程中废油暂存于危废暂存间，面积约</w:t>
      </w:r>
      <w:r>
        <w:rPr>
          <w:rFonts w:hint="eastAsia" w:ascii="Times New Roman" w:cs="Times New Roman"/>
        </w:rPr>
        <w:t>2</w:t>
      </w:r>
      <w:r>
        <w:rPr>
          <w:rFonts w:ascii="Times New Roman" w:cs="Times New Roman"/>
        </w:rPr>
        <w:t>5m</w:t>
      </w:r>
      <w:r>
        <w:rPr>
          <w:rFonts w:ascii="Times New Roman" w:cs="Times New Roman"/>
          <w:vertAlign w:val="superscript"/>
        </w:rPr>
        <w:t>2</w:t>
      </w:r>
      <w:r>
        <w:rPr>
          <w:rFonts w:ascii="Times New Roman" w:cs="Times New Roman"/>
        </w:rPr>
        <w:t>，暂存间地面采取必要的防护措施（防风、防雨、防晒、防渗、防漏、防腐）及其他环境污染防护措施，并及时清运至企业净化厂危险废物贮存仓库，定期送有资质单位处理。废油属危险废物（《国家危险废物名录》（2021年1月1日）中HW08废矿物油与含矿物油废物），由有危险废物处置资质的单位代为处置。本项目对废油的收集、贮存和运输应满足《危险废物收集 贮存运输技术规范》（HJ 2025-2012）的相关规定，建设单位做好钻井固废转移记录。</w:t>
      </w:r>
    </w:p>
    <w:p>
      <w:pPr>
        <w:pStyle w:val="4"/>
        <w:rPr>
          <w:rFonts w:eastAsia="宋体"/>
        </w:rPr>
      </w:pPr>
      <w:bookmarkStart w:id="600" w:name="_Toc12288801"/>
      <w:r>
        <w:rPr>
          <w:rFonts w:hint="eastAsia" w:eastAsia="宋体"/>
        </w:rPr>
        <w:t>8.1.6施工期</w:t>
      </w:r>
      <w:r>
        <w:rPr>
          <w:rFonts w:eastAsia="宋体"/>
        </w:rPr>
        <w:t>噪声防治措施</w:t>
      </w:r>
      <w:bookmarkEnd w:id="600"/>
    </w:p>
    <w:p>
      <w:pPr>
        <w:pStyle w:val="6"/>
        <w:ind w:firstLine="482"/>
        <w:rPr>
          <w:rFonts w:ascii="Times New Roman" w:cs="Times New Roman"/>
          <w:b/>
        </w:rPr>
      </w:pPr>
      <w:r>
        <w:rPr>
          <w:rFonts w:hint="eastAsia" w:ascii="Times New Roman" w:cs="Times New Roman"/>
          <w:b/>
        </w:rPr>
        <w:t>1、</w:t>
      </w:r>
      <w:r>
        <w:rPr>
          <w:rFonts w:ascii="Times New Roman" w:cs="Times New Roman"/>
          <w:b/>
        </w:rPr>
        <w:t>站场施工</w:t>
      </w:r>
    </w:p>
    <w:p>
      <w:pPr>
        <w:pStyle w:val="6"/>
        <w:ind w:firstLine="480"/>
        <w:rPr>
          <w:rFonts w:ascii="Times New Roman" w:cs="Times New Roman"/>
        </w:rPr>
      </w:pPr>
      <w:r>
        <w:rPr>
          <w:rFonts w:ascii="Times New Roman" w:cs="Times New Roman"/>
        </w:rPr>
        <w:t>施工期噪声源主要来自施工作业机械，如挖掘机、推土机等，其强度在85～105dB（A）。施工期拟采取如下噪声防治措施：</w:t>
      </w:r>
    </w:p>
    <w:p>
      <w:pPr>
        <w:pStyle w:val="6"/>
        <w:ind w:firstLine="480"/>
        <w:rPr>
          <w:rFonts w:ascii="Times New Roman" w:cs="Times New Roman"/>
        </w:rPr>
      </w:pPr>
      <w:r>
        <w:rPr>
          <w:rFonts w:ascii="Times New Roman" w:cs="Times New Roman"/>
        </w:rPr>
        <w:t>（1）施工单位必须选用符合国家有关标准的施工机具和运输车辆，尽量选用低噪声的施工机械和工艺，振动较大的固定机械设备应加装减振机座，同时加强各类施工设备的维护和保养，保持其良好的工况，以便从根本上降低噪声源强。</w:t>
      </w:r>
    </w:p>
    <w:p>
      <w:pPr>
        <w:pStyle w:val="6"/>
        <w:ind w:firstLine="480"/>
        <w:rPr>
          <w:rFonts w:ascii="Times New Roman" w:cs="Times New Roman"/>
        </w:rPr>
      </w:pPr>
      <w:r>
        <w:rPr>
          <w:rFonts w:ascii="Times New Roman" w:cs="Times New Roman"/>
        </w:rPr>
        <w:t>（2）在离居民区较近的地方施工，应严格执行当地政府控制规定，严禁在</w:t>
      </w:r>
      <w:r>
        <w:rPr>
          <w:rFonts w:hint="eastAsia" w:ascii="Times New Roman" w:cs="Times New Roman"/>
          <w:lang w:val="en-US" w:eastAsia="zh-CN"/>
        </w:rPr>
        <w:t>夜间</w:t>
      </w:r>
      <w:r>
        <w:rPr>
          <w:rFonts w:ascii="Times New Roman" w:cs="Times New Roman"/>
        </w:rPr>
        <w:t>10时至次日6时进行高噪声施工，夜间施工应向有关部门申请，批准后才能根据规定施工。</w:t>
      </w:r>
    </w:p>
    <w:p>
      <w:pPr>
        <w:pStyle w:val="6"/>
        <w:ind w:firstLine="480"/>
        <w:rPr>
          <w:rFonts w:ascii="Times New Roman" w:cs="Times New Roman"/>
        </w:rPr>
      </w:pPr>
      <w:r>
        <w:rPr>
          <w:rFonts w:ascii="Times New Roman" w:cs="Times New Roman"/>
        </w:rPr>
        <w:t>（3）在施工中严格控制作业时间，根据具体情况，合理安排施工时间，提高操作水平，与周围居民做好沟通工作，减少对敏感地点的影响，防止发生噪声扰民现象。</w:t>
      </w:r>
    </w:p>
    <w:p>
      <w:pPr>
        <w:pStyle w:val="6"/>
        <w:ind w:firstLine="480"/>
        <w:rPr>
          <w:rFonts w:ascii="Times New Roman" w:cs="Times New Roman"/>
        </w:rPr>
      </w:pPr>
      <w:r>
        <w:rPr>
          <w:rFonts w:ascii="Times New Roman" w:cs="Times New Roman"/>
        </w:rPr>
        <w:t>（4）运输车辆应尽可能减少鸣号，尤其是在</w:t>
      </w:r>
      <w:r>
        <w:rPr>
          <w:rFonts w:hint="eastAsia" w:ascii="Times New Roman" w:cs="Times New Roman"/>
          <w:lang w:val="en-US" w:eastAsia="zh-CN"/>
        </w:rPr>
        <w:t>夜间</w:t>
      </w:r>
      <w:r>
        <w:rPr>
          <w:rFonts w:ascii="Times New Roman" w:cs="Times New Roman"/>
        </w:rPr>
        <w:t>和午休时间。</w:t>
      </w:r>
    </w:p>
    <w:p>
      <w:pPr>
        <w:pStyle w:val="6"/>
        <w:ind w:firstLine="480"/>
        <w:rPr>
          <w:rFonts w:ascii="Times New Roman" w:cs="Times New Roman"/>
        </w:rPr>
      </w:pPr>
      <w:r>
        <w:rPr>
          <w:rFonts w:ascii="Times New Roman" w:cs="Times New Roman"/>
        </w:rPr>
        <w:t>（5）合理布局施工现场，避免在同一地点安排大量动力机械设备，以免局部声级过高。</w:t>
      </w:r>
    </w:p>
    <w:p>
      <w:pPr>
        <w:pStyle w:val="6"/>
        <w:ind w:firstLine="482"/>
        <w:rPr>
          <w:rFonts w:ascii="Times New Roman" w:cs="Times New Roman"/>
          <w:b/>
        </w:rPr>
      </w:pPr>
      <w:r>
        <w:rPr>
          <w:rFonts w:hint="eastAsia" w:ascii="Times New Roman" w:cs="Times New Roman"/>
          <w:b/>
        </w:rPr>
        <w:t>2、</w:t>
      </w:r>
      <w:r>
        <w:rPr>
          <w:rFonts w:ascii="Times New Roman" w:cs="Times New Roman"/>
          <w:b/>
        </w:rPr>
        <w:t>钻井施工</w:t>
      </w:r>
    </w:p>
    <w:p>
      <w:pPr>
        <w:pStyle w:val="6"/>
        <w:ind w:firstLine="480"/>
        <w:rPr>
          <w:rFonts w:ascii="Times New Roman" w:cs="Times New Roman"/>
        </w:rPr>
      </w:pPr>
      <w:r>
        <w:rPr>
          <w:rFonts w:ascii="Times New Roman" w:cs="Times New Roman"/>
        </w:rPr>
        <w:t>合理布置高噪声设备；选用低噪声设备</w:t>
      </w:r>
      <w:r>
        <w:rPr>
          <w:rFonts w:hint="eastAsia" w:ascii="Times New Roman" w:cs="Times New Roman"/>
          <w:lang w:val="en-US" w:eastAsia="zh-CN"/>
        </w:rPr>
        <w:t>并采用</w:t>
      </w:r>
      <w:r>
        <w:rPr>
          <w:rFonts w:ascii="Times New Roman" w:cs="Times New Roman"/>
        </w:rPr>
        <w:t>网电钻井；</w:t>
      </w:r>
      <w:r>
        <w:rPr>
          <w:rFonts w:hint="eastAsia" w:ascii="Times New Roman" w:cs="Times New Roman"/>
          <w:lang w:val="en-US" w:eastAsia="zh-CN"/>
        </w:rPr>
        <w:t>高噪声设备如</w:t>
      </w:r>
      <w:r>
        <w:rPr>
          <w:rFonts w:ascii="Times New Roman" w:cs="Times New Roman"/>
        </w:rPr>
        <w:t>泥浆泵</w:t>
      </w:r>
      <w:r>
        <w:rPr>
          <w:rFonts w:hint="eastAsia" w:ascii="Times New Roman" w:cs="Times New Roman"/>
          <w:lang w:val="en-US" w:eastAsia="zh-CN"/>
        </w:rPr>
        <w:t>等</w:t>
      </w:r>
      <w:r>
        <w:rPr>
          <w:rFonts w:ascii="Times New Roman" w:cs="Times New Roman"/>
        </w:rPr>
        <w:t>安装弹性垫料。</w:t>
      </w:r>
    </w:p>
    <w:p>
      <w:pPr>
        <w:pStyle w:val="4"/>
        <w:rPr>
          <w:rFonts w:eastAsia="宋体"/>
        </w:rPr>
      </w:pPr>
      <w:r>
        <w:rPr>
          <w:rFonts w:hint="eastAsia" w:eastAsia="宋体"/>
        </w:rPr>
        <w:t>8.1.7施工期地下水、土壤防治措施</w:t>
      </w:r>
    </w:p>
    <w:p>
      <w:pPr>
        <w:topLinePunct w:val="0"/>
        <w:ind w:firstLine="480"/>
        <w:jc w:val="left"/>
        <w:rPr>
          <w:rFonts w:ascii="Times New Roman" w:cs="Times New Roman"/>
          <w:kern w:val="2"/>
          <w:szCs w:val="22"/>
        </w:rPr>
      </w:pPr>
      <w:r>
        <w:rPr>
          <w:rFonts w:ascii="Times New Roman" w:cs="Times New Roman"/>
          <w:kern w:val="2"/>
          <w:szCs w:val="22"/>
        </w:rPr>
        <w:t>根据本工程建设对地下水环境影响的特点，本项目地下水环境污染防控措施按照“源头控制、分区防控、污染监控、应急响应”的原则进行。</w:t>
      </w:r>
    </w:p>
    <w:p>
      <w:pPr>
        <w:topLinePunct w:val="0"/>
        <w:ind w:firstLine="480"/>
        <w:jc w:val="left"/>
        <w:rPr>
          <w:rFonts w:ascii="Times New Roman" w:cs="Times New Roman"/>
          <w:kern w:val="2"/>
          <w:szCs w:val="22"/>
        </w:rPr>
      </w:pPr>
      <w:r>
        <w:rPr>
          <w:rFonts w:ascii="Times New Roman" w:cs="Times New Roman"/>
          <w:kern w:val="2"/>
          <w:szCs w:val="22"/>
        </w:rPr>
        <w:t>（1）源头控制措施</w:t>
      </w:r>
    </w:p>
    <w:p>
      <w:pPr>
        <w:topLinePunct w:val="0"/>
        <w:ind w:firstLine="480"/>
        <w:jc w:val="left"/>
        <w:rPr>
          <w:rFonts w:ascii="Times New Roman" w:cs="Times New Roman"/>
          <w:kern w:val="2"/>
          <w:szCs w:val="22"/>
        </w:rPr>
      </w:pPr>
      <w:r>
        <w:rPr>
          <w:rFonts w:ascii="Times New Roman" w:cs="Times New Roman"/>
          <w:kern w:val="2"/>
          <w:szCs w:val="22"/>
        </w:rPr>
        <w:t>主要包括实施清洁生产及各类废物循环利用，减少污染物的产生量和排放量；对工艺、管道、设备、污水储存及处理构筑物采取相应措施，防止和降低污染物跑、冒、滴、漏，将污染物泄漏的环境风险事故降到最低限度。</w:t>
      </w:r>
    </w:p>
    <w:p>
      <w:pPr>
        <w:topLinePunct w:val="0"/>
        <w:ind w:firstLine="480"/>
        <w:jc w:val="left"/>
        <w:rPr>
          <w:rFonts w:ascii="Times New Roman" w:cs="Times New Roman"/>
          <w:kern w:val="2"/>
          <w:szCs w:val="22"/>
        </w:rPr>
      </w:pPr>
      <w:r>
        <w:rPr>
          <w:rFonts w:ascii="Times New Roman" w:cs="Times New Roman"/>
          <w:kern w:val="2"/>
          <w:szCs w:val="22"/>
        </w:rPr>
        <w:t>（2）分区防渗控制措施</w:t>
      </w:r>
    </w:p>
    <w:p>
      <w:pPr>
        <w:topLinePunct w:val="0"/>
        <w:adjustRightInd/>
        <w:ind w:firstLine="480"/>
        <w:rPr>
          <w:rFonts w:ascii="Times New Roman" w:cs="Times New Roman"/>
          <w:kern w:val="2"/>
          <w:szCs w:val="22"/>
        </w:rPr>
      </w:pPr>
      <w:r>
        <w:rPr>
          <w:rFonts w:ascii="Times New Roman" w:cs="Times New Roman"/>
          <w:kern w:val="2"/>
          <w:szCs w:val="22"/>
        </w:rPr>
        <w:t>重点防渗区：主要包括泥浆储备罐区、泥浆循环系统区、清洁化生产装置区、</w:t>
      </w:r>
      <w:r>
        <w:rPr>
          <w:rFonts w:hint="eastAsia" w:ascii="Times New Roman" w:cs="Times New Roman"/>
          <w:kern w:val="2"/>
          <w:szCs w:val="22"/>
        </w:rPr>
        <w:t>危险废物暂存间</w:t>
      </w:r>
      <w:r>
        <w:rPr>
          <w:rFonts w:ascii="Times New Roman" w:cs="Times New Roman"/>
          <w:kern w:val="2"/>
          <w:szCs w:val="22"/>
        </w:rPr>
        <w:t>、废水池、油罐区、放喷池等。压裂阶段的设备布置在设备区，为重点防渗区。</w:t>
      </w:r>
    </w:p>
    <w:p>
      <w:pPr>
        <w:topLinePunct w:val="0"/>
        <w:adjustRightInd/>
        <w:ind w:firstLine="480"/>
        <w:rPr>
          <w:rFonts w:ascii="Times New Roman" w:cs="Times New Roman"/>
          <w:kern w:val="2"/>
          <w:szCs w:val="22"/>
        </w:rPr>
      </w:pPr>
      <w:r>
        <w:rPr>
          <w:rFonts w:ascii="Times New Roman" w:cs="Times New Roman"/>
          <w:kern w:val="2"/>
          <w:szCs w:val="22"/>
        </w:rPr>
        <w:t>一般防渗区：重点防渗区以外的井场区域、水基岩屑暂存区。</w:t>
      </w:r>
    </w:p>
    <w:p>
      <w:pPr>
        <w:keepNext/>
        <w:keepLines/>
        <w:ind w:firstLine="0" w:firstLineChars="0"/>
        <w:jc w:val="center"/>
        <w:rPr>
          <w:rFonts w:ascii="Times New Roman" w:cs="Times New Roman"/>
          <w:b/>
          <w:bCs/>
          <w:kern w:val="2"/>
          <w:sz w:val="21"/>
          <w:szCs w:val="28"/>
        </w:rPr>
      </w:pPr>
      <w:r>
        <w:rPr>
          <w:rFonts w:ascii="Times New Roman" w:cs="Times New Roman"/>
          <w:b/>
          <w:bCs/>
          <w:kern w:val="2"/>
          <w:sz w:val="21"/>
          <w:szCs w:val="28"/>
        </w:rPr>
        <w:t>表9.6-1  施工期分区防渗方案一览表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1948"/>
        <w:gridCol w:w="2546"/>
        <w:gridCol w:w="35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563" w:type="pct"/>
            <w:tcBorders>
              <w:tl2br w:val="nil"/>
              <w:tr2bl w:val="nil"/>
            </w:tcBorders>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分区</w:t>
            </w:r>
          </w:p>
        </w:tc>
        <w:tc>
          <w:tcPr>
            <w:tcW w:w="1081" w:type="pct"/>
            <w:tcBorders>
              <w:tl2br w:val="nil"/>
              <w:tr2bl w:val="nil"/>
            </w:tcBorders>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防渗系数</w:t>
            </w:r>
          </w:p>
        </w:tc>
        <w:tc>
          <w:tcPr>
            <w:tcW w:w="1413" w:type="pct"/>
            <w:tcBorders>
              <w:tl2br w:val="nil"/>
              <w:tr2bl w:val="nil"/>
            </w:tcBorders>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装置、单元名称</w:t>
            </w:r>
          </w:p>
        </w:tc>
        <w:tc>
          <w:tcPr>
            <w:tcW w:w="1943" w:type="pct"/>
            <w:tcBorders>
              <w:tl2br w:val="nil"/>
              <w:tr2bl w:val="nil"/>
            </w:tcBorders>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防渗措施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3" w:type="pct"/>
            <w:vMerge w:val="restar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重点防渗区</w:t>
            </w:r>
          </w:p>
        </w:tc>
        <w:tc>
          <w:tcPr>
            <w:tcW w:w="1081" w:type="pct"/>
            <w:vMerge w:val="restar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等效粘土层≥6m</w:t>
            </w:r>
          </w:p>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k≤1×10</w:t>
            </w:r>
            <w:r>
              <w:rPr>
                <w:rFonts w:ascii="Times New Roman" w:cs="Times New Roman"/>
                <w:kern w:val="2"/>
                <w:sz w:val="21"/>
                <w:szCs w:val="21"/>
                <w:vertAlign w:val="superscript"/>
              </w:rPr>
              <w:t>-7</w:t>
            </w:r>
            <w:r>
              <w:rPr>
                <w:rFonts w:ascii="Times New Roman" w:cs="Times New Roman"/>
                <w:kern w:val="2"/>
                <w:sz w:val="21"/>
                <w:szCs w:val="21"/>
              </w:rPr>
              <w:t>cm/s</w:t>
            </w:r>
          </w:p>
        </w:tc>
        <w:tc>
          <w:tcPr>
            <w:tcW w:w="1413" w:type="pct"/>
            <w:tcBorders>
              <w:tl2br w:val="nil"/>
              <w:tr2bl w:val="nil"/>
            </w:tcBorders>
            <w:vAlign w:val="center"/>
          </w:tcPr>
          <w:p>
            <w:pPr>
              <w:topLinePunct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钻井基础区、泥浆储备罐区、泥浆循环系统区、动力设备区、清洁化生产装置区、油基岩屑暂存区、废水池、油罐区、放喷池、</w:t>
            </w:r>
          </w:p>
        </w:tc>
        <w:tc>
          <w:tcPr>
            <w:tcW w:w="1943" w:type="pct"/>
            <w:tcBorders>
              <w:tl2br w:val="nil"/>
              <w:tr2bl w:val="nil"/>
            </w:tcBorders>
            <w:vAlign w:val="center"/>
          </w:tcPr>
          <w:p>
            <w:pPr>
              <w:topLinePunct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采用P8级C25混凝土层10cm防渗+C15混凝土垫层10cm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3" w:type="pct"/>
            <w:vMerge w:val="continue"/>
            <w:tcBorders>
              <w:tl2br w:val="nil"/>
              <w:tr2bl w:val="nil"/>
            </w:tcBorders>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1081" w:type="pct"/>
            <w:vMerge w:val="continue"/>
            <w:tcBorders>
              <w:tl2br w:val="nil"/>
              <w:tr2bl w:val="nil"/>
            </w:tcBorders>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1413" w:type="pct"/>
            <w:tcBorders>
              <w:tl2br w:val="nil"/>
              <w:tr2bl w:val="nil"/>
            </w:tcBorders>
            <w:vAlign w:val="center"/>
          </w:tcPr>
          <w:p>
            <w:pPr>
              <w:topLinePunct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压裂设备区</w:t>
            </w:r>
          </w:p>
        </w:tc>
        <w:tc>
          <w:tcPr>
            <w:tcW w:w="1943"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等效粘土层≥6m，设计渗透系数≤1.0×10</w:t>
            </w:r>
            <w:r>
              <w:rPr>
                <w:rFonts w:ascii="Times New Roman" w:cs="Times New Roman"/>
                <w:kern w:val="2"/>
                <w:sz w:val="21"/>
                <w:szCs w:val="21"/>
                <w:vertAlign w:val="superscript"/>
              </w:rPr>
              <w:t>-7</w:t>
            </w:r>
            <w:r>
              <w:rPr>
                <w:rFonts w:ascii="Times New Roman" w:cs="Times New Roman"/>
                <w:kern w:val="2"/>
                <w:sz w:val="21"/>
                <w:szCs w:val="21"/>
              </w:rPr>
              <w:t>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3"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一般防渗区</w:t>
            </w:r>
          </w:p>
        </w:tc>
        <w:tc>
          <w:tcPr>
            <w:tcW w:w="1081" w:type="pct"/>
            <w:tcBorders>
              <w:tl2br w:val="nil"/>
              <w:tr2bl w:val="nil"/>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等效粘土层1.5m</w:t>
            </w:r>
          </w:p>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k≤1×10</w:t>
            </w:r>
            <w:r>
              <w:rPr>
                <w:rFonts w:ascii="Times New Roman" w:cs="Times New Roman"/>
                <w:kern w:val="2"/>
                <w:sz w:val="21"/>
                <w:szCs w:val="21"/>
                <w:vertAlign w:val="superscript"/>
              </w:rPr>
              <w:t>-7</w:t>
            </w:r>
            <w:r>
              <w:rPr>
                <w:rFonts w:ascii="Times New Roman" w:cs="Times New Roman"/>
                <w:kern w:val="2"/>
                <w:sz w:val="21"/>
                <w:szCs w:val="21"/>
              </w:rPr>
              <w:t>cm/s</w:t>
            </w:r>
          </w:p>
        </w:tc>
        <w:tc>
          <w:tcPr>
            <w:tcW w:w="1413" w:type="pct"/>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ind w:firstLine="0" w:firstLineChars="0"/>
              <w:jc w:val="center"/>
              <w:rPr>
                <w:rFonts w:ascii="Times New Roman" w:cs="Times New Roman"/>
                <w:snapToGrid w:val="0"/>
                <w:sz w:val="21"/>
                <w:szCs w:val="21"/>
              </w:rPr>
            </w:pPr>
            <w:r>
              <w:rPr>
                <w:rFonts w:ascii="Times New Roman" w:cs="Times New Roman"/>
                <w:snapToGrid w:val="0"/>
                <w:sz w:val="21"/>
                <w:szCs w:val="21"/>
              </w:rPr>
              <w:t>井场区域、水基岩屑暂存区</w:t>
            </w:r>
          </w:p>
        </w:tc>
        <w:tc>
          <w:tcPr>
            <w:tcW w:w="1943" w:type="pct"/>
            <w:tcBorders>
              <w:tl2br w:val="nil"/>
              <w:tr2bl w:val="nil"/>
            </w:tcBorders>
            <w:vAlign w:val="center"/>
          </w:tcPr>
          <w:p>
            <w:pPr>
              <w:pBdr>
                <w:top w:val="none" w:color="auto" w:sz="0" w:space="1"/>
                <w:left w:val="none" w:color="auto" w:sz="0" w:space="4"/>
                <w:bottom w:val="none" w:color="auto" w:sz="0" w:space="1"/>
                <w:right w:val="none" w:color="auto" w:sz="0" w:space="4"/>
              </w:pBdr>
              <w:spacing w:line="240" w:lineRule="auto"/>
              <w:ind w:firstLine="0" w:firstLineChars="0"/>
              <w:jc w:val="center"/>
              <w:rPr>
                <w:rFonts w:ascii="Times New Roman" w:cs="Times New Roman"/>
                <w:snapToGrid w:val="0"/>
                <w:sz w:val="21"/>
                <w:szCs w:val="21"/>
              </w:rPr>
            </w:pPr>
            <w:r>
              <w:rPr>
                <w:rFonts w:ascii="Times New Roman" w:cs="Times New Roman"/>
                <w:snapToGrid w:val="0"/>
                <w:sz w:val="21"/>
                <w:szCs w:val="21"/>
              </w:rPr>
              <w:t>P6C25混凝土层10cm防渗+C15混凝土垫层10cm。</w:t>
            </w:r>
          </w:p>
        </w:tc>
      </w:tr>
    </w:tbl>
    <w:p>
      <w:pPr>
        <w:topLinePunct w:val="0"/>
        <w:ind w:firstLine="480"/>
        <w:jc w:val="left"/>
        <w:rPr>
          <w:rFonts w:ascii="Times New Roman" w:cs="Times New Roman"/>
          <w:kern w:val="2"/>
          <w:szCs w:val="22"/>
        </w:rPr>
      </w:pPr>
    </w:p>
    <w:p>
      <w:pPr>
        <w:topLinePunct w:val="0"/>
        <w:ind w:firstLine="480"/>
        <w:jc w:val="left"/>
        <w:rPr>
          <w:rFonts w:ascii="Times New Roman" w:cs="Times New Roman"/>
          <w:kern w:val="2"/>
          <w:szCs w:val="22"/>
        </w:rPr>
      </w:pPr>
      <w:r>
        <w:rPr>
          <w:rFonts w:ascii="Times New Roman" w:cs="Times New Roman"/>
          <w:kern w:val="2"/>
          <w:szCs w:val="22"/>
        </w:rPr>
        <w:t>（3）地下水环境监控措施</w:t>
      </w:r>
    </w:p>
    <w:p>
      <w:pPr>
        <w:topLinePunct w:val="0"/>
        <w:ind w:firstLine="480"/>
        <w:jc w:val="left"/>
        <w:rPr>
          <w:rFonts w:ascii="Times New Roman" w:cs="Times New Roman"/>
          <w:kern w:val="2"/>
          <w:szCs w:val="22"/>
        </w:rPr>
      </w:pPr>
      <w:r>
        <w:rPr>
          <w:rFonts w:ascii="Times New Roman" w:cs="Times New Roman"/>
          <w:kern w:val="2"/>
          <w:szCs w:val="22"/>
        </w:rPr>
        <w:t>对工程区定期进行地下水监测，以及时了解该区地下水状况，一旦发生污染，及时采取应急、补救措施，避免造成大范围的污染以至于达到无法补救的程度。</w:t>
      </w:r>
    </w:p>
    <w:p>
      <w:pPr>
        <w:topLinePunct w:val="0"/>
        <w:ind w:firstLine="480"/>
        <w:jc w:val="left"/>
        <w:rPr>
          <w:rFonts w:ascii="Times New Roman" w:cs="Times New Roman"/>
          <w:kern w:val="2"/>
        </w:rPr>
      </w:pPr>
      <w:r>
        <w:rPr>
          <w:rFonts w:ascii="Times New Roman" w:cs="Times New Roman"/>
          <w:kern w:val="2"/>
        </w:rPr>
        <w:t>（4）风险事故应急响应措施</w:t>
      </w:r>
    </w:p>
    <w:p>
      <w:pPr>
        <w:pStyle w:val="6"/>
        <w:ind w:firstLine="480"/>
        <w:rPr>
          <w:rFonts w:ascii="Times New Roman" w:cs="Times New Roman"/>
        </w:rPr>
        <w:sectPr>
          <w:headerReference r:id="rId40" w:type="first"/>
          <w:footerReference r:id="rId43" w:type="first"/>
          <w:headerReference r:id="rId38" w:type="default"/>
          <w:footerReference r:id="rId41" w:type="default"/>
          <w:headerReference r:id="rId39" w:type="even"/>
          <w:footerReference r:id="rId42" w:type="even"/>
          <w:pgSz w:w="11910" w:h="16840"/>
          <w:pgMar w:top="1417" w:right="1417" w:bottom="1417" w:left="1701" w:header="885" w:footer="1025" w:gutter="0"/>
          <w:pgBorders>
            <w:top w:val="none" w:sz="0" w:space="0"/>
            <w:left w:val="none" w:sz="0" w:space="0"/>
            <w:bottom w:val="none" w:sz="0" w:space="0"/>
            <w:right w:val="none" w:sz="0" w:space="0"/>
          </w:pgBorders>
          <w:cols w:space="720" w:num="1"/>
          <w:docGrid w:linePitch="326" w:charSpace="0"/>
        </w:sectPr>
      </w:pPr>
      <w:r>
        <w:rPr>
          <w:rFonts w:ascii="Times New Roman" w:cs="Times New Roman"/>
          <w:kern w:val="2"/>
        </w:rPr>
        <w:t>制定地下水污染应急响应预案，明确污染状况下应采取的控制污染源、切断污染途径等措施</w:t>
      </w:r>
      <w:r>
        <w:rPr>
          <w:rFonts w:hint="eastAsia" w:ascii="Times New Roman" w:cs="Times New Roman"/>
          <w:kern w:val="2"/>
        </w:rPr>
        <w:t>。</w:t>
      </w:r>
    </w:p>
    <w:p>
      <w:pPr>
        <w:pStyle w:val="3"/>
        <w:spacing w:before="120"/>
        <w:rPr>
          <w:rFonts w:cs="Times New Roman"/>
        </w:rPr>
      </w:pPr>
      <w:bookmarkStart w:id="601" w:name="bookmark73"/>
      <w:bookmarkEnd w:id="601"/>
      <w:bookmarkStart w:id="602" w:name="_Toc12288807"/>
      <w:bookmarkStart w:id="603" w:name="_Toc19816128"/>
      <w:bookmarkStart w:id="604" w:name="_Toc368"/>
      <w:r>
        <w:rPr>
          <w:rFonts w:cs="Times New Roman"/>
        </w:rPr>
        <w:t>8.2 试采期的环境保护措施</w:t>
      </w:r>
      <w:bookmarkEnd w:id="602"/>
      <w:bookmarkEnd w:id="603"/>
      <w:bookmarkEnd w:id="604"/>
    </w:p>
    <w:p>
      <w:pPr>
        <w:pStyle w:val="4"/>
        <w:rPr>
          <w:rFonts w:eastAsia="宋体"/>
        </w:rPr>
      </w:pPr>
      <w:bookmarkStart w:id="605" w:name="_Toc12288808"/>
      <w:bookmarkStart w:id="606" w:name="_Toc19816129"/>
      <w:r>
        <w:rPr>
          <w:rFonts w:eastAsia="宋体"/>
        </w:rPr>
        <w:t>8.2.1 废气防治措施</w:t>
      </w:r>
      <w:bookmarkEnd w:id="605"/>
      <w:bookmarkEnd w:id="606"/>
    </w:p>
    <w:p>
      <w:pPr>
        <w:pStyle w:val="114"/>
        <w:ind w:firstLine="482"/>
        <w:rPr>
          <w:b/>
          <w:bCs/>
        </w:rPr>
      </w:pPr>
      <w:bookmarkStart w:id="607" w:name="_Toc12288809"/>
      <w:r>
        <w:rPr>
          <w:b/>
          <w:bCs/>
        </w:rPr>
        <w:t>1、正常工况</w:t>
      </w:r>
    </w:p>
    <w:p>
      <w:pPr>
        <w:pStyle w:val="114"/>
        <w:ind w:firstLine="480"/>
      </w:pPr>
      <w:r>
        <w:t>根据本项目所提供的设计资料，本项目正常生产时，天然气处于完全密闭系统内，无废气产生和排放。</w:t>
      </w:r>
    </w:p>
    <w:p>
      <w:pPr>
        <w:pStyle w:val="114"/>
        <w:ind w:firstLine="480"/>
      </w:pPr>
      <w:r>
        <w:t>由于输气管道敷设在地下，进行密闭输送，管道进行了防腐处理，在正常情况下，不会有废气排放，不会对大气环境造成不利影响。</w:t>
      </w:r>
    </w:p>
    <w:p>
      <w:pPr>
        <w:pStyle w:val="114"/>
        <w:ind w:firstLine="480"/>
      </w:pPr>
      <w:r>
        <w:t>本项目不设水套炉，依托P108集气站水套炉，燃料气为经燃气返输管线返输净化后天然气，废气主要为氮氧化物，利用水套炉自带的8m高排气筒外排。</w:t>
      </w:r>
    </w:p>
    <w:p>
      <w:pPr>
        <w:pStyle w:val="114"/>
        <w:ind w:firstLine="482"/>
        <w:rPr>
          <w:b/>
          <w:bCs/>
        </w:rPr>
      </w:pPr>
      <w:r>
        <w:rPr>
          <w:b/>
          <w:bCs/>
        </w:rPr>
        <w:t>2、非正常工况</w:t>
      </w:r>
    </w:p>
    <w:p>
      <w:pPr>
        <w:pStyle w:val="114"/>
        <w:ind w:firstLine="480"/>
      </w:pPr>
      <w:r>
        <w:t>项目非正常工况下，在事故或检修放空期间会产生放空废气，事故或检修放空次数极少，发生的频率约为1次/年，每次持续时间约1h。排放的废气经新建放空火炬燃烧后排放。事故或检修放空时产生的污染物绝对量很低，加之各站外环境较为空旷、有利于废气扩散，放空时疏散附近的居民，对大气环境影响小。</w:t>
      </w:r>
    </w:p>
    <w:p>
      <w:pPr>
        <w:pStyle w:val="114"/>
        <w:ind w:firstLine="480"/>
      </w:pPr>
      <w:r>
        <w:t>当管线发生破裂事故，其泄漏的天然气进行大气环境中，会对大气环境造成一定的影响，但是泄漏事故发生概率较小，泄漏量较少，泄漏时间较短，若发生泄漏，及时疏散附近的居民，不会对大气环境造成严重不利影响。</w:t>
      </w:r>
    </w:p>
    <w:bookmarkEnd w:id="607"/>
    <w:p>
      <w:pPr>
        <w:pStyle w:val="4"/>
        <w:rPr>
          <w:rFonts w:eastAsia="宋体"/>
        </w:rPr>
      </w:pPr>
      <w:bookmarkStart w:id="608" w:name="_Toc19816130"/>
      <w:bookmarkStart w:id="609" w:name="_Toc12288811"/>
      <w:r>
        <w:rPr>
          <w:rFonts w:eastAsia="宋体"/>
        </w:rPr>
        <w:t>8.2.2 废水防治措施</w:t>
      </w:r>
      <w:bookmarkEnd w:id="608"/>
      <w:bookmarkEnd w:id="609"/>
    </w:p>
    <w:p>
      <w:pPr>
        <w:pStyle w:val="114"/>
        <w:ind w:firstLine="480"/>
      </w:pPr>
      <w:r>
        <w:t>本项目站场为无人值守集气站，人员依托P108集气站，试采期无生活污水产生。</w:t>
      </w:r>
    </w:p>
    <w:p>
      <w:pPr>
        <w:pStyle w:val="114"/>
        <w:ind w:firstLine="480"/>
      </w:pPr>
      <w:r>
        <w:rPr>
          <w:szCs w:val="22"/>
        </w:rPr>
        <w:t>本项目试采期</w:t>
      </w:r>
      <w:r>
        <w:rPr>
          <w:rFonts w:hint="eastAsia"/>
          <w:szCs w:val="22"/>
        </w:rPr>
        <w:t>产生的气田水经酸液缓冲罐收集</w:t>
      </w:r>
      <w:r>
        <w:rPr>
          <w:szCs w:val="22"/>
        </w:rPr>
        <w:t>，然后通过密闭罐车拉运至大湾403污水站处理达到《气田水回注方法》（SY/T 6596-2016）中注入水基本要求后管输至毛开1井回注站回注处理，不外排</w:t>
      </w:r>
      <w:r>
        <w:t>。</w:t>
      </w:r>
    </w:p>
    <w:p>
      <w:pPr>
        <w:pStyle w:val="4"/>
        <w:rPr>
          <w:rFonts w:eastAsia="宋体"/>
        </w:rPr>
      </w:pPr>
      <w:bookmarkStart w:id="610" w:name="_Toc12288812"/>
      <w:bookmarkStart w:id="611" w:name="_Toc19816131"/>
      <w:r>
        <w:rPr>
          <w:rFonts w:eastAsia="宋体"/>
        </w:rPr>
        <w:t>8.2.3 声环境防治措施</w:t>
      </w:r>
      <w:bookmarkEnd w:id="610"/>
      <w:bookmarkEnd w:id="611"/>
    </w:p>
    <w:p>
      <w:pPr>
        <w:pStyle w:val="114"/>
        <w:ind w:firstLine="480"/>
      </w:pPr>
      <w:bookmarkStart w:id="612" w:name="_Toc12288813"/>
      <w:bookmarkStart w:id="613" w:name="_Toc19816132"/>
      <w:r>
        <w:t>本项目依托输气管道采用埋地敷设，在正常生产过程中不会产生噪声污染。本项目站场选址远离集中居民区，合理布局，控制气体流速，并在工艺设计中考虑减少站场工艺管线的弯头、三通等管件，降低输气站内的噪声，放空时及时疏散附近居民。采用上述措施后，站场场界能满足《工业企业厂界噪声排放标准》（GB12348-2008）2类标准限值，所采用措施具有经济技术可行性，对周边声环境影响较小。</w:t>
      </w:r>
    </w:p>
    <w:p>
      <w:pPr>
        <w:pStyle w:val="4"/>
        <w:rPr>
          <w:rFonts w:eastAsia="宋体"/>
        </w:rPr>
      </w:pPr>
      <w:r>
        <w:rPr>
          <w:rFonts w:eastAsia="宋体"/>
        </w:rPr>
        <w:t>8.2.4 固体废物治理措施</w:t>
      </w:r>
      <w:bookmarkEnd w:id="612"/>
      <w:bookmarkEnd w:id="613"/>
    </w:p>
    <w:p>
      <w:pPr>
        <w:pStyle w:val="114"/>
        <w:ind w:firstLine="480"/>
      </w:pPr>
      <w:bookmarkStart w:id="614" w:name="_Toc19816133"/>
      <w:bookmarkStart w:id="615" w:name="_Toc12288814"/>
      <w:r>
        <w:t>本项目依托集气管道采用埋地敷设方式，在正常运行过程中集气管道不会产生固体废物。</w:t>
      </w:r>
    </w:p>
    <w:p>
      <w:pPr>
        <w:pStyle w:val="114"/>
        <w:ind w:firstLine="480"/>
      </w:pPr>
      <w:r>
        <w:t>本项目站场为无人值守站，人员依托P108集气站，工作人员6人，试采期无生活垃圾产生。</w:t>
      </w:r>
    </w:p>
    <w:p>
      <w:pPr>
        <w:pStyle w:val="6"/>
        <w:ind w:firstLine="480"/>
        <w:rPr>
          <w:rFonts w:ascii="Times New Roman" w:cs="Times New Roman"/>
        </w:rPr>
      </w:pPr>
      <w:r>
        <w:rPr>
          <w:rFonts w:ascii="Times New Roman" w:cs="Times New Roman"/>
        </w:rPr>
        <w:t>综上所述，试采期无固体废物产生，对环境影响较小。</w:t>
      </w:r>
    </w:p>
    <w:p>
      <w:pPr>
        <w:pStyle w:val="4"/>
        <w:rPr>
          <w:rFonts w:eastAsia="宋体"/>
        </w:rPr>
      </w:pPr>
      <w:r>
        <w:rPr>
          <w:rFonts w:eastAsia="宋体"/>
        </w:rPr>
        <w:t>8.2.5 土壤和地下水污染防治措施</w:t>
      </w:r>
    </w:p>
    <w:p>
      <w:pPr>
        <w:pStyle w:val="114"/>
        <w:ind w:firstLine="480"/>
      </w:pPr>
      <w:r>
        <w:t>由于依托输气管道敷设在地下，进行密闭输送，且项目管道采用外防腐层和强制电流阴极保护联合方式，发生泄漏事故概率较小。当管线发生破裂事故，其泄漏的天然气绝大部分</w:t>
      </w:r>
      <w:r>
        <w:rPr>
          <w:rFonts w:hint="eastAsia"/>
          <w:lang w:val="en-US" w:eastAsia="zh-CN"/>
        </w:rPr>
        <w:t>进入</w:t>
      </w:r>
      <w:r>
        <w:t>大气环境中，会对大气环境造成一定的影响，对地下水基本不会造成影响。</w:t>
      </w:r>
    </w:p>
    <w:p>
      <w:pPr>
        <w:pStyle w:val="114"/>
        <w:ind w:firstLine="480"/>
      </w:pPr>
      <w:r>
        <w:t>本项目站场内</w:t>
      </w:r>
      <w:r>
        <w:rPr>
          <w:rFonts w:hint="eastAsia"/>
        </w:rPr>
        <w:t>酸液</w:t>
      </w:r>
      <w:r>
        <w:t>缓冲罐四周设置防渗围堰，一旦储罐发生破损泄漏，可将废水收集在围堰内，再统一清理，不会对地下水造成影响。</w:t>
      </w:r>
    </w:p>
    <w:p>
      <w:pPr>
        <w:pStyle w:val="114"/>
        <w:ind w:firstLine="480"/>
      </w:pPr>
      <w:r>
        <w:rPr>
          <w:rFonts w:hint="eastAsia"/>
        </w:rPr>
        <w:t>运营期采取如下措施：</w:t>
      </w:r>
    </w:p>
    <w:p>
      <w:pPr>
        <w:topLinePunct w:val="0"/>
        <w:adjustRightInd/>
        <w:ind w:firstLine="482"/>
        <w:rPr>
          <w:rFonts w:ascii="Times New Roman" w:cs="Times New Roman"/>
          <w:b/>
          <w:bCs/>
          <w:kern w:val="2"/>
          <w:szCs w:val="22"/>
        </w:rPr>
      </w:pPr>
      <w:r>
        <w:rPr>
          <w:rFonts w:ascii="Times New Roman" w:cs="Times New Roman"/>
          <w:b/>
          <w:bCs/>
          <w:kern w:val="2"/>
          <w:szCs w:val="22"/>
        </w:rPr>
        <w:t>（1）源头控制措施</w:t>
      </w:r>
    </w:p>
    <w:p>
      <w:pPr>
        <w:topLinePunct w:val="0"/>
        <w:adjustRightInd/>
        <w:ind w:firstLine="480"/>
        <w:rPr>
          <w:rFonts w:ascii="Times New Roman" w:cs="Times New Roman"/>
          <w:kern w:val="2"/>
          <w:szCs w:val="22"/>
        </w:rPr>
      </w:pPr>
      <w:r>
        <w:rPr>
          <w:rFonts w:ascii="Times New Roman" w:cs="Times New Roman"/>
          <w:kern w:val="2"/>
          <w:szCs w:val="22"/>
        </w:rPr>
        <w:t>保持废水池的高频率转运，减少废水池的废水储存量和周期。减少渗漏源。加强分离器等废水产生设备以及润滑油的检修，避免跑冒滴漏。</w:t>
      </w:r>
    </w:p>
    <w:p>
      <w:pPr>
        <w:topLinePunct w:val="0"/>
        <w:adjustRightInd/>
        <w:ind w:firstLine="482"/>
        <w:rPr>
          <w:rFonts w:ascii="Times New Roman" w:cs="Times New Roman"/>
          <w:b/>
          <w:bCs/>
          <w:kern w:val="2"/>
          <w:szCs w:val="22"/>
        </w:rPr>
      </w:pPr>
      <w:r>
        <w:rPr>
          <w:rFonts w:ascii="Times New Roman" w:cs="Times New Roman"/>
          <w:b/>
          <w:bCs/>
          <w:kern w:val="2"/>
          <w:szCs w:val="22"/>
        </w:rPr>
        <w:t>（2）分区防控措施</w:t>
      </w:r>
    </w:p>
    <w:p>
      <w:pPr>
        <w:topLinePunct w:val="0"/>
        <w:adjustRightInd/>
        <w:ind w:firstLine="482"/>
        <w:rPr>
          <w:rFonts w:ascii="Times New Roman" w:cs="Times New Roman"/>
          <w:kern w:val="2"/>
          <w:szCs w:val="22"/>
        </w:rPr>
      </w:pPr>
      <w:r>
        <w:rPr>
          <w:rFonts w:ascii="Times New Roman" w:cs="Times New Roman"/>
          <w:b/>
          <w:bCs/>
          <w:kern w:val="2"/>
          <w:szCs w:val="22"/>
        </w:rPr>
        <w:t>重点防渗区：</w:t>
      </w:r>
      <w:r>
        <w:rPr>
          <w:rFonts w:ascii="Times New Roman" w:cs="Times New Roman"/>
          <w:kern w:val="2"/>
          <w:szCs w:val="22"/>
        </w:rPr>
        <w:t>危险废物暂存区；集气站依托废水池防渗要求：等效粘土层≥6m，k≤1×10</w:t>
      </w:r>
      <w:r>
        <w:rPr>
          <w:rFonts w:ascii="Times New Roman" w:cs="Times New Roman"/>
          <w:kern w:val="2"/>
          <w:szCs w:val="22"/>
          <w:vertAlign w:val="superscript"/>
        </w:rPr>
        <w:t>-7</w:t>
      </w:r>
      <w:r>
        <w:rPr>
          <w:rFonts w:ascii="Times New Roman" w:cs="Times New Roman"/>
          <w:kern w:val="2"/>
          <w:szCs w:val="22"/>
        </w:rPr>
        <w:t>cm/s。</w:t>
      </w:r>
    </w:p>
    <w:p>
      <w:pPr>
        <w:topLinePunct w:val="0"/>
        <w:adjustRightInd/>
        <w:ind w:firstLine="482"/>
        <w:rPr>
          <w:rFonts w:ascii="Times New Roman" w:cs="Times New Roman"/>
          <w:kern w:val="2"/>
          <w:szCs w:val="22"/>
        </w:rPr>
      </w:pPr>
      <w:r>
        <w:rPr>
          <w:rFonts w:ascii="Times New Roman" w:cs="Times New Roman"/>
          <w:b/>
          <w:bCs/>
          <w:kern w:val="2"/>
          <w:szCs w:val="22"/>
        </w:rPr>
        <w:t>一般防渗区：</w:t>
      </w:r>
      <w:r>
        <w:rPr>
          <w:rFonts w:ascii="Times New Roman" w:cs="Times New Roman"/>
          <w:kern w:val="2"/>
          <w:szCs w:val="22"/>
        </w:rPr>
        <w:t>该项目的</w:t>
      </w:r>
      <w:r>
        <w:rPr>
          <w:rFonts w:hint="eastAsia" w:ascii="Times New Roman" w:cs="Times New Roman"/>
          <w:kern w:val="2"/>
          <w:szCs w:val="22"/>
        </w:rPr>
        <w:t>除重点防渗区外为</w:t>
      </w:r>
      <w:r>
        <w:rPr>
          <w:rFonts w:ascii="Times New Roman" w:cs="Times New Roman"/>
          <w:kern w:val="2"/>
          <w:szCs w:val="22"/>
        </w:rPr>
        <w:t>一般防渗区。防渗要求，等效粘土层1.5m，k≤1×10</w:t>
      </w:r>
      <w:r>
        <w:rPr>
          <w:rFonts w:ascii="Times New Roman" w:cs="Times New Roman"/>
          <w:kern w:val="2"/>
          <w:szCs w:val="22"/>
          <w:vertAlign w:val="superscript"/>
        </w:rPr>
        <w:t>-7</w:t>
      </w:r>
      <w:r>
        <w:rPr>
          <w:rFonts w:ascii="Times New Roman" w:cs="Times New Roman"/>
          <w:kern w:val="2"/>
          <w:szCs w:val="22"/>
        </w:rPr>
        <w:t>cm/s。</w:t>
      </w:r>
    </w:p>
    <w:p>
      <w:pPr>
        <w:keepNext/>
        <w:keepLines/>
        <w:ind w:firstLine="0" w:firstLineChars="0"/>
        <w:jc w:val="center"/>
        <w:rPr>
          <w:rFonts w:ascii="Times New Roman" w:cs="Times New Roman"/>
          <w:b/>
          <w:bCs/>
          <w:kern w:val="2"/>
          <w:sz w:val="21"/>
          <w:szCs w:val="28"/>
        </w:rPr>
      </w:pPr>
      <w:r>
        <w:rPr>
          <w:rFonts w:ascii="Times New Roman" w:cs="Times New Roman"/>
          <w:b/>
          <w:bCs/>
          <w:kern w:val="2"/>
          <w:sz w:val="21"/>
          <w:szCs w:val="28"/>
        </w:rPr>
        <w:t>表9.6-2  运营期项目分区防渗方案一览表</w:t>
      </w:r>
    </w:p>
    <w:tbl>
      <w:tblPr>
        <w:tblStyle w:val="5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60"/>
        <w:gridCol w:w="1843"/>
        <w:gridCol w:w="1842"/>
        <w:gridCol w:w="38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3" w:type="pc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分区</w:t>
            </w:r>
          </w:p>
        </w:tc>
        <w:tc>
          <w:tcPr>
            <w:tcW w:w="1081" w:type="pc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防渗系数</w:t>
            </w:r>
          </w:p>
        </w:tc>
        <w:tc>
          <w:tcPr>
            <w:tcW w:w="1080" w:type="pc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装置、单元名称</w:t>
            </w:r>
          </w:p>
        </w:tc>
        <w:tc>
          <w:tcPr>
            <w:tcW w:w="2276" w:type="pc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防渗措施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3" w:type="pct"/>
            <w:vMerge w:val="restar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重点防渗区</w:t>
            </w:r>
          </w:p>
        </w:tc>
        <w:tc>
          <w:tcPr>
            <w:tcW w:w="1081" w:type="pct"/>
            <w:vMerge w:val="restar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等效粘土层≥6m</w:t>
            </w:r>
          </w:p>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k≤1×10</w:t>
            </w:r>
            <w:r>
              <w:rPr>
                <w:rFonts w:ascii="Times New Roman" w:cs="Times New Roman"/>
                <w:kern w:val="2"/>
                <w:sz w:val="21"/>
                <w:szCs w:val="21"/>
                <w:vertAlign w:val="superscript"/>
              </w:rPr>
              <w:t>-7</w:t>
            </w:r>
            <w:r>
              <w:rPr>
                <w:rFonts w:ascii="Times New Roman" w:cs="Times New Roman"/>
                <w:kern w:val="2"/>
                <w:sz w:val="21"/>
                <w:szCs w:val="21"/>
              </w:rPr>
              <w:t>cm/s</w:t>
            </w:r>
          </w:p>
        </w:tc>
        <w:tc>
          <w:tcPr>
            <w:tcW w:w="1080" w:type="pct"/>
            <w:vAlign w:val="center"/>
          </w:tcPr>
          <w:p>
            <w:pPr>
              <w:topLinePunct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危险废物储存区</w:t>
            </w:r>
          </w:p>
        </w:tc>
        <w:tc>
          <w:tcPr>
            <w:tcW w:w="2276" w:type="pct"/>
            <w:vAlign w:val="center"/>
          </w:tcPr>
          <w:p>
            <w:pPr>
              <w:topLinePunct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采用P8级C25混凝土层10cm防渗+C15混凝土垫层10cm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3"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1081"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1080" w:type="pct"/>
            <w:vAlign w:val="center"/>
          </w:tcPr>
          <w:p>
            <w:pPr>
              <w:topLinePunct w:val="0"/>
              <w:adjustRightInd/>
              <w:spacing w:line="240" w:lineRule="auto"/>
              <w:ind w:firstLine="0" w:firstLineChars="0"/>
              <w:jc w:val="center"/>
              <w:rPr>
                <w:rFonts w:ascii="Times New Roman" w:cs="Times New Roman"/>
                <w:sz w:val="21"/>
                <w:szCs w:val="21"/>
              </w:rPr>
            </w:pPr>
            <w:r>
              <w:rPr>
                <w:rFonts w:hint="eastAsia" w:ascii="Times New Roman" w:cs="Times New Roman"/>
                <w:sz w:val="21"/>
                <w:szCs w:val="21"/>
              </w:rPr>
              <w:t>酸液缓冲罐</w:t>
            </w:r>
          </w:p>
        </w:tc>
        <w:tc>
          <w:tcPr>
            <w:tcW w:w="2276"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等效粘土层≥6m，设计渗透系数≤1.0×10</w:t>
            </w:r>
            <w:r>
              <w:rPr>
                <w:rFonts w:ascii="Times New Roman" w:cs="Times New Roman"/>
                <w:kern w:val="2"/>
                <w:sz w:val="21"/>
                <w:szCs w:val="21"/>
                <w:vertAlign w:val="superscript"/>
              </w:rPr>
              <w:t>-7</w:t>
            </w:r>
            <w:r>
              <w:rPr>
                <w:rFonts w:ascii="Times New Roman" w:cs="Times New Roman"/>
                <w:kern w:val="2"/>
                <w:sz w:val="21"/>
                <w:szCs w:val="21"/>
              </w:rPr>
              <w:t>cm/s。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3"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一般防渗区</w:t>
            </w:r>
          </w:p>
        </w:tc>
        <w:tc>
          <w:tcPr>
            <w:tcW w:w="1081" w:type="pct"/>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等效粘土层1.5m</w:t>
            </w:r>
          </w:p>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k≤1×10</w:t>
            </w:r>
            <w:r>
              <w:rPr>
                <w:rFonts w:ascii="Times New Roman" w:cs="Times New Roman"/>
                <w:kern w:val="2"/>
                <w:sz w:val="21"/>
                <w:szCs w:val="21"/>
                <w:vertAlign w:val="superscript"/>
              </w:rPr>
              <w:t>-7</w:t>
            </w:r>
            <w:r>
              <w:rPr>
                <w:rFonts w:ascii="Times New Roman" w:cs="Times New Roman"/>
                <w:kern w:val="2"/>
                <w:sz w:val="21"/>
                <w:szCs w:val="21"/>
              </w:rPr>
              <w:t>cm/s</w:t>
            </w:r>
          </w:p>
        </w:tc>
        <w:tc>
          <w:tcPr>
            <w:tcW w:w="1080" w:type="pct"/>
            <w:tcBorders>
              <w:bottom w:val="single" w:color="auto" w:sz="4" w:space="0"/>
            </w:tcBorders>
            <w:vAlign w:val="center"/>
          </w:tcPr>
          <w:p>
            <w:pPr>
              <w:pBdr>
                <w:top w:val="none" w:color="auto" w:sz="0" w:space="1"/>
                <w:left w:val="none" w:color="auto" w:sz="0" w:space="4"/>
                <w:bottom w:val="none" w:color="auto" w:sz="0" w:space="1"/>
                <w:right w:val="none" w:color="auto" w:sz="0" w:space="4"/>
              </w:pBdr>
              <w:spacing w:line="240" w:lineRule="auto"/>
              <w:ind w:firstLine="0" w:firstLineChars="0"/>
              <w:jc w:val="center"/>
              <w:rPr>
                <w:rFonts w:ascii="Times New Roman" w:cs="Times New Roman"/>
                <w:snapToGrid w:val="0"/>
                <w:sz w:val="21"/>
                <w:szCs w:val="21"/>
              </w:rPr>
            </w:pPr>
            <w:r>
              <w:rPr>
                <w:rFonts w:hint="eastAsia" w:ascii="Times New Roman" w:cs="Times New Roman"/>
                <w:snapToGrid w:val="0"/>
                <w:sz w:val="21"/>
                <w:szCs w:val="21"/>
              </w:rPr>
              <w:t>其他区域</w:t>
            </w:r>
          </w:p>
        </w:tc>
        <w:tc>
          <w:tcPr>
            <w:tcW w:w="2276" w:type="pct"/>
            <w:tcBorders>
              <w:bottom w:val="single" w:color="auto" w:sz="4" w:space="0"/>
            </w:tcBorders>
            <w:vAlign w:val="center"/>
          </w:tcPr>
          <w:p>
            <w:pPr>
              <w:pBdr>
                <w:top w:val="none" w:color="auto" w:sz="0" w:space="1"/>
                <w:left w:val="none" w:color="auto" w:sz="0" w:space="4"/>
                <w:bottom w:val="none" w:color="auto" w:sz="0" w:space="1"/>
                <w:right w:val="none" w:color="auto" w:sz="0" w:space="4"/>
              </w:pBdr>
              <w:spacing w:line="240" w:lineRule="auto"/>
              <w:ind w:firstLine="0" w:firstLineChars="0"/>
              <w:jc w:val="center"/>
              <w:rPr>
                <w:rFonts w:ascii="Times New Roman" w:cs="Times New Roman"/>
                <w:snapToGrid w:val="0"/>
                <w:sz w:val="21"/>
                <w:szCs w:val="21"/>
              </w:rPr>
            </w:pPr>
            <w:r>
              <w:rPr>
                <w:rFonts w:ascii="Times New Roman" w:cs="Times New Roman"/>
                <w:snapToGrid w:val="0"/>
                <w:sz w:val="21"/>
                <w:szCs w:val="21"/>
              </w:rPr>
              <w:t>P6C25混凝土层10cm防渗+C15混凝土垫层10cm。</w:t>
            </w:r>
          </w:p>
        </w:tc>
      </w:tr>
    </w:tbl>
    <w:p>
      <w:pPr>
        <w:pStyle w:val="114"/>
        <w:ind w:firstLine="480"/>
      </w:pPr>
    </w:p>
    <w:p>
      <w:pPr>
        <w:pStyle w:val="4"/>
        <w:rPr>
          <w:rFonts w:eastAsia="宋体"/>
        </w:rPr>
      </w:pPr>
      <w:r>
        <w:rPr>
          <w:rFonts w:eastAsia="宋体"/>
        </w:rPr>
        <w:t>8.2.6 生态环境影响减缓措施</w:t>
      </w:r>
      <w:bookmarkEnd w:id="614"/>
      <w:bookmarkEnd w:id="615"/>
    </w:p>
    <w:p>
      <w:pPr>
        <w:pStyle w:val="6"/>
        <w:ind w:firstLine="480"/>
        <w:rPr>
          <w:rFonts w:ascii="Times New Roman" w:cs="Times New Roman"/>
        </w:rPr>
      </w:pPr>
      <w:r>
        <w:rPr>
          <w:rFonts w:ascii="Times New Roman" w:cs="Times New Roman"/>
        </w:rPr>
        <w:t>1、项目运行期，在项目所在区域要加强对临时占地区域的植被恢复工程护，发现植被恢复受阻，如死亡的林木等，要进行植被的补植补种；森林的管护和抚育，提供森林植被的水源涵养能力，针对依托管线建设所形成的廊道，应制定严格的管理措施，严格限制人员进入廊道实施与管道管理和森林保护无关的活动。</w:t>
      </w:r>
    </w:p>
    <w:p>
      <w:pPr>
        <w:pStyle w:val="6"/>
        <w:ind w:firstLine="480"/>
        <w:rPr>
          <w:rFonts w:ascii="Times New Roman" w:cs="Times New Roman"/>
        </w:rPr>
      </w:pPr>
      <w:r>
        <w:rPr>
          <w:rFonts w:ascii="Times New Roman" w:cs="Times New Roman"/>
        </w:rPr>
        <w:t>2、在项目区内特别是在林地区域内设置告示牌和警告牌，宣传保护野生动物及其栖息地生态环境，加强公众的野生动物保护和生态环境的保护意识教育；</w:t>
      </w:r>
    </w:p>
    <w:p>
      <w:pPr>
        <w:pStyle w:val="6"/>
        <w:ind w:firstLine="480"/>
        <w:rPr>
          <w:rFonts w:ascii="Times New Roman" w:cs="Times New Roman"/>
        </w:rPr>
      </w:pPr>
      <w:r>
        <w:rPr>
          <w:rFonts w:ascii="Times New Roman" w:cs="Times New Roman"/>
        </w:rPr>
        <w:t>3、加强对项目区内的生态保护，严格按照相关的规章制度执行。</w:t>
      </w:r>
    </w:p>
    <w:p>
      <w:pPr>
        <w:pStyle w:val="3"/>
        <w:spacing w:before="120"/>
        <w:rPr>
          <w:rFonts w:cs="Times New Roman"/>
        </w:rPr>
      </w:pPr>
      <w:bookmarkStart w:id="616" w:name="bookmark74"/>
      <w:bookmarkEnd w:id="616"/>
      <w:bookmarkStart w:id="617" w:name="_Toc12288815"/>
      <w:bookmarkStart w:id="618" w:name="_Toc24154"/>
      <w:bookmarkStart w:id="619" w:name="_Toc19816134"/>
      <w:r>
        <w:rPr>
          <w:rFonts w:cs="Times New Roman"/>
        </w:rPr>
        <w:t>8.3 本项目“三同时”验收</w:t>
      </w:r>
      <w:bookmarkEnd w:id="617"/>
      <w:bookmarkEnd w:id="618"/>
      <w:bookmarkEnd w:id="619"/>
    </w:p>
    <w:p>
      <w:pPr>
        <w:pStyle w:val="6"/>
        <w:ind w:firstLine="480"/>
        <w:rPr>
          <w:rFonts w:ascii="Times New Roman" w:cs="Times New Roman"/>
        </w:rPr>
      </w:pPr>
      <w:r>
        <w:rPr>
          <w:rFonts w:ascii="Times New Roman" w:cs="Times New Roman"/>
        </w:rPr>
        <w:t>本项目“三同时”验收内容见下表。</w:t>
      </w:r>
    </w:p>
    <w:p>
      <w:pPr>
        <w:widowControl/>
        <w:topLinePunct w:val="0"/>
        <w:adjustRightInd/>
        <w:ind w:firstLine="0" w:firstLineChars="0"/>
        <w:jc w:val="left"/>
        <w:rPr>
          <w:rFonts w:ascii="Times New Roman" w:cs="Times New Roman"/>
        </w:rPr>
        <w:sectPr>
          <w:pgSz w:w="11910" w:h="16840"/>
          <w:pgMar w:top="1440" w:right="1800" w:bottom="1440" w:left="1800" w:header="885" w:footer="1025" w:gutter="0"/>
          <w:pgBorders>
            <w:top w:val="none" w:sz="0" w:space="0"/>
            <w:left w:val="none" w:sz="0" w:space="0"/>
            <w:bottom w:val="none" w:sz="0" w:space="0"/>
            <w:right w:val="none" w:sz="0" w:space="0"/>
          </w:pgBorders>
          <w:cols w:space="720" w:num="1"/>
          <w:docGrid w:linePitch="326" w:charSpace="0"/>
        </w:sectPr>
      </w:pPr>
    </w:p>
    <w:p>
      <w:pPr>
        <w:pStyle w:val="127"/>
        <w:rPr>
          <w:rFonts w:eastAsia="宋体"/>
        </w:rPr>
      </w:pPr>
      <w:r>
        <w:rPr>
          <w:rFonts w:eastAsia="宋体"/>
        </w:rPr>
        <w:t>表8.3-1  环保“三同时”验收一览表</w:t>
      </w:r>
    </w:p>
    <w:tbl>
      <w:tblPr>
        <w:tblStyle w:val="59"/>
        <w:tblW w:w="485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594"/>
        <w:gridCol w:w="975"/>
        <w:gridCol w:w="42"/>
        <w:gridCol w:w="2034"/>
        <w:gridCol w:w="7282"/>
        <w:gridCol w:w="3080"/>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1301" w:type="pct"/>
            <w:gridSpan w:val="4"/>
            <w:vAlign w:val="center"/>
          </w:tcPr>
          <w:p>
            <w:pPr>
              <w:pStyle w:val="103"/>
              <w:spacing w:line="240" w:lineRule="auto"/>
              <w:ind w:firstLine="0" w:firstLineChars="0"/>
              <w:rPr>
                <w:rFonts w:ascii="Times New Roman" w:cs="Times New Roman"/>
                <w:b/>
                <w:kern w:val="2"/>
                <w:sz w:val="21"/>
                <w:szCs w:val="21"/>
              </w:rPr>
            </w:pPr>
            <w:r>
              <w:rPr>
                <w:rFonts w:ascii="Times New Roman" w:cs="Times New Roman"/>
                <w:b/>
                <w:kern w:val="2"/>
                <w:sz w:val="21"/>
                <w:szCs w:val="21"/>
              </w:rPr>
              <w:t>项目</w:t>
            </w:r>
          </w:p>
        </w:tc>
        <w:tc>
          <w:tcPr>
            <w:tcW w:w="2599" w:type="pct"/>
            <w:vAlign w:val="center"/>
          </w:tcPr>
          <w:p>
            <w:pPr>
              <w:pStyle w:val="103"/>
              <w:spacing w:line="240" w:lineRule="auto"/>
              <w:ind w:firstLine="0" w:firstLineChars="0"/>
              <w:rPr>
                <w:rFonts w:ascii="Times New Roman" w:cs="Times New Roman"/>
                <w:b/>
                <w:kern w:val="2"/>
                <w:sz w:val="21"/>
                <w:szCs w:val="21"/>
              </w:rPr>
            </w:pPr>
            <w:r>
              <w:rPr>
                <w:rFonts w:ascii="Times New Roman" w:cs="Times New Roman"/>
                <w:b/>
                <w:kern w:val="2"/>
                <w:sz w:val="21"/>
                <w:szCs w:val="21"/>
              </w:rPr>
              <w:t>主要内容</w:t>
            </w:r>
          </w:p>
        </w:tc>
        <w:tc>
          <w:tcPr>
            <w:tcW w:w="1099" w:type="pct"/>
            <w:vAlign w:val="center"/>
          </w:tcPr>
          <w:p>
            <w:pPr>
              <w:pStyle w:val="103"/>
              <w:spacing w:line="240" w:lineRule="auto"/>
              <w:ind w:firstLine="0" w:firstLineChars="0"/>
              <w:rPr>
                <w:rFonts w:ascii="Times New Roman" w:cs="Times New Roman"/>
                <w:b/>
                <w:kern w:val="2"/>
                <w:sz w:val="21"/>
                <w:szCs w:val="21"/>
              </w:rPr>
            </w:pPr>
            <w:r>
              <w:rPr>
                <w:rFonts w:ascii="Times New Roman" w:cs="Times New Roman"/>
                <w:b/>
                <w:kern w:val="2"/>
                <w:sz w:val="21"/>
                <w:szCs w:val="21"/>
              </w:rPr>
              <w:t>达到效果</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72" w:hRule="atLeast"/>
          <w:jc w:val="center"/>
        </w:trPr>
        <w:tc>
          <w:tcPr>
            <w:tcW w:w="212" w:type="pct"/>
            <w:vMerge w:val="restart"/>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施工期</w:t>
            </w:r>
          </w:p>
        </w:tc>
        <w:tc>
          <w:tcPr>
            <w:tcW w:w="1089" w:type="pct"/>
            <w:gridSpan w:val="3"/>
            <w:vMerge w:val="restart"/>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废气</w:t>
            </w:r>
          </w:p>
        </w:tc>
        <w:tc>
          <w:tcPr>
            <w:tcW w:w="2599" w:type="pct"/>
            <w:vAlign w:val="center"/>
          </w:tcPr>
          <w:p>
            <w:pPr>
              <w:pStyle w:val="103"/>
              <w:spacing w:line="240" w:lineRule="auto"/>
              <w:ind w:firstLine="420"/>
              <w:rPr>
                <w:rFonts w:ascii="Times New Roman" w:cs="Times New Roman"/>
                <w:kern w:val="2"/>
              </w:rPr>
            </w:pPr>
            <w:r>
              <w:rPr>
                <w:rFonts w:ascii="Times New Roman" w:cs="Times New Roman"/>
                <w:kern w:val="2"/>
                <w:sz w:val="21"/>
                <w:szCs w:val="21"/>
              </w:rPr>
              <w:t>采取覆盖防尘布、洒水降尘、道路洒水、车辆清洗，大风天气停止土方开挖作业，使用尾气达标机械车辆等措施。</w:t>
            </w:r>
          </w:p>
        </w:tc>
        <w:tc>
          <w:tcPr>
            <w:tcW w:w="1099" w:type="pct"/>
            <w:vAlign w:val="center"/>
          </w:tcPr>
          <w:p>
            <w:pPr>
              <w:pStyle w:val="103"/>
              <w:ind w:firstLine="420"/>
              <w:rPr>
                <w:rFonts w:ascii="Times New Roman" w:cs="Times New Roman"/>
                <w:kern w:val="2"/>
                <w:sz w:val="21"/>
                <w:szCs w:val="21"/>
              </w:rPr>
            </w:pPr>
            <w:r>
              <w:rPr>
                <w:rFonts w:ascii="Times New Roman" w:cs="Times New Roman"/>
                <w:kern w:val="2"/>
                <w:sz w:val="21"/>
                <w:szCs w:val="21"/>
              </w:rPr>
              <w:t>降低施工扬尘，满足地市相关管理办法要求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72" w:hRule="atLeast"/>
          <w:jc w:val="center"/>
        </w:trPr>
        <w:tc>
          <w:tcPr>
            <w:tcW w:w="212" w:type="pct"/>
            <w:vMerge w:val="continue"/>
            <w:vAlign w:val="center"/>
          </w:tcPr>
          <w:p>
            <w:pPr>
              <w:pStyle w:val="103"/>
              <w:spacing w:line="240" w:lineRule="auto"/>
              <w:ind w:firstLine="0" w:firstLineChars="0"/>
              <w:rPr>
                <w:rFonts w:ascii="Times New Roman" w:cs="Times New Roman"/>
                <w:kern w:val="2"/>
                <w:sz w:val="21"/>
                <w:szCs w:val="21"/>
              </w:rPr>
            </w:pPr>
          </w:p>
        </w:tc>
        <w:tc>
          <w:tcPr>
            <w:tcW w:w="1089" w:type="pct"/>
            <w:gridSpan w:val="3"/>
            <w:vMerge w:val="continue"/>
            <w:vAlign w:val="center"/>
          </w:tcPr>
          <w:p>
            <w:pPr>
              <w:pStyle w:val="103"/>
              <w:spacing w:line="240" w:lineRule="auto"/>
              <w:ind w:firstLine="0" w:firstLineChars="0"/>
              <w:rPr>
                <w:rFonts w:ascii="Times New Roman" w:cs="Times New Roman"/>
                <w:kern w:val="2"/>
                <w:sz w:val="21"/>
                <w:szCs w:val="21"/>
              </w:rPr>
            </w:pPr>
          </w:p>
        </w:tc>
        <w:tc>
          <w:tcPr>
            <w:tcW w:w="2599" w:type="pct"/>
            <w:vAlign w:val="center"/>
          </w:tcPr>
          <w:p>
            <w:pPr>
              <w:pStyle w:val="103"/>
              <w:spacing w:line="240" w:lineRule="auto"/>
              <w:ind w:firstLine="420"/>
              <w:rPr>
                <w:rFonts w:ascii="Times New Roman" w:cs="Times New Roman"/>
                <w:kern w:val="2"/>
                <w:sz w:val="21"/>
                <w:szCs w:val="21"/>
              </w:rPr>
            </w:pPr>
            <w:r>
              <w:rPr>
                <w:rFonts w:ascii="Times New Roman" w:cs="Times New Roman"/>
                <w:kern w:val="2"/>
                <w:sz w:val="21"/>
                <w:szCs w:val="21"/>
              </w:rPr>
              <w:t>气体钻粉尘采取喷淋降尘措施</w:t>
            </w:r>
          </w:p>
        </w:tc>
        <w:tc>
          <w:tcPr>
            <w:tcW w:w="1099" w:type="pct"/>
            <w:vAlign w:val="center"/>
          </w:tcPr>
          <w:p>
            <w:pPr>
              <w:pStyle w:val="103"/>
              <w:ind w:firstLine="420"/>
              <w:rPr>
                <w:rFonts w:ascii="Times New Roman" w:cs="Times New Roman"/>
                <w:kern w:val="2"/>
                <w:sz w:val="21"/>
                <w:szCs w:val="21"/>
              </w:rPr>
            </w:pPr>
            <w:r>
              <w:rPr>
                <w:rFonts w:ascii="Times New Roman" w:cs="Times New Roman"/>
                <w:kern w:val="2"/>
                <w:sz w:val="21"/>
                <w:szCs w:val="21"/>
              </w:rPr>
              <w:t>达标排放</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72" w:hRule="atLeast"/>
          <w:jc w:val="center"/>
        </w:trPr>
        <w:tc>
          <w:tcPr>
            <w:tcW w:w="212" w:type="pct"/>
            <w:vMerge w:val="continue"/>
            <w:vAlign w:val="center"/>
          </w:tcPr>
          <w:p>
            <w:pPr>
              <w:pStyle w:val="103"/>
              <w:spacing w:line="240" w:lineRule="auto"/>
              <w:ind w:firstLine="0" w:firstLineChars="0"/>
              <w:rPr>
                <w:rFonts w:ascii="Times New Roman" w:cs="Times New Roman"/>
                <w:kern w:val="2"/>
                <w:sz w:val="21"/>
                <w:szCs w:val="21"/>
              </w:rPr>
            </w:pPr>
          </w:p>
        </w:tc>
        <w:tc>
          <w:tcPr>
            <w:tcW w:w="1089" w:type="pct"/>
            <w:gridSpan w:val="3"/>
            <w:vMerge w:val="continue"/>
            <w:vAlign w:val="center"/>
          </w:tcPr>
          <w:p>
            <w:pPr>
              <w:pStyle w:val="103"/>
              <w:spacing w:line="240" w:lineRule="auto"/>
              <w:ind w:firstLine="0" w:firstLineChars="0"/>
              <w:rPr>
                <w:rFonts w:ascii="Times New Roman" w:cs="Times New Roman"/>
                <w:kern w:val="2"/>
                <w:sz w:val="21"/>
                <w:szCs w:val="21"/>
              </w:rPr>
            </w:pPr>
          </w:p>
        </w:tc>
        <w:tc>
          <w:tcPr>
            <w:tcW w:w="2599" w:type="pct"/>
            <w:vAlign w:val="center"/>
          </w:tcPr>
          <w:p>
            <w:pPr>
              <w:pStyle w:val="103"/>
              <w:spacing w:line="240" w:lineRule="auto"/>
              <w:ind w:firstLine="420"/>
              <w:rPr>
                <w:rFonts w:ascii="Times New Roman" w:cs="Times New Roman"/>
                <w:kern w:val="2"/>
                <w:sz w:val="21"/>
                <w:szCs w:val="21"/>
              </w:rPr>
            </w:pPr>
            <w:r>
              <w:rPr>
                <w:rFonts w:ascii="Times New Roman" w:cs="Times New Roman"/>
                <w:kern w:val="2"/>
                <w:sz w:val="21"/>
                <w:szCs w:val="21"/>
              </w:rPr>
              <w:t>测试放喷废气采取放喷池燃烧处理</w:t>
            </w:r>
          </w:p>
        </w:tc>
        <w:tc>
          <w:tcPr>
            <w:tcW w:w="1099" w:type="pct"/>
            <w:vAlign w:val="center"/>
          </w:tcPr>
          <w:p>
            <w:pPr>
              <w:pStyle w:val="103"/>
              <w:ind w:firstLine="420"/>
              <w:rPr>
                <w:rFonts w:ascii="Times New Roman" w:cs="Times New Roman"/>
                <w:kern w:val="2"/>
                <w:sz w:val="21"/>
                <w:szCs w:val="21"/>
              </w:rPr>
            </w:pPr>
            <w:r>
              <w:rPr>
                <w:rFonts w:ascii="Times New Roman" w:cs="Times New Roman"/>
                <w:kern w:val="2"/>
                <w:sz w:val="21"/>
                <w:szCs w:val="21"/>
              </w:rPr>
              <w:t>达标排放</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2"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363" w:type="pct"/>
            <w:gridSpan w:val="2"/>
            <w:vMerge w:val="restart"/>
            <w:tcBorders>
              <w:right w:val="single" w:color="auto"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废水</w:t>
            </w:r>
          </w:p>
        </w:tc>
        <w:tc>
          <w:tcPr>
            <w:tcW w:w="726" w:type="pct"/>
            <w:tcBorders>
              <w:left w:val="single" w:color="auto"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站场施工生产废水</w:t>
            </w:r>
          </w:p>
        </w:tc>
        <w:tc>
          <w:tcPr>
            <w:tcW w:w="2599" w:type="pct"/>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站场施工生产废水经沉淀池沉淀后洒水降尘使用，不直接外排。</w:t>
            </w:r>
          </w:p>
        </w:tc>
        <w:tc>
          <w:tcPr>
            <w:tcW w:w="1099" w:type="pct"/>
            <w:vAlign w:val="center"/>
          </w:tcPr>
          <w:p>
            <w:pPr>
              <w:pStyle w:val="103"/>
              <w:spacing w:line="240" w:lineRule="auto"/>
              <w:ind w:firstLine="0" w:firstLineChars="0"/>
              <w:rPr>
                <w:rFonts w:ascii="Times New Roman" w:cs="Times New Roman"/>
                <w:kern w:val="2"/>
                <w:sz w:val="21"/>
                <w:szCs w:val="21"/>
              </w:rPr>
            </w:pPr>
            <w:bookmarkStart w:id="620" w:name="OLE_LINK146"/>
            <w:r>
              <w:rPr>
                <w:rFonts w:ascii="Times New Roman" w:cs="Times New Roman"/>
                <w:kern w:val="2"/>
                <w:sz w:val="21"/>
                <w:szCs w:val="21"/>
              </w:rPr>
              <w:t>沉淀处理后回用，不直接外排</w:t>
            </w:r>
            <w:bookmarkEnd w:id="620"/>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2"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363" w:type="pct"/>
            <w:gridSpan w:val="2"/>
            <w:vMerge w:val="continue"/>
            <w:tcBorders>
              <w:right w:val="single" w:color="auto" w:sz="4" w:space="0"/>
            </w:tcBorders>
            <w:vAlign w:val="center"/>
          </w:tcPr>
          <w:p>
            <w:pPr>
              <w:pStyle w:val="103"/>
              <w:spacing w:line="240" w:lineRule="auto"/>
              <w:ind w:firstLine="0" w:firstLineChars="0"/>
              <w:rPr>
                <w:rFonts w:ascii="Times New Roman" w:cs="Times New Roman"/>
                <w:kern w:val="2"/>
                <w:sz w:val="21"/>
                <w:szCs w:val="21"/>
              </w:rPr>
            </w:pPr>
          </w:p>
        </w:tc>
        <w:tc>
          <w:tcPr>
            <w:tcW w:w="726" w:type="pct"/>
            <w:tcBorders>
              <w:left w:val="single" w:color="auto"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生活污水</w:t>
            </w:r>
          </w:p>
        </w:tc>
        <w:tc>
          <w:tcPr>
            <w:tcW w:w="2599" w:type="pct"/>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井场、钻井施工</w:t>
            </w:r>
            <w:r>
              <w:rPr>
                <w:rFonts w:hint="eastAsia" w:ascii="Times New Roman" w:cs="Times New Roman"/>
                <w:spacing w:val="-8"/>
                <w:kern w:val="2"/>
                <w:sz w:val="21"/>
                <w:szCs w:val="21"/>
                <w:lang w:eastAsia="zh-CN"/>
              </w:rPr>
              <w:t>人员</w:t>
            </w:r>
            <w:r>
              <w:rPr>
                <w:rFonts w:ascii="Times New Roman" w:cs="Times New Roman"/>
                <w:spacing w:val="-8"/>
                <w:kern w:val="2"/>
                <w:sz w:val="21"/>
                <w:szCs w:val="21"/>
              </w:rPr>
              <w:t>生活污水依托经</w:t>
            </w:r>
            <w:r>
              <w:rPr>
                <w:rFonts w:ascii="Times New Roman" w:cs="Times New Roman"/>
                <w:bCs/>
                <w:spacing w:val="-8"/>
                <w:kern w:val="2"/>
                <w:sz w:val="21"/>
                <w:szCs w:val="21"/>
              </w:rPr>
              <w:t>生态环保厕所收集处理</w:t>
            </w:r>
            <w:r>
              <w:rPr>
                <w:rFonts w:ascii="Times New Roman" w:cs="Times New Roman"/>
                <w:kern w:val="2"/>
                <w:sz w:val="21"/>
                <w:szCs w:val="21"/>
              </w:rPr>
              <w:t>后，用作周边农肥，不外排；员工洗澡、食堂废水经单独收集后拉运至普光镇场镇污水处理厂处理。</w:t>
            </w:r>
          </w:p>
        </w:tc>
        <w:tc>
          <w:tcPr>
            <w:tcW w:w="1099" w:type="pct"/>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保护地表水环境</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2"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363" w:type="pct"/>
            <w:gridSpan w:val="2"/>
            <w:vMerge w:val="continue"/>
            <w:tcBorders>
              <w:right w:val="single" w:color="auto" w:sz="4" w:space="0"/>
            </w:tcBorders>
            <w:vAlign w:val="center"/>
          </w:tcPr>
          <w:p>
            <w:pPr>
              <w:pStyle w:val="103"/>
              <w:spacing w:line="240" w:lineRule="auto"/>
              <w:ind w:firstLine="0" w:firstLineChars="0"/>
              <w:rPr>
                <w:rFonts w:ascii="Times New Roman" w:cs="Times New Roman"/>
                <w:kern w:val="2"/>
                <w:sz w:val="21"/>
                <w:szCs w:val="21"/>
              </w:rPr>
            </w:pPr>
          </w:p>
        </w:tc>
        <w:tc>
          <w:tcPr>
            <w:tcW w:w="726" w:type="pct"/>
            <w:tcBorders>
              <w:left w:val="single" w:color="auto"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初期雨水</w:t>
            </w:r>
          </w:p>
        </w:tc>
        <w:tc>
          <w:tcPr>
            <w:tcW w:w="2599" w:type="pct"/>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井场内四周设排水边沟，井场雨水随四周排水边沟汇至排放口，排放口设环保检测池，初期雨水收集进入清洁化操作平台，与钻井废水一同经清洁化操作平台预处理后达到毛开1井回注标准后，拉运至毛开1井回注。</w:t>
            </w:r>
          </w:p>
        </w:tc>
        <w:tc>
          <w:tcPr>
            <w:tcW w:w="1099" w:type="pct"/>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保护地表水环境</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2"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363" w:type="pct"/>
            <w:gridSpan w:val="2"/>
            <w:vMerge w:val="continue"/>
            <w:tcBorders>
              <w:right w:val="single" w:color="auto" w:sz="4" w:space="0"/>
            </w:tcBorders>
            <w:vAlign w:val="center"/>
          </w:tcPr>
          <w:p>
            <w:pPr>
              <w:pStyle w:val="103"/>
              <w:spacing w:line="240" w:lineRule="auto"/>
              <w:ind w:firstLine="0" w:firstLineChars="0"/>
              <w:rPr>
                <w:rFonts w:ascii="Times New Roman" w:cs="Times New Roman"/>
                <w:kern w:val="2"/>
                <w:sz w:val="21"/>
                <w:szCs w:val="21"/>
              </w:rPr>
            </w:pPr>
          </w:p>
        </w:tc>
        <w:tc>
          <w:tcPr>
            <w:tcW w:w="726" w:type="pct"/>
            <w:tcBorders>
              <w:left w:val="single" w:color="auto"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钻井废水</w:t>
            </w:r>
          </w:p>
        </w:tc>
        <w:tc>
          <w:tcPr>
            <w:tcW w:w="2599" w:type="pct"/>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钻井废水经清洁化操作平台预处理后达到毛开1井回注标准后，拉运至毛开1井回注。</w:t>
            </w:r>
          </w:p>
        </w:tc>
        <w:tc>
          <w:tcPr>
            <w:tcW w:w="1099" w:type="pct"/>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保护地表水环境</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2"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363" w:type="pct"/>
            <w:gridSpan w:val="2"/>
            <w:vMerge w:val="continue"/>
            <w:tcBorders>
              <w:right w:val="single" w:color="auto" w:sz="4" w:space="0"/>
            </w:tcBorders>
            <w:vAlign w:val="center"/>
          </w:tcPr>
          <w:p>
            <w:pPr>
              <w:pStyle w:val="103"/>
              <w:spacing w:line="240" w:lineRule="auto"/>
              <w:ind w:firstLine="0" w:firstLineChars="0"/>
              <w:rPr>
                <w:rFonts w:ascii="Times New Roman" w:cs="Times New Roman"/>
                <w:kern w:val="2"/>
                <w:sz w:val="21"/>
                <w:szCs w:val="21"/>
              </w:rPr>
            </w:pPr>
          </w:p>
        </w:tc>
        <w:tc>
          <w:tcPr>
            <w:tcW w:w="726" w:type="pct"/>
            <w:tcBorders>
              <w:left w:val="single" w:color="auto"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压裂、洗井废水</w:t>
            </w:r>
          </w:p>
        </w:tc>
        <w:tc>
          <w:tcPr>
            <w:tcW w:w="2599" w:type="pct"/>
            <w:vAlign w:val="center"/>
          </w:tcPr>
          <w:p>
            <w:pPr>
              <w:pStyle w:val="103"/>
              <w:spacing w:line="240" w:lineRule="auto"/>
              <w:ind w:firstLine="0" w:firstLineChars="0"/>
              <w:rPr>
                <w:rFonts w:ascii="Times New Roman" w:cs="Times New Roman"/>
                <w:kern w:val="2"/>
                <w:sz w:val="21"/>
                <w:szCs w:val="21"/>
              </w:rPr>
            </w:pPr>
            <w:r>
              <w:rPr>
                <w:rFonts w:hint="eastAsia" w:ascii="Times New Roman" w:cs="Times New Roman"/>
                <w:kern w:val="2"/>
                <w:sz w:val="21"/>
                <w:szCs w:val="21"/>
                <w:lang w:eastAsia="zh-CN"/>
              </w:rPr>
              <w:t>压裂废水和洗井废水</w:t>
            </w:r>
            <w:r>
              <w:rPr>
                <w:rFonts w:ascii="Times New Roman" w:cs="Times New Roman"/>
                <w:kern w:val="2"/>
                <w:sz w:val="21"/>
                <w:szCs w:val="21"/>
              </w:rPr>
              <w:t>暂存于</w:t>
            </w:r>
            <w:r>
              <w:rPr>
                <w:rFonts w:hint="eastAsia" w:ascii="Times New Roman" w:cs="Times New Roman"/>
                <w:kern w:val="2"/>
                <w:sz w:val="21"/>
                <w:szCs w:val="21"/>
              </w:rPr>
              <w:t>废水池</w:t>
            </w:r>
            <w:r>
              <w:rPr>
                <w:rFonts w:ascii="Times New Roman" w:cs="Times New Roman"/>
                <w:kern w:val="2"/>
                <w:sz w:val="21"/>
                <w:szCs w:val="21"/>
              </w:rPr>
              <w:t>，装车拉运至大湾403污水站处理达标后管输至毛开1井回注站回注</w:t>
            </w:r>
          </w:p>
        </w:tc>
        <w:tc>
          <w:tcPr>
            <w:tcW w:w="1099" w:type="pct"/>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保护地表水环境</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2"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1089" w:type="pct"/>
            <w:gridSpan w:val="3"/>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噪声</w:t>
            </w:r>
          </w:p>
        </w:tc>
        <w:tc>
          <w:tcPr>
            <w:tcW w:w="2599" w:type="pct"/>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站场施工采取合理安排作业时间，合理布置施工机械等措施，钻井施工：合理布置高噪声设备；选用低噪声设备如网电钻井；泥浆泵安装弹性垫料；对周边500m范围内无关人员进行临时疏散。</w:t>
            </w:r>
          </w:p>
        </w:tc>
        <w:tc>
          <w:tcPr>
            <w:tcW w:w="1099" w:type="pct"/>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《建筑施工场界环境噪声排放标准》（GB12523-2011）中的噪声排放限值。</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2"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348" w:type="pct"/>
            <w:vMerge w:val="restart"/>
            <w:tcBorders>
              <w:right w:val="single" w:color="auto"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固体废物</w:t>
            </w:r>
          </w:p>
        </w:tc>
        <w:tc>
          <w:tcPr>
            <w:tcW w:w="741" w:type="pct"/>
            <w:gridSpan w:val="2"/>
            <w:tcBorders>
              <w:left w:val="single" w:color="auto"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钻井岩屑、泥浆（一~三开井段均采用水基钻井液）</w:t>
            </w:r>
          </w:p>
        </w:tc>
        <w:tc>
          <w:tcPr>
            <w:tcW w:w="2599" w:type="pct"/>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本项目采取清洁化操作平台，空气钻岩屑及时拉运填埋处理，废泥浆和与常规钻产生的岩屑</w:t>
            </w:r>
            <w:r>
              <w:rPr>
                <w:rFonts w:ascii="Times New Roman" w:cs="Times New Roman"/>
                <w:bCs/>
                <w:kern w:val="2"/>
                <w:sz w:val="21"/>
                <w:szCs w:val="21"/>
              </w:rPr>
              <w:t>采用清洁化操作平台，并采取泥浆不落地措施</w:t>
            </w:r>
            <w:r>
              <w:rPr>
                <w:rFonts w:ascii="Times New Roman" w:cs="Times New Roman"/>
                <w:kern w:val="2"/>
                <w:sz w:val="21"/>
                <w:szCs w:val="21"/>
              </w:rPr>
              <w:t xml:space="preserve">，待项目完成后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 </w:t>
            </w:r>
          </w:p>
        </w:tc>
        <w:tc>
          <w:tcPr>
            <w:tcW w:w="1099" w:type="pct"/>
            <w:vMerge w:val="restart"/>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施工现场无遗留固废，处理率100%，无二次污染</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2"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348" w:type="pct"/>
            <w:vMerge w:val="continue"/>
            <w:tcBorders>
              <w:right w:val="single" w:color="auto" w:sz="4" w:space="0"/>
            </w:tcBorders>
            <w:vAlign w:val="center"/>
          </w:tcPr>
          <w:p>
            <w:pPr>
              <w:pStyle w:val="103"/>
              <w:spacing w:line="240" w:lineRule="auto"/>
              <w:ind w:firstLine="0" w:firstLineChars="0"/>
              <w:rPr>
                <w:rFonts w:ascii="Times New Roman" w:cs="Times New Roman"/>
                <w:kern w:val="2"/>
                <w:sz w:val="21"/>
                <w:szCs w:val="21"/>
              </w:rPr>
            </w:pPr>
          </w:p>
        </w:tc>
        <w:tc>
          <w:tcPr>
            <w:tcW w:w="741" w:type="pct"/>
            <w:gridSpan w:val="2"/>
            <w:tcBorders>
              <w:left w:val="single" w:color="auto"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钻井岩屑、泥浆（三开井段采用白油基钻井液）</w:t>
            </w:r>
          </w:p>
        </w:tc>
        <w:tc>
          <w:tcPr>
            <w:tcW w:w="2599" w:type="pct"/>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本项目</w:t>
            </w:r>
            <w:r>
              <w:rPr>
                <w:rFonts w:ascii="Times New Roman" w:cs="Times New Roman"/>
                <w:bCs/>
                <w:kern w:val="2"/>
                <w:sz w:val="21"/>
                <w:szCs w:val="21"/>
              </w:rPr>
              <w:t>采用清洁化操作平台，并采取泥浆不落地措施，水基岩屑、</w:t>
            </w:r>
            <w:r>
              <w:rPr>
                <w:rFonts w:ascii="Times New Roman" w:cs="Times New Roman"/>
                <w:kern w:val="2"/>
                <w:sz w:val="21"/>
                <w:szCs w:val="21"/>
              </w:rPr>
              <w:t>水基泥浆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废油基岩屑、废油基泥浆袋装后暂存于危废暂存间，面积约</w:t>
            </w:r>
            <w:r>
              <w:rPr>
                <w:rFonts w:hint="eastAsia" w:ascii="Times New Roman" w:cs="Times New Roman"/>
                <w:kern w:val="2"/>
                <w:sz w:val="21"/>
                <w:szCs w:val="21"/>
              </w:rPr>
              <w:t>2</w:t>
            </w:r>
            <w:r>
              <w:rPr>
                <w:rFonts w:ascii="Times New Roman" w:cs="Times New Roman"/>
                <w:kern w:val="2"/>
                <w:sz w:val="21"/>
                <w:szCs w:val="21"/>
              </w:rPr>
              <w:t>5m</w:t>
            </w:r>
            <w:r>
              <w:rPr>
                <w:rFonts w:ascii="Times New Roman" w:cs="Times New Roman"/>
                <w:kern w:val="2"/>
                <w:sz w:val="21"/>
                <w:szCs w:val="21"/>
                <w:vertAlign w:val="superscript"/>
              </w:rPr>
              <w:t>2</w:t>
            </w:r>
            <w:r>
              <w:rPr>
                <w:rFonts w:ascii="Times New Roman" w:cs="Times New Roman"/>
                <w:kern w:val="2"/>
                <w:sz w:val="21"/>
                <w:szCs w:val="21"/>
              </w:rPr>
              <w:t>，暂存间地面采取必要的防护措施（防风、防雨、防晒、防渗、防漏、防腐）及其他环境污染防护措施，委托有资质单位处理。</w:t>
            </w:r>
          </w:p>
        </w:tc>
        <w:tc>
          <w:tcPr>
            <w:tcW w:w="1099" w:type="pct"/>
            <w:vMerge w:val="continue"/>
            <w:vAlign w:val="center"/>
          </w:tcPr>
          <w:p>
            <w:pPr>
              <w:pStyle w:val="103"/>
              <w:spacing w:line="240" w:lineRule="auto"/>
              <w:ind w:firstLine="0" w:firstLineChars="0"/>
              <w:rPr>
                <w:rFonts w:ascii="Times New Roman" w:cs="Times New Roman"/>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2"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348" w:type="pct"/>
            <w:vMerge w:val="continue"/>
            <w:tcBorders>
              <w:right w:val="single" w:color="auto" w:sz="4" w:space="0"/>
            </w:tcBorders>
            <w:vAlign w:val="center"/>
          </w:tcPr>
          <w:p>
            <w:pPr>
              <w:pStyle w:val="103"/>
              <w:spacing w:line="240" w:lineRule="auto"/>
              <w:ind w:firstLine="0" w:firstLineChars="0"/>
              <w:rPr>
                <w:rFonts w:ascii="Times New Roman" w:cs="Times New Roman"/>
                <w:kern w:val="2"/>
                <w:sz w:val="21"/>
                <w:szCs w:val="21"/>
              </w:rPr>
            </w:pPr>
          </w:p>
        </w:tc>
        <w:tc>
          <w:tcPr>
            <w:tcW w:w="741" w:type="pct"/>
            <w:gridSpan w:val="2"/>
            <w:tcBorders>
              <w:left w:val="single" w:color="auto" w:sz="4" w:space="0"/>
            </w:tcBorders>
            <w:vAlign w:val="center"/>
          </w:tcPr>
          <w:p>
            <w:pPr>
              <w:pStyle w:val="103"/>
              <w:ind w:firstLine="0" w:firstLineChars="0"/>
              <w:rPr>
                <w:rFonts w:ascii="Times New Roman" w:cs="Times New Roman"/>
                <w:kern w:val="2"/>
                <w:sz w:val="21"/>
                <w:szCs w:val="21"/>
              </w:rPr>
            </w:pPr>
            <w:r>
              <w:rPr>
                <w:rFonts w:ascii="Times New Roman" w:cs="Times New Roman"/>
                <w:kern w:val="2"/>
                <w:sz w:val="21"/>
                <w:szCs w:val="21"/>
              </w:rPr>
              <w:t>生活垃圾</w:t>
            </w:r>
          </w:p>
        </w:tc>
        <w:tc>
          <w:tcPr>
            <w:tcW w:w="2599" w:type="pct"/>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生活垃圾经当地环卫部门统一清运处理</w:t>
            </w:r>
          </w:p>
        </w:tc>
        <w:tc>
          <w:tcPr>
            <w:tcW w:w="1099" w:type="pct"/>
            <w:vMerge w:val="continue"/>
            <w:vAlign w:val="center"/>
          </w:tcPr>
          <w:p>
            <w:pPr>
              <w:pStyle w:val="103"/>
              <w:spacing w:line="240" w:lineRule="auto"/>
              <w:ind w:firstLine="0" w:firstLineChars="0"/>
              <w:rPr>
                <w:rFonts w:ascii="Times New Roman" w:cs="Times New Roman"/>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2"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348" w:type="pct"/>
            <w:vMerge w:val="continue"/>
            <w:tcBorders>
              <w:right w:val="single" w:color="auto" w:sz="4" w:space="0"/>
            </w:tcBorders>
            <w:vAlign w:val="center"/>
          </w:tcPr>
          <w:p>
            <w:pPr>
              <w:pStyle w:val="103"/>
              <w:spacing w:line="240" w:lineRule="auto"/>
              <w:ind w:firstLine="0" w:firstLineChars="0"/>
              <w:rPr>
                <w:rFonts w:ascii="Times New Roman" w:cs="Times New Roman"/>
                <w:kern w:val="2"/>
                <w:sz w:val="21"/>
                <w:szCs w:val="21"/>
              </w:rPr>
            </w:pPr>
          </w:p>
        </w:tc>
        <w:tc>
          <w:tcPr>
            <w:tcW w:w="741" w:type="pct"/>
            <w:gridSpan w:val="2"/>
            <w:tcBorders>
              <w:left w:val="single" w:color="auto" w:sz="4" w:space="0"/>
            </w:tcBorders>
            <w:vAlign w:val="center"/>
          </w:tcPr>
          <w:p>
            <w:pPr>
              <w:pStyle w:val="103"/>
              <w:ind w:firstLine="0" w:firstLineChars="0"/>
              <w:rPr>
                <w:rFonts w:ascii="Times New Roman" w:cs="Times New Roman"/>
                <w:kern w:val="2"/>
                <w:sz w:val="21"/>
                <w:szCs w:val="21"/>
              </w:rPr>
            </w:pPr>
            <w:r>
              <w:rPr>
                <w:rFonts w:ascii="Times New Roman" w:cs="Times New Roman"/>
                <w:kern w:val="2"/>
                <w:sz w:val="21"/>
                <w:szCs w:val="21"/>
              </w:rPr>
              <w:t>废油</w:t>
            </w:r>
          </w:p>
        </w:tc>
        <w:tc>
          <w:tcPr>
            <w:tcW w:w="2599" w:type="pct"/>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废油暂存于危废暂存间，面积约</w:t>
            </w:r>
            <w:r>
              <w:rPr>
                <w:rFonts w:hint="eastAsia" w:ascii="Times New Roman" w:cs="Times New Roman"/>
                <w:kern w:val="2"/>
                <w:sz w:val="21"/>
                <w:szCs w:val="21"/>
              </w:rPr>
              <w:t>2</w:t>
            </w:r>
            <w:r>
              <w:rPr>
                <w:rFonts w:ascii="Times New Roman" w:cs="Times New Roman"/>
                <w:kern w:val="2"/>
                <w:sz w:val="21"/>
                <w:szCs w:val="21"/>
              </w:rPr>
              <w:t>5m</w:t>
            </w:r>
            <w:r>
              <w:rPr>
                <w:rFonts w:ascii="Times New Roman" w:cs="Times New Roman"/>
                <w:kern w:val="2"/>
                <w:sz w:val="21"/>
                <w:szCs w:val="21"/>
                <w:vertAlign w:val="superscript"/>
              </w:rPr>
              <w:t>2</w:t>
            </w:r>
            <w:r>
              <w:rPr>
                <w:rFonts w:ascii="Times New Roman" w:cs="Times New Roman"/>
                <w:kern w:val="2"/>
                <w:sz w:val="21"/>
                <w:szCs w:val="21"/>
              </w:rPr>
              <w:t>，暂存间地面采取必要的防护措施（防风、防雨、防晒、防渗、防漏、防腐）及其他环境污染防护措施，并及时清运至企业净化厂危险废物贮存仓库，定期委托有资质单位进行处理。</w:t>
            </w:r>
          </w:p>
        </w:tc>
        <w:tc>
          <w:tcPr>
            <w:tcW w:w="1099" w:type="pct"/>
            <w:vMerge w:val="continue"/>
            <w:vAlign w:val="center"/>
          </w:tcPr>
          <w:p>
            <w:pPr>
              <w:pStyle w:val="103"/>
              <w:spacing w:line="240" w:lineRule="auto"/>
              <w:ind w:firstLine="0" w:firstLineChars="0"/>
              <w:rPr>
                <w:rFonts w:ascii="Times New Roman" w:cs="Times New Roman"/>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2"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1089" w:type="pct"/>
            <w:gridSpan w:val="3"/>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生态</w:t>
            </w:r>
          </w:p>
        </w:tc>
        <w:tc>
          <w:tcPr>
            <w:tcW w:w="2599" w:type="pct"/>
            <w:vAlign w:val="center"/>
          </w:tcPr>
          <w:p>
            <w:pPr>
              <w:pStyle w:val="103"/>
              <w:spacing w:line="240" w:lineRule="auto"/>
              <w:ind w:firstLine="420"/>
              <w:rPr>
                <w:rFonts w:ascii="Times New Roman" w:cs="Times New Roman"/>
                <w:kern w:val="2"/>
                <w:sz w:val="21"/>
                <w:szCs w:val="21"/>
              </w:rPr>
            </w:pPr>
            <w:r>
              <w:rPr>
                <w:rFonts w:ascii="Times New Roman" w:cs="Times New Roman"/>
                <w:kern w:val="2"/>
                <w:sz w:val="21"/>
                <w:szCs w:val="21"/>
              </w:rPr>
              <w:t>站场施工：井场及临时堆土区分区采取相应的表土剥离、截排水沟、排污沟、井场边沟、植草等措施，覆土、土地整治及临时措施。</w:t>
            </w:r>
          </w:p>
        </w:tc>
        <w:tc>
          <w:tcPr>
            <w:tcW w:w="1099" w:type="pct"/>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满足环保要求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2"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1089" w:type="pct"/>
            <w:gridSpan w:val="3"/>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环保培训、规章建立及实施</w:t>
            </w:r>
          </w:p>
        </w:tc>
        <w:tc>
          <w:tcPr>
            <w:tcW w:w="2599" w:type="pct"/>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环境敏感区、村庄设置环保警示牌，对施工队伍普及环保知识。</w:t>
            </w:r>
          </w:p>
        </w:tc>
        <w:tc>
          <w:tcPr>
            <w:tcW w:w="1099" w:type="pct"/>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环保培训、规章建立及实施</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65" w:hRule="atLeast"/>
          <w:jc w:val="center"/>
        </w:trPr>
        <w:tc>
          <w:tcPr>
            <w:tcW w:w="212" w:type="pct"/>
            <w:vMerge w:val="restart"/>
            <w:vAlign w:val="center"/>
          </w:tcPr>
          <w:p>
            <w:pPr>
              <w:pStyle w:val="103"/>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试采期</w:t>
            </w:r>
          </w:p>
        </w:tc>
        <w:tc>
          <w:tcPr>
            <w:tcW w:w="363" w:type="pct"/>
            <w:gridSpan w:val="2"/>
            <w:vMerge w:val="restart"/>
            <w:tcBorders>
              <w:right w:val="single" w:color="auto"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废气治理</w:t>
            </w:r>
          </w:p>
        </w:tc>
        <w:tc>
          <w:tcPr>
            <w:tcW w:w="726" w:type="pct"/>
            <w:tcBorders>
              <w:left w:val="single" w:color="auto" w:sz="4" w:space="0"/>
              <w:bottom w:val="single" w:color="auto"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P108集气站水套炉燃烧废气</w:t>
            </w:r>
          </w:p>
        </w:tc>
        <w:tc>
          <w:tcPr>
            <w:tcW w:w="2599" w:type="pct"/>
            <w:tcBorders>
              <w:bottom w:val="single" w:color="auto"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依托P108集气站设备自带的8m高排气筒排放</w:t>
            </w:r>
          </w:p>
        </w:tc>
        <w:tc>
          <w:tcPr>
            <w:tcW w:w="1099" w:type="pct"/>
            <w:tcBorders>
              <w:bottom w:val="single" w:color="auto"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满足环保要求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67" w:hRule="atLeast"/>
          <w:jc w:val="center"/>
        </w:trPr>
        <w:tc>
          <w:tcPr>
            <w:tcW w:w="212" w:type="pct"/>
            <w:vMerge w:val="continue"/>
            <w:vAlign w:val="center"/>
          </w:tcPr>
          <w:p>
            <w:pPr>
              <w:pStyle w:val="103"/>
              <w:spacing w:line="240" w:lineRule="auto"/>
              <w:ind w:firstLine="0" w:firstLineChars="0"/>
              <w:rPr>
                <w:rFonts w:ascii="Times New Roman" w:cs="Times New Roman"/>
                <w:kern w:val="2"/>
                <w:sz w:val="21"/>
                <w:szCs w:val="21"/>
              </w:rPr>
            </w:pPr>
          </w:p>
        </w:tc>
        <w:tc>
          <w:tcPr>
            <w:tcW w:w="363" w:type="pct"/>
            <w:gridSpan w:val="2"/>
            <w:vMerge w:val="continue"/>
            <w:tcBorders>
              <w:bottom w:val="single" w:color="auto" w:sz="4" w:space="0"/>
              <w:right w:val="single" w:color="auto" w:sz="4" w:space="0"/>
            </w:tcBorders>
            <w:vAlign w:val="center"/>
          </w:tcPr>
          <w:p>
            <w:pPr>
              <w:pStyle w:val="103"/>
              <w:spacing w:line="240" w:lineRule="auto"/>
              <w:ind w:firstLine="0" w:firstLineChars="0"/>
              <w:rPr>
                <w:rFonts w:ascii="Times New Roman" w:cs="Times New Roman"/>
                <w:kern w:val="2"/>
                <w:sz w:val="21"/>
                <w:szCs w:val="21"/>
              </w:rPr>
            </w:pPr>
          </w:p>
        </w:tc>
        <w:tc>
          <w:tcPr>
            <w:tcW w:w="726" w:type="pct"/>
            <w:tcBorders>
              <w:top w:val="single" w:color="auto" w:sz="4" w:space="0"/>
              <w:left w:val="single" w:color="auto"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非正常工况放空废气</w:t>
            </w:r>
          </w:p>
        </w:tc>
        <w:tc>
          <w:tcPr>
            <w:tcW w:w="2599" w:type="pct"/>
            <w:tcBorders>
              <w:top w:val="single" w:color="auto"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事故或检修放空排放的天然气经P108集气站放空火炬（85m高）燃烧后排放。</w:t>
            </w:r>
          </w:p>
        </w:tc>
        <w:tc>
          <w:tcPr>
            <w:tcW w:w="1099" w:type="pct"/>
            <w:tcBorders>
              <w:top w:val="single" w:color="auto"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满足环保要求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67" w:hRule="atLeast"/>
          <w:jc w:val="center"/>
        </w:trPr>
        <w:tc>
          <w:tcPr>
            <w:tcW w:w="212"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363" w:type="pct"/>
            <w:gridSpan w:val="2"/>
            <w:tcBorders>
              <w:top w:val="single" w:color="auto" w:sz="4" w:space="0"/>
              <w:right w:val="single" w:color="auto" w:sz="4" w:space="0"/>
            </w:tcBorders>
            <w:vAlign w:val="center"/>
          </w:tcPr>
          <w:p>
            <w:pPr>
              <w:pStyle w:val="103"/>
              <w:ind w:firstLine="0" w:firstLineChars="0"/>
              <w:rPr>
                <w:rFonts w:ascii="Times New Roman" w:cs="Times New Roman"/>
                <w:kern w:val="2"/>
                <w:sz w:val="21"/>
                <w:szCs w:val="21"/>
              </w:rPr>
            </w:pPr>
            <w:r>
              <w:rPr>
                <w:rFonts w:ascii="Times New Roman" w:cs="Times New Roman"/>
                <w:kern w:val="2"/>
                <w:sz w:val="21"/>
                <w:szCs w:val="21"/>
              </w:rPr>
              <w:t>废水治理</w:t>
            </w:r>
          </w:p>
        </w:tc>
        <w:tc>
          <w:tcPr>
            <w:tcW w:w="726" w:type="pct"/>
            <w:tcBorders>
              <w:top w:val="single" w:color="auto" w:sz="4" w:space="0"/>
              <w:left w:val="single" w:color="auto"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气田水</w:t>
            </w:r>
          </w:p>
        </w:tc>
        <w:tc>
          <w:tcPr>
            <w:tcW w:w="2599" w:type="pct"/>
            <w:tcBorders>
              <w:top w:val="single" w:color="auto"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本项目试采期</w:t>
            </w:r>
            <w:r>
              <w:rPr>
                <w:rFonts w:hint="eastAsia" w:ascii="Times New Roman" w:cs="Times New Roman"/>
                <w:kern w:val="2"/>
                <w:sz w:val="21"/>
                <w:szCs w:val="21"/>
              </w:rPr>
              <w:t>经分离器产生的废水由酸液缓冲罐收集</w:t>
            </w:r>
            <w:r>
              <w:rPr>
                <w:rFonts w:ascii="Times New Roman" w:cs="Times New Roman"/>
                <w:kern w:val="2"/>
                <w:sz w:val="21"/>
                <w:szCs w:val="21"/>
              </w:rPr>
              <w:t>，然后通过密闭罐车拉运至大湾403污水站处理达到《气田水回注方法》（SY/T 6596-2016）中注入水基本要求后管输至毛开1井回注站回注处理，不外排。</w:t>
            </w:r>
          </w:p>
        </w:tc>
        <w:tc>
          <w:tcPr>
            <w:tcW w:w="1099" w:type="pct"/>
            <w:tcBorders>
              <w:top w:val="single" w:color="auto"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满足环保要求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67" w:hRule="atLeast"/>
          <w:jc w:val="center"/>
        </w:trPr>
        <w:tc>
          <w:tcPr>
            <w:tcW w:w="212"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1089" w:type="pct"/>
            <w:gridSpan w:val="3"/>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地下水</w:t>
            </w:r>
          </w:p>
        </w:tc>
        <w:tc>
          <w:tcPr>
            <w:tcW w:w="2599" w:type="pct"/>
            <w:tcBorders>
              <w:top w:val="single" w:color="auto"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依托管道采用外防腐层和强制电流阴极保护联合方式；污水缓冲罐：四周设置防渗围堰。</w:t>
            </w:r>
          </w:p>
        </w:tc>
        <w:tc>
          <w:tcPr>
            <w:tcW w:w="1099" w:type="pct"/>
            <w:tcBorders>
              <w:top w:val="single" w:color="auto"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满足环保要求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2"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1089" w:type="pct"/>
            <w:gridSpan w:val="3"/>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噪声治理</w:t>
            </w:r>
          </w:p>
        </w:tc>
        <w:tc>
          <w:tcPr>
            <w:tcW w:w="2599" w:type="pct"/>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低噪声设备；依托管线地埋敷设。</w:t>
            </w:r>
          </w:p>
        </w:tc>
        <w:tc>
          <w:tcPr>
            <w:tcW w:w="1099" w:type="pct"/>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满足区域《工业企业厂界噪声排放标准》（GB12348-2008）2类标准限值</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14" w:hRule="atLeast"/>
          <w:jc w:val="center"/>
        </w:trPr>
        <w:tc>
          <w:tcPr>
            <w:tcW w:w="212"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1089" w:type="pct"/>
            <w:gridSpan w:val="3"/>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环境风险</w:t>
            </w:r>
          </w:p>
        </w:tc>
        <w:tc>
          <w:tcPr>
            <w:tcW w:w="2599" w:type="pct"/>
            <w:vAlign w:val="center"/>
          </w:tcPr>
          <w:p>
            <w:pPr>
              <w:pStyle w:val="103"/>
              <w:spacing w:line="240" w:lineRule="auto"/>
              <w:ind w:firstLine="420"/>
              <w:rPr>
                <w:rFonts w:ascii="Times New Roman" w:cs="Times New Roman"/>
                <w:kern w:val="2"/>
                <w:sz w:val="21"/>
                <w:szCs w:val="21"/>
              </w:rPr>
            </w:pPr>
            <w:r>
              <w:rPr>
                <w:rFonts w:ascii="Times New Roman" w:cs="Times New Roman"/>
                <w:kern w:val="2"/>
                <w:sz w:val="21"/>
                <w:szCs w:val="21"/>
              </w:rPr>
              <w:t>事故放空：事故状态下依托管线及站场内天然气通过新建放空系统燃烧排放。</w:t>
            </w:r>
          </w:p>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污水缓冲罐：四周设置防渗围堰。</w:t>
            </w:r>
          </w:p>
        </w:tc>
        <w:tc>
          <w:tcPr>
            <w:tcW w:w="1099" w:type="pct"/>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满足环境风险防控要求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6" w:hRule="atLeast"/>
          <w:jc w:val="center"/>
        </w:trPr>
        <w:tc>
          <w:tcPr>
            <w:tcW w:w="212"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1089" w:type="pct"/>
            <w:gridSpan w:val="3"/>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生态</w:t>
            </w:r>
          </w:p>
        </w:tc>
        <w:tc>
          <w:tcPr>
            <w:tcW w:w="2599" w:type="pct"/>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1、项目运行期，项目所在区域要加强对临时占地区域的植被恢复工程护，发现植被恢复受阻，如死亡的林木等，要进行植被的补植补种；森林的管护和抚育，提供森林植被的水源涵养能力，针对依托管线建设所形成的廊道，应制定严格的管理措施，严格限制人员进入廊道实施与管道管理和森林保护无关的活动。</w:t>
            </w:r>
          </w:p>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2、在项目区内特别是在林地区域内设置告示牌和警告牌，宣传保护野生动物及其栖息地生态环境，加强公众的野生动物保护和生态环境的保护意识教育。</w:t>
            </w:r>
          </w:p>
        </w:tc>
        <w:tc>
          <w:tcPr>
            <w:tcW w:w="1099" w:type="pct"/>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满足环保要求</w:t>
            </w:r>
          </w:p>
        </w:tc>
      </w:tr>
    </w:tbl>
    <w:p>
      <w:pPr>
        <w:pStyle w:val="6"/>
        <w:ind w:firstLine="480"/>
        <w:rPr>
          <w:rFonts w:ascii="Times New Roman" w:cs="Times New Roman"/>
        </w:rPr>
      </w:pPr>
    </w:p>
    <w:p>
      <w:pPr>
        <w:widowControl/>
        <w:topLinePunct w:val="0"/>
        <w:adjustRightInd/>
        <w:ind w:firstLine="0" w:firstLineChars="0"/>
        <w:jc w:val="left"/>
        <w:rPr>
          <w:rFonts w:ascii="Times New Roman" w:cs="Times New Roman"/>
        </w:rPr>
        <w:sectPr>
          <w:pgSz w:w="16840" w:h="11910" w:orient="landscape"/>
          <w:pgMar w:top="800" w:right="1200" w:bottom="280" w:left="1200" w:header="0" w:footer="0" w:gutter="0"/>
          <w:pgBorders>
            <w:top w:val="none" w:sz="0" w:space="0"/>
            <w:left w:val="none" w:sz="0" w:space="0"/>
            <w:bottom w:val="none" w:sz="0" w:space="0"/>
            <w:right w:val="none" w:sz="0" w:space="0"/>
          </w:pgBorders>
          <w:cols w:space="720" w:num="1"/>
        </w:sectPr>
      </w:pPr>
    </w:p>
    <w:p>
      <w:pPr>
        <w:pStyle w:val="3"/>
        <w:spacing w:before="120"/>
        <w:rPr>
          <w:rFonts w:cs="Times New Roman"/>
        </w:rPr>
      </w:pPr>
      <w:bookmarkStart w:id="621" w:name="bookmark75"/>
      <w:bookmarkEnd w:id="621"/>
      <w:bookmarkStart w:id="622" w:name="bookmark76"/>
      <w:bookmarkEnd w:id="622"/>
      <w:bookmarkStart w:id="623" w:name="_Toc12288817"/>
      <w:bookmarkStart w:id="624" w:name="_Toc19816136"/>
      <w:bookmarkStart w:id="625" w:name="_Toc8256"/>
      <w:r>
        <w:rPr>
          <w:rFonts w:cs="Times New Roman"/>
        </w:rPr>
        <w:t>8.4 环保投资估算</w:t>
      </w:r>
      <w:bookmarkEnd w:id="623"/>
      <w:bookmarkEnd w:id="624"/>
      <w:bookmarkEnd w:id="625"/>
    </w:p>
    <w:p>
      <w:pPr>
        <w:pStyle w:val="6"/>
        <w:ind w:firstLine="480"/>
        <w:rPr>
          <w:rFonts w:ascii="Times New Roman" w:cs="Times New Roman"/>
        </w:rPr>
      </w:pPr>
      <w:r>
        <w:rPr>
          <w:rFonts w:ascii="Times New Roman" w:cs="Times New Roman"/>
        </w:rPr>
        <w:t>本项目总投资18987万元，其中环保投资500万元，占项目总投资的2.63%。项目环保投资估算时，环保措施单价参照其他已有工程类比，环保措施数量依据初步设计确定，环保投资估算见下表。</w:t>
      </w:r>
    </w:p>
    <w:p>
      <w:pPr>
        <w:pStyle w:val="6"/>
        <w:ind w:firstLine="480"/>
        <w:rPr>
          <w:rFonts w:ascii="Times New Roman" w:cs="Times New Roman"/>
        </w:rPr>
      </w:pPr>
    </w:p>
    <w:p>
      <w:pPr>
        <w:pStyle w:val="6"/>
        <w:ind w:firstLine="480"/>
        <w:rPr>
          <w:rFonts w:ascii="Times New Roman" w:cs="Times New Roman"/>
        </w:rPr>
      </w:pPr>
    </w:p>
    <w:p>
      <w:pPr>
        <w:pStyle w:val="6"/>
        <w:ind w:firstLine="480"/>
        <w:rPr>
          <w:rFonts w:ascii="Times New Roman" w:cs="Times New Roman"/>
        </w:rPr>
        <w:sectPr>
          <w:pgSz w:w="11910" w:h="16840"/>
          <w:pgMar w:top="1440" w:right="1800" w:bottom="1440" w:left="1800" w:header="885" w:footer="1025" w:gutter="0"/>
          <w:pgBorders>
            <w:top w:val="none" w:sz="0" w:space="0"/>
            <w:left w:val="none" w:sz="0" w:space="0"/>
            <w:bottom w:val="none" w:sz="0" w:space="0"/>
            <w:right w:val="none" w:sz="0" w:space="0"/>
          </w:pgBorders>
          <w:cols w:space="720" w:num="1"/>
          <w:docGrid w:linePitch="326" w:charSpace="0"/>
        </w:sectPr>
      </w:pPr>
    </w:p>
    <w:p>
      <w:pPr>
        <w:pStyle w:val="127"/>
        <w:rPr>
          <w:rFonts w:eastAsia="宋体"/>
        </w:rPr>
      </w:pPr>
      <w:r>
        <w:rPr>
          <w:rFonts w:eastAsia="宋体"/>
        </w:rPr>
        <w:t>表8.4-1  工程环保投资估算表</w:t>
      </w:r>
      <w:r>
        <w:rPr>
          <w:rFonts w:eastAsia="宋体"/>
          <w:kern w:val="2"/>
        </w:rPr>
        <w:t xml:space="preserve">  单位：万元</w:t>
      </w:r>
    </w:p>
    <w:tbl>
      <w:tblPr>
        <w:tblStyle w:val="59"/>
        <w:tblW w:w="485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92"/>
        <w:gridCol w:w="858"/>
        <w:gridCol w:w="8"/>
        <w:gridCol w:w="1515"/>
        <w:gridCol w:w="686"/>
        <w:gridCol w:w="9160"/>
        <w:gridCol w:w="68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blHeader/>
        </w:trPr>
        <w:tc>
          <w:tcPr>
            <w:tcW w:w="423" w:type="pct"/>
            <w:vAlign w:val="center"/>
          </w:tcPr>
          <w:p>
            <w:pPr>
              <w:pStyle w:val="103"/>
              <w:spacing w:line="240" w:lineRule="auto"/>
              <w:ind w:firstLine="0" w:firstLineChars="0"/>
              <w:rPr>
                <w:rFonts w:ascii="Times New Roman" w:cs="Times New Roman"/>
                <w:b/>
                <w:kern w:val="2"/>
                <w:sz w:val="21"/>
                <w:szCs w:val="21"/>
              </w:rPr>
            </w:pPr>
            <w:r>
              <w:rPr>
                <w:rFonts w:ascii="Times New Roman" w:cs="Times New Roman"/>
                <w:b/>
                <w:kern w:val="2"/>
                <w:sz w:val="21"/>
                <w:szCs w:val="21"/>
              </w:rPr>
              <w:t>项目</w:t>
            </w:r>
          </w:p>
        </w:tc>
        <w:tc>
          <w:tcPr>
            <w:tcW w:w="844" w:type="pct"/>
            <w:gridSpan w:val="3"/>
            <w:vAlign w:val="center"/>
          </w:tcPr>
          <w:p>
            <w:pPr>
              <w:pStyle w:val="103"/>
              <w:spacing w:line="240" w:lineRule="auto"/>
              <w:ind w:firstLine="0" w:firstLineChars="0"/>
              <w:rPr>
                <w:rFonts w:ascii="Times New Roman" w:cs="Times New Roman"/>
                <w:b/>
                <w:kern w:val="2"/>
                <w:sz w:val="21"/>
                <w:szCs w:val="21"/>
              </w:rPr>
            </w:pPr>
            <w:r>
              <w:rPr>
                <w:rFonts w:ascii="Times New Roman" w:cs="Times New Roman"/>
                <w:b/>
                <w:kern w:val="2"/>
                <w:sz w:val="21"/>
                <w:szCs w:val="21"/>
              </w:rPr>
              <w:t>措施类型</w:t>
            </w:r>
          </w:p>
        </w:tc>
        <w:tc>
          <w:tcPr>
            <w:tcW w:w="243" w:type="pct"/>
            <w:vAlign w:val="center"/>
          </w:tcPr>
          <w:p>
            <w:pPr>
              <w:pStyle w:val="103"/>
              <w:spacing w:line="240" w:lineRule="auto"/>
              <w:ind w:firstLine="0" w:firstLineChars="0"/>
              <w:rPr>
                <w:rFonts w:ascii="Times New Roman" w:cs="Times New Roman"/>
                <w:b/>
                <w:kern w:val="2"/>
                <w:sz w:val="21"/>
                <w:szCs w:val="21"/>
              </w:rPr>
            </w:pPr>
            <w:r>
              <w:rPr>
                <w:rFonts w:ascii="Times New Roman" w:cs="Times New Roman"/>
                <w:b/>
                <w:kern w:val="2"/>
                <w:sz w:val="21"/>
                <w:szCs w:val="21"/>
              </w:rPr>
              <w:t>投资</w:t>
            </w:r>
          </w:p>
        </w:tc>
        <w:tc>
          <w:tcPr>
            <w:tcW w:w="3247" w:type="pct"/>
            <w:vAlign w:val="center"/>
          </w:tcPr>
          <w:p>
            <w:pPr>
              <w:pStyle w:val="103"/>
              <w:spacing w:line="240" w:lineRule="auto"/>
              <w:ind w:firstLine="0" w:firstLineChars="0"/>
              <w:rPr>
                <w:rFonts w:ascii="Times New Roman" w:cs="Times New Roman"/>
                <w:b/>
                <w:kern w:val="2"/>
                <w:sz w:val="21"/>
                <w:szCs w:val="21"/>
              </w:rPr>
            </w:pPr>
            <w:r>
              <w:rPr>
                <w:rFonts w:ascii="Times New Roman" w:cs="Times New Roman"/>
                <w:b/>
                <w:kern w:val="2"/>
                <w:sz w:val="21"/>
                <w:szCs w:val="21"/>
              </w:rPr>
              <w:t>说明</w:t>
            </w:r>
          </w:p>
        </w:tc>
        <w:tc>
          <w:tcPr>
            <w:tcW w:w="241" w:type="pct"/>
            <w:vAlign w:val="center"/>
          </w:tcPr>
          <w:p>
            <w:pPr>
              <w:pStyle w:val="103"/>
              <w:spacing w:line="240" w:lineRule="auto"/>
              <w:ind w:firstLine="0" w:firstLineChars="0"/>
              <w:rPr>
                <w:rFonts w:ascii="Times New Roman" w:cs="Times New Roman"/>
                <w:b/>
                <w:kern w:val="2"/>
                <w:sz w:val="21"/>
                <w:szCs w:val="21"/>
              </w:rPr>
            </w:pPr>
            <w:r>
              <w:rPr>
                <w:rFonts w:ascii="Times New Roman" w:cs="Times New Roman"/>
                <w:b/>
                <w:kern w:val="2"/>
                <w:sz w:val="21"/>
                <w:szCs w:val="21"/>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restart"/>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水土保持措施</w:t>
            </w:r>
          </w:p>
        </w:tc>
        <w:tc>
          <w:tcPr>
            <w:tcW w:w="844" w:type="pct"/>
            <w:gridSpan w:val="3"/>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水土保持工程措施</w:t>
            </w:r>
          </w:p>
        </w:tc>
        <w:tc>
          <w:tcPr>
            <w:tcW w:w="243" w:type="pct"/>
            <w:vAlign w:val="center"/>
          </w:tcPr>
          <w:p>
            <w:pPr>
              <w:pStyle w:val="103"/>
              <w:kinsoku w:val="0"/>
              <w:overflowPunct w:val="0"/>
              <w:spacing w:line="240" w:lineRule="auto"/>
              <w:ind w:firstLine="0" w:firstLineChars="0"/>
              <w:rPr>
                <w:rFonts w:ascii="Times New Roman" w:cs="Times New Roman"/>
                <w:kern w:val="2"/>
              </w:rPr>
            </w:pPr>
            <w:r>
              <w:rPr>
                <w:rFonts w:ascii="Times New Roman" w:cs="Times New Roman"/>
                <w:w w:val="99"/>
                <w:kern w:val="2"/>
                <w:sz w:val="21"/>
                <w:szCs w:val="21"/>
              </w:rPr>
              <w:t>/</w:t>
            </w:r>
          </w:p>
        </w:tc>
        <w:tc>
          <w:tcPr>
            <w:tcW w:w="3247"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用于表土堆场等临时占地的剥离表土、土地整治、复耕等，以及用于、挡墙建设、安装排水沟等建设。</w:t>
            </w:r>
          </w:p>
        </w:tc>
        <w:tc>
          <w:tcPr>
            <w:tcW w:w="241" w:type="pct"/>
            <w:vMerge w:val="restar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计入水土保持投资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pStyle w:val="103"/>
              <w:spacing w:line="240" w:lineRule="auto"/>
              <w:ind w:firstLine="0" w:firstLineChars="0"/>
              <w:rPr>
                <w:rFonts w:ascii="Times New Roman" w:cs="Times New Roman"/>
                <w:kern w:val="2"/>
                <w:sz w:val="21"/>
                <w:szCs w:val="21"/>
              </w:rPr>
            </w:pPr>
          </w:p>
        </w:tc>
        <w:tc>
          <w:tcPr>
            <w:tcW w:w="844" w:type="pct"/>
            <w:gridSpan w:val="3"/>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水土保持植物措施</w:t>
            </w:r>
          </w:p>
        </w:tc>
        <w:tc>
          <w:tcPr>
            <w:tcW w:w="243"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c>
          <w:tcPr>
            <w:tcW w:w="3247"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场站等区域植被恢复、绿化等植物措施。</w:t>
            </w:r>
          </w:p>
        </w:tc>
        <w:tc>
          <w:tcPr>
            <w:tcW w:w="241" w:type="pct"/>
            <w:vMerge w:val="continue"/>
            <w:vAlign w:val="center"/>
          </w:tcPr>
          <w:p>
            <w:pPr>
              <w:pStyle w:val="103"/>
              <w:kinsoku w:val="0"/>
              <w:overflowPunct w:val="0"/>
              <w:spacing w:line="240" w:lineRule="auto"/>
              <w:ind w:firstLine="0" w:firstLineChars="0"/>
              <w:rPr>
                <w:rFonts w:ascii="Times New Roman" w:cs="Times New Roman"/>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pStyle w:val="103"/>
              <w:spacing w:line="240" w:lineRule="auto"/>
              <w:ind w:firstLine="0" w:firstLineChars="0"/>
              <w:rPr>
                <w:rFonts w:ascii="Times New Roman" w:cs="Times New Roman"/>
                <w:kern w:val="2"/>
                <w:sz w:val="21"/>
                <w:szCs w:val="21"/>
              </w:rPr>
            </w:pPr>
          </w:p>
        </w:tc>
        <w:tc>
          <w:tcPr>
            <w:tcW w:w="844" w:type="pct"/>
            <w:gridSpan w:val="3"/>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水土保持临时措施</w:t>
            </w:r>
          </w:p>
        </w:tc>
        <w:tc>
          <w:tcPr>
            <w:tcW w:w="243"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c>
          <w:tcPr>
            <w:tcW w:w="3247"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设置土质排水沟、临时沉砂凼、土袋挡土墙等措施。</w:t>
            </w:r>
          </w:p>
        </w:tc>
        <w:tc>
          <w:tcPr>
            <w:tcW w:w="241" w:type="pct"/>
            <w:vMerge w:val="continue"/>
            <w:vAlign w:val="center"/>
          </w:tcPr>
          <w:p>
            <w:pPr>
              <w:pStyle w:val="103"/>
              <w:kinsoku w:val="0"/>
              <w:overflowPunct w:val="0"/>
              <w:spacing w:line="240" w:lineRule="auto"/>
              <w:ind w:firstLine="0" w:firstLineChars="0"/>
              <w:rPr>
                <w:rFonts w:ascii="Times New Roman" w:cs="Times New Roman"/>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restart"/>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大气保护措施</w:t>
            </w:r>
          </w:p>
        </w:tc>
        <w:tc>
          <w:tcPr>
            <w:tcW w:w="304" w:type="pct"/>
            <w:vMerge w:val="restart"/>
            <w:tcBorders>
              <w:right w:val="single" w:color="000000" w:sz="2" w:space="0"/>
            </w:tcBorders>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施工期</w:t>
            </w:r>
          </w:p>
        </w:tc>
        <w:tc>
          <w:tcPr>
            <w:tcW w:w="539" w:type="pct"/>
            <w:gridSpan w:val="2"/>
            <w:tcBorders>
              <w:left w:val="single" w:color="000000" w:sz="2" w:space="0"/>
            </w:tcBorders>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扬尘防护措施</w:t>
            </w:r>
          </w:p>
        </w:tc>
        <w:tc>
          <w:tcPr>
            <w:tcW w:w="243"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9</w:t>
            </w:r>
          </w:p>
        </w:tc>
        <w:tc>
          <w:tcPr>
            <w:tcW w:w="3247"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施工期购置洒水设备进行洒水作业，对临时堆放表土采用篷布覆；进行道面清扫，对轮胎进行清洗；用于施工期间物料运输车辆的覆盖，粉料采用粉料车运输，防止物料散落和灰尘飘散</w:t>
            </w:r>
          </w:p>
        </w:tc>
        <w:tc>
          <w:tcPr>
            <w:tcW w:w="241" w:type="pct"/>
            <w:vAlign w:val="center"/>
          </w:tcPr>
          <w:p>
            <w:pPr>
              <w:pStyle w:val="103"/>
              <w:kinsoku w:val="0"/>
              <w:overflowPunct w:val="0"/>
              <w:spacing w:line="240" w:lineRule="auto"/>
              <w:ind w:right="1" w:firstLine="0" w:firstLineChars="0"/>
              <w:rPr>
                <w:rFonts w:ascii="Times New Roman" w:cs="Times New Roman"/>
                <w:kern w:val="2"/>
                <w:sz w:val="21"/>
                <w:szCs w:val="21"/>
              </w:rPr>
            </w:pPr>
            <w:r>
              <w:rPr>
                <w:rFonts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pStyle w:val="103"/>
              <w:spacing w:line="240" w:lineRule="auto"/>
              <w:ind w:firstLine="0" w:firstLineChars="0"/>
              <w:rPr>
                <w:rFonts w:ascii="Times New Roman" w:cs="Times New Roman"/>
                <w:kern w:val="2"/>
                <w:sz w:val="21"/>
                <w:szCs w:val="21"/>
              </w:rPr>
            </w:pPr>
          </w:p>
        </w:tc>
        <w:tc>
          <w:tcPr>
            <w:tcW w:w="304" w:type="pct"/>
            <w:vMerge w:val="continue"/>
            <w:tcBorders>
              <w:right w:val="single" w:color="000000" w:sz="2" w:space="0"/>
            </w:tcBorders>
            <w:vAlign w:val="center"/>
          </w:tcPr>
          <w:p>
            <w:pPr>
              <w:pStyle w:val="103"/>
              <w:kinsoku w:val="0"/>
              <w:overflowPunct w:val="0"/>
              <w:spacing w:line="240" w:lineRule="auto"/>
              <w:ind w:firstLine="0" w:firstLineChars="0"/>
              <w:rPr>
                <w:rFonts w:ascii="Times New Roman" w:cs="Times New Roman"/>
                <w:kern w:val="2"/>
                <w:sz w:val="21"/>
                <w:szCs w:val="21"/>
              </w:rPr>
            </w:pPr>
          </w:p>
        </w:tc>
        <w:tc>
          <w:tcPr>
            <w:tcW w:w="539" w:type="pct"/>
            <w:gridSpan w:val="2"/>
            <w:tcBorders>
              <w:left w:val="single" w:color="000000" w:sz="2" w:space="0"/>
            </w:tcBorders>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喷淋降尘措施</w:t>
            </w:r>
          </w:p>
        </w:tc>
        <w:tc>
          <w:tcPr>
            <w:tcW w:w="243"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2</w:t>
            </w:r>
          </w:p>
        </w:tc>
        <w:tc>
          <w:tcPr>
            <w:tcW w:w="3247"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气体钻粉尘采取喷淋降尘措施</w:t>
            </w:r>
          </w:p>
        </w:tc>
        <w:tc>
          <w:tcPr>
            <w:tcW w:w="241" w:type="pct"/>
            <w:vAlign w:val="center"/>
          </w:tcPr>
          <w:p>
            <w:pPr>
              <w:pStyle w:val="103"/>
              <w:kinsoku w:val="0"/>
              <w:overflowPunct w:val="0"/>
              <w:spacing w:line="240" w:lineRule="auto"/>
              <w:ind w:right="1" w:firstLine="0" w:firstLineChars="0"/>
              <w:rPr>
                <w:rFonts w:ascii="Times New Roman" w:cs="Times New Roman"/>
                <w:kern w:val="2"/>
                <w:sz w:val="21"/>
                <w:szCs w:val="21"/>
              </w:rPr>
            </w:pPr>
            <w:r>
              <w:rPr>
                <w:rFonts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pStyle w:val="103"/>
              <w:spacing w:line="240" w:lineRule="auto"/>
              <w:ind w:firstLine="0" w:firstLineChars="0"/>
              <w:rPr>
                <w:rFonts w:ascii="Times New Roman" w:cs="Times New Roman"/>
                <w:kern w:val="2"/>
                <w:sz w:val="21"/>
                <w:szCs w:val="21"/>
              </w:rPr>
            </w:pPr>
          </w:p>
        </w:tc>
        <w:tc>
          <w:tcPr>
            <w:tcW w:w="304" w:type="pct"/>
            <w:vMerge w:val="continue"/>
            <w:tcBorders>
              <w:right w:val="single" w:color="000000" w:sz="2" w:space="0"/>
            </w:tcBorders>
            <w:vAlign w:val="center"/>
          </w:tcPr>
          <w:p>
            <w:pPr>
              <w:pStyle w:val="103"/>
              <w:kinsoku w:val="0"/>
              <w:overflowPunct w:val="0"/>
              <w:spacing w:line="240" w:lineRule="auto"/>
              <w:ind w:firstLine="0" w:firstLineChars="0"/>
              <w:rPr>
                <w:rFonts w:ascii="Times New Roman" w:cs="Times New Roman"/>
                <w:kern w:val="2"/>
                <w:sz w:val="21"/>
                <w:szCs w:val="21"/>
              </w:rPr>
            </w:pPr>
          </w:p>
        </w:tc>
        <w:tc>
          <w:tcPr>
            <w:tcW w:w="539" w:type="pct"/>
            <w:gridSpan w:val="2"/>
            <w:tcBorders>
              <w:left w:val="single" w:color="000000" w:sz="2" w:space="0"/>
            </w:tcBorders>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测试放喷废气措施</w:t>
            </w:r>
          </w:p>
        </w:tc>
        <w:tc>
          <w:tcPr>
            <w:tcW w:w="243"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c>
          <w:tcPr>
            <w:tcW w:w="3247"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测试放喷废气采取放喷池燃烧处理</w:t>
            </w:r>
          </w:p>
        </w:tc>
        <w:tc>
          <w:tcPr>
            <w:tcW w:w="241" w:type="pct"/>
            <w:vAlign w:val="center"/>
          </w:tcPr>
          <w:p>
            <w:pPr>
              <w:pStyle w:val="103"/>
              <w:kinsoku w:val="0"/>
              <w:overflowPunct w:val="0"/>
              <w:spacing w:line="240" w:lineRule="auto"/>
              <w:ind w:right="1" w:firstLine="0" w:firstLineChars="0"/>
              <w:rPr>
                <w:rFonts w:ascii="Times New Roman" w:cs="Times New Roman"/>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pStyle w:val="103"/>
              <w:spacing w:line="240" w:lineRule="auto"/>
              <w:ind w:firstLine="0" w:firstLineChars="0"/>
              <w:rPr>
                <w:rFonts w:ascii="Times New Roman" w:cs="Times New Roman"/>
                <w:kern w:val="2"/>
                <w:sz w:val="21"/>
                <w:szCs w:val="21"/>
              </w:rPr>
            </w:pPr>
          </w:p>
        </w:tc>
        <w:tc>
          <w:tcPr>
            <w:tcW w:w="304" w:type="pct"/>
            <w:tcBorders>
              <w:right w:val="single" w:color="000000" w:sz="2" w:space="0"/>
            </w:tcBorders>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试采期</w:t>
            </w:r>
          </w:p>
        </w:tc>
        <w:tc>
          <w:tcPr>
            <w:tcW w:w="539" w:type="pct"/>
            <w:gridSpan w:val="2"/>
            <w:tcBorders>
              <w:left w:val="single" w:color="000000" w:sz="2" w:space="0"/>
            </w:tcBorders>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水套炉废气</w:t>
            </w:r>
          </w:p>
        </w:tc>
        <w:tc>
          <w:tcPr>
            <w:tcW w:w="243"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c>
          <w:tcPr>
            <w:tcW w:w="3247"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本项目不设水套炉，依托P108集气站水套炉，所使用的天然气来源于净化厂净化后的天然气（不含硫），其主要污染物为NO</w:t>
            </w:r>
            <w:r>
              <w:rPr>
                <w:rFonts w:ascii="Times New Roman" w:cs="Times New Roman"/>
                <w:kern w:val="2"/>
                <w:sz w:val="21"/>
                <w:szCs w:val="21"/>
                <w:vertAlign w:val="subscript"/>
              </w:rPr>
              <w:t>X</w:t>
            </w:r>
            <w:r>
              <w:rPr>
                <w:rFonts w:ascii="Times New Roman" w:cs="Times New Roman"/>
                <w:kern w:val="2"/>
                <w:sz w:val="21"/>
                <w:szCs w:val="21"/>
              </w:rPr>
              <w:t>，对周围大气环境影响较小。</w:t>
            </w:r>
          </w:p>
        </w:tc>
        <w:tc>
          <w:tcPr>
            <w:tcW w:w="241" w:type="pct"/>
            <w:vAlign w:val="center"/>
          </w:tcPr>
          <w:p>
            <w:pPr>
              <w:pStyle w:val="103"/>
              <w:kinsoku w:val="0"/>
              <w:overflowPunct w:val="0"/>
              <w:spacing w:line="240" w:lineRule="auto"/>
              <w:ind w:right="1" w:firstLine="0" w:firstLineChars="0"/>
              <w:rPr>
                <w:rFonts w:ascii="Times New Roman" w:cs="Times New Roman"/>
                <w:kern w:val="2"/>
                <w:sz w:val="21"/>
                <w:szCs w:val="21"/>
              </w:rPr>
            </w:pPr>
            <w:r>
              <w:rPr>
                <w:rFonts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restart"/>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水环境保护措施</w:t>
            </w:r>
          </w:p>
        </w:tc>
        <w:tc>
          <w:tcPr>
            <w:tcW w:w="307" w:type="pct"/>
            <w:gridSpan w:val="2"/>
            <w:vMerge w:val="restart"/>
            <w:tcBorders>
              <w:right w:val="single" w:color="000000" w:sz="2" w:space="0"/>
            </w:tcBorders>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施工期</w:t>
            </w:r>
          </w:p>
        </w:tc>
        <w:tc>
          <w:tcPr>
            <w:tcW w:w="537" w:type="pct"/>
            <w:tcBorders>
              <w:left w:val="single" w:color="000000" w:sz="2" w:space="0"/>
            </w:tcBorders>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施工人员生活污水</w:t>
            </w:r>
          </w:p>
        </w:tc>
        <w:tc>
          <w:tcPr>
            <w:tcW w:w="243"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25</w:t>
            </w:r>
          </w:p>
        </w:tc>
        <w:tc>
          <w:tcPr>
            <w:tcW w:w="3247"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井场、钻井</w:t>
            </w:r>
            <w:r>
              <w:rPr>
                <w:rFonts w:ascii="Times New Roman" w:cs="Times New Roman"/>
                <w:spacing w:val="-8"/>
                <w:kern w:val="2"/>
                <w:sz w:val="21"/>
                <w:szCs w:val="21"/>
              </w:rPr>
              <w:t>施工</w:t>
            </w:r>
            <w:r>
              <w:rPr>
                <w:rFonts w:hint="eastAsia" w:ascii="Times New Roman" w:cs="Times New Roman"/>
                <w:spacing w:val="-8"/>
                <w:kern w:val="2"/>
                <w:sz w:val="21"/>
                <w:szCs w:val="21"/>
                <w:lang w:eastAsia="zh-CN"/>
              </w:rPr>
              <w:t>人员</w:t>
            </w:r>
            <w:r>
              <w:rPr>
                <w:rFonts w:ascii="Times New Roman" w:cs="Times New Roman"/>
                <w:spacing w:val="-8"/>
                <w:kern w:val="2"/>
                <w:sz w:val="21"/>
                <w:szCs w:val="21"/>
              </w:rPr>
              <w:t>生活污水依托经</w:t>
            </w:r>
            <w:r>
              <w:rPr>
                <w:rFonts w:ascii="Times New Roman" w:cs="Times New Roman"/>
                <w:bCs/>
                <w:spacing w:val="-8"/>
                <w:kern w:val="2"/>
                <w:sz w:val="21"/>
                <w:szCs w:val="21"/>
              </w:rPr>
              <w:t>生态环保厕所收集处理</w:t>
            </w:r>
            <w:r>
              <w:rPr>
                <w:rFonts w:ascii="Times New Roman" w:cs="Times New Roman"/>
                <w:kern w:val="2"/>
                <w:sz w:val="21"/>
                <w:szCs w:val="21"/>
              </w:rPr>
              <w:t>后，用作周边农肥，不外排；员工洗澡、食堂废水经单独收集后拉运至普光镇场镇污水处理厂处理。</w:t>
            </w:r>
          </w:p>
        </w:tc>
        <w:tc>
          <w:tcPr>
            <w:tcW w:w="241"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pStyle w:val="103"/>
              <w:spacing w:line="240" w:lineRule="auto"/>
              <w:ind w:firstLine="0" w:firstLineChars="0"/>
              <w:rPr>
                <w:rFonts w:ascii="Times New Roman" w:cs="Times New Roman"/>
                <w:kern w:val="2"/>
                <w:sz w:val="21"/>
                <w:szCs w:val="21"/>
              </w:rPr>
            </w:pPr>
          </w:p>
        </w:tc>
        <w:tc>
          <w:tcPr>
            <w:tcW w:w="307" w:type="pct"/>
            <w:gridSpan w:val="2"/>
            <w:vMerge w:val="continue"/>
            <w:tcBorders>
              <w:right w:val="single" w:color="000000" w:sz="2" w:space="0"/>
            </w:tcBorders>
            <w:vAlign w:val="center"/>
          </w:tcPr>
          <w:p>
            <w:pPr>
              <w:pStyle w:val="103"/>
              <w:kinsoku w:val="0"/>
              <w:overflowPunct w:val="0"/>
              <w:spacing w:line="240" w:lineRule="auto"/>
              <w:ind w:firstLine="0" w:firstLineChars="0"/>
              <w:rPr>
                <w:rFonts w:ascii="Times New Roman" w:cs="Times New Roman"/>
                <w:kern w:val="2"/>
                <w:sz w:val="21"/>
                <w:szCs w:val="21"/>
              </w:rPr>
            </w:pPr>
          </w:p>
        </w:tc>
        <w:tc>
          <w:tcPr>
            <w:tcW w:w="537" w:type="pct"/>
            <w:tcBorders>
              <w:left w:val="single" w:color="000000" w:sz="2" w:space="0"/>
            </w:tcBorders>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站场施工废水</w:t>
            </w:r>
          </w:p>
        </w:tc>
        <w:tc>
          <w:tcPr>
            <w:tcW w:w="243"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10</w:t>
            </w:r>
          </w:p>
        </w:tc>
        <w:tc>
          <w:tcPr>
            <w:tcW w:w="3247"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设置施工废水沉淀池，施工废水沉淀后回用。</w:t>
            </w:r>
          </w:p>
        </w:tc>
        <w:tc>
          <w:tcPr>
            <w:tcW w:w="241"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pStyle w:val="103"/>
              <w:spacing w:line="240" w:lineRule="auto"/>
              <w:ind w:firstLine="0" w:firstLineChars="0"/>
              <w:rPr>
                <w:rFonts w:ascii="Times New Roman" w:cs="Times New Roman"/>
                <w:kern w:val="2"/>
                <w:sz w:val="21"/>
                <w:szCs w:val="21"/>
              </w:rPr>
            </w:pPr>
          </w:p>
        </w:tc>
        <w:tc>
          <w:tcPr>
            <w:tcW w:w="307" w:type="pct"/>
            <w:gridSpan w:val="2"/>
            <w:vMerge w:val="continue"/>
            <w:tcBorders>
              <w:right w:val="single" w:color="000000" w:sz="2" w:space="0"/>
            </w:tcBorders>
            <w:vAlign w:val="center"/>
          </w:tcPr>
          <w:p>
            <w:pPr>
              <w:pStyle w:val="103"/>
              <w:kinsoku w:val="0"/>
              <w:overflowPunct w:val="0"/>
              <w:spacing w:line="240" w:lineRule="auto"/>
              <w:ind w:firstLine="0" w:firstLineChars="0"/>
              <w:rPr>
                <w:rFonts w:ascii="Times New Roman" w:cs="Times New Roman"/>
                <w:kern w:val="2"/>
                <w:sz w:val="21"/>
                <w:szCs w:val="21"/>
              </w:rPr>
            </w:pPr>
          </w:p>
        </w:tc>
        <w:tc>
          <w:tcPr>
            <w:tcW w:w="537" w:type="pct"/>
            <w:tcBorders>
              <w:left w:val="single" w:color="000000" w:sz="2" w:space="0"/>
            </w:tcBorders>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初期雨水</w:t>
            </w:r>
          </w:p>
        </w:tc>
        <w:tc>
          <w:tcPr>
            <w:tcW w:w="243"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10</w:t>
            </w:r>
          </w:p>
        </w:tc>
        <w:tc>
          <w:tcPr>
            <w:tcW w:w="3247"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在井场四周设排水边沟，井场雨水随四周排水边沟经监控池外排；场内井架基础、设备基础、循环罐基础周边设环状排污沟，污水可经排污沟排至清洁化操作平台。</w:t>
            </w:r>
          </w:p>
        </w:tc>
        <w:tc>
          <w:tcPr>
            <w:tcW w:w="241"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pStyle w:val="103"/>
              <w:spacing w:line="240" w:lineRule="auto"/>
              <w:ind w:firstLine="0" w:firstLineChars="0"/>
              <w:rPr>
                <w:rFonts w:ascii="Times New Roman" w:cs="Times New Roman"/>
                <w:kern w:val="2"/>
                <w:sz w:val="21"/>
                <w:szCs w:val="21"/>
              </w:rPr>
            </w:pPr>
          </w:p>
        </w:tc>
        <w:tc>
          <w:tcPr>
            <w:tcW w:w="307" w:type="pct"/>
            <w:gridSpan w:val="2"/>
            <w:vMerge w:val="continue"/>
            <w:tcBorders>
              <w:right w:val="single" w:color="000000" w:sz="2" w:space="0"/>
            </w:tcBorders>
            <w:vAlign w:val="center"/>
          </w:tcPr>
          <w:p>
            <w:pPr>
              <w:pStyle w:val="103"/>
              <w:kinsoku w:val="0"/>
              <w:overflowPunct w:val="0"/>
              <w:spacing w:line="240" w:lineRule="auto"/>
              <w:ind w:firstLine="0" w:firstLineChars="0"/>
              <w:rPr>
                <w:rFonts w:ascii="Times New Roman" w:cs="Times New Roman"/>
                <w:kern w:val="2"/>
                <w:sz w:val="21"/>
                <w:szCs w:val="21"/>
              </w:rPr>
            </w:pPr>
          </w:p>
        </w:tc>
        <w:tc>
          <w:tcPr>
            <w:tcW w:w="537" w:type="pct"/>
            <w:tcBorders>
              <w:left w:val="single" w:color="000000" w:sz="2" w:space="0"/>
            </w:tcBorders>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钻井废水</w:t>
            </w:r>
          </w:p>
        </w:tc>
        <w:tc>
          <w:tcPr>
            <w:tcW w:w="243"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150</w:t>
            </w:r>
          </w:p>
        </w:tc>
        <w:tc>
          <w:tcPr>
            <w:tcW w:w="3247"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经清洁化操作平台中预处理后，拉至毛开1井回注站回注。</w:t>
            </w:r>
          </w:p>
        </w:tc>
        <w:tc>
          <w:tcPr>
            <w:tcW w:w="241"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pStyle w:val="103"/>
              <w:spacing w:line="240" w:lineRule="auto"/>
              <w:ind w:firstLine="0" w:firstLineChars="0"/>
              <w:rPr>
                <w:rFonts w:ascii="Times New Roman" w:cs="Times New Roman"/>
                <w:kern w:val="2"/>
                <w:sz w:val="21"/>
                <w:szCs w:val="21"/>
              </w:rPr>
            </w:pPr>
          </w:p>
        </w:tc>
        <w:tc>
          <w:tcPr>
            <w:tcW w:w="307" w:type="pct"/>
            <w:gridSpan w:val="2"/>
            <w:vMerge w:val="continue"/>
            <w:tcBorders>
              <w:right w:val="single" w:color="000000" w:sz="2" w:space="0"/>
            </w:tcBorders>
            <w:vAlign w:val="center"/>
          </w:tcPr>
          <w:p>
            <w:pPr>
              <w:pStyle w:val="103"/>
              <w:kinsoku w:val="0"/>
              <w:overflowPunct w:val="0"/>
              <w:spacing w:line="240" w:lineRule="auto"/>
              <w:ind w:firstLine="0" w:firstLineChars="0"/>
              <w:rPr>
                <w:rFonts w:ascii="Times New Roman" w:cs="Times New Roman"/>
                <w:kern w:val="2"/>
                <w:sz w:val="21"/>
                <w:szCs w:val="21"/>
              </w:rPr>
            </w:pPr>
          </w:p>
        </w:tc>
        <w:tc>
          <w:tcPr>
            <w:tcW w:w="537" w:type="pct"/>
            <w:tcBorders>
              <w:left w:val="single" w:color="000000" w:sz="2" w:space="0"/>
            </w:tcBorders>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压裂、洗井废水</w:t>
            </w:r>
          </w:p>
        </w:tc>
        <w:tc>
          <w:tcPr>
            <w:tcW w:w="243"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140</w:t>
            </w:r>
          </w:p>
        </w:tc>
        <w:tc>
          <w:tcPr>
            <w:tcW w:w="3247" w:type="pct"/>
            <w:vAlign w:val="center"/>
          </w:tcPr>
          <w:p>
            <w:pPr>
              <w:pStyle w:val="103"/>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lang w:eastAsia="zh-CN"/>
              </w:rPr>
              <w:t>压裂废水和洗井废水</w:t>
            </w:r>
            <w:r>
              <w:rPr>
                <w:rFonts w:ascii="Times New Roman" w:cs="Times New Roman"/>
                <w:kern w:val="2"/>
                <w:sz w:val="21"/>
                <w:szCs w:val="21"/>
              </w:rPr>
              <w:t>暂存于</w:t>
            </w:r>
            <w:r>
              <w:rPr>
                <w:rFonts w:hint="eastAsia" w:ascii="Times New Roman" w:cs="Times New Roman"/>
                <w:kern w:val="2"/>
                <w:sz w:val="21"/>
                <w:szCs w:val="21"/>
              </w:rPr>
              <w:t>废水池</w:t>
            </w:r>
            <w:r>
              <w:rPr>
                <w:rFonts w:ascii="Times New Roman" w:cs="Times New Roman"/>
                <w:kern w:val="2"/>
                <w:sz w:val="21"/>
                <w:szCs w:val="21"/>
              </w:rPr>
              <w:t>，装车拉运至大湾403污水站处理达标后管输至毛开1井回注站回注。</w:t>
            </w:r>
          </w:p>
        </w:tc>
        <w:tc>
          <w:tcPr>
            <w:tcW w:w="241"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pStyle w:val="103"/>
              <w:spacing w:line="240" w:lineRule="auto"/>
              <w:ind w:firstLine="0" w:firstLineChars="0"/>
              <w:rPr>
                <w:rFonts w:ascii="Times New Roman" w:cs="Times New Roman"/>
                <w:kern w:val="2"/>
                <w:sz w:val="21"/>
                <w:szCs w:val="21"/>
              </w:rPr>
            </w:pPr>
          </w:p>
        </w:tc>
        <w:tc>
          <w:tcPr>
            <w:tcW w:w="307" w:type="pct"/>
            <w:gridSpan w:val="2"/>
            <w:tcBorders>
              <w:right w:val="single" w:color="000000" w:sz="2" w:space="0"/>
            </w:tcBorders>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试采期</w:t>
            </w:r>
          </w:p>
        </w:tc>
        <w:tc>
          <w:tcPr>
            <w:tcW w:w="537" w:type="pct"/>
            <w:tcBorders>
              <w:left w:val="single" w:color="000000" w:sz="2" w:space="0"/>
            </w:tcBorders>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气田水</w:t>
            </w:r>
          </w:p>
        </w:tc>
        <w:tc>
          <w:tcPr>
            <w:tcW w:w="243"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c>
          <w:tcPr>
            <w:tcW w:w="3247"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本项目试采期</w:t>
            </w:r>
            <w:r>
              <w:rPr>
                <w:rFonts w:hint="eastAsia" w:ascii="Times New Roman" w:cs="Times New Roman"/>
                <w:kern w:val="2"/>
                <w:sz w:val="21"/>
                <w:szCs w:val="21"/>
              </w:rPr>
              <w:t>产生的气田水经酸液缓冲罐收集</w:t>
            </w:r>
            <w:r>
              <w:rPr>
                <w:rFonts w:ascii="Times New Roman" w:cs="Times New Roman"/>
                <w:kern w:val="2"/>
                <w:sz w:val="21"/>
                <w:szCs w:val="21"/>
              </w:rPr>
              <w:t>，然后通过密闭罐车拉运至大湾403污水站处理达到《气田水回注方法》（SY/T 6596-2016）中注入水基本要求后管输至毛开1井回注站回注处理，不外排。</w:t>
            </w:r>
          </w:p>
        </w:tc>
        <w:tc>
          <w:tcPr>
            <w:tcW w:w="241"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restart"/>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噪声防治措施</w:t>
            </w:r>
          </w:p>
        </w:tc>
        <w:tc>
          <w:tcPr>
            <w:tcW w:w="844" w:type="pct"/>
            <w:gridSpan w:val="3"/>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施工期</w:t>
            </w:r>
          </w:p>
        </w:tc>
        <w:tc>
          <w:tcPr>
            <w:tcW w:w="243"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20</w:t>
            </w:r>
          </w:p>
        </w:tc>
        <w:tc>
          <w:tcPr>
            <w:tcW w:w="3247" w:type="pct"/>
            <w:vAlign w:val="center"/>
          </w:tcPr>
          <w:p>
            <w:pPr>
              <w:pStyle w:val="103"/>
              <w:kinsoku w:val="0"/>
              <w:overflowPunct w:val="0"/>
              <w:spacing w:line="240" w:lineRule="auto"/>
              <w:ind w:firstLine="0" w:firstLineChars="0"/>
              <w:rPr>
                <w:rFonts w:ascii="Times New Roman" w:cs="Times New Roman"/>
                <w:kern w:val="2"/>
                <w:sz w:val="21"/>
                <w:szCs w:val="21"/>
              </w:rPr>
            </w:pPr>
            <w:bookmarkStart w:id="626" w:name="_Hlk22306402"/>
            <w:r>
              <w:rPr>
                <w:rFonts w:ascii="Times New Roman" w:cs="Times New Roman"/>
                <w:kern w:val="2"/>
                <w:sz w:val="21"/>
                <w:szCs w:val="21"/>
              </w:rPr>
              <w:t>合理安排施工作业时间，合理布局施工现场，禁止夜间施工</w:t>
            </w:r>
            <w:bookmarkEnd w:id="626"/>
            <w:r>
              <w:rPr>
                <w:rFonts w:ascii="Times New Roman" w:cs="Times New Roman"/>
                <w:kern w:val="2"/>
                <w:sz w:val="21"/>
                <w:szCs w:val="21"/>
              </w:rPr>
              <w:t>；钻井使用网电。</w:t>
            </w:r>
          </w:p>
        </w:tc>
        <w:tc>
          <w:tcPr>
            <w:tcW w:w="241"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pStyle w:val="103"/>
              <w:spacing w:line="240" w:lineRule="auto"/>
              <w:ind w:firstLine="0" w:firstLineChars="0"/>
              <w:rPr>
                <w:rFonts w:ascii="Times New Roman" w:cs="Times New Roman"/>
                <w:kern w:val="2"/>
                <w:sz w:val="21"/>
                <w:szCs w:val="21"/>
              </w:rPr>
            </w:pPr>
          </w:p>
        </w:tc>
        <w:tc>
          <w:tcPr>
            <w:tcW w:w="844" w:type="pct"/>
            <w:gridSpan w:val="3"/>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试采期</w:t>
            </w:r>
          </w:p>
        </w:tc>
        <w:tc>
          <w:tcPr>
            <w:tcW w:w="243"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c>
          <w:tcPr>
            <w:tcW w:w="3247"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基础减振和距离衰减</w:t>
            </w:r>
          </w:p>
        </w:tc>
        <w:tc>
          <w:tcPr>
            <w:tcW w:w="241" w:type="pct"/>
            <w:vAlign w:val="center"/>
          </w:tcPr>
          <w:p>
            <w:pPr>
              <w:pStyle w:val="103"/>
              <w:kinsoku w:val="0"/>
              <w:overflowPunct w:val="0"/>
              <w:spacing w:line="240" w:lineRule="auto"/>
              <w:ind w:firstLine="0" w:firstLineChars="0"/>
              <w:rPr>
                <w:rFonts w:ascii="Times New Roman" w:cs="Times New Roman"/>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restart"/>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固废处理措施</w:t>
            </w:r>
          </w:p>
        </w:tc>
        <w:tc>
          <w:tcPr>
            <w:tcW w:w="307" w:type="pct"/>
            <w:gridSpan w:val="2"/>
            <w:vMerge w:val="restart"/>
            <w:tcBorders>
              <w:right w:val="single" w:color="000000" w:sz="2" w:space="0"/>
            </w:tcBorders>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施工期</w:t>
            </w:r>
          </w:p>
        </w:tc>
        <w:tc>
          <w:tcPr>
            <w:tcW w:w="537" w:type="pct"/>
            <w:tcBorders>
              <w:left w:val="single" w:color="000000" w:sz="2" w:space="0"/>
            </w:tcBorders>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施工人员生活垃圾</w:t>
            </w:r>
          </w:p>
        </w:tc>
        <w:tc>
          <w:tcPr>
            <w:tcW w:w="243"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1</w:t>
            </w:r>
          </w:p>
        </w:tc>
        <w:tc>
          <w:tcPr>
            <w:tcW w:w="3247"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交由环卫部门处理</w:t>
            </w:r>
          </w:p>
        </w:tc>
        <w:tc>
          <w:tcPr>
            <w:tcW w:w="241"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spacing w:line="240" w:lineRule="auto"/>
              <w:ind w:firstLine="0" w:firstLineChars="0"/>
              <w:jc w:val="center"/>
              <w:rPr>
                <w:rFonts w:ascii="Times New Roman" w:cs="Times New Roman"/>
                <w:kern w:val="2"/>
                <w:sz w:val="21"/>
                <w:szCs w:val="21"/>
              </w:rPr>
            </w:pPr>
          </w:p>
        </w:tc>
        <w:tc>
          <w:tcPr>
            <w:tcW w:w="307" w:type="pct"/>
            <w:gridSpan w:val="2"/>
            <w:vMerge w:val="continue"/>
            <w:tcBorders>
              <w:right w:val="single" w:color="000000" w:sz="2" w:space="0"/>
            </w:tcBorders>
            <w:vAlign w:val="center"/>
          </w:tcPr>
          <w:p>
            <w:pPr>
              <w:pStyle w:val="103"/>
              <w:kinsoku w:val="0"/>
              <w:overflowPunct w:val="0"/>
              <w:spacing w:line="240" w:lineRule="auto"/>
              <w:ind w:firstLine="0" w:firstLineChars="0"/>
              <w:rPr>
                <w:rFonts w:ascii="Times New Roman" w:cs="Times New Roman"/>
                <w:kern w:val="2"/>
                <w:sz w:val="21"/>
                <w:szCs w:val="21"/>
              </w:rPr>
            </w:pPr>
          </w:p>
        </w:tc>
        <w:tc>
          <w:tcPr>
            <w:tcW w:w="537" w:type="pct"/>
            <w:tcBorders>
              <w:left w:val="single" w:color="000000" w:sz="2" w:space="0"/>
            </w:tcBorders>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泥浆、岩屑</w:t>
            </w:r>
          </w:p>
        </w:tc>
        <w:tc>
          <w:tcPr>
            <w:tcW w:w="243"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108</w:t>
            </w:r>
          </w:p>
        </w:tc>
        <w:tc>
          <w:tcPr>
            <w:tcW w:w="3247"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一~三开井段均采用水基钻井液：本项目采取清洁化操作平台，空气钻岩屑及时拉运填埋处理，废泥浆和与常规钻产生的岩屑</w:t>
            </w:r>
            <w:r>
              <w:rPr>
                <w:rFonts w:ascii="Times New Roman" w:cs="Times New Roman"/>
                <w:bCs/>
                <w:kern w:val="2"/>
                <w:sz w:val="21"/>
                <w:szCs w:val="21"/>
              </w:rPr>
              <w:t>采用清洁化操作平台，并采取泥浆不落地措施</w:t>
            </w:r>
            <w:r>
              <w:rPr>
                <w:rFonts w:ascii="Times New Roman" w:cs="Times New Roman"/>
                <w:kern w:val="2"/>
                <w:sz w:val="21"/>
                <w:szCs w:val="21"/>
              </w:rPr>
              <w:t>，待项目完成后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w:t>
            </w:r>
          </w:p>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三开井段采用白油基钻井液：本项目</w:t>
            </w:r>
            <w:r>
              <w:rPr>
                <w:rFonts w:ascii="Times New Roman" w:cs="Times New Roman"/>
                <w:bCs/>
                <w:kern w:val="2"/>
                <w:sz w:val="21"/>
                <w:szCs w:val="21"/>
              </w:rPr>
              <w:t>采用清洁化操作平台，并采取泥浆不落地措施，水基岩屑、</w:t>
            </w:r>
            <w:r>
              <w:rPr>
                <w:rFonts w:ascii="Times New Roman" w:cs="Times New Roman"/>
                <w:kern w:val="2"/>
                <w:sz w:val="21"/>
                <w:szCs w:val="21"/>
              </w:rPr>
              <w:t>水基泥浆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废油基岩屑、废油基泥浆袋装后暂存于危废暂存间，面积约</w:t>
            </w:r>
            <w:r>
              <w:rPr>
                <w:rFonts w:hint="eastAsia" w:ascii="Times New Roman" w:cs="Times New Roman"/>
                <w:kern w:val="2"/>
                <w:sz w:val="21"/>
                <w:szCs w:val="21"/>
              </w:rPr>
              <w:t>2</w:t>
            </w:r>
            <w:r>
              <w:rPr>
                <w:rFonts w:ascii="Times New Roman" w:cs="Times New Roman"/>
                <w:kern w:val="2"/>
                <w:sz w:val="21"/>
                <w:szCs w:val="21"/>
              </w:rPr>
              <w:t>5m</w:t>
            </w:r>
            <w:r>
              <w:rPr>
                <w:rFonts w:ascii="Times New Roman" w:cs="Times New Roman"/>
                <w:kern w:val="2"/>
                <w:sz w:val="21"/>
                <w:szCs w:val="21"/>
                <w:vertAlign w:val="superscript"/>
              </w:rPr>
              <w:t>2</w:t>
            </w:r>
            <w:r>
              <w:rPr>
                <w:rFonts w:ascii="Times New Roman" w:cs="Times New Roman"/>
                <w:kern w:val="2"/>
                <w:sz w:val="21"/>
                <w:szCs w:val="21"/>
              </w:rPr>
              <w:t>，暂存间地面采取必要的防护措施（防风、防雨、防晒、防渗、防漏、防腐）及其他环境污染防护措施，委托有资质单位处理。</w:t>
            </w:r>
          </w:p>
        </w:tc>
        <w:tc>
          <w:tcPr>
            <w:tcW w:w="241" w:type="pct"/>
            <w:vAlign w:val="center"/>
          </w:tcPr>
          <w:p>
            <w:pPr>
              <w:pStyle w:val="103"/>
              <w:kinsoku w:val="0"/>
              <w:overflowPunct w:val="0"/>
              <w:spacing w:line="240" w:lineRule="auto"/>
              <w:ind w:firstLine="0" w:firstLineChars="0"/>
              <w:rPr>
                <w:rFonts w:ascii="Times New Roman" w:cs="Times New Roman"/>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spacing w:line="240" w:lineRule="auto"/>
              <w:ind w:firstLine="0" w:firstLineChars="0"/>
              <w:jc w:val="center"/>
              <w:rPr>
                <w:rFonts w:ascii="Times New Roman" w:cs="Times New Roman"/>
                <w:kern w:val="2"/>
                <w:sz w:val="21"/>
                <w:szCs w:val="21"/>
              </w:rPr>
            </w:pPr>
          </w:p>
        </w:tc>
        <w:tc>
          <w:tcPr>
            <w:tcW w:w="307" w:type="pct"/>
            <w:gridSpan w:val="2"/>
            <w:vMerge w:val="continue"/>
            <w:tcBorders>
              <w:right w:val="single" w:color="000000" w:sz="2" w:space="0"/>
            </w:tcBorders>
            <w:vAlign w:val="center"/>
          </w:tcPr>
          <w:p>
            <w:pPr>
              <w:pStyle w:val="103"/>
              <w:kinsoku w:val="0"/>
              <w:overflowPunct w:val="0"/>
              <w:spacing w:line="240" w:lineRule="auto"/>
              <w:ind w:firstLine="0" w:firstLineChars="0"/>
              <w:rPr>
                <w:rFonts w:ascii="Times New Roman" w:cs="Times New Roman"/>
                <w:kern w:val="2"/>
                <w:sz w:val="21"/>
                <w:szCs w:val="21"/>
              </w:rPr>
            </w:pPr>
          </w:p>
        </w:tc>
        <w:tc>
          <w:tcPr>
            <w:tcW w:w="537" w:type="pct"/>
            <w:tcBorders>
              <w:left w:val="single" w:color="000000" w:sz="2" w:space="0"/>
            </w:tcBorders>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废油</w:t>
            </w:r>
          </w:p>
        </w:tc>
        <w:tc>
          <w:tcPr>
            <w:tcW w:w="243"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2</w:t>
            </w:r>
          </w:p>
        </w:tc>
        <w:tc>
          <w:tcPr>
            <w:tcW w:w="3247"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委托有资质单位处理</w:t>
            </w:r>
          </w:p>
        </w:tc>
        <w:tc>
          <w:tcPr>
            <w:tcW w:w="241" w:type="pct"/>
            <w:vAlign w:val="center"/>
          </w:tcPr>
          <w:p>
            <w:pPr>
              <w:pStyle w:val="103"/>
              <w:kinsoku w:val="0"/>
              <w:overflowPunct w:val="0"/>
              <w:spacing w:line="240" w:lineRule="auto"/>
              <w:ind w:firstLine="0" w:firstLineChars="0"/>
              <w:rPr>
                <w:rFonts w:ascii="Times New Roman" w:cs="Times New Roman"/>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spacing w:line="240" w:lineRule="auto"/>
              <w:ind w:firstLine="0" w:firstLineChars="0"/>
              <w:jc w:val="center"/>
              <w:rPr>
                <w:rFonts w:ascii="Times New Roman" w:cs="Times New Roman"/>
                <w:kern w:val="2"/>
                <w:sz w:val="21"/>
                <w:szCs w:val="21"/>
              </w:rPr>
            </w:pPr>
          </w:p>
        </w:tc>
        <w:tc>
          <w:tcPr>
            <w:tcW w:w="307" w:type="pct"/>
            <w:gridSpan w:val="2"/>
            <w:vMerge w:val="continue"/>
            <w:tcBorders>
              <w:right w:val="single" w:color="000000" w:sz="2" w:space="0"/>
            </w:tcBorders>
            <w:vAlign w:val="center"/>
          </w:tcPr>
          <w:p>
            <w:pPr>
              <w:pStyle w:val="103"/>
              <w:kinsoku w:val="0"/>
              <w:overflowPunct w:val="0"/>
              <w:spacing w:line="240" w:lineRule="auto"/>
              <w:ind w:firstLine="0" w:firstLineChars="0"/>
              <w:rPr>
                <w:rFonts w:ascii="Times New Roman" w:cs="Times New Roman"/>
                <w:kern w:val="2"/>
                <w:sz w:val="21"/>
                <w:szCs w:val="21"/>
              </w:rPr>
            </w:pPr>
          </w:p>
        </w:tc>
        <w:tc>
          <w:tcPr>
            <w:tcW w:w="537" w:type="pct"/>
            <w:tcBorders>
              <w:left w:val="single" w:color="000000" w:sz="2" w:space="0"/>
            </w:tcBorders>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生活垃圾</w:t>
            </w:r>
          </w:p>
        </w:tc>
        <w:tc>
          <w:tcPr>
            <w:tcW w:w="243"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1</w:t>
            </w:r>
          </w:p>
        </w:tc>
        <w:tc>
          <w:tcPr>
            <w:tcW w:w="3247"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工作人员生活垃圾用垃圾桶收集，委托当地环卫部门清运处置。</w:t>
            </w:r>
          </w:p>
        </w:tc>
        <w:tc>
          <w:tcPr>
            <w:tcW w:w="241"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restart"/>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地下水防治措施</w:t>
            </w:r>
          </w:p>
        </w:tc>
        <w:tc>
          <w:tcPr>
            <w:tcW w:w="844" w:type="pct"/>
            <w:gridSpan w:val="3"/>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施工期</w:t>
            </w:r>
          </w:p>
        </w:tc>
        <w:tc>
          <w:tcPr>
            <w:tcW w:w="243"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c>
          <w:tcPr>
            <w:tcW w:w="3247"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放喷池池底、池壁防渗。</w:t>
            </w:r>
          </w:p>
        </w:tc>
        <w:tc>
          <w:tcPr>
            <w:tcW w:w="241" w:type="pct"/>
            <w:vMerge w:val="restar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计入工程设计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spacing w:line="240" w:lineRule="auto"/>
              <w:ind w:firstLine="0" w:firstLineChars="0"/>
              <w:jc w:val="center"/>
              <w:rPr>
                <w:rFonts w:ascii="Times New Roman" w:cs="Times New Roman"/>
                <w:kern w:val="2"/>
                <w:sz w:val="21"/>
                <w:szCs w:val="21"/>
              </w:rPr>
            </w:pPr>
          </w:p>
        </w:tc>
        <w:tc>
          <w:tcPr>
            <w:tcW w:w="844" w:type="pct"/>
            <w:gridSpan w:val="3"/>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试采期</w:t>
            </w:r>
          </w:p>
        </w:tc>
        <w:tc>
          <w:tcPr>
            <w:tcW w:w="243"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c>
          <w:tcPr>
            <w:tcW w:w="3247"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柴油储罐四周设置防渗围堰，污水缓冲罐四周设置防渗围堰，站场内进行分区防渗。</w:t>
            </w:r>
          </w:p>
        </w:tc>
        <w:tc>
          <w:tcPr>
            <w:tcW w:w="241" w:type="pct"/>
            <w:vMerge w:val="continue"/>
            <w:vAlign w:val="center"/>
          </w:tcPr>
          <w:p>
            <w:pPr>
              <w:pStyle w:val="103"/>
              <w:kinsoku w:val="0"/>
              <w:overflowPunct w:val="0"/>
              <w:spacing w:line="240" w:lineRule="auto"/>
              <w:ind w:firstLine="0" w:firstLineChars="0"/>
              <w:rPr>
                <w:rFonts w:ascii="Times New Roman" w:cs="Times New Roman"/>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restart"/>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环境风险措施</w:t>
            </w:r>
          </w:p>
        </w:tc>
        <w:tc>
          <w:tcPr>
            <w:tcW w:w="844" w:type="pct"/>
            <w:gridSpan w:val="3"/>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消防措施</w:t>
            </w:r>
          </w:p>
        </w:tc>
        <w:tc>
          <w:tcPr>
            <w:tcW w:w="243"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c>
          <w:tcPr>
            <w:tcW w:w="3247"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按《建筑灭火器的配置设计规范》，在站场装置区配置消防栓、各种手提式、推车式的CO</w:t>
            </w:r>
            <w:r>
              <w:rPr>
                <w:rFonts w:ascii="Times New Roman" w:cs="Times New Roman"/>
                <w:kern w:val="2"/>
                <w:sz w:val="21"/>
                <w:szCs w:val="21"/>
                <w:vertAlign w:val="subscript"/>
              </w:rPr>
              <w:t>2</w:t>
            </w:r>
            <w:r>
              <w:rPr>
                <w:rFonts w:ascii="Times New Roman" w:cs="Times New Roman"/>
                <w:kern w:val="2"/>
                <w:sz w:val="21"/>
                <w:szCs w:val="21"/>
              </w:rPr>
              <w:t>、干粉、泡沫等灭火器。</w:t>
            </w:r>
          </w:p>
        </w:tc>
        <w:tc>
          <w:tcPr>
            <w:tcW w:w="241" w:type="pct"/>
            <w:vMerge w:val="restar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计入主体工程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spacing w:line="240" w:lineRule="auto"/>
              <w:ind w:firstLine="0" w:firstLineChars="0"/>
              <w:jc w:val="center"/>
              <w:rPr>
                <w:rFonts w:ascii="Times New Roman" w:cs="Times New Roman"/>
                <w:kern w:val="2"/>
                <w:sz w:val="21"/>
                <w:szCs w:val="21"/>
              </w:rPr>
            </w:pPr>
          </w:p>
        </w:tc>
        <w:tc>
          <w:tcPr>
            <w:tcW w:w="844" w:type="pct"/>
            <w:gridSpan w:val="3"/>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探测仪器</w:t>
            </w:r>
          </w:p>
        </w:tc>
        <w:tc>
          <w:tcPr>
            <w:tcW w:w="243"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c>
          <w:tcPr>
            <w:tcW w:w="3247"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安装可燃气体探测仪和烟雾报警装置</w:t>
            </w:r>
          </w:p>
        </w:tc>
        <w:tc>
          <w:tcPr>
            <w:tcW w:w="241" w:type="pct"/>
            <w:vMerge w:val="continue"/>
            <w:vAlign w:val="center"/>
          </w:tcPr>
          <w:p>
            <w:pPr>
              <w:pStyle w:val="103"/>
              <w:kinsoku w:val="0"/>
              <w:overflowPunct w:val="0"/>
              <w:spacing w:line="240" w:lineRule="auto"/>
              <w:ind w:firstLine="0" w:firstLineChars="0"/>
              <w:rPr>
                <w:rFonts w:ascii="Times New Roman" w:cs="Times New Roman"/>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restart"/>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环境管理</w:t>
            </w:r>
          </w:p>
        </w:tc>
        <w:tc>
          <w:tcPr>
            <w:tcW w:w="844" w:type="pct"/>
            <w:gridSpan w:val="3"/>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环境监测</w:t>
            </w:r>
          </w:p>
        </w:tc>
        <w:tc>
          <w:tcPr>
            <w:tcW w:w="243"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5</w:t>
            </w:r>
          </w:p>
        </w:tc>
        <w:tc>
          <w:tcPr>
            <w:tcW w:w="3247"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开展施工期环境监测工作</w:t>
            </w:r>
          </w:p>
        </w:tc>
        <w:tc>
          <w:tcPr>
            <w:tcW w:w="241"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spacing w:line="240" w:lineRule="auto"/>
              <w:ind w:firstLine="0" w:firstLineChars="0"/>
              <w:jc w:val="center"/>
              <w:rPr>
                <w:rFonts w:ascii="Times New Roman" w:cs="Times New Roman"/>
                <w:kern w:val="2"/>
                <w:sz w:val="21"/>
                <w:szCs w:val="21"/>
              </w:rPr>
            </w:pPr>
          </w:p>
        </w:tc>
        <w:tc>
          <w:tcPr>
            <w:tcW w:w="844" w:type="pct"/>
            <w:gridSpan w:val="3"/>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环境宣传、保护</w:t>
            </w:r>
          </w:p>
        </w:tc>
        <w:tc>
          <w:tcPr>
            <w:tcW w:w="243"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2</w:t>
            </w:r>
          </w:p>
        </w:tc>
        <w:tc>
          <w:tcPr>
            <w:tcW w:w="3247"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开展环保知识培训；宣传环境保护法律、法规；建设并设施环保“三同时”制度。</w:t>
            </w:r>
          </w:p>
        </w:tc>
        <w:tc>
          <w:tcPr>
            <w:tcW w:w="241"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spacing w:line="240" w:lineRule="auto"/>
              <w:ind w:firstLine="0" w:firstLineChars="0"/>
              <w:jc w:val="center"/>
              <w:rPr>
                <w:rFonts w:ascii="Times New Roman" w:cs="Times New Roman"/>
                <w:kern w:val="2"/>
                <w:sz w:val="21"/>
                <w:szCs w:val="21"/>
              </w:rPr>
            </w:pPr>
          </w:p>
        </w:tc>
        <w:tc>
          <w:tcPr>
            <w:tcW w:w="844" w:type="pct"/>
            <w:gridSpan w:val="3"/>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竣工验收</w:t>
            </w:r>
          </w:p>
        </w:tc>
        <w:tc>
          <w:tcPr>
            <w:tcW w:w="243"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15</w:t>
            </w:r>
          </w:p>
        </w:tc>
        <w:tc>
          <w:tcPr>
            <w:tcW w:w="3247"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开展环保竣工验收工作。</w:t>
            </w:r>
          </w:p>
        </w:tc>
        <w:tc>
          <w:tcPr>
            <w:tcW w:w="241" w:type="pct"/>
            <w:vAlign w:val="center"/>
          </w:tcPr>
          <w:p>
            <w:pPr>
              <w:pStyle w:val="103"/>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267" w:type="pct"/>
            <w:gridSpan w:val="4"/>
            <w:tcBorders>
              <w:right w:val="single" w:color="000000" w:sz="2" w:space="0"/>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合计</w:t>
            </w:r>
          </w:p>
        </w:tc>
        <w:tc>
          <w:tcPr>
            <w:tcW w:w="3732" w:type="pct"/>
            <w:gridSpan w:val="3"/>
            <w:tcBorders>
              <w:left w:val="single" w:color="000000" w:sz="2" w:space="0"/>
            </w:tcBorders>
            <w:vAlign w:val="center"/>
          </w:tcPr>
          <w:p>
            <w:pPr>
              <w:widowControl/>
              <w:topLinePunct w:val="0"/>
              <w:adjustRightInd/>
              <w:spacing w:line="240" w:lineRule="auto"/>
              <w:ind w:firstLine="0" w:firstLineChars="0"/>
              <w:jc w:val="center"/>
              <w:rPr>
                <w:rFonts w:ascii="Times New Roman" w:cs="Times New Roman"/>
                <w:kern w:val="2"/>
                <w:sz w:val="21"/>
                <w:szCs w:val="22"/>
              </w:rPr>
            </w:pPr>
            <w:r>
              <w:rPr>
                <w:rFonts w:ascii="Times New Roman" w:cs="Times New Roman"/>
                <w:kern w:val="2"/>
                <w:sz w:val="21"/>
                <w:szCs w:val="22"/>
              </w:rPr>
              <w:t>500</w:t>
            </w:r>
          </w:p>
        </w:tc>
      </w:tr>
    </w:tbl>
    <w:p>
      <w:pPr>
        <w:widowControl/>
        <w:topLinePunct w:val="0"/>
        <w:adjustRightInd/>
        <w:ind w:firstLine="0" w:firstLineChars="0"/>
        <w:jc w:val="left"/>
        <w:rPr>
          <w:rFonts w:ascii="Times New Roman" w:cs="Times New Roman"/>
          <w:b/>
          <w:bCs/>
          <w:sz w:val="32"/>
          <w:szCs w:val="32"/>
        </w:rPr>
        <w:sectPr>
          <w:pgSz w:w="16840" w:h="11910" w:orient="landscape"/>
          <w:pgMar w:top="1077" w:right="1281" w:bottom="1219" w:left="1021" w:header="885" w:footer="1026" w:gutter="0"/>
          <w:pgBorders>
            <w:top w:val="none" w:sz="0" w:space="0"/>
            <w:left w:val="none" w:sz="0" w:space="0"/>
            <w:bottom w:val="none" w:sz="0" w:space="0"/>
            <w:right w:val="none" w:sz="0" w:space="0"/>
          </w:pgBorders>
          <w:cols w:space="720" w:num="1"/>
          <w:docGrid w:linePitch="326" w:charSpace="0"/>
        </w:sectPr>
      </w:pPr>
    </w:p>
    <w:p>
      <w:pPr>
        <w:pStyle w:val="2"/>
        <w:spacing w:before="0" w:beforeAutospacing="0" w:after="0" w:afterAutospacing="0"/>
        <w:rPr>
          <w:rFonts w:eastAsia="宋体"/>
        </w:rPr>
      </w:pPr>
      <w:bookmarkStart w:id="627" w:name="bookmark77"/>
      <w:bookmarkEnd w:id="627"/>
      <w:bookmarkStart w:id="628" w:name="_Toc10702"/>
      <w:bookmarkStart w:id="629" w:name="_Toc19816137"/>
      <w:bookmarkStart w:id="630" w:name="_Toc12288818"/>
      <w:r>
        <w:rPr>
          <w:rFonts w:eastAsia="宋体"/>
        </w:rPr>
        <w:t>9 环境影响经济损益分析</w:t>
      </w:r>
      <w:bookmarkEnd w:id="628"/>
      <w:bookmarkEnd w:id="629"/>
      <w:bookmarkEnd w:id="630"/>
    </w:p>
    <w:p>
      <w:pPr>
        <w:pStyle w:val="114"/>
        <w:ind w:firstLine="480"/>
      </w:pPr>
      <w:r>
        <w:t>环境影响经济损益分析是环境影响评价的一项主要内容，设置的目的在于衡量建设项目所需投入的环保投资和能收到的环保效果，以评价本项目的环境经济可行性。因而在环境经济损益分析中除计算用于控制污染所需投资费用外，同时还需估算可能收到的环境与经济效益，以实现扩大生产、提高经济效益的同时不致于造成区域环境污染，做到经济效益、社会效益和环境效益的协调发展。</w:t>
      </w:r>
    </w:p>
    <w:p>
      <w:pPr>
        <w:pStyle w:val="114"/>
        <w:ind w:firstLine="480"/>
      </w:pPr>
      <w:r>
        <w:t>由前述评价可见，管线建设对环境影响是多方面的，而这些影响又都难以进行经济核算，对环境影响采用的减缓措施取得的是社会和生态效益，目前这些效益也难以采用经济方法进行估价，为此下面仅从本项目的工程社会效益和环境保护措施的投资两方面进行经济损益分析。</w:t>
      </w:r>
    </w:p>
    <w:p>
      <w:pPr>
        <w:pStyle w:val="3"/>
        <w:spacing w:before="120"/>
        <w:rPr>
          <w:rFonts w:cs="Times New Roman"/>
        </w:rPr>
      </w:pPr>
      <w:bookmarkStart w:id="631" w:name="bookmark78"/>
      <w:bookmarkEnd w:id="631"/>
      <w:bookmarkStart w:id="632" w:name="_Toc21454"/>
      <w:bookmarkStart w:id="633" w:name="_Toc12288819"/>
      <w:bookmarkStart w:id="634" w:name="_Toc19816138"/>
      <w:r>
        <w:rPr>
          <w:rFonts w:cs="Times New Roman"/>
        </w:rPr>
        <w:t>9.1 工程经济、社会效益分析</w:t>
      </w:r>
      <w:bookmarkEnd w:id="632"/>
      <w:bookmarkEnd w:id="633"/>
      <w:bookmarkEnd w:id="634"/>
    </w:p>
    <w:p>
      <w:pPr>
        <w:pStyle w:val="114"/>
        <w:ind w:firstLine="480"/>
      </w:pPr>
      <w:r>
        <w:t>作为一种优质、高效、清洁的能源，天然气在能源竞争中的优势已逐步确立，开发利用天然气已成为当代世界的潮流。随着全球天然气探明储量和产量同步迅速增长，然气在能源构成中所占比例日益提高。有专家预计，2020年后，天然气将超过原油和煤炭，成为世界一次能源消费结构中的“首席能源”，天然气将进入一个全新的历史发展时期。</w:t>
      </w:r>
    </w:p>
    <w:p>
      <w:pPr>
        <w:pStyle w:val="114"/>
        <w:ind w:firstLine="480"/>
      </w:pPr>
      <w:r>
        <w:t>工程的建设有利于区域天然气资源的开发利用，提供了高效畅通的运输，降低了运输成本，提高了运输的连续可靠性。本项目建设需要一定数量的人力，除施工单位外，还需在当地招募民工，因而可给当地居民和农民增加收入。另外，管道工程建设需要大批钢材、建材及配套设备，可带动机械、电力、化工、冶金、建材等相关工业的发展。</w:t>
      </w:r>
    </w:p>
    <w:p>
      <w:pPr>
        <w:pStyle w:val="3"/>
        <w:spacing w:before="120"/>
        <w:rPr>
          <w:rFonts w:cs="Times New Roman"/>
        </w:rPr>
      </w:pPr>
      <w:bookmarkStart w:id="635" w:name="bookmark79"/>
      <w:bookmarkEnd w:id="635"/>
      <w:bookmarkStart w:id="636" w:name="_Toc9349"/>
      <w:bookmarkStart w:id="637" w:name="_Toc19816141"/>
      <w:bookmarkStart w:id="638" w:name="_Toc12288822"/>
      <w:r>
        <w:rPr>
          <w:rFonts w:cs="Times New Roman"/>
        </w:rPr>
        <w:t>9.2 环境损益分析</w:t>
      </w:r>
      <w:bookmarkEnd w:id="636"/>
      <w:bookmarkEnd w:id="637"/>
      <w:bookmarkEnd w:id="638"/>
    </w:p>
    <w:p>
      <w:pPr>
        <w:pStyle w:val="4"/>
        <w:rPr>
          <w:rFonts w:eastAsia="宋体"/>
        </w:rPr>
      </w:pPr>
      <w:bookmarkStart w:id="639" w:name="_Toc12288823"/>
      <w:bookmarkStart w:id="640" w:name="_Toc19816142"/>
      <w:r>
        <w:rPr>
          <w:rFonts w:eastAsia="宋体"/>
        </w:rPr>
        <w:t>9.2.1 工程造成的环境损失分析</w:t>
      </w:r>
      <w:bookmarkEnd w:id="639"/>
      <w:bookmarkEnd w:id="640"/>
    </w:p>
    <w:p>
      <w:pPr>
        <w:pStyle w:val="114"/>
        <w:ind w:firstLine="480"/>
      </w:pPr>
      <w:r>
        <w:t>本项目在建设过程中，需要临时占用一定数量的土地，主要占用的是旱地、水田和林地等。临时性占地只对耕作期的作物有影响，对农业带来的损失是暂时的，在施工结束后，经过一段时间皆可恢复其原有功能。一般来说，环境损失包括直接损失和间接损失，直接损失指由于项目建设对土壤、地表植被及其生境破坏所造成的环境经济损失，即土地资源破坏的经济损失，从而减少了耕地的面积；间接损失指由土地资源损失而引起的其它生态问题，如荒漠化、沙尘暴、生物多样性及生产力下降等生态灾害所造成的环境经济损失。间接损失的确定目前尚无一套完整的计算方法和参考数据，因此，仅通过计算直接农业生态和林地损失来代表环境损失。</w:t>
      </w:r>
    </w:p>
    <w:p>
      <w:pPr>
        <w:pStyle w:val="4"/>
        <w:rPr>
          <w:rFonts w:eastAsia="宋体"/>
        </w:rPr>
      </w:pPr>
      <w:bookmarkStart w:id="641" w:name="_Toc12288824"/>
      <w:bookmarkStart w:id="642" w:name="_Toc19816143"/>
      <w:r>
        <w:rPr>
          <w:rFonts w:eastAsia="宋体"/>
        </w:rPr>
        <w:t>9.2.2 环境效益分析</w:t>
      </w:r>
      <w:bookmarkEnd w:id="641"/>
      <w:bookmarkEnd w:id="642"/>
    </w:p>
    <w:p>
      <w:pPr>
        <w:pStyle w:val="114"/>
        <w:ind w:firstLine="480"/>
      </w:pPr>
      <w:r>
        <w:t>（1）本项目的建设，进一步服务普光气田的开发，配合开发部门完成气井产量等评估工作，有利于区域的可持续发展。</w:t>
      </w:r>
    </w:p>
    <w:p>
      <w:pPr>
        <w:pStyle w:val="114"/>
        <w:ind w:firstLine="480"/>
      </w:pPr>
      <w:r>
        <w:t>（2）本项目完成后，通过调度控制中心进行全线监控。同时管道防腐采用加强级三层结构聚乙烯防腐层，提高了运输安全性，降低了泄漏事故发生的概率，从而减少了因泄漏事故对环境的危害和对周边人员的伤害。</w:t>
      </w:r>
    </w:p>
    <w:p>
      <w:pPr>
        <w:pStyle w:val="114"/>
        <w:ind w:firstLine="480"/>
      </w:pPr>
      <w:r>
        <w:t>（3）由于天然气采用管道密闭输送，运输中不会对环境造成污染，而利用煤炭或者石油，需要车船运输，运输中会产生一定量的大气污染物，如汽车尾气、二次扬尘。因此，管道输送天然气避免了运输对环境的污染问题，保护了生态环境，具有较好的环境效益。</w:t>
      </w:r>
    </w:p>
    <w:p>
      <w:pPr>
        <w:pStyle w:val="3"/>
        <w:rPr>
          <w:rFonts w:cs="Times New Roman"/>
        </w:rPr>
      </w:pPr>
      <w:bookmarkStart w:id="643" w:name="_Toc7727"/>
      <w:bookmarkStart w:id="644" w:name="_Toc112682083"/>
      <w:r>
        <w:rPr>
          <w:rFonts w:hint="eastAsia" w:cs="Times New Roman"/>
        </w:rPr>
        <w:t>9.3温室气体排放核算</w:t>
      </w:r>
      <w:bookmarkEnd w:id="643"/>
      <w:bookmarkEnd w:id="644"/>
    </w:p>
    <w:p>
      <w:pPr>
        <w:topLinePunct w:val="0"/>
        <w:adjustRightInd/>
        <w:ind w:firstLine="480"/>
        <w:rPr>
          <w:rFonts w:ascii="Times New Roman" w:cs="Times New Roman"/>
          <w:kern w:val="2"/>
        </w:rPr>
      </w:pPr>
      <w:r>
        <w:rPr>
          <w:rFonts w:hint="eastAsia" w:ascii="Times New Roman" w:cs="Times New Roman"/>
          <w:kern w:val="2"/>
        </w:rPr>
        <w:t>为进一步响应“做好碳达峰、碳中和工作”，实现2030年前碳排放达峰、2035年碳排放达峰后稳中有降、2060年前碳中和为总体目标，以促进经济绿色低碳可持续发展、引导建设项目履行碳减排义务和建立碳管理机制为目的，结合碳强度考核、碳市场建设、气候投融资、碳汇类生态产品价值实现等政策措施和节能降碳工程技术发展状况，本次评价根据《非常规油气开采企业温室气体排放核算方法与报告指南》（SY/T 7641-2021）核算项目的碳排放。</w:t>
      </w:r>
    </w:p>
    <w:p>
      <w:pPr>
        <w:topLinePunct w:val="0"/>
        <w:adjustRightInd/>
        <w:ind w:firstLine="0" w:firstLineChars="0"/>
        <w:outlineLvl w:val="2"/>
        <w:rPr>
          <w:rFonts w:ascii="Times New Roman" w:cs="Times New Roman"/>
          <w:b/>
          <w:kern w:val="2"/>
        </w:rPr>
      </w:pPr>
      <w:r>
        <w:rPr>
          <w:rFonts w:hint="eastAsia" w:ascii="Times New Roman" w:cs="Times New Roman"/>
          <w:b/>
          <w:kern w:val="2"/>
        </w:rPr>
        <w:t>9.3.1</w:t>
      </w:r>
      <w:r>
        <w:rPr>
          <w:rFonts w:ascii="Times New Roman" w:cs="Times New Roman"/>
          <w:b/>
          <w:kern w:val="2"/>
        </w:rPr>
        <w:t>排放源和气体种类识别</w:t>
      </w:r>
    </w:p>
    <w:p>
      <w:pPr>
        <w:topLinePunct w:val="0"/>
        <w:adjustRightInd/>
        <w:ind w:firstLine="480"/>
        <w:rPr>
          <w:rFonts w:ascii="Times New Roman" w:cs="Times New Roman"/>
          <w:kern w:val="2"/>
        </w:rPr>
      </w:pPr>
      <w:r>
        <w:rPr>
          <w:rFonts w:hint="eastAsia" w:ascii="Times New Roman" w:cs="Times New Roman"/>
          <w:kern w:val="2"/>
        </w:rPr>
        <w:t>参考《非常规油气开采企业温室气体排放核算方法与报告指南》（SY/T 7641-2021），本项目温室气体主要为二氧化碳（CO</w:t>
      </w:r>
      <w:r>
        <w:rPr>
          <w:rFonts w:hint="eastAsia" w:ascii="Times New Roman" w:cs="Times New Roman"/>
          <w:kern w:val="2"/>
          <w:vertAlign w:val="subscript"/>
        </w:rPr>
        <w:t>2</w:t>
      </w:r>
      <w:r>
        <w:rPr>
          <w:rFonts w:hint="eastAsia" w:ascii="Times New Roman" w:cs="Times New Roman"/>
          <w:kern w:val="2"/>
        </w:rPr>
        <w:t>）和甲烷（CH</w:t>
      </w:r>
      <w:r>
        <w:rPr>
          <w:rFonts w:hint="eastAsia" w:ascii="Times New Roman" w:cs="Times New Roman"/>
          <w:kern w:val="2"/>
          <w:vertAlign w:val="subscript"/>
        </w:rPr>
        <w:t>4</w:t>
      </w:r>
      <w:r>
        <w:rPr>
          <w:rFonts w:hint="eastAsia" w:ascii="Times New Roman" w:cs="Times New Roman"/>
          <w:kern w:val="2"/>
        </w:rPr>
        <w:t>）。</w:t>
      </w:r>
    </w:p>
    <w:p>
      <w:pPr>
        <w:topLinePunct w:val="0"/>
        <w:adjustRightInd/>
        <w:ind w:firstLine="0" w:firstLineChars="0"/>
        <w:outlineLvl w:val="2"/>
        <w:rPr>
          <w:rFonts w:ascii="Times New Roman" w:cs="Times New Roman"/>
          <w:b/>
          <w:kern w:val="2"/>
        </w:rPr>
      </w:pPr>
      <w:r>
        <w:rPr>
          <w:rFonts w:hint="eastAsia" w:ascii="Times New Roman" w:cs="Times New Roman"/>
          <w:b/>
          <w:kern w:val="2"/>
        </w:rPr>
        <w:t>9.3.2温室气体排放总量</w:t>
      </w:r>
    </w:p>
    <w:p>
      <w:pPr>
        <w:topLinePunct w:val="0"/>
        <w:adjustRightInd/>
        <w:ind w:left="482" w:firstLine="0" w:firstLineChars="0"/>
        <w:rPr>
          <w:rFonts w:ascii="Times New Roman" w:cs="Times New Roman"/>
          <w:b/>
          <w:kern w:val="2"/>
        </w:rPr>
      </w:pPr>
      <w:r>
        <w:rPr>
          <w:rFonts w:hint="eastAsia" w:ascii="Times New Roman" w:cs="Times New Roman"/>
          <w:b/>
          <w:kern w:val="2"/>
        </w:rPr>
        <w:t>（1）燃料气燃烧CO</w:t>
      </w:r>
      <w:r>
        <w:rPr>
          <w:rFonts w:hint="eastAsia" w:ascii="Times New Roman" w:cs="Times New Roman"/>
          <w:b/>
          <w:kern w:val="2"/>
          <w:vertAlign w:val="subscript"/>
        </w:rPr>
        <w:t>2</w:t>
      </w:r>
      <w:r>
        <w:rPr>
          <w:rFonts w:hint="eastAsia" w:ascii="Times New Roman" w:cs="Times New Roman"/>
          <w:b/>
          <w:kern w:val="2"/>
        </w:rPr>
        <w:t>排放</w:t>
      </w:r>
    </w:p>
    <w:p>
      <w:pPr>
        <w:topLinePunct w:val="0"/>
        <w:adjustRightInd/>
        <w:ind w:firstLine="480"/>
        <w:rPr>
          <w:rFonts w:ascii="Times New Roman" w:cs="Times New Roman"/>
          <w:kern w:val="2"/>
        </w:rPr>
      </w:pPr>
      <w:r>
        <w:rPr>
          <w:rFonts w:hint="eastAsia" w:ascii="Times New Roman" w:cs="Times New Roman"/>
          <w:kern w:val="2"/>
        </w:rPr>
        <w:t>本项目化石燃料燃烧主要为净化后天然气，根据《非常规油气开采企业温室气体排放核算方法与报告指南》（SY</w:t>
      </w:r>
      <w:r>
        <w:rPr>
          <w:rFonts w:ascii="Times New Roman" w:cs="Times New Roman"/>
          <w:kern w:val="2"/>
        </w:rPr>
        <w:t>/</w:t>
      </w:r>
      <w:r>
        <w:rPr>
          <w:rFonts w:hint="eastAsia" w:ascii="Times New Roman" w:cs="Times New Roman"/>
          <w:kern w:val="2"/>
        </w:rPr>
        <w:t>T 7641-2021</w:t>
      </w:r>
      <w:r>
        <w:rPr>
          <w:rFonts w:ascii="Times New Roman" w:cs="Times New Roman"/>
          <w:kern w:val="2"/>
        </w:rPr>
        <w:t>）</w:t>
      </w:r>
      <w:r>
        <w:rPr>
          <w:rFonts w:hint="eastAsia" w:ascii="Times New Roman" w:cs="Times New Roman"/>
          <w:kern w:val="2"/>
        </w:rPr>
        <w:t>，化石燃料燃烧排放核算计算公式如下：</w:t>
      </w:r>
    </w:p>
    <w:p>
      <w:pPr>
        <w:topLinePunct w:val="0"/>
        <w:adjustRightInd/>
        <w:ind w:firstLine="480"/>
        <w:rPr>
          <w:rFonts w:ascii="Times New Roman" w:cs="Times New Roman"/>
          <w:kern w:val="2"/>
        </w:rPr>
      </w:pPr>
      <m:oMathPara>
        <m:oMath>
          <m:sSub>
            <m:sSubPr>
              <m:ctrlPr>
                <w:rPr>
                  <w:rFonts w:ascii="Cambria Math" w:hAnsi="Cambria Math"/>
                </w:rPr>
              </m:ctrlPr>
            </m:sSubPr>
            <m:e>
              <m:r>
                <m:rPr>
                  <m:sty m:val="p"/>
                </m:rPr>
                <w:rPr>
                  <w:rFonts w:ascii="Cambria Math" w:hAnsi="Cambria Math"/>
                </w:rPr>
                <m:t>E</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nary>
            <m:naryPr>
              <m:chr m:val="∑"/>
              <m:limLoc m:val="subSup"/>
              <m:supHide m:val="1"/>
              <m:ctrlPr>
                <w:rPr>
                  <w:rFonts w:ascii="Cambria Math" w:hAnsi="Cambria Math"/>
                  <w:i/>
                </w:rPr>
              </m:ctrlPr>
            </m:naryPr>
            <m:sub>
              <m:r>
                <m:rPr/>
                <w:rPr>
                  <w:rFonts w:ascii="Cambria Math" w:hAnsi="Cambria Math"/>
                </w:rPr>
                <m:t>i</m:t>
              </m:r>
              <m:ctrlPr>
                <w:rPr>
                  <w:rFonts w:ascii="Cambria Math" w:hAnsi="Cambria Math"/>
                  <w:i/>
                </w:rPr>
              </m:ctrlPr>
            </m:sub>
            <m:sup>
              <m:ctrlPr>
                <w:rPr>
                  <w:rFonts w:ascii="Cambria Math" w:hAnsi="Cambria Math"/>
                  <w:i/>
                </w:rPr>
              </m:ctrlPr>
            </m:sup>
            <m:e>
              <m:nary>
                <m:naryPr>
                  <m:chr m:val="∑"/>
                  <m:limLoc m:val="subSup"/>
                  <m:supHide m:val="1"/>
                  <m:ctrlPr>
                    <w:rPr>
                      <w:rFonts w:ascii="Cambria Math" w:hAnsi="Cambria Math"/>
                      <w:i/>
                    </w:rPr>
                  </m:ctrlPr>
                </m:naryPr>
                <m:sub>
                  <m:r>
                    <m:rPr/>
                    <w:rPr>
                      <w:rFonts w:ascii="Cambria Math" w:hAnsi="Cambria Math"/>
                    </w:rPr>
                    <m:t>j</m:t>
                  </m:r>
                  <m:ctrlPr>
                    <w:rPr>
                      <w:rFonts w:ascii="Cambria Math" w:hAnsi="Cambria Math"/>
                      <w:i/>
                    </w:rPr>
                  </m:ctrlPr>
                </m:sub>
                <m:sup>
                  <m:ctrlPr>
                    <w:rPr>
                      <w:rFonts w:ascii="Cambria Math" w:hAnsi="Cambria Math"/>
                      <w:i/>
                    </w:rPr>
                  </m:ctrlPr>
                </m:sup>
                <m:e>
                  <m:r>
                    <m:rPr>
                      <m:sty m:val="p"/>
                    </m:rPr>
                    <w:rPr>
                      <w:rFonts w:ascii="Cambria Math" w:hAnsi="Cambria Math"/>
                    </w:rPr>
                    <m:t>（</m:t>
                  </m:r>
                  <m:sSub>
                    <m:sSubPr>
                      <m:ctrlPr>
                        <w:rPr>
                          <w:rFonts w:ascii="Cambria Math" w:hAnsi="Cambria Math"/>
                        </w:rPr>
                      </m:ctrlPr>
                    </m:sSubPr>
                    <m:e>
                      <m:r>
                        <m:rPr>
                          <m:sty m:val="p"/>
                        </m:rPr>
                        <w:rPr>
                          <w:rFonts w:ascii="Cambria Math" w:hAnsi="Cambria Math"/>
                        </w:rPr>
                        <m:t>AD</m:t>
                      </m:r>
                      <m:ctrlPr>
                        <w:rPr>
                          <w:rFonts w:ascii="Cambria Math" w:hAnsi="Cambria Math"/>
                        </w:rPr>
                      </m:ctrlPr>
                    </m:e>
                    <m:sub>
                      <m:r>
                        <m:rPr>
                          <m:sty m:val="p"/>
                        </m:rPr>
                        <w:rPr>
                          <w:rFonts w:ascii="Cambria Math" w:hAnsi="Cambria Math"/>
                        </w:rPr>
                        <m:t>i，j</m:t>
                      </m:r>
                      <m:ctrlPr>
                        <w:rPr>
                          <w:rFonts w:ascii="Cambria Math" w:hAnsi="Cambria Math"/>
                        </w:rPr>
                      </m:ctrlPr>
                    </m:sub>
                  </m:sSub>
                  <m:r>
                    <m:rPr/>
                    <w:rPr>
                      <w:rFonts w:ascii="Cambria Math" w:hAnsi="Cambria Math"/>
                    </w:rPr>
                    <m:t>×</m:t>
                  </m:r>
                  <m:sSub>
                    <m:sSubPr>
                      <m:ctrlPr>
                        <w:rPr>
                          <w:rFonts w:ascii="Cambria Math" w:hAnsi="Cambria Math"/>
                        </w:rPr>
                      </m:ctrlPr>
                    </m:sSubPr>
                    <m:e>
                      <m:r>
                        <m:rPr>
                          <m:sty m:val="p"/>
                        </m:rPr>
                        <w:rPr>
                          <w:rFonts w:ascii="Cambria Math" w:hAnsi="Cambria Math"/>
                        </w:rPr>
                        <m:t>CC</m:t>
                      </m:r>
                      <m:ctrlPr>
                        <w:rPr>
                          <w:rFonts w:ascii="Cambria Math" w:hAnsi="Cambria Math"/>
                        </w:rPr>
                      </m:ctrlPr>
                    </m:e>
                    <m:sub>
                      <m:r>
                        <m:rPr>
                          <m:sty m:val="p"/>
                        </m:rPr>
                        <w:rPr>
                          <w:rFonts w:ascii="Cambria Math" w:hAnsi="Cambria Math"/>
                        </w:rPr>
                        <m:t>i，j</m:t>
                      </m:r>
                      <m:ctrlPr>
                        <w:rPr>
                          <w:rFonts w:ascii="Cambria Math" w:hAnsi="Cambria Math"/>
                        </w:rPr>
                      </m:ctrlPr>
                    </m:sub>
                  </m:sSub>
                  <m:sSub>
                    <m:sSubPr>
                      <m:ctrlPr>
                        <w:rPr>
                          <w:rFonts w:ascii="Cambria Math" w:hAnsi="Cambria Math"/>
                        </w:rPr>
                      </m:ctrlPr>
                    </m:sSubPr>
                    <m:e>
                      <m:r>
                        <m:rPr>
                          <m:sty m:val="p"/>
                        </m:rPr>
                        <w:rPr>
                          <w:rFonts w:ascii="Cambria Math" w:hAnsi="Cambria Math"/>
                        </w:rPr>
                        <m:t>OF</m:t>
                      </m:r>
                      <m:ctrlPr>
                        <w:rPr>
                          <w:rFonts w:ascii="Cambria Math" w:hAnsi="Cambria Math"/>
                        </w:rPr>
                      </m:ctrlPr>
                    </m:e>
                    <m:sub>
                      <m:r>
                        <m:rPr>
                          <m:sty m:val="p"/>
                        </m:rPr>
                        <w:rPr>
                          <w:rFonts w:ascii="Cambria Math" w:hAnsi="Cambria Math"/>
                        </w:rPr>
                        <m:t>i，j</m:t>
                      </m:r>
                      <m:ctrlPr>
                        <w:rPr>
                          <w:rFonts w:ascii="Cambria Math" w:hAnsi="Cambria Math"/>
                        </w:rPr>
                      </m:ctrlPr>
                    </m:sub>
                  </m:sSub>
                  <m:r>
                    <m:rPr>
                      <m:sty m:val="p"/>
                    </m:rPr>
                    <w:rPr>
                      <w:rFonts w:ascii="Cambria Math" w:hAnsi="Cambria Math"/>
                    </w:rPr>
                    <m:t>×</m:t>
                  </m:r>
                  <m:f>
                    <m:fPr>
                      <m:ctrlPr>
                        <w:rPr>
                          <w:rFonts w:ascii="Cambria Math" w:hAnsi="Cambria Math"/>
                        </w:rPr>
                      </m:ctrlPr>
                    </m:fPr>
                    <m:num>
                      <m:r>
                        <m:rPr/>
                        <w:rPr>
                          <w:rFonts w:ascii="Cambria Math" w:hAnsi="Cambria Math"/>
                        </w:rPr>
                        <m:t>44</m:t>
                      </m:r>
                      <m:ctrlPr>
                        <w:rPr>
                          <w:rFonts w:ascii="Cambria Math" w:hAnsi="Cambria Math"/>
                        </w:rPr>
                      </m:ctrlPr>
                    </m:num>
                    <m:den>
                      <m:r>
                        <m:rPr/>
                        <w:rPr>
                          <w:rFonts w:ascii="Cambria Math" w:hAnsi="Cambria Math"/>
                        </w:rPr>
                        <m:t>12</m:t>
                      </m:r>
                      <m:ctrlPr>
                        <w:rPr>
                          <w:rFonts w:ascii="Cambria Math" w:hAnsi="Cambria Math"/>
                        </w:rPr>
                      </m:ctrlPr>
                    </m:den>
                  </m:f>
                  <m:r>
                    <m:rPr>
                      <m:sty m:val="p"/>
                    </m:rPr>
                    <w:rPr>
                      <w:rFonts w:ascii="Cambria Math" w:hAnsi="Cambria Math"/>
                    </w:rPr>
                    <m:t>）</m:t>
                  </m:r>
                  <m:ctrlPr>
                    <w:rPr>
                      <w:rFonts w:ascii="Cambria Math" w:hAnsi="Cambria Math"/>
                    </w:rPr>
                  </m:ctrlPr>
                </m:e>
              </m:nary>
              <m:ctrlPr>
                <w:rPr>
                  <w:rFonts w:ascii="Cambria Math" w:hAnsi="Cambria Math"/>
                  <w:i/>
                </w:rPr>
              </m:ctrlPr>
            </m:e>
          </m:nary>
        </m:oMath>
      </m:oMathPara>
    </w:p>
    <w:p>
      <w:pPr>
        <w:topLinePunct w:val="0"/>
        <w:adjustRightInd/>
        <w:ind w:firstLine="480"/>
        <w:rPr>
          <w:rFonts w:ascii="Times New Roman" w:cs="Times New Roman"/>
          <w:kern w:val="2"/>
        </w:rPr>
      </w:pPr>
      <w:r>
        <w:rPr>
          <w:rFonts w:hint="eastAsia" w:ascii="Times New Roman" w:cs="Times New Roman"/>
          <w:kern w:val="2"/>
        </w:rPr>
        <w:t>其中：AD</w:t>
      </w:r>
      <w:r>
        <w:rPr>
          <w:rFonts w:hint="eastAsia" w:ascii="Times New Roman" w:cs="Times New Roman"/>
          <w:kern w:val="2"/>
          <w:vertAlign w:val="subscript"/>
        </w:rPr>
        <w:t>ij</w:t>
      </w:r>
      <w:r>
        <w:rPr>
          <w:rFonts w:hint="eastAsia" w:ascii="Times New Roman" w:cs="Times New Roman"/>
          <w:kern w:val="2"/>
        </w:rPr>
        <w:t>企业某作业活动下燃烧设施i内燃烧的化石燃料品种j（包括采出或外购天然气、伴生气、汽油、柴油等）的消耗量，对于固体或液体燃料以及炼厂干气单位为吨（t），对于其他气体燃料单位为万立方米（10</w:t>
      </w:r>
      <w:r>
        <w:rPr>
          <w:rFonts w:hint="eastAsia" w:ascii="Times New Roman" w:cs="Times New Roman"/>
          <w:kern w:val="2"/>
          <w:vertAlign w:val="superscript"/>
        </w:rPr>
        <w:t>4</w:t>
      </w:r>
      <w:r>
        <w:rPr>
          <w:rFonts w:hint="eastAsia" w:ascii="Times New Roman" w:cs="Times New Roman"/>
          <w:kern w:val="2"/>
        </w:rPr>
        <w:t>m</w:t>
      </w:r>
      <w:r>
        <w:rPr>
          <w:rFonts w:hint="eastAsia" w:ascii="Times New Roman" w:cs="Times New Roman"/>
          <w:kern w:val="2"/>
          <w:vertAlign w:val="superscript"/>
        </w:rPr>
        <w:t>3</w:t>
      </w:r>
      <w:r>
        <w:rPr>
          <w:rFonts w:hint="eastAsia" w:ascii="Times New Roman" w:cs="Times New Roman"/>
          <w:kern w:val="2"/>
        </w:rPr>
        <w:t>，标况）；</w:t>
      </w:r>
    </w:p>
    <w:p>
      <w:pPr>
        <w:topLinePunct w:val="0"/>
        <w:adjustRightInd/>
        <w:ind w:firstLine="1200" w:firstLineChars="500"/>
        <w:rPr>
          <w:rFonts w:ascii="Times New Roman" w:cs="Times New Roman"/>
          <w:kern w:val="2"/>
        </w:rPr>
      </w:pPr>
      <w:r>
        <w:rPr>
          <w:rFonts w:hint="eastAsia" w:ascii="Times New Roman" w:cs="Times New Roman"/>
          <w:kern w:val="2"/>
        </w:rPr>
        <w:t>CC</w:t>
      </w:r>
      <w:r>
        <w:rPr>
          <w:rFonts w:hint="eastAsia" w:ascii="Times New Roman" w:cs="Times New Roman"/>
          <w:kern w:val="2"/>
          <w:vertAlign w:val="subscript"/>
        </w:rPr>
        <w:t>ij</w:t>
      </w:r>
      <w:r>
        <w:rPr>
          <w:rFonts w:hint="eastAsia" w:ascii="Times New Roman" w:cs="Times New Roman"/>
          <w:kern w:val="2"/>
        </w:rPr>
        <w:t>设施i内燃烧的化石燃料j的含碳量，对固体或液体燃料及炼厂干气以吨碳每吨燃料[t（c）/t]为单位，对气体燃料，单位为吨碳每万立方米[t(C)/10</w:t>
      </w:r>
      <w:r>
        <w:rPr>
          <w:rFonts w:hint="eastAsia" w:ascii="Times New Roman" w:cs="Times New Roman"/>
          <w:kern w:val="2"/>
          <w:vertAlign w:val="superscript"/>
        </w:rPr>
        <w:t>4</w:t>
      </w:r>
      <w:r>
        <w:rPr>
          <w:rFonts w:hint="eastAsia" w:ascii="Times New Roman" w:cs="Times New Roman"/>
          <w:kern w:val="2"/>
        </w:rPr>
        <w:t>m</w:t>
      </w:r>
      <w:r>
        <w:rPr>
          <w:rFonts w:hint="eastAsia" w:ascii="Times New Roman" w:cs="Times New Roman"/>
          <w:kern w:val="2"/>
          <w:vertAlign w:val="superscript"/>
        </w:rPr>
        <w:t>3</w:t>
      </w:r>
      <w:r>
        <w:rPr>
          <w:rFonts w:hint="eastAsia" w:ascii="Times New Roman" w:cs="Times New Roman"/>
          <w:kern w:val="2"/>
        </w:rPr>
        <w:t>,标况]（天然气取5.96）；</w:t>
      </w:r>
    </w:p>
    <w:p>
      <w:pPr>
        <w:topLinePunct w:val="0"/>
        <w:adjustRightInd/>
        <w:ind w:firstLine="1200" w:firstLineChars="500"/>
        <w:rPr>
          <w:rFonts w:ascii="Times New Roman" w:cs="Times New Roman"/>
          <w:kern w:val="2"/>
        </w:rPr>
      </w:pPr>
      <w:r>
        <w:rPr>
          <w:rFonts w:hint="eastAsia" w:ascii="Times New Roman" w:cs="Times New Roman"/>
          <w:kern w:val="2"/>
        </w:rPr>
        <w:t>OF化石燃料j在设施i中燃烧的碳氧化率，量纲为1，以小数表示（天然气取0.99）；</w:t>
      </w:r>
    </w:p>
    <w:p>
      <w:pPr>
        <w:topLinePunct w:val="0"/>
        <w:adjustRightInd/>
        <w:ind w:firstLine="1200" w:firstLineChars="500"/>
        <w:rPr>
          <w:rFonts w:ascii="Times New Roman" w:cs="Times New Roman"/>
          <w:kern w:val="2"/>
        </w:rPr>
      </w:pPr>
      <w:r>
        <w:rPr>
          <w:rFonts w:ascii="Times New Roman" w:cs="Times New Roman"/>
          <w:kern w:val="2"/>
        </w:rPr>
        <w:fldChar w:fldCharType="begin"/>
      </w:r>
      <w:r>
        <w:rPr>
          <w:rFonts w:ascii="Times New Roman" w:cs="Times New Roman"/>
          <w:kern w:val="2"/>
        </w:rPr>
        <w:instrText xml:space="preserve"> QUOTE </w:instrText>
      </w:r>
      <w:r>
        <w:rPr>
          <w:rFonts w:ascii="Times New Roman" w:cs="Times New Roman"/>
          <w:kern w:val="2"/>
          <w:position w:val="-28"/>
        </w:rPr>
        <w:pict>
          <v:shape id="_x0000_i1027" o:spt="75" type="#_x0000_t75" style="height:26.9pt;width:9.4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mirrorMargins/&gt;&lt;w:bordersDontSurroundHeader/&gt;&lt;w:bordersDontSurroundFooter/&gt;&lt;w:hideSpellingErrors/&gt;&lt;w:stylePaneFormatFilter w:val=&quot;3F01&quot;/&gt;&lt;w:documentProtection w:edit=&quot;read-only&quot; w:enforcement=&quot;off&quot;/&gt;&lt;w:defaultTabStop w:val=&quot;0&quot;/&gt;&lt;w:evenAndOddHeaders/&gt;&lt;w:drawingGridHorizontalSpacing w:val=&quot;105&quot;/&gt;&lt;w:drawingGridVerticalSpacing w:val=&quot;156&quot;/&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dontGrowAutofit/&gt;&lt;w:useFELayout/&gt;&lt;/w:compat&gt;&lt;w:docVars&gt;&lt;w:docVar w:name=&quot;commondata&quot; w:val=&quot;eyJoZGlkIjoiYzE4N2M0YWU5ZGQyMWIwMGFiMDc3NzM3Y2I5MDk3MWYifQ==&quot;/&gt;&lt;/w:docVars&gt;&lt;wsp:rsids&gt;&lt;wsp:rsidRoot wsp:val=&quot;00172A27&quot;/&gt;&lt;wsp:rsid wsp:val=&quot;00000752&quot;/&gt;&lt;wsp:rsid wsp:val=&quot;00001B16&quot;/&gt;&lt;wsp:rsid wsp:val=&quot;00003A89&quot;/&gt;&lt;wsp:rsid wsp:val=&quot;000050CD&quot;/&gt;&lt;wsp:rsid wsp:val=&quot;000064CD&quot;/&gt;&lt;wsp:rsid wsp:val=&quot;00012191&quot;/&gt;&lt;wsp:rsid wsp:val=&quot;0002136A&quot;/&gt;&lt;wsp:rsid wsp:val=&quot;00021A6B&quot;/&gt;&lt;wsp:rsid wsp:val=&quot;00025148&quot;/&gt;&lt;wsp:rsid wsp:val=&quot;00026FF1&quot;/&gt;&lt;wsp:rsid wsp:val=&quot;00027A79&quot;/&gt;&lt;wsp:rsid wsp:val=&quot;00030C58&quot;/&gt;&lt;wsp:rsid wsp:val=&quot;000311A3&quot;/&gt;&lt;wsp:rsid wsp:val=&quot;0003127A&quot;/&gt;&lt;wsp:rsid wsp:val=&quot;000332D1&quot;/&gt;&lt;wsp:rsid wsp:val=&quot;00033776&quot;/&gt;&lt;wsp:rsid wsp:val=&quot;0003611A&quot;/&gt;&lt;wsp:rsid wsp:val=&quot;00036C83&quot;/&gt;&lt;wsp:rsid wsp:val=&quot;0004179D&quot;/&gt;&lt;wsp:rsid wsp:val=&quot;00041826&quot;/&gt;&lt;wsp:rsid wsp:val=&quot;000423CA&quot;/&gt;&lt;wsp:rsid wsp:val=&quot;000438A2&quot;/&gt;&lt;wsp:rsid wsp:val=&quot;00046590&quot;/&gt;&lt;wsp:rsid wsp:val=&quot;000500A0&quot;/&gt;&lt;wsp:rsid wsp:val=&quot;000565F8&quot;/&gt;&lt;wsp:rsid wsp:val=&quot;00056A68&quot;/&gt;&lt;wsp:rsid wsp:val=&quot;0005773F&quot;/&gt;&lt;wsp:rsid wsp:val=&quot;000601FE&quot;/&gt;&lt;wsp:rsid wsp:val=&quot;00060864&quot;/&gt;&lt;wsp:rsid wsp:val=&quot;00060DE3&quot;/&gt;&lt;wsp:rsid wsp:val=&quot;00062F8A&quot;/&gt;&lt;wsp:rsid wsp:val=&quot;000643BE&quot;/&gt;&lt;wsp:rsid wsp:val=&quot;00070CBD&quot;/&gt;&lt;wsp:rsid wsp:val=&quot;00075CCB&quot;/&gt;&lt;wsp:rsid wsp:val=&quot;0008373B&quot;/&gt;&lt;wsp:rsid wsp:val=&quot;000844FB&quot;/&gt;&lt;wsp:rsid wsp:val=&quot;000922A4&quot;/&gt;&lt;wsp:rsid wsp:val=&quot;00094029&quot;/&gt;&lt;wsp:rsid wsp:val=&quot;00096D5B&quot;/&gt;&lt;wsp:rsid wsp:val=&quot;000A299B&quot;/&gt;&lt;wsp:rsid wsp:val=&quot;000A342F&quot;/&gt;&lt;wsp:rsid wsp:val=&quot;000B03F2&quot;/&gt;&lt;wsp:rsid wsp:val=&quot;000B07EE&quot;/&gt;&lt;wsp:rsid wsp:val=&quot;000B379A&quot;/&gt;&lt;wsp:rsid wsp:val=&quot;000B4A2B&quot;/&gt;&lt;wsp:rsid wsp:val=&quot;000B6A75&quot;/&gt;&lt;wsp:rsid wsp:val=&quot;000C171A&quot;/&gt;&lt;wsp:rsid wsp:val=&quot;000D1BD3&quot;/&gt;&lt;wsp:rsid wsp:val=&quot;000D20DF&quot;/&gt;&lt;wsp:rsid wsp:val=&quot;000D48A4&quot;/&gt;&lt;wsp:rsid wsp:val=&quot;000D6A21&quot;/&gt;&lt;wsp:rsid wsp:val=&quot;000E2EDB&quot;/&gt;&lt;wsp:rsid wsp:val=&quot;000E4561&quot;/&gt;&lt;wsp:rsid wsp:val=&quot;000E4B27&quot;/&gt;&lt;wsp:rsid wsp:val=&quot;000E6AF8&quot;/&gt;&lt;wsp:rsid wsp:val=&quot;000F2E34&quot;/&gt;&lt;wsp:rsid wsp:val=&quot;000F3517&quot;/&gt;&lt;wsp:rsid wsp:val=&quot;000F5B68&quot;/&gt;&lt;wsp:rsid wsp:val=&quot;000F6CD7&quot;/&gt;&lt;wsp:rsid wsp:val=&quot;001035DC&quot;/&gt;&lt;wsp:rsid wsp:val=&quot;00105F6D&quot;/&gt;&lt;wsp:rsid wsp:val=&quot;0010660C&quot;/&gt;&lt;wsp:rsid wsp:val=&quot;00106BB5&quot;/&gt;&lt;wsp:rsid wsp:val=&quot;0011045C&quot;/&gt;&lt;wsp:rsid wsp:val=&quot;00112010&quot;/&gt;&lt;wsp:rsid wsp:val=&quot;00116D88&quot;/&gt;&lt;wsp:rsid wsp:val=&quot;00117335&quot;/&gt;&lt;wsp:rsid wsp:val=&quot;00125E4D&quot;/&gt;&lt;wsp:rsid wsp:val=&quot;001316CA&quot;/&gt;&lt;wsp:rsid wsp:val=&quot;0013193B&quot;/&gt;&lt;wsp:rsid wsp:val=&quot;0014421A&quot;/&gt;&lt;wsp:rsid wsp:val=&quot;0015128B&quot;/&gt;&lt;wsp:rsid wsp:val=&quot;00151367&quot;/&gt;&lt;wsp:rsid wsp:val=&quot;001514BB&quot;/&gt;&lt;wsp:rsid wsp:val=&quot;00162873&quot;/&gt;&lt;wsp:rsid wsp:val=&quot;00172A27&quot;/&gt;&lt;wsp:rsid wsp:val=&quot;00174BCE&quot;/&gt;&lt;wsp:rsid wsp:val=&quot;00180780&quot;/&gt;&lt;wsp:rsid wsp:val=&quot;00182394&quot;/&gt;&lt;wsp:rsid wsp:val=&quot;001832AF&quot;/&gt;&lt;wsp:rsid wsp:val=&quot;001925F3&quot;/&gt;&lt;wsp:rsid wsp:val=&quot;00193520&quot;/&gt;&lt;wsp:rsid wsp:val=&quot;0019494A&quot;/&gt;&lt;wsp:rsid wsp:val=&quot;0019696A&quot;/&gt;&lt;wsp:rsid wsp:val=&quot;00196C27&quot;/&gt;&lt;wsp:rsid wsp:val=&quot;001A7865&quot;/&gt;&lt;wsp:rsid wsp:val=&quot;001B47BA&quot;/&gt;&lt;wsp:rsid wsp:val=&quot;001C2B03&quot;/&gt;&lt;wsp:rsid wsp:val=&quot;001C5076&quot;/&gt;&lt;wsp:rsid wsp:val=&quot;001C6757&quot;/&gt;&lt;wsp:rsid wsp:val=&quot;001C71CF&quot;/&gt;&lt;wsp:rsid wsp:val=&quot;001D051A&quot;/&gt;&lt;wsp:rsid wsp:val=&quot;001D1871&quot;/&gt;&lt;wsp:rsid wsp:val=&quot;001E288F&quot;/&gt;&lt;wsp:rsid wsp:val=&quot;001E4B8D&quot;/&gt;&lt;wsp:rsid wsp:val=&quot;001F0AA1&quot;/&gt;&lt;wsp:rsid wsp:val=&quot;001F3B76&quot;/&gt;&lt;wsp:rsid wsp:val=&quot;001F5C47&quot;/&gt;&lt;wsp:rsid wsp:val=&quot;001F67A7&quot;/&gt;&lt;wsp:rsid wsp:val=&quot;0020331B&quot;/&gt;&lt;wsp:rsid wsp:val=&quot;0020575C&quot;/&gt;&lt;wsp:rsid wsp:val=&quot;00206F41&quot;/&gt;&lt;wsp:rsid wsp:val=&quot;002101D6&quot;/&gt;&lt;wsp:rsid wsp:val=&quot;00212200&quot;/&gt;&lt;wsp:rsid wsp:val=&quot;00214B00&quot;/&gt;&lt;wsp:rsid wsp:val=&quot;00217839&quot;/&gt;&lt;wsp:rsid wsp:val=&quot;0022558D&quot;/&gt;&lt;wsp:rsid wsp:val=&quot;00226CE9&quot;/&gt;&lt;wsp:rsid wsp:val=&quot;00230A0B&quot;/&gt;&lt;wsp:rsid wsp:val=&quot;00232DAF&quot;/&gt;&lt;wsp:rsid wsp:val=&quot;00236C1C&quot;/&gt;&lt;wsp:rsid wsp:val=&quot;00236D5F&quot;/&gt;&lt;wsp:rsid wsp:val=&quot;00241029&quot;/&gt;&lt;wsp:rsid wsp:val=&quot;0024649B&quot;/&gt;&lt;wsp:rsid wsp:val=&quot;002502B5&quot;/&gt;&lt;wsp:rsid wsp:val=&quot;002518A0&quot;/&gt;&lt;wsp:rsid wsp:val=&quot;00253710&quot;/&gt;&lt;wsp:rsid wsp:val=&quot;00253D35&quot;/&gt;&lt;wsp:rsid wsp:val=&quot;00254AAE&quot;/&gt;&lt;wsp:rsid wsp:val=&quot;00256465&quot;/&gt;&lt;wsp:rsid wsp:val=&quot;002569C7&quot;/&gt;&lt;wsp:rsid wsp:val=&quot;00257178&quot;/&gt;&lt;wsp:rsid wsp:val=&quot;002627B6&quot;/&gt;&lt;wsp:rsid wsp:val=&quot;0026357C&quot;/&gt;&lt;wsp:rsid wsp:val=&quot;002637DE&quot;/&gt;&lt;wsp:rsid wsp:val=&quot;0026405C&quot;/&gt;&lt;wsp:rsid wsp:val=&quot;00264B38&quot;/&gt;&lt;wsp:rsid wsp:val=&quot;0027270D&quot;/&gt;&lt;wsp:rsid wsp:val=&quot;00272E1D&quot;/&gt;&lt;wsp:rsid wsp:val=&quot;00277BAE&quot;/&gt;&lt;wsp:rsid wsp:val=&quot;00290852&quot;/&gt;&lt;wsp:rsid wsp:val=&quot;00294B41&quot;/&gt;&lt;wsp:rsid wsp:val=&quot;002A4270&quot;/&gt;&lt;wsp:rsid wsp:val=&quot;002A592C&quot;/&gt;&lt;wsp:rsid wsp:val=&quot;002B2223&quot;/&gt;&lt;wsp:rsid wsp:val=&quot;002B5104&quot;/&gt;&lt;wsp:rsid wsp:val=&quot;002B63B8&quot;/&gt;&lt;wsp:rsid wsp:val=&quot;002C24A3&quot;/&gt;&lt;wsp:rsid wsp:val=&quot;002C50D8&quot;/&gt;&lt;wsp:rsid wsp:val=&quot;002D0CDA&quot;/&gt;&lt;wsp:rsid wsp:val=&quot;002D116A&quot;/&gt;&lt;wsp:rsid wsp:val=&quot;002D3BF6&quot;/&gt;&lt;wsp:rsid wsp:val=&quot;002D4CA3&quot;/&gt;&lt;wsp:rsid wsp:val=&quot;002E27A2&quot;/&gt;&lt;wsp:rsid wsp:val=&quot;002E32BB&quot;/&gt;&lt;wsp:rsid wsp:val=&quot;002E5044&quot;/&gt;&lt;wsp:rsid wsp:val=&quot;002E571E&quot;/&gt;&lt;wsp:rsid wsp:val=&quot;002E62E3&quot;/&gt;&lt;wsp:rsid wsp:val=&quot;002E7F51&quot;/&gt;&lt;wsp:rsid wsp:val=&quot;002F0805&quot;/&gt;&lt;wsp:rsid wsp:val=&quot;002F2387&quot;/&gt;&lt;wsp:rsid wsp:val=&quot;002F7F85&quot;/&gt;&lt;wsp:rsid wsp:val=&quot;003041C1&quot;/&gt;&lt;wsp:rsid wsp:val=&quot;00307922&quot;/&gt;&lt;wsp:rsid wsp:val=&quot;00312576&quot;/&gt;&lt;wsp:rsid wsp:val=&quot;00315863&quot;/&gt;&lt;wsp:rsid wsp:val=&quot;003236F4&quot;/&gt;&lt;wsp:rsid wsp:val=&quot;00323FE0&quot;/&gt;&lt;wsp:rsid wsp:val=&quot;003260BC&quot;/&gt;&lt;wsp:rsid wsp:val=&quot;003267EA&quot;/&gt;&lt;wsp:rsid wsp:val=&quot;00327474&quot;/&gt;&lt;wsp:rsid wsp:val=&quot;0033219A&quot;/&gt;&lt;wsp:rsid wsp:val=&quot;0033356F&quot;/&gt;&lt;wsp:rsid wsp:val=&quot;003336B2&quot;/&gt;&lt;wsp:rsid wsp:val=&quot;003338FD&quot;/&gt;&lt;wsp:rsid wsp:val=&quot;00340D73&quot;/&gt;&lt;wsp:rsid wsp:val=&quot;00340D74&quot;/&gt;&lt;wsp:rsid wsp:val=&quot;00341A69&quot;/&gt;&lt;wsp:rsid wsp:val=&quot;00343E78&quot;/&gt;&lt;wsp:rsid wsp:val=&quot;00350100&quot;/&gt;&lt;wsp:rsid wsp:val=&quot;0035694E&quot;/&gt;&lt;wsp:rsid wsp:val=&quot;003615F0&quot;/&gt;&lt;wsp:rsid wsp:val=&quot;00361821&quot;/&gt;&lt;wsp:rsid wsp:val=&quot;003667E1&quot;/&gt;&lt;wsp:rsid wsp:val=&quot;00367188&quot;/&gt;&lt;wsp:rsid wsp:val=&quot;00367290&quot;/&gt;&lt;wsp:rsid wsp:val=&quot;00370293&quot;/&gt;&lt;wsp:rsid wsp:val=&quot;00370C07&quot;/&gt;&lt;wsp:rsid wsp:val=&quot;003715E9&quot;/&gt;&lt;wsp:rsid wsp:val=&quot;00375D6A&quot;/&gt;&lt;wsp:rsid wsp:val=&quot;00377F5B&quot;/&gt;&lt;wsp:rsid wsp:val=&quot;00380241&quot;/&gt;&lt;wsp:rsid wsp:val=&quot;00380B64&quot;/&gt;&lt;wsp:rsid wsp:val=&quot;003863FF&quot;/&gt;&lt;wsp:rsid wsp:val=&quot;00386974&quot;/&gt;&lt;wsp:rsid wsp:val=&quot;00386D5F&quot;/&gt;&lt;wsp:rsid wsp:val=&quot;003970B2&quot;/&gt;&lt;wsp:rsid wsp:val=&quot;003A0CDD&quot;/&gt;&lt;wsp:rsid wsp:val=&quot;003A2B93&quot;/&gt;&lt;wsp:rsid wsp:val=&quot;003A41CF&quot;/&gt;&lt;wsp:rsid wsp:val=&quot;003A614F&quot;/&gt;&lt;wsp:rsid wsp:val=&quot;003B208A&quot;/&gt;&lt;wsp:rsid wsp:val=&quot;003B27EF&quot;/&gt;&lt;wsp:rsid wsp:val=&quot;003B2FEC&quot;/&gt;&lt;wsp:rsid wsp:val=&quot;003B445D&quot;/&gt;&lt;wsp:rsid wsp:val=&quot;003B5AFB&quot;/&gt;&lt;wsp:rsid wsp:val=&quot;003C18B0&quot;/&gt;&lt;wsp:rsid wsp:val=&quot;003C337B&quot;/&gt;&lt;wsp:rsid wsp:val=&quot;003C37C7&quot;/&gt;&lt;wsp:rsid wsp:val=&quot;003C3BA0&quot;/&gt;&lt;wsp:rsid wsp:val=&quot;003C6CC8&quot;/&gt;&lt;wsp:rsid wsp:val=&quot;003D1CB7&quot;/&gt;&lt;wsp:rsid wsp:val=&quot;003D2F76&quot;/&gt;&lt;wsp:rsid wsp:val=&quot;003D3E5C&quot;/&gt;&lt;wsp:rsid wsp:val=&quot;003D5DA8&quot;/&gt;&lt;wsp:rsid wsp:val=&quot;003D6FCA&quot;/&gt;&lt;wsp:rsid wsp:val=&quot;003D7DF1&quot;/&gt;&lt;wsp:rsid wsp:val=&quot;003E100A&quot;/&gt;&lt;wsp:rsid wsp:val=&quot;003E20ED&quot;/&gt;&lt;wsp:rsid wsp:val=&quot;003E753A&quot;/&gt;&lt;wsp:rsid wsp:val=&quot;00403DD0&quot;/&gt;&lt;wsp:rsid wsp:val=&quot;00406210&quot;/&gt;&lt;wsp:rsid wsp:val=&quot;0040661F&quot;/&gt;&lt;wsp:rsid wsp:val=&quot;00411C2A&quot;/&gt;&lt;wsp:rsid wsp:val=&quot;004127FF&quot;/&gt;&lt;wsp:rsid wsp:val=&quot;00412EFE&quot;/&gt;&lt;wsp:rsid wsp:val=&quot;0041332C&quot;/&gt;&lt;wsp:rsid wsp:val=&quot;004139CC&quot;/&gt;&lt;wsp:rsid wsp:val=&quot;00420A46&quot;/&gt;&lt;wsp:rsid wsp:val=&quot;00424445&quot;/&gt;&lt;wsp:rsid wsp:val=&quot;004262E8&quot;/&gt;&lt;wsp:rsid wsp:val=&quot;00430D82&quot;/&gt;&lt;wsp:rsid wsp:val=&quot;00432041&quot;/&gt;&lt;wsp:rsid wsp:val=&quot;00433651&quot;/&gt;&lt;wsp:rsid wsp:val=&quot;004367B9&quot;/&gt;&lt;wsp:rsid wsp:val=&quot;00450B77&quot;/&gt;&lt;wsp:rsid wsp:val=&quot;0045220D&quot;/&gt;&lt;wsp:rsid wsp:val=&quot;00452835&quot;/&gt;&lt;wsp:rsid wsp:val=&quot;004624BF&quot;/&gt;&lt;wsp:rsid wsp:val=&quot;00463E2C&quot;/&gt;&lt;wsp:rsid wsp:val=&quot;00470DCE&quot;/&gt;&lt;wsp:rsid wsp:val=&quot;00477568&quot;/&gt;&lt;wsp:rsid wsp:val=&quot;00480F20&quot;/&gt;&lt;wsp:rsid wsp:val=&quot;004816AC&quot;/&gt;&lt;wsp:rsid wsp:val=&quot;00484323&quot;/&gt;&lt;wsp:rsid wsp:val=&quot;0048528A&quot;/&gt;&lt;wsp:rsid wsp:val=&quot;00485BF1&quot;/&gt;&lt;wsp:rsid wsp:val=&quot;004866C3&quot;/&gt;&lt;wsp:rsid wsp:val=&quot;004940CC&quot;/&gt;&lt;wsp:rsid wsp:val=&quot;004A2E02&quot;/&gt;&lt;wsp:rsid wsp:val=&quot;004A3930&quot;/&gt;&lt;wsp:rsid wsp:val=&quot;004A4CCE&quot;/&gt;&lt;wsp:rsid wsp:val=&quot;004B3B71&quot;/&gt;&lt;wsp:rsid wsp:val=&quot;004B4F5B&quot;/&gt;&lt;wsp:rsid wsp:val=&quot;004B7783&quot;/&gt;&lt;wsp:rsid wsp:val=&quot;004C28C7&quot;/&gt;&lt;wsp:rsid wsp:val=&quot;004C2F99&quot;/&gt;&lt;wsp:rsid wsp:val=&quot;004D08F6&quot;/&gt;&lt;wsp:rsid wsp:val=&quot;004D0961&quot;/&gt;&lt;wsp:rsid wsp:val=&quot;004D25F1&quot;/&gt;&lt;wsp:rsid wsp:val=&quot;004D63A4&quot;/&gt;&lt;wsp:rsid wsp:val=&quot;004D6827&quot;/&gt;&lt;wsp:rsid wsp:val=&quot;004E0328&quot;/&gt;&lt;wsp:rsid wsp:val=&quot;004E15DD&quot;/&gt;&lt;wsp:rsid wsp:val=&quot;004E1CB3&quot;/&gt;&lt;wsp:rsid wsp:val=&quot;004E67D2&quot;/&gt;&lt;wsp:rsid wsp:val=&quot;004E6F73&quot;/&gt;&lt;wsp:rsid wsp:val=&quot;004F02A2&quot;/&gt;&lt;wsp:rsid wsp:val=&quot;004F0481&quot;/&gt;&lt;wsp:rsid wsp:val=&quot;004F3CE5&quot;/&gt;&lt;wsp:rsid wsp:val=&quot;004F40CC&quot;/&gt;&lt;wsp:rsid wsp:val=&quot;004F5EA7&quot;/&gt;&lt;wsp:rsid wsp:val=&quot;00500BB1&quot;/&gt;&lt;wsp:rsid wsp:val=&quot;00500EE2&quot;/&gt;&lt;wsp:rsid wsp:val=&quot;005038B7&quot;/&gt;&lt;wsp:rsid wsp:val=&quot;00504029&quot;/&gt;&lt;wsp:rsid wsp:val=&quot;00507FB9&quot;/&gt;&lt;wsp:rsid wsp:val=&quot;0051048F&quot;/&gt;&lt;wsp:rsid wsp:val=&quot;005115CD&quot;/&gt;&lt;wsp:rsid wsp:val=&quot;00512E2E&quot;/&gt;&lt;wsp:rsid wsp:val=&quot;0051314F&quot;/&gt;&lt;wsp:rsid wsp:val=&quot;00517A04&quot;/&gt;&lt;wsp:rsid wsp:val=&quot;005229E8&quot;/&gt;&lt;wsp:rsid wsp:val=&quot;00524EFC&quot;/&gt;&lt;wsp:rsid wsp:val=&quot;00526C07&quot;/&gt;&lt;wsp:rsid wsp:val=&quot;00530888&quot;/&gt;&lt;wsp:rsid wsp:val=&quot;00532F33&quot;/&gt;&lt;wsp:rsid wsp:val=&quot;0053623A&quot;/&gt;&lt;wsp:rsid wsp:val=&quot;005416D7&quot;/&gt;&lt;wsp:rsid wsp:val=&quot;0054702B&quot;/&gt;&lt;wsp:rsid wsp:val=&quot;005473CC&quot;/&gt;&lt;wsp:rsid wsp:val=&quot;005514D4&quot;/&gt;&lt;wsp:rsid wsp:val=&quot;00551F64&quot;/&gt;&lt;wsp:rsid wsp:val=&quot;0055303C&quot;/&gt;&lt;wsp:rsid wsp:val=&quot;00554450&quot;/&gt;&lt;wsp:rsid wsp:val=&quot;00556112&quot;/&gt;&lt;wsp:rsid wsp:val=&quot;00561902&quot;/&gt;&lt;wsp:rsid wsp:val=&quot;0056305A&quot;/&gt;&lt;wsp:rsid wsp:val=&quot;005645CD&quot;/&gt;&lt;wsp:rsid wsp:val=&quot;00572CD9&quot;/&gt;&lt;wsp:rsid wsp:val=&quot;00574753&quot;/&gt;&lt;wsp:rsid wsp:val=&quot;00574F02&quot;/&gt;&lt;wsp:rsid wsp:val=&quot;0057529E&quot;/&gt;&lt;wsp:rsid wsp:val=&quot;00575583&quot;/&gt;&lt;wsp:rsid wsp:val=&quot;0057685B&quot;/&gt;&lt;wsp:rsid wsp:val=&quot;00577090&quot;/&gt;&lt;wsp:rsid wsp:val=&quot;00580D04&quot;/&gt;&lt;wsp:rsid wsp:val=&quot;00582FF2&quot;/&gt;&lt;wsp:rsid wsp:val=&quot;00583460&quot;/&gt;&lt;wsp:rsid wsp:val=&quot;005847E0&quot;/&gt;&lt;wsp:rsid wsp:val=&quot;00584B7A&quot;/&gt;&lt;wsp:rsid wsp:val=&quot;00586743&quot;/&gt;&lt;wsp:rsid wsp:val=&quot;00591C72&quot;/&gt;&lt;wsp:rsid wsp:val=&quot;00591F46&quot;/&gt;&lt;wsp:rsid wsp:val=&quot;0059253F&quot;/&gt;&lt;wsp:rsid wsp:val=&quot;005945E3&quot;/&gt;&lt;wsp:rsid wsp:val=&quot;005960AD&quot;/&gt;&lt;wsp:rsid wsp:val=&quot;00596EC2&quot;/&gt;&lt;wsp:rsid wsp:val=&quot;005A0D4F&quot;/&gt;&lt;wsp:rsid wsp:val=&quot;005B43F0&quot;/&gt;&lt;wsp:rsid wsp:val=&quot;005B4FDF&quot;/&gt;&lt;wsp:rsid wsp:val=&quot;005C0FE9&quot;/&gt;&lt;wsp:rsid wsp:val=&quot;005C260A&quot;/&gt;&lt;wsp:rsid wsp:val=&quot;005C368E&quot;/&gt;&lt;wsp:rsid wsp:val=&quot;005D466E&quot;/&gt;&lt;wsp:rsid wsp:val=&quot;005D4BE7&quot;/&gt;&lt;wsp:rsid wsp:val=&quot;005E3C0B&quot;/&gt;&lt;wsp:rsid wsp:val=&quot;005E5DBA&quot;/&gt;&lt;wsp:rsid wsp:val=&quot;005E69B4&quot;/&gt;&lt;wsp:rsid wsp:val=&quot;005E7FBC&quot;/&gt;&lt;wsp:rsid wsp:val=&quot;005F023C&quot;/&gt;&lt;wsp:rsid wsp:val=&quot;005F1595&quot;/&gt;&lt;wsp:rsid wsp:val=&quot;005F3D91&quot;/&gt;&lt;wsp:rsid wsp:val=&quot;005F57B7&quot;/&gt;&lt;wsp:rsid wsp:val=&quot;005F5F05&quot;/&gt;&lt;wsp:rsid wsp:val=&quot;005F6AC6&quot;/&gt;&lt;wsp:rsid wsp:val=&quot;005F713D&quot;/&gt;&lt;wsp:rsid wsp:val=&quot;006003E6&quot;/&gt;&lt;wsp:rsid wsp:val=&quot;006175DE&quot;/&gt;&lt;wsp:rsid wsp:val=&quot;00617DD3&quot;/&gt;&lt;wsp:rsid wsp:val=&quot;00622F68&quot;/&gt;&lt;wsp:rsid wsp:val=&quot;00632181&quot;/&gt;&lt;wsp:rsid wsp:val=&quot;00632429&quot;/&gt;&lt;wsp:rsid wsp:val=&quot;00636115&quot;/&gt;&lt;wsp:rsid wsp:val=&quot;0064008C&quot;/&gt;&lt;wsp:rsid wsp:val=&quot;00640D7B&quot;/&gt;&lt;wsp:rsid wsp:val=&quot;00643159&quot;/&gt;&lt;wsp:rsid wsp:val=&quot;00644D00&quot;/&gt;&lt;wsp:rsid wsp:val=&quot;00644D32&quot;/&gt;&lt;wsp:rsid wsp:val=&quot;006501B0&quot;/&gt;&lt;wsp:rsid wsp:val=&quot;00652061&quot;/&gt;&lt;wsp:rsid wsp:val=&quot;006559AD&quot;/&gt;&lt;wsp:rsid wsp:val=&quot;00660948&quot;/&gt;&lt;wsp:rsid wsp:val=&quot;006636B9&quot;/&gt;&lt;wsp:rsid wsp:val=&quot;006674ED&quot;/&gt;&lt;wsp:rsid wsp:val=&quot;00667CBE&quot;/&gt;&lt;wsp:rsid wsp:val=&quot;00672766&quot;/&gt;&lt;wsp:rsid wsp:val=&quot;0068415A&quot;/&gt;&lt;wsp:rsid wsp:val=&quot;00693C4F&quot;/&gt;&lt;wsp:rsid wsp:val=&quot;00696563&quot;/&gt;&lt;wsp:rsid wsp:val=&quot;006A0960&quot;/&gt;&lt;wsp:rsid wsp:val=&quot;006A23EA&quot;/&gt;&lt;wsp:rsid wsp:val=&quot;006A42C3&quot;/&gt;&lt;wsp:rsid wsp:val=&quot;006A6C66&quot;/&gt;&lt;wsp:rsid wsp:val=&quot;006B2A27&quot;/&gt;&lt;wsp:rsid wsp:val=&quot;006B4142&quot;/&gt;&lt;wsp:rsid wsp:val=&quot;006C2228&quot;/&gt;&lt;wsp:rsid wsp:val=&quot;006C241F&quot;/&gt;&lt;wsp:rsid wsp:val=&quot;006C5348&quot;/&gt;&lt;wsp:rsid wsp:val=&quot;006C7228&quot;/&gt;&lt;wsp:rsid wsp:val=&quot;006D0B0D&quot;/&gt;&lt;wsp:rsid wsp:val=&quot;006D17A6&quot;/&gt;&lt;wsp:rsid wsp:val=&quot;006D3368&quot;/&gt;&lt;wsp:rsid wsp:val=&quot;006E41CD&quot;/&gt;&lt;wsp:rsid wsp:val=&quot;006E7D12&quot;/&gt;&lt;wsp:rsid wsp:val=&quot;006E7FB0&quot;/&gt;&lt;wsp:rsid wsp:val=&quot;006F0523&quot;/&gt;&lt;wsp:rsid wsp:val=&quot;006F3D6D&quot;/&gt;&lt;wsp:rsid wsp:val=&quot;006F4F45&quot;/&gt;&lt;wsp:rsid wsp:val=&quot;006F511C&quot;/&gt;&lt;wsp:rsid wsp:val=&quot;006F5DAD&quot;/&gt;&lt;wsp:rsid wsp:val=&quot;006F605F&quot;/&gt;&lt;wsp:rsid wsp:val=&quot;006F69BA&quot;/&gt;&lt;wsp:rsid wsp:val=&quot;006F759A&quot;/&gt;&lt;wsp:rsid wsp:val=&quot;007003E8&quot;/&gt;&lt;wsp:rsid wsp:val=&quot;007034BF&quot;/&gt;&lt;wsp:rsid wsp:val=&quot;00703DE6&quot;/&gt;&lt;wsp:rsid wsp:val=&quot;0070402F&quot;/&gt;&lt;wsp:rsid wsp:val=&quot;00711E52&quot;/&gt;&lt;wsp:rsid wsp:val=&quot;007126CD&quot;/&gt;&lt;wsp:rsid wsp:val=&quot;00716B92&quot;/&gt;&lt;wsp:rsid wsp:val=&quot;007231EA&quot;/&gt;&lt;wsp:rsid wsp:val=&quot;00723FE6&quot;/&gt;&lt;wsp:rsid wsp:val=&quot;00726832&quot;/&gt;&lt;wsp:rsid wsp:val=&quot;007312CD&quot;/&gt;&lt;wsp:rsid wsp:val=&quot;00731A0D&quot;/&gt;&lt;wsp:rsid wsp:val=&quot;00734081&quot;/&gt;&lt;wsp:rsid wsp:val=&quot;00734789&quot;/&gt;&lt;wsp:rsid wsp:val=&quot;00734CA7&quot;/&gt;&lt;wsp:rsid wsp:val=&quot;00740669&quot;/&gt;&lt;wsp:rsid wsp:val=&quot;007500B5&quot;/&gt;&lt;wsp:rsid wsp:val=&quot;0075101B&quot;/&gt;&lt;wsp:rsid wsp:val=&quot;00753DCE&quot;/&gt;&lt;wsp:rsid wsp:val=&quot;007544DB&quot;/&gt;&lt;wsp:rsid wsp:val=&quot;00755AF4&quot;/&gt;&lt;wsp:rsid wsp:val=&quot;00763C4D&quot;/&gt;&lt;wsp:rsid wsp:val=&quot;007721EC&quot;/&gt;&lt;wsp:rsid wsp:val=&quot;0077402B&quot;/&gt;&lt;wsp:rsid wsp:val=&quot;00774F98&quot;/&gt;&lt;wsp:rsid wsp:val=&quot;00776CBE&quot;/&gt;&lt;wsp:rsid wsp:val=&quot;007806D5&quot;/&gt;&lt;wsp:rsid wsp:val=&quot;00785017&quot;/&gt;&lt;wsp:rsid wsp:val=&quot;00786393&quot;/&gt;&lt;wsp:rsid wsp:val=&quot;00787D29&quot;/&gt;&lt;wsp:rsid wsp:val=&quot;00791681&quot;/&gt;&lt;wsp:rsid wsp:val=&quot;00795488&quot;/&gt;&lt;wsp:rsid wsp:val=&quot;007978F4&quot;/&gt;&lt;wsp:rsid wsp:val=&quot;007A137B&quot;/&gt;&lt;wsp:rsid wsp:val=&quot;007A284E&quot;/&gt;&lt;wsp:rsid wsp:val=&quot;007A7869&quot;/&gt;&lt;wsp:rsid wsp:val=&quot;007B1E41&quot;/&gt;&lt;wsp:rsid wsp:val=&quot;007B415D&quot;/&gt;&lt;wsp:rsid wsp:val=&quot;007B74DF&quot;/&gt;&lt;wsp:rsid wsp:val=&quot;007C0C6E&quot;/&gt;&lt;wsp:rsid wsp:val=&quot;007C453C&quot;/&gt;&lt;wsp:rsid wsp:val=&quot;007C56C9&quot;/&gt;&lt;wsp:rsid wsp:val=&quot;007D3B34&quot;/&gt;&lt;wsp:rsid wsp:val=&quot;007D73F9&quot;/&gt;&lt;wsp:rsid wsp:val=&quot;007E396A&quot;/&gt;&lt;wsp:rsid wsp:val=&quot;007E428A&quot;/&gt;&lt;wsp:rsid wsp:val=&quot;007E52FF&quot;/&gt;&lt;wsp:rsid wsp:val=&quot;007F2D67&quot;/&gt;&lt;wsp:rsid wsp:val=&quot;007F6E5B&quot;/&gt;&lt;wsp:rsid wsp:val=&quot;0080472E&quot;/&gt;&lt;wsp:rsid wsp:val=&quot;00805909&quot;/&gt;&lt;wsp:rsid wsp:val=&quot;00805EDD&quot;/&gt;&lt;wsp:rsid wsp:val=&quot;008070CC&quot;/&gt;&lt;wsp:rsid wsp:val=&quot;00810757&quot;/&gt;&lt;wsp:rsid wsp:val=&quot;00810F9B&quot;/&gt;&lt;wsp:rsid wsp:val=&quot;0081147F&quot;/&gt;&lt;wsp:rsid wsp:val=&quot;0081356F&quot;/&gt;&lt;wsp:rsid wsp:val=&quot;00815902&quot;/&gt;&lt;wsp:rsid wsp:val=&quot;00822CA9&quot;/&gt;&lt;wsp:rsid wsp:val=&quot;00823184&quot;/&gt;&lt;wsp:rsid wsp:val=&quot;0082702A&quot;/&gt;&lt;wsp:rsid wsp:val=&quot;008405EB&quot;/&gt;&lt;wsp:rsid wsp:val=&quot;00842197&quot;/&gt;&lt;wsp:rsid wsp:val=&quot;00844D9C&quot;/&gt;&lt;wsp:rsid wsp:val=&quot;00845671&quot;/&gt;&lt;wsp:rsid wsp:val=&quot;0084605D&quot;/&gt;&lt;wsp:rsid wsp:val=&quot;00846EE7&quot;/&gt;&lt;wsp:rsid wsp:val=&quot;00851E1F&quot;/&gt;&lt;wsp:rsid wsp:val=&quot;008527BD&quot;/&gt;&lt;wsp:rsid wsp:val=&quot;008534EF&quot;/&gt;&lt;wsp:rsid wsp:val=&quot;00862EFF&quot;/&gt;&lt;wsp:rsid wsp:val=&quot;00864E7B&quot;/&gt;&lt;wsp:rsid wsp:val=&quot;00865931&quot;/&gt;&lt;wsp:rsid wsp:val=&quot;00865B39&quot;/&gt;&lt;wsp:rsid wsp:val=&quot;008663C0&quot;/&gt;&lt;wsp:rsid wsp:val=&quot;008669BE&quot;/&gt;&lt;wsp:rsid wsp:val=&quot;00866A4A&quot;/&gt;&lt;wsp:rsid wsp:val=&quot;00883B67&quot;/&gt;&lt;wsp:rsid wsp:val=&quot;00891A10&quot;/&gt;&lt;wsp:rsid wsp:val=&quot;00892C19&quot;/&gt;&lt;wsp:rsid wsp:val=&quot;008941E8&quot;/&gt;&lt;wsp:rsid wsp:val=&quot;00896EAB&quot;/&gt;&lt;wsp:rsid wsp:val=&quot;008A000E&quot;/&gt;&lt;wsp:rsid wsp:val=&quot;008A23D4&quot;/&gt;&lt;wsp:rsid wsp:val=&quot;008A3FFB&quot;/&gt;&lt;wsp:rsid wsp:val=&quot;008A49CA&quot;/&gt;&lt;wsp:rsid wsp:val=&quot;008B1C1F&quot;/&gt;&lt;wsp:rsid wsp:val=&quot;008B2CA6&quot;/&gt;&lt;wsp:rsid wsp:val=&quot;008B2CD3&quot;/&gt;&lt;wsp:rsid wsp:val=&quot;008B4EA3&quot;/&gt;&lt;wsp:rsid wsp:val=&quot;008B6318&quot;/&gt;&lt;wsp:rsid wsp:val=&quot;008C15A8&quot;/&gt;&lt;wsp:rsid wsp:val=&quot;008C2397&quot;/&gt;&lt;wsp:rsid wsp:val=&quot;008D07B9&quot;/&gt;&lt;wsp:rsid wsp:val=&quot;008D2EB4&quot;/&gt;&lt;wsp:rsid wsp:val=&quot;008D3427&quot;/&gt;&lt;wsp:rsid wsp:val=&quot;008E1385&quot;/&gt;&lt;wsp:rsid wsp:val=&quot;008E1DFA&quot;/&gt;&lt;wsp:rsid wsp:val=&quot;008E5C5E&quot;/&gt;&lt;wsp:rsid wsp:val=&quot;008E695A&quot;/&gt;&lt;wsp:rsid wsp:val=&quot;008E799C&quot;/&gt;&lt;wsp:rsid wsp:val=&quot;008F2EC1&quot;/&gt;&lt;wsp:rsid wsp:val=&quot;008F516E&quot;/&gt;&lt;wsp:rsid wsp:val=&quot;008F67F7&quot;/&gt;&lt;wsp:rsid wsp:val=&quot;008F6828&quot;/&gt;&lt;wsp:rsid wsp:val=&quot;009027AE&quot;/&gt;&lt;wsp:rsid wsp:val=&quot;0090284D&quot;/&gt;&lt;wsp:rsid wsp:val=&quot;00904B62&quot;/&gt;&lt;wsp:rsid wsp:val=&quot;0090762C&quot;/&gt;&lt;wsp:rsid wsp:val=&quot;00914F64&quot;/&gt;&lt;wsp:rsid wsp:val=&quot;009175C0&quot;/&gt;&lt;wsp:rsid wsp:val=&quot;009214DD&quot;/&gt;&lt;wsp:rsid wsp:val=&quot;009237FE&quot;/&gt;&lt;wsp:rsid wsp:val=&quot;0092560D&quot;/&gt;&lt;wsp:rsid wsp:val=&quot;00925FF8&quot;/&gt;&lt;wsp:rsid wsp:val=&quot;00926364&quot;/&gt;&lt;wsp:rsid wsp:val=&quot;00935A6A&quot;/&gt;&lt;wsp:rsid wsp:val=&quot;00941F13&quot;/&gt;&lt;wsp:rsid wsp:val=&quot;00951D45&quot;/&gt;&lt;wsp:rsid wsp:val=&quot;0095226D&quot;/&gt;&lt;wsp:rsid wsp:val=&quot;00954EC2&quot;/&gt;&lt;wsp:rsid wsp:val=&quot;009624D9&quot;/&gt;&lt;wsp:rsid wsp:val=&quot;009628A3&quot;/&gt;&lt;wsp:rsid wsp:val=&quot;00962D64&quot;/&gt;&lt;wsp:rsid wsp:val=&quot;00964A71&quot;/&gt;&lt;wsp:rsid wsp:val=&quot;00966984&quot;/&gt;&lt;wsp:rsid wsp:val=&quot;009670BA&quot;/&gt;&lt;wsp:rsid wsp:val=&quot;0096777A&quot;/&gt;&lt;wsp:rsid wsp:val=&quot;00971B69&quot;/&gt;&lt;wsp:rsid wsp:val=&quot;00972E76&quot;/&gt;&lt;wsp:rsid wsp:val=&quot;00981AC6&quot;/&gt;&lt;wsp:rsid wsp:val=&quot;00984AD8&quot;/&gt;&lt;wsp:rsid wsp:val=&quot;009874B7&quot;/&gt;&lt;wsp:rsid wsp:val=&quot;00990C40&quot;/&gt;&lt;wsp:rsid wsp:val=&quot;00992373&quot;/&gt;&lt;wsp:rsid wsp:val=&quot;00994DDD&quot;/&gt;&lt;wsp:rsid wsp:val=&quot;009A40B8&quot;/&gt;&lt;wsp:rsid wsp:val=&quot;009A5B49&quot;/&gt;&lt;wsp:rsid wsp:val=&quot;009A7117&quot;/&gt;&lt;wsp:rsid wsp:val=&quot;009B0EFF&quot;/&gt;&lt;wsp:rsid wsp:val=&quot;009B1631&quot;/&gt;&lt;wsp:rsid wsp:val=&quot;009B4827&quot;/&gt;&lt;wsp:rsid wsp:val=&quot;009B4954&quot;/&gt;&lt;wsp:rsid wsp:val=&quot;009B5618&quot;/&gt;&lt;wsp:rsid wsp:val=&quot;009C1186&quot;/&gt;&lt;wsp:rsid wsp:val=&quot;009D52F9&quot;/&gt;&lt;wsp:rsid wsp:val=&quot;009D675F&quot;/&gt;&lt;wsp:rsid wsp:val=&quot;009E40CE&quot;/&gt;&lt;wsp:rsid wsp:val=&quot;009F1FBC&quot;/&gt;&lt;wsp:rsid wsp:val=&quot;00A01D46&quot;/&gt;&lt;wsp:rsid wsp:val=&quot;00A048D7&quot;/&gt;&lt;wsp:rsid wsp:val=&quot;00A123A3&quot;/&gt;&lt;wsp:rsid wsp:val=&quot;00A1524C&quot;/&gt;&lt;wsp:rsid wsp:val=&quot;00A20089&quot;/&gt;&lt;wsp:rsid wsp:val=&quot;00A20721&quot;/&gt;&lt;wsp:rsid wsp:val=&quot;00A2127E&quot;/&gt;&lt;wsp:rsid wsp:val=&quot;00A26B14&quot;/&gt;&lt;wsp:rsid wsp:val=&quot;00A30FC3&quot;/&gt;&lt;wsp:rsid wsp:val=&quot;00A32048&quot;/&gt;&lt;wsp:rsid wsp:val=&quot;00A32DED&quot;/&gt;&lt;wsp:rsid wsp:val=&quot;00A34A30&quot;/&gt;&lt;wsp:rsid wsp:val=&quot;00A36913&quot;/&gt;&lt;wsp:rsid wsp:val=&quot;00A36AA9&quot;/&gt;&lt;wsp:rsid wsp:val=&quot;00A37932&quot;/&gt;&lt;wsp:rsid wsp:val=&quot;00A408E0&quot;/&gt;&lt;wsp:rsid wsp:val=&quot;00A40C66&quot;/&gt;&lt;wsp:rsid wsp:val=&quot;00A432AD&quot;/&gt;&lt;wsp:rsid wsp:val=&quot;00A46257&quot;/&gt;&lt;wsp:rsid wsp:val=&quot;00A517DE&quot;/&gt;&lt;wsp:rsid wsp:val=&quot;00A53DB1&quot;/&gt;&lt;wsp:rsid wsp:val=&quot;00A56360&quot;/&gt;&lt;wsp:rsid wsp:val=&quot;00A56BA0&quot;/&gt;&lt;wsp:rsid wsp:val=&quot;00A62455&quot;/&gt;&lt;wsp:rsid wsp:val=&quot;00A63D7E&quot;/&gt;&lt;wsp:rsid wsp:val=&quot;00A64920&quot;/&gt;&lt;wsp:rsid wsp:val=&quot;00A7277A&quot;/&gt;&lt;wsp:rsid wsp:val=&quot;00A7473A&quot;/&gt;&lt;wsp:rsid wsp:val=&quot;00A762B1&quot;/&gt;&lt;wsp:rsid wsp:val=&quot;00A76CBE&quot;/&gt;&lt;wsp:rsid wsp:val=&quot;00A857A7&quot;/&gt;&lt;wsp:rsid wsp:val=&quot;00A936D9&quot;/&gt;&lt;wsp:rsid wsp:val=&quot;00A93DB0&quot;/&gt;&lt;wsp:rsid wsp:val=&quot;00A940F2&quot;/&gt;&lt;wsp:rsid wsp:val=&quot;00A96385&quot;/&gt;&lt;wsp:rsid wsp:val=&quot;00A966BA&quot;/&gt;&lt;wsp:rsid wsp:val=&quot;00A975A5&quot;/&gt;&lt;wsp:rsid wsp:val=&quot;00AA4EED&quot;/&gt;&lt;wsp:rsid wsp:val=&quot;00AA53FD&quot;/&gt;&lt;wsp:rsid wsp:val=&quot;00AB6082&quot;/&gt;&lt;wsp:rsid wsp:val=&quot;00AB6BDA&quot;/&gt;&lt;wsp:rsid wsp:val=&quot;00AB7803&quot;/&gt;&lt;wsp:rsid wsp:val=&quot;00AB7B62&quot;/&gt;&lt;wsp:rsid wsp:val=&quot;00AC45E0&quot;/&gt;&lt;wsp:rsid wsp:val=&quot;00AC5935&quot;/&gt;&lt;wsp:rsid wsp:val=&quot;00AC6D0B&quot;/&gt;&lt;wsp:rsid wsp:val=&quot;00AC7C96&quot;/&gt;&lt;wsp:rsid wsp:val=&quot;00AD2B3F&quot;/&gt;&lt;wsp:rsid wsp:val=&quot;00AD4084&quot;/&gt;&lt;wsp:rsid wsp:val=&quot;00AD5477&quot;/&gt;&lt;wsp:rsid wsp:val=&quot;00AD65F3&quot;/&gt;&lt;wsp:rsid wsp:val=&quot;00AE10A5&quot;/&gt;&lt;wsp:rsid wsp:val=&quot;00AE22DC&quot;/&gt;&lt;wsp:rsid wsp:val=&quot;00AE315E&quot;/&gt;&lt;wsp:rsid wsp:val=&quot;00AE36C6&quot;/&gt;&lt;wsp:rsid wsp:val=&quot;00AE3A32&quot;/&gt;&lt;wsp:rsid wsp:val=&quot;00AF252E&quot;/&gt;&lt;wsp:rsid wsp:val=&quot;00AF2747&quot;/&gt;&lt;wsp:rsid wsp:val=&quot;00AF3184&quot;/&gt;&lt;wsp:rsid wsp:val=&quot;00AF778A&quot;/&gt;&lt;wsp:rsid wsp:val=&quot;00AF7AA4&quot;/&gt;&lt;wsp:rsid wsp:val=&quot;00B0188D&quot;/&gt;&lt;wsp:rsid wsp:val=&quot;00B04E4F&quot;/&gt;&lt;wsp:rsid wsp:val=&quot;00B15B1C&quot;/&gt;&lt;wsp:rsid wsp:val=&quot;00B15B49&quot;/&gt;&lt;wsp:rsid wsp:val=&quot;00B21DED&quot;/&gt;&lt;wsp:rsid wsp:val=&quot;00B2234B&quot;/&gt;&lt;wsp:rsid wsp:val=&quot;00B2326F&quot;/&gt;&lt;wsp:rsid wsp:val=&quot;00B23BC5&quot;/&gt;&lt;wsp:rsid wsp:val=&quot;00B23F02&quot;/&gt;&lt;wsp:rsid wsp:val=&quot;00B24A2E&quot;/&gt;&lt;wsp:rsid wsp:val=&quot;00B2737C&quot;/&gt;&lt;wsp:rsid wsp:val=&quot;00B355AB&quot;/&gt;&lt;wsp:rsid wsp:val=&quot;00B35808&quot;/&gt;&lt;wsp:rsid wsp:val=&quot;00B40A77&quot;/&gt;&lt;wsp:rsid wsp:val=&quot;00B4331C&quot;/&gt;&lt;wsp:rsid wsp:val=&quot;00B43962&quot;/&gt;&lt;wsp:rsid wsp:val=&quot;00B43A2C&quot;/&gt;&lt;wsp:rsid wsp:val=&quot;00B45171&quot;/&gt;&lt;wsp:rsid wsp:val=&quot;00B457D3&quot;/&gt;&lt;wsp:rsid wsp:val=&quot;00B50066&quot;/&gt;&lt;wsp:rsid wsp:val=&quot;00B5139F&quot;/&gt;&lt;wsp:rsid wsp:val=&quot;00B5385F&quot;/&gt;&lt;wsp:rsid wsp:val=&quot;00B5482A&quot;/&gt;&lt;wsp:rsid wsp:val=&quot;00B63009&quot;/&gt;&lt;wsp:rsid wsp:val=&quot;00B6611C&quot;/&gt;&lt;wsp:rsid wsp:val=&quot;00B71E13&quot;/&gt;&lt;wsp:rsid wsp:val=&quot;00B73798&quot;/&gt;&lt;wsp:rsid wsp:val=&quot;00B742B7&quot;/&gt;&lt;wsp:rsid wsp:val=&quot;00B754BD&quot;/&gt;&lt;wsp:rsid wsp:val=&quot;00B81630&quot;/&gt;&lt;wsp:rsid wsp:val=&quot;00B822EA&quot;/&gt;&lt;wsp:rsid wsp:val=&quot;00B8619A&quot;/&gt;&lt;wsp:rsid wsp:val=&quot;00B86472&quot;/&gt;&lt;wsp:rsid wsp:val=&quot;00B869CB&quot;/&gt;&lt;wsp:rsid wsp:val=&quot;00B902A0&quot;/&gt;&lt;wsp:rsid wsp:val=&quot;00B90A7B&quot;/&gt;&lt;wsp:rsid wsp:val=&quot;00BA3A66&quot;/&gt;&lt;wsp:rsid wsp:val=&quot;00BA4824&quot;/&gt;&lt;wsp:rsid wsp:val=&quot;00BA6E84&quot;/&gt;&lt;wsp:rsid wsp:val=&quot;00BA76DD&quot;/&gt;&lt;wsp:rsid wsp:val=&quot;00BB0D5C&quot;/&gt;&lt;wsp:rsid wsp:val=&quot;00BB15B3&quot;/&gt;&lt;wsp:rsid wsp:val=&quot;00BC4436&quot;/&gt;&lt;wsp:rsid wsp:val=&quot;00BC6C5F&quot;/&gt;&lt;wsp:rsid wsp:val=&quot;00BD1368&quot;/&gt;&lt;wsp:rsid wsp:val=&quot;00BD21EF&quot;/&gt;&lt;wsp:rsid wsp:val=&quot;00BD355B&quot;/&gt;&lt;wsp:rsid wsp:val=&quot;00BD5A8D&quot;/&gt;&lt;wsp:rsid wsp:val=&quot;00BE2AC1&quot;/&gt;&lt;wsp:rsid wsp:val=&quot;00BE592E&quot;/&gt;&lt;wsp:rsid wsp:val=&quot;00BE65ED&quot;/&gt;&lt;wsp:rsid wsp:val=&quot;00BF25B0&quot;/&gt;&lt;wsp:rsid wsp:val=&quot;00BF3B70&quot;/&gt;&lt;wsp:rsid wsp:val=&quot;00BF3C5D&quot;/&gt;&lt;wsp:rsid wsp:val=&quot;00BF6E45&quot;/&gt;&lt;wsp:rsid wsp:val=&quot;00C01E49&quot;/&gt;&lt;wsp:rsid wsp:val=&quot;00C021D7&quot;/&gt;&lt;wsp:rsid wsp:val=&quot;00C02215&quot;/&gt;&lt;wsp:rsid wsp:val=&quot;00C04695&quot;/&gt;&lt;wsp:rsid wsp:val=&quot;00C04D0B&quot;/&gt;&lt;wsp:rsid wsp:val=&quot;00C074C0&quot;/&gt;&lt;wsp:rsid wsp:val=&quot;00C07EB7&quot;/&gt;&lt;wsp:rsid wsp:val=&quot;00C104F4&quot;/&gt;&lt;wsp:rsid wsp:val=&quot;00C1118A&quot;/&gt;&lt;wsp:rsid wsp:val=&quot;00C11EA4&quot;/&gt;&lt;wsp:rsid wsp:val=&quot;00C128D2&quot;/&gt;&lt;wsp:rsid wsp:val=&quot;00C13A35&quot;/&gt;&lt;wsp:rsid wsp:val=&quot;00C21583&quot;/&gt;&lt;wsp:rsid wsp:val=&quot;00C2592D&quot;/&gt;&lt;wsp:rsid wsp:val=&quot;00C31477&quot;/&gt;&lt;wsp:rsid wsp:val=&quot;00C32824&quot;/&gt;&lt;wsp:rsid wsp:val=&quot;00C3307D&quot;/&gt;&lt;wsp:rsid wsp:val=&quot;00C42D45&quot;/&gt;&lt;wsp:rsid wsp:val=&quot;00C43BAE&quot;/&gt;&lt;wsp:rsid wsp:val=&quot;00C504B7&quot;/&gt;&lt;wsp:rsid wsp:val=&quot;00C53DAE&quot;/&gt;&lt;wsp:rsid wsp:val=&quot;00C542A2&quot;/&gt;&lt;wsp:rsid wsp:val=&quot;00C60D32&quot;/&gt;&lt;wsp:rsid wsp:val=&quot;00C7408C&quot;/&gt;&lt;wsp:rsid wsp:val=&quot;00C7431E&quot;/&gt;&lt;wsp:rsid wsp:val=&quot;00C749DF&quot;/&gt;&lt;wsp:rsid wsp:val=&quot;00C840D1&quot;/&gt;&lt;wsp:rsid wsp:val=&quot;00C84B77&quot;/&gt;&lt;wsp:rsid wsp:val=&quot;00C85A72&quot;/&gt;&lt;wsp:rsid wsp:val=&quot;00C85F24&quot;/&gt;&lt;wsp:rsid wsp:val=&quot;00C87F71&quot;/&gt;&lt;wsp:rsid wsp:val=&quot;00C9074E&quot;/&gt;&lt;wsp:rsid wsp:val=&quot;00C940A6&quot;/&gt;&lt;wsp:rsid wsp:val=&quot;00C949DD&quot;/&gt;&lt;wsp:rsid wsp:val=&quot;00C95D01&quot;/&gt;&lt;wsp:rsid wsp:val=&quot;00C96DC9&quot;/&gt;&lt;wsp:rsid wsp:val=&quot;00C9790B&quot;/&gt;&lt;wsp:rsid wsp:val=&quot;00CA0D11&quot;/&gt;&lt;wsp:rsid wsp:val=&quot;00CA130D&quot;/&gt;&lt;wsp:rsid wsp:val=&quot;00CA3D14&quot;/&gt;&lt;wsp:rsid wsp:val=&quot;00CA7DCE&quot;/&gt;&lt;wsp:rsid wsp:val=&quot;00CB5434&quot;/&gt;&lt;wsp:rsid wsp:val=&quot;00CB7F97&quot;/&gt;&lt;wsp:rsid wsp:val=&quot;00CC34B5&quot;/&gt;&lt;wsp:rsid wsp:val=&quot;00CC516D&quot;/&gt;&lt;wsp:rsid wsp:val=&quot;00CD74BF&quot;/&gt;&lt;wsp:rsid wsp:val=&quot;00CE0EA7&quot;/&gt;&lt;wsp:rsid wsp:val=&quot;00CE31EF&quot;/&gt;&lt;wsp:rsid wsp:val=&quot;00CE71BD&quot;/&gt;&lt;wsp:rsid wsp:val=&quot;00CF48D4&quot;/&gt;&lt;wsp:rsid wsp:val=&quot;00CF54A3&quot;/&gt;&lt;wsp:rsid wsp:val=&quot;00CF6FD7&quot;/&gt;&lt;wsp:rsid wsp:val=&quot;00D0033D&quot;/&gt;&lt;wsp:rsid wsp:val=&quot;00D047B1&quot;/&gt;&lt;wsp:rsid wsp:val=&quot;00D04B3B&quot;/&gt;&lt;wsp:rsid wsp:val=&quot;00D04D6B&quot;/&gt;&lt;wsp:rsid wsp:val=&quot;00D0727B&quot;/&gt;&lt;wsp:rsid wsp:val=&quot;00D10393&quot;/&gt;&lt;wsp:rsid wsp:val=&quot;00D103F2&quot;/&gt;&lt;wsp:rsid wsp:val=&quot;00D12CD8&quot;/&gt;&lt;wsp:rsid wsp:val=&quot;00D212DB&quot;/&gt;&lt;wsp:rsid wsp:val=&quot;00D2545C&quot;/&gt;&lt;wsp:rsid wsp:val=&quot;00D25D37&quot;/&gt;&lt;wsp:rsid wsp:val=&quot;00D263A4&quot;/&gt;&lt;wsp:rsid wsp:val=&quot;00D3295E&quot;/&gt;&lt;wsp:rsid wsp:val=&quot;00D33B4C&quot;/&gt;&lt;wsp:rsid wsp:val=&quot;00D347B8&quot;/&gt;&lt;wsp:rsid wsp:val=&quot;00D4192C&quot;/&gt;&lt;wsp:rsid wsp:val=&quot;00D41DBA&quot;/&gt;&lt;wsp:rsid wsp:val=&quot;00D46A11&quot;/&gt;&lt;wsp:rsid wsp:val=&quot;00D5476A&quot;/&gt;&lt;wsp:rsid wsp:val=&quot;00D55A12&quot;/&gt;&lt;wsp:rsid wsp:val=&quot;00D606AA&quot;/&gt;&lt;wsp:rsid wsp:val=&quot;00D756AE&quot;/&gt;&lt;wsp:rsid wsp:val=&quot;00D76267&quot;/&gt;&lt;wsp:rsid wsp:val=&quot;00D81456&quot;/&gt;&lt;wsp:rsid wsp:val=&quot;00D81687&quot;/&gt;&lt;wsp:rsid wsp:val=&quot;00D84B18&quot;/&gt;&lt;wsp:rsid wsp:val=&quot;00D86763&quot;/&gt;&lt;wsp:rsid wsp:val=&quot;00D874B9&quot;/&gt;&lt;wsp:rsid wsp:val=&quot;00D87738&quot;/&gt;&lt;wsp:rsid wsp:val=&quot;00D8792B&quot;/&gt;&lt;wsp:rsid wsp:val=&quot;00D92CEF&quot;/&gt;&lt;wsp:rsid wsp:val=&quot;00D93D97&quot;/&gt;&lt;wsp:rsid wsp:val=&quot;00DA3131&quot;/&gt;&lt;wsp:rsid wsp:val=&quot;00DA3C67&quot;/&gt;&lt;wsp:rsid wsp:val=&quot;00DA5827&quot;/&gt;&lt;wsp:rsid wsp:val=&quot;00DB457E&quot;/&gt;&lt;wsp:rsid wsp:val=&quot;00DB5542&quot;/&gt;&lt;wsp:rsid wsp:val=&quot;00DB5AD7&quot;/&gt;&lt;wsp:rsid wsp:val=&quot;00DC538B&quot;/&gt;&lt;wsp:rsid wsp:val=&quot;00DC58B5&quot;/&gt;&lt;wsp:rsid wsp:val=&quot;00DD0DD1&quot;/&gt;&lt;wsp:rsid wsp:val=&quot;00DD139D&quot;/&gt;&lt;wsp:rsid wsp:val=&quot;00DE4009&quot;/&gt;&lt;wsp:rsid wsp:val=&quot;00DE5C50&quot;/&gt;&lt;wsp:rsid wsp:val=&quot;00DE6E6F&quot;/&gt;&lt;wsp:rsid wsp:val=&quot;00DF52F8&quot;/&gt;&lt;wsp:rsid wsp:val=&quot;00DF7AC1&quot;/&gt;&lt;wsp:rsid wsp:val=&quot;00E01754&quot;/&gt;&lt;wsp:rsid wsp:val=&quot;00E061B3&quot;/&gt;&lt;wsp:rsid wsp:val=&quot;00E07E36&quot;/&gt;&lt;wsp:rsid wsp:val=&quot;00E200BC&quot;/&gt;&lt;wsp:rsid wsp:val=&quot;00E225FB&quot;/&gt;&lt;wsp:rsid wsp:val=&quot;00E23B20&quot;/&gt;&lt;wsp:rsid wsp:val=&quot;00E30F24&quot;/&gt;&lt;wsp:rsid wsp:val=&quot;00E31DF9&quot;/&gt;&lt;wsp:rsid wsp:val=&quot;00E3773F&quot;/&gt;&lt;wsp:rsid wsp:val=&quot;00E4178F&quot;/&gt;&lt;wsp:rsid wsp:val=&quot;00E50AA6&quot;/&gt;&lt;wsp:rsid wsp:val=&quot;00E57916&quot;/&gt;&lt;wsp:rsid wsp:val=&quot;00E62407&quot;/&gt;&lt;wsp:rsid wsp:val=&quot;00E72753&quot;/&gt;&lt;wsp:rsid wsp:val=&quot;00E73CE9&quot;/&gt;&lt;wsp:rsid wsp:val=&quot;00E77C0A&quot;/&gt;&lt;wsp:rsid wsp:val=&quot;00E81EB9&quot;/&gt;&lt;wsp:rsid wsp:val=&quot;00E83A28&quot;/&gt;&lt;wsp:rsid wsp:val=&quot;00E8413C&quot;/&gt;&lt;wsp:rsid wsp:val=&quot;00E86F28&quot;/&gt;&lt;wsp:rsid wsp:val=&quot;00E91938&quot;/&gt;&lt;wsp:rsid wsp:val=&quot;00E94C0B&quot;/&gt;&lt;wsp:rsid wsp:val=&quot;00EB3364&quot;/&gt;&lt;wsp:rsid wsp:val=&quot;00EB4A71&quot;/&gt;&lt;wsp:rsid wsp:val=&quot;00EC524B&quot;/&gt;&lt;wsp:rsid wsp:val=&quot;00ED0091&quot;/&gt;&lt;wsp:rsid wsp:val=&quot;00ED5E63&quot;/&gt;&lt;wsp:rsid wsp:val=&quot;00ED7653&quot;/&gt;&lt;wsp:rsid wsp:val=&quot;00EE06D8&quot;/&gt;&lt;wsp:rsid wsp:val=&quot;00EE1404&quot;/&gt;&lt;wsp:rsid wsp:val=&quot;00EE148A&quot;/&gt;&lt;wsp:rsid wsp:val=&quot;00EE2C31&quot;/&gt;&lt;wsp:rsid wsp:val=&quot;00EE4EE7&quot;/&gt;&lt;wsp:rsid wsp:val=&quot;00F00746&quot;/&gt;&lt;wsp:rsid wsp:val=&quot;00F07059&quot;/&gt;&lt;wsp:rsid wsp:val=&quot;00F1155C&quot;/&gt;&lt;wsp:rsid wsp:val=&quot;00F1681C&quot;/&gt;&lt;wsp:rsid wsp:val=&quot;00F16BF4&quot;/&gt;&lt;wsp:rsid wsp:val=&quot;00F21253&quot;/&gt;&lt;wsp:rsid wsp:val=&quot;00F21CF8&quot;/&gt;&lt;wsp:rsid wsp:val=&quot;00F25031&quot;/&gt;&lt;wsp:rsid wsp:val=&quot;00F34817&quot;/&gt;&lt;wsp:rsid wsp:val=&quot;00F359D4&quot;/&gt;&lt;wsp:rsid wsp:val=&quot;00F46362&quot;/&gt;&lt;wsp:rsid wsp:val=&quot;00F463ED&quot;/&gt;&lt;wsp:rsid wsp:val=&quot;00F4744D&quot;/&gt;&lt;wsp:rsid wsp:val=&quot;00F60578&quot;/&gt;&lt;wsp:rsid wsp:val=&quot;00F6097E&quot;/&gt;&lt;wsp:rsid wsp:val=&quot;00F649EE&quot;/&gt;&lt;wsp:rsid wsp:val=&quot;00F65688&quot;/&gt;&lt;wsp:rsid wsp:val=&quot;00F659A1&quot;/&gt;&lt;wsp:rsid wsp:val=&quot;00F7252E&quot;/&gt;&lt;wsp:rsid wsp:val=&quot;00F72E30&quot;/&gt;&lt;wsp:rsid wsp:val=&quot;00F802A9&quot;/&gt;&lt;wsp:rsid wsp:val=&quot;00F8033E&quot;/&gt;&lt;wsp:rsid wsp:val=&quot;00F82619&quot;/&gt;&lt;wsp:rsid wsp:val=&quot;00F9226D&quot;/&gt;&lt;wsp:rsid wsp:val=&quot;00F92795&quot;/&gt;&lt;wsp:rsid wsp:val=&quot;00F93081&quot;/&gt;&lt;wsp:rsid wsp:val=&quot;00F947AC&quot;/&gt;&lt;wsp:rsid wsp:val=&quot;00FA36E1&quot;/&gt;&lt;wsp:rsid wsp:val=&quot;00FA386E&quot;/&gt;&lt;wsp:rsid wsp:val=&quot;00FA4A91&quot;/&gt;&lt;wsp:rsid wsp:val=&quot;00FB6267&quot;/&gt;&lt;wsp:rsid wsp:val=&quot;00FC1C47&quot;/&gt;&lt;wsp:rsid wsp:val=&quot;00FC235A&quot;/&gt;&lt;wsp:rsid wsp:val=&quot;00FC4A1A&quot;/&gt;&lt;wsp:rsid wsp:val=&quot;00FC7FAC&quot;/&gt;&lt;wsp:rsid wsp:val=&quot;00FD0FEC&quot;/&gt;&lt;wsp:rsid wsp:val=&quot;00FD29B4&quot;/&gt;&lt;wsp:rsid wsp:val=&quot;00FD2B57&quot;/&gt;&lt;wsp:rsid wsp:val=&quot;00FD427A&quot;/&gt;&lt;wsp:rsid wsp:val=&quot;00FE0DA1&quot;/&gt;&lt;wsp:rsid wsp:val=&quot;00FE2D78&quot;/&gt;&lt;wsp:rsid wsp:val=&quot;00FE40EF&quot;/&gt;&lt;wsp:rsid wsp:val=&quot;00FE5965&quot;/&gt;&lt;wsp:rsid wsp:val=&quot;00FE6C98&quot;/&gt;&lt;wsp:rsid wsp:val=&quot;00FE76FF&quot;/&gt;&lt;wsp:rsid wsp:val=&quot;00FF0550&quot;/&gt;&lt;wsp:rsid wsp:val=&quot;00FF3F13&quot;/&gt;&lt;wsp:rsid wsp:val=&quot;069D11AC&quot;/&gt;&lt;wsp:rsid wsp:val=&quot;09B11BED&quot;/&gt;&lt;wsp:rsid wsp:val=&quot;2CA27B92&quot;/&gt;&lt;wsp:rsid wsp:val=&quot;2E761E7C&quot;/&gt;&lt;wsp:rsid wsp:val=&quot;3DAA4DB8&quot;/&gt;&lt;wsp:rsid wsp:val=&quot;483E004C&quot;/&gt;&lt;wsp:rsid wsp:val=&quot;521A1E56&quot;/&gt;&lt;wsp:rsid wsp:val=&quot;521A5946&quot;/&gt;&lt;wsp:rsid wsp:val=&quot;69124135&quot;/&gt;&lt;wsp:rsid wsp:val=&quot;6A4D2BD0&quot;/&gt;&lt;wsp:rsid wsp:val=&quot;796B021D&quot;/&gt;&lt;/wsp:rsids&gt;&lt;/w:docPr&gt;&lt;w:body&gt;&lt;wx:sect&gt;&lt;w:p wsp:rsidR=&quot;00000000&quot; wsp:rsidRDefault=&quot;00312576&quot; wsp:rsidP=&quot;00312576&quot;&gt;&lt;w:pPr&gt;&lt;w:ind w:first-line=&quot;480&quot;/&gt;&lt;/w:pPr&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44&lt;/m:t&gt;&lt;/m:r&gt;&lt;/m:num&gt;&lt;m:den&gt;&lt;m:r&gt;&lt;w:rPr&gt;&lt;w:rFonts w:ascii=&quot;Cambria Math&quot; w:h-ansi=&quot;Cambria Math&quot;/&gt;&lt;wx:font wx:val=&quot;Cambria Math&quot;/&gt;&lt;w:i/&gt;&lt;/w:rPr&gt;&lt;m:t&gt;12&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89" chromakey="#FFFFFF" o:title=""/>
            <o:lock v:ext="edit" aspectratio="t"/>
            <w10:wrap type="none"/>
            <w10:anchorlock/>
          </v:shape>
        </w:pict>
      </w:r>
      <w:r>
        <w:rPr>
          <w:rFonts w:ascii="Times New Roman" w:cs="Times New Roman"/>
          <w:kern w:val="2"/>
        </w:rPr>
        <w:instrText xml:space="preserve"> </w:instrText>
      </w:r>
      <w:r>
        <w:rPr>
          <w:rFonts w:ascii="Times New Roman" w:cs="Times New Roman"/>
          <w:kern w:val="2"/>
        </w:rPr>
        <w:fldChar w:fldCharType="separate"/>
      </w:r>
      <w:r>
        <w:rPr>
          <w:rFonts w:ascii="Times New Roman" w:cs="Times New Roman"/>
          <w:kern w:val="2"/>
          <w:position w:val="-28"/>
        </w:rPr>
        <w:pict>
          <v:shape id="_x0000_i1028" o:spt="75" type="#_x0000_t75" style="height:26.9pt;width:9.4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mirrorMargins/&gt;&lt;w:bordersDontSurroundHeader/&gt;&lt;w:bordersDontSurroundFooter/&gt;&lt;w:hideSpellingErrors/&gt;&lt;w:stylePaneFormatFilter w:val=&quot;3F01&quot;/&gt;&lt;w:documentProtection w:edit=&quot;read-only&quot; w:enforcement=&quot;off&quot;/&gt;&lt;w:defaultTabStop w:val=&quot;0&quot;/&gt;&lt;w:evenAndOddHeaders/&gt;&lt;w:drawingGridHorizontalSpacing w:val=&quot;105&quot;/&gt;&lt;w:drawingGridVerticalSpacing w:val=&quot;156&quot;/&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dontGrowAutofit/&gt;&lt;w:useFELayout/&gt;&lt;/w:compat&gt;&lt;w:docVars&gt;&lt;w:docVar w:name=&quot;commondata&quot; w:val=&quot;eyJoZGlkIjoiYzE4N2M0YWU5ZGQyMWIwMGFiMDc3NzM3Y2I5MDk3MWYifQ==&quot;/&gt;&lt;/w:docVars&gt;&lt;wsp:rsids&gt;&lt;wsp:rsidRoot wsp:val=&quot;00172A27&quot;/&gt;&lt;wsp:rsid wsp:val=&quot;00000752&quot;/&gt;&lt;wsp:rsid wsp:val=&quot;00001B16&quot;/&gt;&lt;wsp:rsid wsp:val=&quot;00003A89&quot;/&gt;&lt;wsp:rsid wsp:val=&quot;000050CD&quot;/&gt;&lt;wsp:rsid wsp:val=&quot;000064CD&quot;/&gt;&lt;wsp:rsid wsp:val=&quot;00012191&quot;/&gt;&lt;wsp:rsid wsp:val=&quot;0002136A&quot;/&gt;&lt;wsp:rsid wsp:val=&quot;00021A6B&quot;/&gt;&lt;wsp:rsid wsp:val=&quot;00025148&quot;/&gt;&lt;wsp:rsid wsp:val=&quot;00026FF1&quot;/&gt;&lt;wsp:rsid wsp:val=&quot;00027A79&quot;/&gt;&lt;wsp:rsid wsp:val=&quot;00030C58&quot;/&gt;&lt;wsp:rsid wsp:val=&quot;000311A3&quot;/&gt;&lt;wsp:rsid wsp:val=&quot;0003127A&quot;/&gt;&lt;wsp:rsid wsp:val=&quot;000332D1&quot;/&gt;&lt;wsp:rsid wsp:val=&quot;00033776&quot;/&gt;&lt;wsp:rsid wsp:val=&quot;0003611A&quot;/&gt;&lt;wsp:rsid wsp:val=&quot;00036C83&quot;/&gt;&lt;wsp:rsid wsp:val=&quot;0004179D&quot;/&gt;&lt;wsp:rsid wsp:val=&quot;00041826&quot;/&gt;&lt;wsp:rsid wsp:val=&quot;000423CA&quot;/&gt;&lt;wsp:rsid wsp:val=&quot;000438A2&quot;/&gt;&lt;wsp:rsid wsp:val=&quot;00046590&quot;/&gt;&lt;wsp:rsid wsp:val=&quot;000500A0&quot;/&gt;&lt;wsp:rsid wsp:val=&quot;000565F8&quot;/&gt;&lt;wsp:rsid wsp:val=&quot;00056A68&quot;/&gt;&lt;wsp:rsid wsp:val=&quot;0005773F&quot;/&gt;&lt;wsp:rsid wsp:val=&quot;000601FE&quot;/&gt;&lt;wsp:rsid wsp:val=&quot;00060864&quot;/&gt;&lt;wsp:rsid wsp:val=&quot;00060DE3&quot;/&gt;&lt;wsp:rsid wsp:val=&quot;00062F8A&quot;/&gt;&lt;wsp:rsid wsp:val=&quot;000643BE&quot;/&gt;&lt;wsp:rsid wsp:val=&quot;00070CBD&quot;/&gt;&lt;wsp:rsid wsp:val=&quot;00075CCB&quot;/&gt;&lt;wsp:rsid wsp:val=&quot;0008373B&quot;/&gt;&lt;wsp:rsid wsp:val=&quot;000844FB&quot;/&gt;&lt;wsp:rsid wsp:val=&quot;000922A4&quot;/&gt;&lt;wsp:rsid wsp:val=&quot;00094029&quot;/&gt;&lt;wsp:rsid wsp:val=&quot;00096D5B&quot;/&gt;&lt;wsp:rsid wsp:val=&quot;000A299B&quot;/&gt;&lt;wsp:rsid wsp:val=&quot;000A342F&quot;/&gt;&lt;wsp:rsid wsp:val=&quot;000B03F2&quot;/&gt;&lt;wsp:rsid wsp:val=&quot;000B07EE&quot;/&gt;&lt;wsp:rsid wsp:val=&quot;000B379A&quot;/&gt;&lt;wsp:rsid wsp:val=&quot;000B4A2B&quot;/&gt;&lt;wsp:rsid wsp:val=&quot;000B6A75&quot;/&gt;&lt;wsp:rsid wsp:val=&quot;000C171A&quot;/&gt;&lt;wsp:rsid wsp:val=&quot;000D1BD3&quot;/&gt;&lt;wsp:rsid wsp:val=&quot;000D20DF&quot;/&gt;&lt;wsp:rsid wsp:val=&quot;000D48A4&quot;/&gt;&lt;wsp:rsid wsp:val=&quot;000D6A21&quot;/&gt;&lt;wsp:rsid wsp:val=&quot;000E2EDB&quot;/&gt;&lt;wsp:rsid wsp:val=&quot;000E4561&quot;/&gt;&lt;wsp:rsid wsp:val=&quot;000E4B27&quot;/&gt;&lt;wsp:rsid wsp:val=&quot;000E6AF8&quot;/&gt;&lt;wsp:rsid wsp:val=&quot;000F2E34&quot;/&gt;&lt;wsp:rsid wsp:val=&quot;000F3517&quot;/&gt;&lt;wsp:rsid wsp:val=&quot;000F5B68&quot;/&gt;&lt;wsp:rsid wsp:val=&quot;000F6CD7&quot;/&gt;&lt;wsp:rsid wsp:val=&quot;001035DC&quot;/&gt;&lt;wsp:rsid wsp:val=&quot;00105F6D&quot;/&gt;&lt;wsp:rsid wsp:val=&quot;0010660C&quot;/&gt;&lt;wsp:rsid wsp:val=&quot;00106BB5&quot;/&gt;&lt;wsp:rsid wsp:val=&quot;0011045C&quot;/&gt;&lt;wsp:rsid wsp:val=&quot;00112010&quot;/&gt;&lt;wsp:rsid wsp:val=&quot;00116D88&quot;/&gt;&lt;wsp:rsid wsp:val=&quot;00117335&quot;/&gt;&lt;wsp:rsid wsp:val=&quot;00125E4D&quot;/&gt;&lt;wsp:rsid wsp:val=&quot;001316CA&quot;/&gt;&lt;wsp:rsid wsp:val=&quot;0013193B&quot;/&gt;&lt;wsp:rsid wsp:val=&quot;0014421A&quot;/&gt;&lt;wsp:rsid wsp:val=&quot;0015128B&quot;/&gt;&lt;wsp:rsid wsp:val=&quot;00151367&quot;/&gt;&lt;wsp:rsid wsp:val=&quot;001514BB&quot;/&gt;&lt;wsp:rsid wsp:val=&quot;00162873&quot;/&gt;&lt;wsp:rsid wsp:val=&quot;00172A27&quot;/&gt;&lt;wsp:rsid wsp:val=&quot;00174BCE&quot;/&gt;&lt;wsp:rsid wsp:val=&quot;00180780&quot;/&gt;&lt;wsp:rsid wsp:val=&quot;00182394&quot;/&gt;&lt;wsp:rsid wsp:val=&quot;001832AF&quot;/&gt;&lt;wsp:rsid wsp:val=&quot;001925F3&quot;/&gt;&lt;wsp:rsid wsp:val=&quot;00193520&quot;/&gt;&lt;wsp:rsid wsp:val=&quot;0019494A&quot;/&gt;&lt;wsp:rsid wsp:val=&quot;0019696A&quot;/&gt;&lt;wsp:rsid wsp:val=&quot;00196C27&quot;/&gt;&lt;wsp:rsid wsp:val=&quot;001A7865&quot;/&gt;&lt;wsp:rsid wsp:val=&quot;001B47BA&quot;/&gt;&lt;wsp:rsid wsp:val=&quot;001C2B03&quot;/&gt;&lt;wsp:rsid wsp:val=&quot;001C5076&quot;/&gt;&lt;wsp:rsid wsp:val=&quot;001C6757&quot;/&gt;&lt;wsp:rsid wsp:val=&quot;001C71CF&quot;/&gt;&lt;wsp:rsid wsp:val=&quot;001D051A&quot;/&gt;&lt;wsp:rsid wsp:val=&quot;001D1871&quot;/&gt;&lt;wsp:rsid wsp:val=&quot;001E288F&quot;/&gt;&lt;wsp:rsid wsp:val=&quot;001E4B8D&quot;/&gt;&lt;wsp:rsid wsp:val=&quot;001F0AA1&quot;/&gt;&lt;wsp:rsid wsp:val=&quot;001F3B76&quot;/&gt;&lt;wsp:rsid wsp:val=&quot;001F5C47&quot;/&gt;&lt;wsp:rsid wsp:val=&quot;001F67A7&quot;/&gt;&lt;wsp:rsid wsp:val=&quot;0020331B&quot;/&gt;&lt;wsp:rsid wsp:val=&quot;0020575C&quot;/&gt;&lt;wsp:rsid wsp:val=&quot;00206F41&quot;/&gt;&lt;wsp:rsid wsp:val=&quot;002101D6&quot;/&gt;&lt;wsp:rsid wsp:val=&quot;00212200&quot;/&gt;&lt;wsp:rsid wsp:val=&quot;00214B00&quot;/&gt;&lt;wsp:rsid wsp:val=&quot;00217839&quot;/&gt;&lt;wsp:rsid wsp:val=&quot;0022558D&quot;/&gt;&lt;wsp:rsid wsp:val=&quot;00226CE9&quot;/&gt;&lt;wsp:rsid wsp:val=&quot;00230A0B&quot;/&gt;&lt;wsp:rsid wsp:val=&quot;00232DAF&quot;/&gt;&lt;wsp:rsid wsp:val=&quot;00236C1C&quot;/&gt;&lt;wsp:rsid wsp:val=&quot;00236D5F&quot;/&gt;&lt;wsp:rsid wsp:val=&quot;00241029&quot;/&gt;&lt;wsp:rsid wsp:val=&quot;0024649B&quot;/&gt;&lt;wsp:rsid wsp:val=&quot;002502B5&quot;/&gt;&lt;wsp:rsid wsp:val=&quot;002518A0&quot;/&gt;&lt;wsp:rsid wsp:val=&quot;00253710&quot;/&gt;&lt;wsp:rsid wsp:val=&quot;00253D35&quot;/&gt;&lt;wsp:rsid wsp:val=&quot;00254AAE&quot;/&gt;&lt;wsp:rsid wsp:val=&quot;00256465&quot;/&gt;&lt;wsp:rsid wsp:val=&quot;002569C7&quot;/&gt;&lt;wsp:rsid wsp:val=&quot;00257178&quot;/&gt;&lt;wsp:rsid wsp:val=&quot;002627B6&quot;/&gt;&lt;wsp:rsid wsp:val=&quot;0026357C&quot;/&gt;&lt;wsp:rsid wsp:val=&quot;002637DE&quot;/&gt;&lt;wsp:rsid wsp:val=&quot;0026405C&quot;/&gt;&lt;wsp:rsid wsp:val=&quot;00264B38&quot;/&gt;&lt;wsp:rsid wsp:val=&quot;0027270D&quot;/&gt;&lt;wsp:rsid wsp:val=&quot;00272E1D&quot;/&gt;&lt;wsp:rsid wsp:val=&quot;00277BAE&quot;/&gt;&lt;wsp:rsid wsp:val=&quot;00290852&quot;/&gt;&lt;wsp:rsid wsp:val=&quot;00294B41&quot;/&gt;&lt;wsp:rsid wsp:val=&quot;002A4270&quot;/&gt;&lt;wsp:rsid wsp:val=&quot;002A592C&quot;/&gt;&lt;wsp:rsid wsp:val=&quot;002B2223&quot;/&gt;&lt;wsp:rsid wsp:val=&quot;002B5104&quot;/&gt;&lt;wsp:rsid wsp:val=&quot;002B63B8&quot;/&gt;&lt;wsp:rsid wsp:val=&quot;002C24A3&quot;/&gt;&lt;wsp:rsid wsp:val=&quot;002C50D8&quot;/&gt;&lt;wsp:rsid wsp:val=&quot;002D0CDA&quot;/&gt;&lt;wsp:rsid wsp:val=&quot;002D116A&quot;/&gt;&lt;wsp:rsid wsp:val=&quot;002D3BF6&quot;/&gt;&lt;wsp:rsid wsp:val=&quot;002D4CA3&quot;/&gt;&lt;wsp:rsid wsp:val=&quot;002E27A2&quot;/&gt;&lt;wsp:rsid wsp:val=&quot;002E32BB&quot;/&gt;&lt;wsp:rsid wsp:val=&quot;002E5044&quot;/&gt;&lt;wsp:rsid wsp:val=&quot;002E571E&quot;/&gt;&lt;wsp:rsid wsp:val=&quot;002E62E3&quot;/&gt;&lt;wsp:rsid wsp:val=&quot;002E7F51&quot;/&gt;&lt;wsp:rsid wsp:val=&quot;002F0805&quot;/&gt;&lt;wsp:rsid wsp:val=&quot;002F2387&quot;/&gt;&lt;wsp:rsid wsp:val=&quot;002F7F85&quot;/&gt;&lt;wsp:rsid wsp:val=&quot;003041C1&quot;/&gt;&lt;wsp:rsid wsp:val=&quot;00307922&quot;/&gt;&lt;wsp:rsid wsp:val=&quot;00312576&quot;/&gt;&lt;wsp:rsid wsp:val=&quot;00315863&quot;/&gt;&lt;wsp:rsid wsp:val=&quot;003236F4&quot;/&gt;&lt;wsp:rsid wsp:val=&quot;00323FE0&quot;/&gt;&lt;wsp:rsid wsp:val=&quot;003260BC&quot;/&gt;&lt;wsp:rsid wsp:val=&quot;003267EA&quot;/&gt;&lt;wsp:rsid wsp:val=&quot;00327474&quot;/&gt;&lt;wsp:rsid wsp:val=&quot;0033219A&quot;/&gt;&lt;wsp:rsid wsp:val=&quot;0033356F&quot;/&gt;&lt;wsp:rsid wsp:val=&quot;003336B2&quot;/&gt;&lt;wsp:rsid wsp:val=&quot;003338FD&quot;/&gt;&lt;wsp:rsid wsp:val=&quot;00340D73&quot;/&gt;&lt;wsp:rsid wsp:val=&quot;00340D74&quot;/&gt;&lt;wsp:rsid wsp:val=&quot;00341A69&quot;/&gt;&lt;wsp:rsid wsp:val=&quot;00343E78&quot;/&gt;&lt;wsp:rsid wsp:val=&quot;00350100&quot;/&gt;&lt;wsp:rsid wsp:val=&quot;0035694E&quot;/&gt;&lt;wsp:rsid wsp:val=&quot;003615F0&quot;/&gt;&lt;wsp:rsid wsp:val=&quot;00361821&quot;/&gt;&lt;wsp:rsid wsp:val=&quot;003667E1&quot;/&gt;&lt;wsp:rsid wsp:val=&quot;00367188&quot;/&gt;&lt;wsp:rsid wsp:val=&quot;00367290&quot;/&gt;&lt;wsp:rsid wsp:val=&quot;00370293&quot;/&gt;&lt;wsp:rsid wsp:val=&quot;00370C07&quot;/&gt;&lt;wsp:rsid wsp:val=&quot;003715E9&quot;/&gt;&lt;wsp:rsid wsp:val=&quot;00375D6A&quot;/&gt;&lt;wsp:rsid wsp:val=&quot;00377F5B&quot;/&gt;&lt;wsp:rsid wsp:val=&quot;00380241&quot;/&gt;&lt;wsp:rsid wsp:val=&quot;00380B64&quot;/&gt;&lt;wsp:rsid wsp:val=&quot;003863FF&quot;/&gt;&lt;wsp:rsid wsp:val=&quot;00386974&quot;/&gt;&lt;wsp:rsid wsp:val=&quot;00386D5F&quot;/&gt;&lt;wsp:rsid wsp:val=&quot;003970B2&quot;/&gt;&lt;wsp:rsid wsp:val=&quot;003A0CDD&quot;/&gt;&lt;wsp:rsid wsp:val=&quot;003A2B93&quot;/&gt;&lt;wsp:rsid wsp:val=&quot;003A41CF&quot;/&gt;&lt;wsp:rsid wsp:val=&quot;003A614F&quot;/&gt;&lt;wsp:rsid wsp:val=&quot;003B208A&quot;/&gt;&lt;wsp:rsid wsp:val=&quot;003B27EF&quot;/&gt;&lt;wsp:rsid wsp:val=&quot;003B2FEC&quot;/&gt;&lt;wsp:rsid wsp:val=&quot;003B445D&quot;/&gt;&lt;wsp:rsid wsp:val=&quot;003B5AFB&quot;/&gt;&lt;wsp:rsid wsp:val=&quot;003C18B0&quot;/&gt;&lt;wsp:rsid wsp:val=&quot;003C337B&quot;/&gt;&lt;wsp:rsid wsp:val=&quot;003C37C7&quot;/&gt;&lt;wsp:rsid wsp:val=&quot;003C3BA0&quot;/&gt;&lt;wsp:rsid wsp:val=&quot;003C6CC8&quot;/&gt;&lt;wsp:rsid wsp:val=&quot;003D1CB7&quot;/&gt;&lt;wsp:rsid wsp:val=&quot;003D2F76&quot;/&gt;&lt;wsp:rsid wsp:val=&quot;003D3E5C&quot;/&gt;&lt;wsp:rsid wsp:val=&quot;003D5DA8&quot;/&gt;&lt;wsp:rsid wsp:val=&quot;003D6FCA&quot;/&gt;&lt;wsp:rsid wsp:val=&quot;003D7DF1&quot;/&gt;&lt;wsp:rsid wsp:val=&quot;003E100A&quot;/&gt;&lt;wsp:rsid wsp:val=&quot;003E20ED&quot;/&gt;&lt;wsp:rsid wsp:val=&quot;003E753A&quot;/&gt;&lt;wsp:rsid wsp:val=&quot;00403DD0&quot;/&gt;&lt;wsp:rsid wsp:val=&quot;00406210&quot;/&gt;&lt;wsp:rsid wsp:val=&quot;0040661F&quot;/&gt;&lt;wsp:rsid wsp:val=&quot;00411C2A&quot;/&gt;&lt;wsp:rsid wsp:val=&quot;004127FF&quot;/&gt;&lt;wsp:rsid wsp:val=&quot;00412EFE&quot;/&gt;&lt;wsp:rsid wsp:val=&quot;0041332C&quot;/&gt;&lt;wsp:rsid wsp:val=&quot;004139CC&quot;/&gt;&lt;wsp:rsid wsp:val=&quot;00420A46&quot;/&gt;&lt;wsp:rsid wsp:val=&quot;00424445&quot;/&gt;&lt;wsp:rsid wsp:val=&quot;004262E8&quot;/&gt;&lt;wsp:rsid wsp:val=&quot;00430D82&quot;/&gt;&lt;wsp:rsid wsp:val=&quot;00432041&quot;/&gt;&lt;wsp:rsid wsp:val=&quot;00433651&quot;/&gt;&lt;wsp:rsid wsp:val=&quot;004367B9&quot;/&gt;&lt;wsp:rsid wsp:val=&quot;00450B77&quot;/&gt;&lt;wsp:rsid wsp:val=&quot;0045220D&quot;/&gt;&lt;wsp:rsid wsp:val=&quot;00452835&quot;/&gt;&lt;wsp:rsid wsp:val=&quot;004624BF&quot;/&gt;&lt;wsp:rsid wsp:val=&quot;00463E2C&quot;/&gt;&lt;wsp:rsid wsp:val=&quot;00470DCE&quot;/&gt;&lt;wsp:rsid wsp:val=&quot;00477568&quot;/&gt;&lt;wsp:rsid wsp:val=&quot;00480F20&quot;/&gt;&lt;wsp:rsid wsp:val=&quot;004816AC&quot;/&gt;&lt;wsp:rsid wsp:val=&quot;00484323&quot;/&gt;&lt;wsp:rsid wsp:val=&quot;0048528A&quot;/&gt;&lt;wsp:rsid wsp:val=&quot;00485BF1&quot;/&gt;&lt;wsp:rsid wsp:val=&quot;004866C3&quot;/&gt;&lt;wsp:rsid wsp:val=&quot;004940CC&quot;/&gt;&lt;wsp:rsid wsp:val=&quot;004A2E02&quot;/&gt;&lt;wsp:rsid wsp:val=&quot;004A3930&quot;/&gt;&lt;wsp:rsid wsp:val=&quot;004A4CCE&quot;/&gt;&lt;wsp:rsid wsp:val=&quot;004B3B71&quot;/&gt;&lt;wsp:rsid wsp:val=&quot;004B4F5B&quot;/&gt;&lt;wsp:rsid wsp:val=&quot;004B7783&quot;/&gt;&lt;wsp:rsid wsp:val=&quot;004C28C7&quot;/&gt;&lt;wsp:rsid wsp:val=&quot;004C2F99&quot;/&gt;&lt;wsp:rsid wsp:val=&quot;004D08F6&quot;/&gt;&lt;wsp:rsid wsp:val=&quot;004D0961&quot;/&gt;&lt;wsp:rsid wsp:val=&quot;004D25F1&quot;/&gt;&lt;wsp:rsid wsp:val=&quot;004D63A4&quot;/&gt;&lt;wsp:rsid wsp:val=&quot;004D6827&quot;/&gt;&lt;wsp:rsid wsp:val=&quot;004E0328&quot;/&gt;&lt;wsp:rsid wsp:val=&quot;004E15DD&quot;/&gt;&lt;wsp:rsid wsp:val=&quot;004E1CB3&quot;/&gt;&lt;wsp:rsid wsp:val=&quot;004E67D2&quot;/&gt;&lt;wsp:rsid wsp:val=&quot;004E6F73&quot;/&gt;&lt;wsp:rsid wsp:val=&quot;004F02A2&quot;/&gt;&lt;wsp:rsid wsp:val=&quot;004F0481&quot;/&gt;&lt;wsp:rsid wsp:val=&quot;004F3CE5&quot;/&gt;&lt;wsp:rsid wsp:val=&quot;004F40CC&quot;/&gt;&lt;wsp:rsid wsp:val=&quot;004F5EA7&quot;/&gt;&lt;wsp:rsid wsp:val=&quot;00500BB1&quot;/&gt;&lt;wsp:rsid wsp:val=&quot;00500EE2&quot;/&gt;&lt;wsp:rsid wsp:val=&quot;005038B7&quot;/&gt;&lt;wsp:rsid wsp:val=&quot;00504029&quot;/&gt;&lt;wsp:rsid wsp:val=&quot;00507FB9&quot;/&gt;&lt;wsp:rsid wsp:val=&quot;0051048F&quot;/&gt;&lt;wsp:rsid wsp:val=&quot;005115CD&quot;/&gt;&lt;wsp:rsid wsp:val=&quot;00512E2E&quot;/&gt;&lt;wsp:rsid wsp:val=&quot;0051314F&quot;/&gt;&lt;wsp:rsid wsp:val=&quot;00517A04&quot;/&gt;&lt;wsp:rsid wsp:val=&quot;005229E8&quot;/&gt;&lt;wsp:rsid wsp:val=&quot;00524EFC&quot;/&gt;&lt;wsp:rsid wsp:val=&quot;00526C07&quot;/&gt;&lt;wsp:rsid wsp:val=&quot;00530888&quot;/&gt;&lt;wsp:rsid wsp:val=&quot;00532F33&quot;/&gt;&lt;wsp:rsid wsp:val=&quot;0053623A&quot;/&gt;&lt;wsp:rsid wsp:val=&quot;005416D7&quot;/&gt;&lt;wsp:rsid wsp:val=&quot;0054702B&quot;/&gt;&lt;wsp:rsid wsp:val=&quot;005473CC&quot;/&gt;&lt;wsp:rsid wsp:val=&quot;005514D4&quot;/&gt;&lt;wsp:rsid wsp:val=&quot;00551F64&quot;/&gt;&lt;wsp:rsid wsp:val=&quot;0055303C&quot;/&gt;&lt;wsp:rsid wsp:val=&quot;00554450&quot;/&gt;&lt;wsp:rsid wsp:val=&quot;00556112&quot;/&gt;&lt;wsp:rsid wsp:val=&quot;00561902&quot;/&gt;&lt;wsp:rsid wsp:val=&quot;0056305A&quot;/&gt;&lt;wsp:rsid wsp:val=&quot;005645CD&quot;/&gt;&lt;wsp:rsid wsp:val=&quot;00572CD9&quot;/&gt;&lt;wsp:rsid wsp:val=&quot;00574753&quot;/&gt;&lt;wsp:rsid wsp:val=&quot;00574F02&quot;/&gt;&lt;wsp:rsid wsp:val=&quot;0057529E&quot;/&gt;&lt;wsp:rsid wsp:val=&quot;00575583&quot;/&gt;&lt;wsp:rsid wsp:val=&quot;0057685B&quot;/&gt;&lt;wsp:rsid wsp:val=&quot;00577090&quot;/&gt;&lt;wsp:rsid wsp:val=&quot;00580D04&quot;/&gt;&lt;wsp:rsid wsp:val=&quot;00582FF2&quot;/&gt;&lt;wsp:rsid wsp:val=&quot;00583460&quot;/&gt;&lt;wsp:rsid wsp:val=&quot;005847E0&quot;/&gt;&lt;wsp:rsid wsp:val=&quot;00584B7A&quot;/&gt;&lt;wsp:rsid wsp:val=&quot;00586743&quot;/&gt;&lt;wsp:rsid wsp:val=&quot;00591C72&quot;/&gt;&lt;wsp:rsid wsp:val=&quot;00591F46&quot;/&gt;&lt;wsp:rsid wsp:val=&quot;0059253F&quot;/&gt;&lt;wsp:rsid wsp:val=&quot;005945E3&quot;/&gt;&lt;wsp:rsid wsp:val=&quot;005960AD&quot;/&gt;&lt;wsp:rsid wsp:val=&quot;00596EC2&quot;/&gt;&lt;wsp:rsid wsp:val=&quot;005A0D4F&quot;/&gt;&lt;wsp:rsid wsp:val=&quot;005B43F0&quot;/&gt;&lt;wsp:rsid wsp:val=&quot;005B4FDF&quot;/&gt;&lt;wsp:rsid wsp:val=&quot;005C0FE9&quot;/&gt;&lt;wsp:rsid wsp:val=&quot;005C260A&quot;/&gt;&lt;wsp:rsid wsp:val=&quot;005C368E&quot;/&gt;&lt;wsp:rsid wsp:val=&quot;005D466E&quot;/&gt;&lt;wsp:rsid wsp:val=&quot;005D4BE7&quot;/&gt;&lt;wsp:rsid wsp:val=&quot;005E3C0B&quot;/&gt;&lt;wsp:rsid wsp:val=&quot;005E5DBA&quot;/&gt;&lt;wsp:rsid wsp:val=&quot;005E69B4&quot;/&gt;&lt;wsp:rsid wsp:val=&quot;005E7FBC&quot;/&gt;&lt;wsp:rsid wsp:val=&quot;005F023C&quot;/&gt;&lt;wsp:rsid wsp:val=&quot;005F1595&quot;/&gt;&lt;wsp:rsid wsp:val=&quot;005F3D91&quot;/&gt;&lt;wsp:rsid wsp:val=&quot;005F57B7&quot;/&gt;&lt;wsp:rsid wsp:val=&quot;005F5F05&quot;/&gt;&lt;wsp:rsid wsp:val=&quot;005F6AC6&quot;/&gt;&lt;wsp:rsid wsp:val=&quot;005F713D&quot;/&gt;&lt;wsp:rsid wsp:val=&quot;006003E6&quot;/&gt;&lt;wsp:rsid wsp:val=&quot;006175DE&quot;/&gt;&lt;wsp:rsid wsp:val=&quot;00617DD3&quot;/&gt;&lt;wsp:rsid wsp:val=&quot;00622F68&quot;/&gt;&lt;wsp:rsid wsp:val=&quot;00632181&quot;/&gt;&lt;wsp:rsid wsp:val=&quot;00632429&quot;/&gt;&lt;wsp:rsid wsp:val=&quot;00636115&quot;/&gt;&lt;wsp:rsid wsp:val=&quot;0064008C&quot;/&gt;&lt;wsp:rsid wsp:val=&quot;00640D7B&quot;/&gt;&lt;wsp:rsid wsp:val=&quot;00643159&quot;/&gt;&lt;wsp:rsid wsp:val=&quot;00644D00&quot;/&gt;&lt;wsp:rsid wsp:val=&quot;00644D32&quot;/&gt;&lt;wsp:rsid wsp:val=&quot;006501B0&quot;/&gt;&lt;wsp:rsid wsp:val=&quot;00652061&quot;/&gt;&lt;wsp:rsid wsp:val=&quot;006559AD&quot;/&gt;&lt;wsp:rsid wsp:val=&quot;00660948&quot;/&gt;&lt;wsp:rsid wsp:val=&quot;006636B9&quot;/&gt;&lt;wsp:rsid wsp:val=&quot;006674ED&quot;/&gt;&lt;wsp:rsid wsp:val=&quot;00667CBE&quot;/&gt;&lt;wsp:rsid wsp:val=&quot;00672766&quot;/&gt;&lt;wsp:rsid wsp:val=&quot;0068415A&quot;/&gt;&lt;wsp:rsid wsp:val=&quot;00693C4F&quot;/&gt;&lt;wsp:rsid wsp:val=&quot;00696563&quot;/&gt;&lt;wsp:rsid wsp:val=&quot;006A0960&quot;/&gt;&lt;wsp:rsid wsp:val=&quot;006A23EA&quot;/&gt;&lt;wsp:rsid wsp:val=&quot;006A42C3&quot;/&gt;&lt;wsp:rsid wsp:val=&quot;006A6C66&quot;/&gt;&lt;wsp:rsid wsp:val=&quot;006B2A27&quot;/&gt;&lt;wsp:rsid wsp:val=&quot;006B4142&quot;/&gt;&lt;wsp:rsid wsp:val=&quot;006C2228&quot;/&gt;&lt;wsp:rsid wsp:val=&quot;006C241F&quot;/&gt;&lt;wsp:rsid wsp:val=&quot;006C5348&quot;/&gt;&lt;wsp:rsid wsp:val=&quot;006C7228&quot;/&gt;&lt;wsp:rsid wsp:val=&quot;006D0B0D&quot;/&gt;&lt;wsp:rsid wsp:val=&quot;006D17A6&quot;/&gt;&lt;wsp:rsid wsp:val=&quot;006D3368&quot;/&gt;&lt;wsp:rsid wsp:val=&quot;006E41CD&quot;/&gt;&lt;wsp:rsid wsp:val=&quot;006E7D12&quot;/&gt;&lt;wsp:rsid wsp:val=&quot;006E7FB0&quot;/&gt;&lt;wsp:rsid wsp:val=&quot;006F0523&quot;/&gt;&lt;wsp:rsid wsp:val=&quot;006F3D6D&quot;/&gt;&lt;wsp:rsid wsp:val=&quot;006F4F45&quot;/&gt;&lt;wsp:rsid wsp:val=&quot;006F511C&quot;/&gt;&lt;wsp:rsid wsp:val=&quot;006F5DAD&quot;/&gt;&lt;wsp:rsid wsp:val=&quot;006F605F&quot;/&gt;&lt;wsp:rsid wsp:val=&quot;006F69BA&quot;/&gt;&lt;wsp:rsid wsp:val=&quot;006F759A&quot;/&gt;&lt;wsp:rsid wsp:val=&quot;007003E8&quot;/&gt;&lt;wsp:rsid wsp:val=&quot;007034BF&quot;/&gt;&lt;wsp:rsid wsp:val=&quot;00703DE6&quot;/&gt;&lt;wsp:rsid wsp:val=&quot;0070402F&quot;/&gt;&lt;wsp:rsid wsp:val=&quot;00711E52&quot;/&gt;&lt;wsp:rsid wsp:val=&quot;007126CD&quot;/&gt;&lt;wsp:rsid wsp:val=&quot;00716B92&quot;/&gt;&lt;wsp:rsid wsp:val=&quot;007231EA&quot;/&gt;&lt;wsp:rsid wsp:val=&quot;00723FE6&quot;/&gt;&lt;wsp:rsid wsp:val=&quot;00726832&quot;/&gt;&lt;wsp:rsid wsp:val=&quot;007312CD&quot;/&gt;&lt;wsp:rsid wsp:val=&quot;00731A0D&quot;/&gt;&lt;wsp:rsid wsp:val=&quot;00734081&quot;/&gt;&lt;wsp:rsid wsp:val=&quot;00734789&quot;/&gt;&lt;wsp:rsid wsp:val=&quot;00734CA7&quot;/&gt;&lt;wsp:rsid wsp:val=&quot;00740669&quot;/&gt;&lt;wsp:rsid wsp:val=&quot;007500B5&quot;/&gt;&lt;wsp:rsid wsp:val=&quot;0075101B&quot;/&gt;&lt;wsp:rsid wsp:val=&quot;00753DCE&quot;/&gt;&lt;wsp:rsid wsp:val=&quot;007544DB&quot;/&gt;&lt;wsp:rsid wsp:val=&quot;00755AF4&quot;/&gt;&lt;wsp:rsid wsp:val=&quot;00763C4D&quot;/&gt;&lt;wsp:rsid wsp:val=&quot;007721EC&quot;/&gt;&lt;wsp:rsid wsp:val=&quot;0077402B&quot;/&gt;&lt;wsp:rsid wsp:val=&quot;00774F98&quot;/&gt;&lt;wsp:rsid wsp:val=&quot;00776CBE&quot;/&gt;&lt;wsp:rsid wsp:val=&quot;007806D5&quot;/&gt;&lt;wsp:rsid wsp:val=&quot;00785017&quot;/&gt;&lt;wsp:rsid wsp:val=&quot;00786393&quot;/&gt;&lt;wsp:rsid wsp:val=&quot;00787D29&quot;/&gt;&lt;wsp:rsid wsp:val=&quot;00791681&quot;/&gt;&lt;wsp:rsid wsp:val=&quot;00795488&quot;/&gt;&lt;wsp:rsid wsp:val=&quot;007978F4&quot;/&gt;&lt;wsp:rsid wsp:val=&quot;007A137B&quot;/&gt;&lt;wsp:rsid wsp:val=&quot;007A284E&quot;/&gt;&lt;wsp:rsid wsp:val=&quot;007A7869&quot;/&gt;&lt;wsp:rsid wsp:val=&quot;007B1E41&quot;/&gt;&lt;wsp:rsid wsp:val=&quot;007B415D&quot;/&gt;&lt;wsp:rsid wsp:val=&quot;007B74DF&quot;/&gt;&lt;wsp:rsid wsp:val=&quot;007C0C6E&quot;/&gt;&lt;wsp:rsid wsp:val=&quot;007C453C&quot;/&gt;&lt;wsp:rsid wsp:val=&quot;007C56C9&quot;/&gt;&lt;wsp:rsid wsp:val=&quot;007D3B34&quot;/&gt;&lt;wsp:rsid wsp:val=&quot;007D73F9&quot;/&gt;&lt;wsp:rsid wsp:val=&quot;007E396A&quot;/&gt;&lt;wsp:rsid wsp:val=&quot;007E428A&quot;/&gt;&lt;wsp:rsid wsp:val=&quot;007E52FF&quot;/&gt;&lt;wsp:rsid wsp:val=&quot;007F2D67&quot;/&gt;&lt;wsp:rsid wsp:val=&quot;007F6E5B&quot;/&gt;&lt;wsp:rsid wsp:val=&quot;0080472E&quot;/&gt;&lt;wsp:rsid wsp:val=&quot;00805909&quot;/&gt;&lt;wsp:rsid wsp:val=&quot;00805EDD&quot;/&gt;&lt;wsp:rsid wsp:val=&quot;008070CC&quot;/&gt;&lt;wsp:rsid wsp:val=&quot;00810757&quot;/&gt;&lt;wsp:rsid wsp:val=&quot;00810F9B&quot;/&gt;&lt;wsp:rsid wsp:val=&quot;0081147F&quot;/&gt;&lt;wsp:rsid wsp:val=&quot;0081356F&quot;/&gt;&lt;wsp:rsid wsp:val=&quot;00815902&quot;/&gt;&lt;wsp:rsid wsp:val=&quot;00822CA9&quot;/&gt;&lt;wsp:rsid wsp:val=&quot;00823184&quot;/&gt;&lt;wsp:rsid wsp:val=&quot;0082702A&quot;/&gt;&lt;wsp:rsid wsp:val=&quot;008405EB&quot;/&gt;&lt;wsp:rsid wsp:val=&quot;00842197&quot;/&gt;&lt;wsp:rsid wsp:val=&quot;00844D9C&quot;/&gt;&lt;wsp:rsid wsp:val=&quot;00845671&quot;/&gt;&lt;wsp:rsid wsp:val=&quot;0084605D&quot;/&gt;&lt;wsp:rsid wsp:val=&quot;00846EE7&quot;/&gt;&lt;wsp:rsid wsp:val=&quot;00851E1F&quot;/&gt;&lt;wsp:rsid wsp:val=&quot;008527BD&quot;/&gt;&lt;wsp:rsid wsp:val=&quot;008534EF&quot;/&gt;&lt;wsp:rsid wsp:val=&quot;00862EFF&quot;/&gt;&lt;wsp:rsid wsp:val=&quot;00864E7B&quot;/&gt;&lt;wsp:rsid wsp:val=&quot;00865931&quot;/&gt;&lt;wsp:rsid wsp:val=&quot;00865B39&quot;/&gt;&lt;wsp:rsid wsp:val=&quot;008663C0&quot;/&gt;&lt;wsp:rsid wsp:val=&quot;008669BE&quot;/&gt;&lt;wsp:rsid wsp:val=&quot;00866A4A&quot;/&gt;&lt;wsp:rsid wsp:val=&quot;00883B67&quot;/&gt;&lt;wsp:rsid wsp:val=&quot;00891A10&quot;/&gt;&lt;wsp:rsid wsp:val=&quot;00892C19&quot;/&gt;&lt;wsp:rsid wsp:val=&quot;008941E8&quot;/&gt;&lt;wsp:rsid wsp:val=&quot;00896EAB&quot;/&gt;&lt;wsp:rsid wsp:val=&quot;008A000E&quot;/&gt;&lt;wsp:rsid wsp:val=&quot;008A23D4&quot;/&gt;&lt;wsp:rsid wsp:val=&quot;008A3FFB&quot;/&gt;&lt;wsp:rsid wsp:val=&quot;008A49CA&quot;/&gt;&lt;wsp:rsid wsp:val=&quot;008B1C1F&quot;/&gt;&lt;wsp:rsid wsp:val=&quot;008B2CA6&quot;/&gt;&lt;wsp:rsid wsp:val=&quot;008B2CD3&quot;/&gt;&lt;wsp:rsid wsp:val=&quot;008B4EA3&quot;/&gt;&lt;wsp:rsid wsp:val=&quot;008B6318&quot;/&gt;&lt;wsp:rsid wsp:val=&quot;008C15A8&quot;/&gt;&lt;wsp:rsid wsp:val=&quot;008C2397&quot;/&gt;&lt;wsp:rsid wsp:val=&quot;008D07B9&quot;/&gt;&lt;wsp:rsid wsp:val=&quot;008D2EB4&quot;/&gt;&lt;wsp:rsid wsp:val=&quot;008D3427&quot;/&gt;&lt;wsp:rsid wsp:val=&quot;008E1385&quot;/&gt;&lt;wsp:rsid wsp:val=&quot;008E1DFA&quot;/&gt;&lt;wsp:rsid wsp:val=&quot;008E5C5E&quot;/&gt;&lt;wsp:rsid wsp:val=&quot;008E695A&quot;/&gt;&lt;wsp:rsid wsp:val=&quot;008E799C&quot;/&gt;&lt;wsp:rsid wsp:val=&quot;008F2EC1&quot;/&gt;&lt;wsp:rsid wsp:val=&quot;008F516E&quot;/&gt;&lt;wsp:rsid wsp:val=&quot;008F67F7&quot;/&gt;&lt;wsp:rsid wsp:val=&quot;008F6828&quot;/&gt;&lt;wsp:rsid wsp:val=&quot;009027AE&quot;/&gt;&lt;wsp:rsid wsp:val=&quot;0090284D&quot;/&gt;&lt;wsp:rsid wsp:val=&quot;00904B62&quot;/&gt;&lt;wsp:rsid wsp:val=&quot;0090762C&quot;/&gt;&lt;wsp:rsid wsp:val=&quot;00914F64&quot;/&gt;&lt;wsp:rsid wsp:val=&quot;009175C0&quot;/&gt;&lt;wsp:rsid wsp:val=&quot;009214DD&quot;/&gt;&lt;wsp:rsid wsp:val=&quot;009237FE&quot;/&gt;&lt;wsp:rsid wsp:val=&quot;0092560D&quot;/&gt;&lt;wsp:rsid wsp:val=&quot;00925FF8&quot;/&gt;&lt;wsp:rsid wsp:val=&quot;00926364&quot;/&gt;&lt;wsp:rsid wsp:val=&quot;00935A6A&quot;/&gt;&lt;wsp:rsid wsp:val=&quot;00941F13&quot;/&gt;&lt;wsp:rsid wsp:val=&quot;00951D45&quot;/&gt;&lt;wsp:rsid wsp:val=&quot;0095226D&quot;/&gt;&lt;wsp:rsid wsp:val=&quot;00954EC2&quot;/&gt;&lt;wsp:rsid wsp:val=&quot;009624D9&quot;/&gt;&lt;wsp:rsid wsp:val=&quot;009628A3&quot;/&gt;&lt;wsp:rsid wsp:val=&quot;00962D64&quot;/&gt;&lt;wsp:rsid wsp:val=&quot;00964A71&quot;/&gt;&lt;wsp:rsid wsp:val=&quot;00966984&quot;/&gt;&lt;wsp:rsid wsp:val=&quot;009670BA&quot;/&gt;&lt;wsp:rsid wsp:val=&quot;0096777A&quot;/&gt;&lt;wsp:rsid wsp:val=&quot;00971B69&quot;/&gt;&lt;wsp:rsid wsp:val=&quot;00972E76&quot;/&gt;&lt;wsp:rsid wsp:val=&quot;00981AC6&quot;/&gt;&lt;wsp:rsid wsp:val=&quot;00984AD8&quot;/&gt;&lt;wsp:rsid wsp:val=&quot;009874B7&quot;/&gt;&lt;wsp:rsid wsp:val=&quot;00990C40&quot;/&gt;&lt;wsp:rsid wsp:val=&quot;00992373&quot;/&gt;&lt;wsp:rsid wsp:val=&quot;00994DDD&quot;/&gt;&lt;wsp:rsid wsp:val=&quot;009A40B8&quot;/&gt;&lt;wsp:rsid wsp:val=&quot;009A5B49&quot;/&gt;&lt;wsp:rsid wsp:val=&quot;009A7117&quot;/&gt;&lt;wsp:rsid wsp:val=&quot;009B0EFF&quot;/&gt;&lt;wsp:rsid wsp:val=&quot;009B1631&quot;/&gt;&lt;wsp:rsid wsp:val=&quot;009B4827&quot;/&gt;&lt;wsp:rsid wsp:val=&quot;009B4954&quot;/&gt;&lt;wsp:rsid wsp:val=&quot;009B5618&quot;/&gt;&lt;wsp:rsid wsp:val=&quot;009C1186&quot;/&gt;&lt;wsp:rsid wsp:val=&quot;009D52F9&quot;/&gt;&lt;wsp:rsid wsp:val=&quot;009D675F&quot;/&gt;&lt;wsp:rsid wsp:val=&quot;009E40CE&quot;/&gt;&lt;wsp:rsid wsp:val=&quot;009F1FBC&quot;/&gt;&lt;wsp:rsid wsp:val=&quot;00A01D46&quot;/&gt;&lt;wsp:rsid wsp:val=&quot;00A048D7&quot;/&gt;&lt;wsp:rsid wsp:val=&quot;00A123A3&quot;/&gt;&lt;wsp:rsid wsp:val=&quot;00A1524C&quot;/&gt;&lt;wsp:rsid wsp:val=&quot;00A20089&quot;/&gt;&lt;wsp:rsid wsp:val=&quot;00A20721&quot;/&gt;&lt;wsp:rsid wsp:val=&quot;00A2127E&quot;/&gt;&lt;wsp:rsid wsp:val=&quot;00A26B14&quot;/&gt;&lt;wsp:rsid wsp:val=&quot;00A30FC3&quot;/&gt;&lt;wsp:rsid wsp:val=&quot;00A32048&quot;/&gt;&lt;wsp:rsid wsp:val=&quot;00A32DED&quot;/&gt;&lt;wsp:rsid wsp:val=&quot;00A34A30&quot;/&gt;&lt;wsp:rsid wsp:val=&quot;00A36913&quot;/&gt;&lt;wsp:rsid wsp:val=&quot;00A36AA9&quot;/&gt;&lt;wsp:rsid wsp:val=&quot;00A37932&quot;/&gt;&lt;wsp:rsid wsp:val=&quot;00A408E0&quot;/&gt;&lt;wsp:rsid wsp:val=&quot;00A40C66&quot;/&gt;&lt;wsp:rsid wsp:val=&quot;00A432AD&quot;/&gt;&lt;wsp:rsid wsp:val=&quot;00A46257&quot;/&gt;&lt;wsp:rsid wsp:val=&quot;00A517DE&quot;/&gt;&lt;wsp:rsid wsp:val=&quot;00A53DB1&quot;/&gt;&lt;wsp:rsid wsp:val=&quot;00A56360&quot;/&gt;&lt;wsp:rsid wsp:val=&quot;00A56BA0&quot;/&gt;&lt;wsp:rsid wsp:val=&quot;00A62455&quot;/&gt;&lt;wsp:rsid wsp:val=&quot;00A63D7E&quot;/&gt;&lt;wsp:rsid wsp:val=&quot;00A64920&quot;/&gt;&lt;wsp:rsid wsp:val=&quot;00A7277A&quot;/&gt;&lt;wsp:rsid wsp:val=&quot;00A7473A&quot;/&gt;&lt;wsp:rsid wsp:val=&quot;00A762B1&quot;/&gt;&lt;wsp:rsid wsp:val=&quot;00A76CBE&quot;/&gt;&lt;wsp:rsid wsp:val=&quot;00A857A7&quot;/&gt;&lt;wsp:rsid wsp:val=&quot;00A936D9&quot;/&gt;&lt;wsp:rsid wsp:val=&quot;00A93DB0&quot;/&gt;&lt;wsp:rsid wsp:val=&quot;00A940F2&quot;/&gt;&lt;wsp:rsid wsp:val=&quot;00A96385&quot;/&gt;&lt;wsp:rsid wsp:val=&quot;00A966BA&quot;/&gt;&lt;wsp:rsid wsp:val=&quot;00A975A5&quot;/&gt;&lt;wsp:rsid wsp:val=&quot;00AA4EED&quot;/&gt;&lt;wsp:rsid wsp:val=&quot;00AA53FD&quot;/&gt;&lt;wsp:rsid wsp:val=&quot;00AB6082&quot;/&gt;&lt;wsp:rsid wsp:val=&quot;00AB6BDA&quot;/&gt;&lt;wsp:rsid wsp:val=&quot;00AB7803&quot;/&gt;&lt;wsp:rsid wsp:val=&quot;00AB7B62&quot;/&gt;&lt;wsp:rsid wsp:val=&quot;00AC45E0&quot;/&gt;&lt;wsp:rsid wsp:val=&quot;00AC5935&quot;/&gt;&lt;wsp:rsid wsp:val=&quot;00AC6D0B&quot;/&gt;&lt;wsp:rsid wsp:val=&quot;00AC7C96&quot;/&gt;&lt;wsp:rsid wsp:val=&quot;00AD2B3F&quot;/&gt;&lt;wsp:rsid wsp:val=&quot;00AD4084&quot;/&gt;&lt;wsp:rsid wsp:val=&quot;00AD5477&quot;/&gt;&lt;wsp:rsid wsp:val=&quot;00AD65F3&quot;/&gt;&lt;wsp:rsid wsp:val=&quot;00AE10A5&quot;/&gt;&lt;wsp:rsid wsp:val=&quot;00AE22DC&quot;/&gt;&lt;wsp:rsid wsp:val=&quot;00AE315E&quot;/&gt;&lt;wsp:rsid wsp:val=&quot;00AE36C6&quot;/&gt;&lt;wsp:rsid wsp:val=&quot;00AE3A32&quot;/&gt;&lt;wsp:rsid wsp:val=&quot;00AF252E&quot;/&gt;&lt;wsp:rsid wsp:val=&quot;00AF2747&quot;/&gt;&lt;wsp:rsid wsp:val=&quot;00AF3184&quot;/&gt;&lt;wsp:rsid wsp:val=&quot;00AF778A&quot;/&gt;&lt;wsp:rsid wsp:val=&quot;00AF7AA4&quot;/&gt;&lt;wsp:rsid wsp:val=&quot;00B0188D&quot;/&gt;&lt;wsp:rsid wsp:val=&quot;00B04E4F&quot;/&gt;&lt;wsp:rsid wsp:val=&quot;00B15B1C&quot;/&gt;&lt;wsp:rsid wsp:val=&quot;00B15B49&quot;/&gt;&lt;wsp:rsid wsp:val=&quot;00B21DED&quot;/&gt;&lt;wsp:rsid wsp:val=&quot;00B2234B&quot;/&gt;&lt;wsp:rsid wsp:val=&quot;00B2326F&quot;/&gt;&lt;wsp:rsid wsp:val=&quot;00B23BC5&quot;/&gt;&lt;wsp:rsid wsp:val=&quot;00B23F02&quot;/&gt;&lt;wsp:rsid wsp:val=&quot;00B24A2E&quot;/&gt;&lt;wsp:rsid wsp:val=&quot;00B2737C&quot;/&gt;&lt;wsp:rsid wsp:val=&quot;00B355AB&quot;/&gt;&lt;wsp:rsid wsp:val=&quot;00B35808&quot;/&gt;&lt;wsp:rsid wsp:val=&quot;00B40A77&quot;/&gt;&lt;wsp:rsid wsp:val=&quot;00B4331C&quot;/&gt;&lt;wsp:rsid wsp:val=&quot;00B43962&quot;/&gt;&lt;wsp:rsid wsp:val=&quot;00B43A2C&quot;/&gt;&lt;wsp:rsid wsp:val=&quot;00B45171&quot;/&gt;&lt;wsp:rsid wsp:val=&quot;00B457D3&quot;/&gt;&lt;wsp:rsid wsp:val=&quot;00B50066&quot;/&gt;&lt;wsp:rsid wsp:val=&quot;00B5139F&quot;/&gt;&lt;wsp:rsid wsp:val=&quot;00B5385F&quot;/&gt;&lt;wsp:rsid wsp:val=&quot;00B5482A&quot;/&gt;&lt;wsp:rsid wsp:val=&quot;00B63009&quot;/&gt;&lt;wsp:rsid wsp:val=&quot;00B6611C&quot;/&gt;&lt;wsp:rsid wsp:val=&quot;00B71E13&quot;/&gt;&lt;wsp:rsid wsp:val=&quot;00B73798&quot;/&gt;&lt;wsp:rsid wsp:val=&quot;00B742B7&quot;/&gt;&lt;wsp:rsid wsp:val=&quot;00B754BD&quot;/&gt;&lt;wsp:rsid wsp:val=&quot;00B81630&quot;/&gt;&lt;wsp:rsid wsp:val=&quot;00B822EA&quot;/&gt;&lt;wsp:rsid wsp:val=&quot;00B8619A&quot;/&gt;&lt;wsp:rsid wsp:val=&quot;00B86472&quot;/&gt;&lt;wsp:rsid wsp:val=&quot;00B869CB&quot;/&gt;&lt;wsp:rsid wsp:val=&quot;00B902A0&quot;/&gt;&lt;wsp:rsid wsp:val=&quot;00B90A7B&quot;/&gt;&lt;wsp:rsid wsp:val=&quot;00BA3A66&quot;/&gt;&lt;wsp:rsid wsp:val=&quot;00BA4824&quot;/&gt;&lt;wsp:rsid wsp:val=&quot;00BA6E84&quot;/&gt;&lt;wsp:rsid wsp:val=&quot;00BA76DD&quot;/&gt;&lt;wsp:rsid wsp:val=&quot;00BB0D5C&quot;/&gt;&lt;wsp:rsid wsp:val=&quot;00BB15B3&quot;/&gt;&lt;wsp:rsid wsp:val=&quot;00BC4436&quot;/&gt;&lt;wsp:rsid wsp:val=&quot;00BC6C5F&quot;/&gt;&lt;wsp:rsid wsp:val=&quot;00BD1368&quot;/&gt;&lt;wsp:rsid wsp:val=&quot;00BD21EF&quot;/&gt;&lt;wsp:rsid wsp:val=&quot;00BD355B&quot;/&gt;&lt;wsp:rsid wsp:val=&quot;00BD5A8D&quot;/&gt;&lt;wsp:rsid wsp:val=&quot;00BE2AC1&quot;/&gt;&lt;wsp:rsid wsp:val=&quot;00BE592E&quot;/&gt;&lt;wsp:rsid wsp:val=&quot;00BE65ED&quot;/&gt;&lt;wsp:rsid wsp:val=&quot;00BF25B0&quot;/&gt;&lt;wsp:rsid wsp:val=&quot;00BF3B70&quot;/&gt;&lt;wsp:rsid wsp:val=&quot;00BF3C5D&quot;/&gt;&lt;wsp:rsid wsp:val=&quot;00BF6E45&quot;/&gt;&lt;wsp:rsid wsp:val=&quot;00C01E49&quot;/&gt;&lt;wsp:rsid wsp:val=&quot;00C021D7&quot;/&gt;&lt;wsp:rsid wsp:val=&quot;00C02215&quot;/&gt;&lt;wsp:rsid wsp:val=&quot;00C04695&quot;/&gt;&lt;wsp:rsid wsp:val=&quot;00C04D0B&quot;/&gt;&lt;wsp:rsid wsp:val=&quot;00C074C0&quot;/&gt;&lt;wsp:rsid wsp:val=&quot;00C07EB7&quot;/&gt;&lt;wsp:rsid wsp:val=&quot;00C104F4&quot;/&gt;&lt;wsp:rsid wsp:val=&quot;00C1118A&quot;/&gt;&lt;wsp:rsid wsp:val=&quot;00C11EA4&quot;/&gt;&lt;wsp:rsid wsp:val=&quot;00C128D2&quot;/&gt;&lt;wsp:rsid wsp:val=&quot;00C13A35&quot;/&gt;&lt;wsp:rsid wsp:val=&quot;00C21583&quot;/&gt;&lt;wsp:rsid wsp:val=&quot;00C2592D&quot;/&gt;&lt;wsp:rsid wsp:val=&quot;00C31477&quot;/&gt;&lt;wsp:rsid wsp:val=&quot;00C32824&quot;/&gt;&lt;wsp:rsid wsp:val=&quot;00C3307D&quot;/&gt;&lt;wsp:rsid wsp:val=&quot;00C42D45&quot;/&gt;&lt;wsp:rsid wsp:val=&quot;00C43BAE&quot;/&gt;&lt;wsp:rsid wsp:val=&quot;00C504B7&quot;/&gt;&lt;wsp:rsid wsp:val=&quot;00C53DAE&quot;/&gt;&lt;wsp:rsid wsp:val=&quot;00C542A2&quot;/&gt;&lt;wsp:rsid wsp:val=&quot;00C60D32&quot;/&gt;&lt;wsp:rsid wsp:val=&quot;00C7408C&quot;/&gt;&lt;wsp:rsid wsp:val=&quot;00C7431E&quot;/&gt;&lt;wsp:rsid wsp:val=&quot;00C749DF&quot;/&gt;&lt;wsp:rsid wsp:val=&quot;00C840D1&quot;/&gt;&lt;wsp:rsid wsp:val=&quot;00C84B77&quot;/&gt;&lt;wsp:rsid wsp:val=&quot;00C85A72&quot;/&gt;&lt;wsp:rsid wsp:val=&quot;00C85F24&quot;/&gt;&lt;wsp:rsid wsp:val=&quot;00C87F71&quot;/&gt;&lt;wsp:rsid wsp:val=&quot;00C9074E&quot;/&gt;&lt;wsp:rsid wsp:val=&quot;00C940A6&quot;/&gt;&lt;wsp:rsid wsp:val=&quot;00C949DD&quot;/&gt;&lt;wsp:rsid wsp:val=&quot;00C95D01&quot;/&gt;&lt;wsp:rsid wsp:val=&quot;00C96DC9&quot;/&gt;&lt;wsp:rsid wsp:val=&quot;00C9790B&quot;/&gt;&lt;wsp:rsid wsp:val=&quot;00CA0D11&quot;/&gt;&lt;wsp:rsid wsp:val=&quot;00CA130D&quot;/&gt;&lt;wsp:rsid wsp:val=&quot;00CA3D14&quot;/&gt;&lt;wsp:rsid wsp:val=&quot;00CA7DCE&quot;/&gt;&lt;wsp:rsid wsp:val=&quot;00CB5434&quot;/&gt;&lt;wsp:rsid wsp:val=&quot;00CB7F97&quot;/&gt;&lt;wsp:rsid wsp:val=&quot;00CC34B5&quot;/&gt;&lt;wsp:rsid wsp:val=&quot;00CC516D&quot;/&gt;&lt;wsp:rsid wsp:val=&quot;00CD74BF&quot;/&gt;&lt;wsp:rsid wsp:val=&quot;00CE0EA7&quot;/&gt;&lt;wsp:rsid wsp:val=&quot;00CE31EF&quot;/&gt;&lt;wsp:rsid wsp:val=&quot;00CE71BD&quot;/&gt;&lt;wsp:rsid wsp:val=&quot;00CF48D4&quot;/&gt;&lt;wsp:rsid wsp:val=&quot;00CF54A3&quot;/&gt;&lt;wsp:rsid wsp:val=&quot;00CF6FD7&quot;/&gt;&lt;wsp:rsid wsp:val=&quot;00D0033D&quot;/&gt;&lt;wsp:rsid wsp:val=&quot;00D047B1&quot;/&gt;&lt;wsp:rsid wsp:val=&quot;00D04B3B&quot;/&gt;&lt;wsp:rsid wsp:val=&quot;00D04D6B&quot;/&gt;&lt;wsp:rsid wsp:val=&quot;00D0727B&quot;/&gt;&lt;wsp:rsid wsp:val=&quot;00D10393&quot;/&gt;&lt;wsp:rsid wsp:val=&quot;00D103F2&quot;/&gt;&lt;wsp:rsid wsp:val=&quot;00D12CD8&quot;/&gt;&lt;wsp:rsid wsp:val=&quot;00D212DB&quot;/&gt;&lt;wsp:rsid wsp:val=&quot;00D2545C&quot;/&gt;&lt;wsp:rsid wsp:val=&quot;00D25D37&quot;/&gt;&lt;wsp:rsid wsp:val=&quot;00D263A4&quot;/&gt;&lt;wsp:rsid wsp:val=&quot;00D3295E&quot;/&gt;&lt;wsp:rsid wsp:val=&quot;00D33B4C&quot;/&gt;&lt;wsp:rsid wsp:val=&quot;00D347B8&quot;/&gt;&lt;wsp:rsid wsp:val=&quot;00D4192C&quot;/&gt;&lt;wsp:rsid wsp:val=&quot;00D41DBA&quot;/&gt;&lt;wsp:rsid wsp:val=&quot;00D46A11&quot;/&gt;&lt;wsp:rsid wsp:val=&quot;00D5476A&quot;/&gt;&lt;wsp:rsid wsp:val=&quot;00D55A12&quot;/&gt;&lt;wsp:rsid wsp:val=&quot;00D606AA&quot;/&gt;&lt;wsp:rsid wsp:val=&quot;00D756AE&quot;/&gt;&lt;wsp:rsid wsp:val=&quot;00D76267&quot;/&gt;&lt;wsp:rsid wsp:val=&quot;00D81456&quot;/&gt;&lt;wsp:rsid wsp:val=&quot;00D81687&quot;/&gt;&lt;wsp:rsid wsp:val=&quot;00D84B18&quot;/&gt;&lt;wsp:rsid wsp:val=&quot;00D86763&quot;/&gt;&lt;wsp:rsid wsp:val=&quot;00D874B9&quot;/&gt;&lt;wsp:rsid wsp:val=&quot;00D87738&quot;/&gt;&lt;wsp:rsid wsp:val=&quot;00D8792B&quot;/&gt;&lt;wsp:rsid wsp:val=&quot;00D92CEF&quot;/&gt;&lt;wsp:rsid wsp:val=&quot;00D93D97&quot;/&gt;&lt;wsp:rsid wsp:val=&quot;00DA3131&quot;/&gt;&lt;wsp:rsid wsp:val=&quot;00DA3C67&quot;/&gt;&lt;wsp:rsid wsp:val=&quot;00DA5827&quot;/&gt;&lt;wsp:rsid wsp:val=&quot;00DB457E&quot;/&gt;&lt;wsp:rsid wsp:val=&quot;00DB5542&quot;/&gt;&lt;wsp:rsid wsp:val=&quot;00DB5AD7&quot;/&gt;&lt;wsp:rsid wsp:val=&quot;00DC538B&quot;/&gt;&lt;wsp:rsid wsp:val=&quot;00DC58B5&quot;/&gt;&lt;wsp:rsid wsp:val=&quot;00DD0DD1&quot;/&gt;&lt;wsp:rsid wsp:val=&quot;00DD139D&quot;/&gt;&lt;wsp:rsid wsp:val=&quot;00DE4009&quot;/&gt;&lt;wsp:rsid wsp:val=&quot;00DE5C50&quot;/&gt;&lt;wsp:rsid wsp:val=&quot;00DE6E6F&quot;/&gt;&lt;wsp:rsid wsp:val=&quot;00DF52F8&quot;/&gt;&lt;wsp:rsid wsp:val=&quot;00DF7AC1&quot;/&gt;&lt;wsp:rsid wsp:val=&quot;00E01754&quot;/&gt;&lt;wsp:rsid wsp:val=&quot;00E061B3&quot;/&gt;&lt;wsp:rsid wsp:val=&quot;00E07E36&quot;/&gt;&lt;wsp:rsid wsp:val=&quot;00E200BC&quot;/&gt;&lt;wsp:rsid wsp:val=&quot;00E225FB&quot;/&gt;&lt;wsp:rsid wsp:val=&quot;00E23B20&quot;/&gt;&lt;wsp:rsid wsp:val=&quot;00E30F24&quot;/&gt;&lt;wsp:rsid wsp:val=&quot;00E31DF9&quot;/&gt;&lt;wsp:rsid wsp:val=&quot;00E3773F&quot;/&gt;&lt;wsp:rsid wsp:val=&quot;00E4178F&quot;/&gt;&lt;wsp:rsid wsp:val=&quot;00E50AA6&quot;/&gt;&lt;wsp:rsid wsp:val=&quot;00E57916&quot;/&gt;&lt;wsp:rsid wsp:val=&quot;00E62407&quot;/&gt;&lt;wsp:rsid wsp:val=&quot;00E72753&quot;/&gt;&lt;wsp:rsid wsp:val=&quot;00E73CE9&quot;/&gt;&lt;wsp:rsid wsp:val=&quot;00E77C0A&quot;/&gt;&lt;wsp:rsid wsp:val=&quot;00E81EB9&quot;/&gt;&lt;wsp:rsid wsp:val=&quot;00E83A28&quot;/&gt;&lt;wsp:rsid wsp:val=&quot;00E8413C&quot;/&gt;&lt;wsp:rsid wsp:val=&quot;00E86F28&quot;/&gt;&lt;wsp:rsid wsp:val=&quot;00E91938&quot;/&gt;&lt;wsp:rsid wsp:val=&quot;00E94C0B&quot;/&gt;&lt;wsp:rsid wsp:val=&quot;00EB3364&quot;/&gt;&lt;wsp:rsid wsp:val=&quot;00EB4A71&quot;/&gt;&lt;wsp:rsid wsp:val=&quot;00EC524B&quot;/&gt;&lt;wsp:rsid wsp:val=&quot;00ED0091&quot;/&gt;&lt;wsp:rsid wsp:val=&quot;00ED5E63&quot;/&gt;&lt;wsp:rsid wsp:val=&quot;00ED7653&quot;/&gt;&lt;wsp:rsid wsp:val=&quot;00EE06D8&quot;/&gt;&lt;wsp:rsid wsp:val=&quot;00EE1404&quot;/&gt;&lt;wsp:rsid wsp:val=&quot;00EE148A&quot;/&gt;&lt;wsp:rsid wsp:val=&quot;00EE2C31&quot;/&gt;&lt;wsp:rsid wsp:val=&quot;00EE4EE7&quot;/&gt;&lt;wsp:rsid wsp:val=&quot;00F00746&quot;/&gt;&lt;wsp:rsid wsp:val=&quot;00F07059&quot;/&gt;&lt;wsp:rsid wsp:val=&quot;00F1155C&quot;/&gt;&lt;wsp:rsid wsp:val=&quot;00F1681C&quot;/&gt;&lt;wsp:rsid wsp:val=&quot;00F16BF4&quot;/&gt;&lt;wsp:rsid wsp:val=&quot;00F21253&quot;/&gt;&lt;wsp:rsid wsp:val=&quot;00F21CF8&quot;/&gt;&lt;wsp:rsid wsp:val=&quot;00F25031&quot;/&gt;&lt;wsp:rsid wsp:val=&quot;00F34817&quot;/&gt;&lt;wsp:rsid wsp:val=&quot;00F359D4&quot;/&gt;&lt;wsp:rsid wsp:val=&quot;00F46362&quot;/&gt;&lt;wsp:rsid wsp:val=&quot;00F463ED&quot;/&gt;&lt;wsp:rsid wsp:val=&quot;00F4744D&quot;/&gt;&lt;wsp:rsid wsp:val=&quot;00F60578&quot;/&gt;&lt;wsp:rsid wsp:val=&quot;00F6097E&quot;/&gt;&lt;wsp:rsid wsp:val=&quot;00F649EE&quot;/&gt;&lt;wsp:rsid wsp:val=&quot;00F65688&quot;/&gt;&lt;wsp:rsid wsp:val=&quot;00F659A1&quot;/&gt;&lt;wsp:rsid wsp:val=&quot;00F7252E&quot;/&gt;&lt;wsp:rsid wsp:val=&quot;00F72E30&quot;/&gt;&lt;wsp:rsid wsp:val=&quot;00F802A9&quot;/&gt;&lt;wsp:rsid wsp:val=&quot;00F8033E&quot;/&gt;&lt;wsp:rsid wsp:val=&quot;00F82619&quot;/&gt;&lt;wsp:rsid wsp:val=&quot;00F9226D&quot;/&gt;&lt;wsp:rsid wsp:val=&quot;00F92795&quot;/&gt;&lt;wsp:rsid wsp:val=&quot;00F93081&quot;/&gt;&lt;wsp:rsid wsp:val=&quot;00F947AC&quot;/&gt;&lt;wsp:rsid wsp:val=&quot;00FA36E1&quot;/&gt;&lt;wsp:rsid wsp:val=&quot;00FA386E&quot;/&gt;&lt;wsp:rsid wsp:val=&quot;00FA4A91&quot;/&gt;&lt;wsp:rsid wsp:val=&quot;00FB6267&quot;/&gt;&lt;wsp:rsid wsp:val=&quot;00FC1C47&quot;/&gt;&lt;wsp:rsid wsp:val=&quot;00FC235A&quot;/&gt;&lt;wsp:rsid wsp:val=&quot;00FC4A1A&quot;/&gt;&lt;wsp:rsid wsp:val=&quot;00FC7FAC&quot;/&gt;&lt;wsp:rsid wsp:val=&quot;00FD0FEC&quot;/&gt;&lt;wsp:rsid wsp:val=&quot;00FD29B4&quot;/&gt;&lt;wsp:rsid wsp:val=&quot;00FD2B57&quot;/&gt;&lt;wsp:rsid wsp:val=&quot;00FD427A&quot;/&gt;&lt;wsp:rsid wsp:val=&quot;00FE0DA1&quot;/&gt;&lt;wsp:rsid wsp:val=&quot;00FE2D78&quot;/&gt;&lt;wsp:rsid wsp:val=&quot;00FE40EF&quot;/&gt;&lt;wsp:rsid wsp:val=&quot;00FE5965&quot;/&gt;&lt;wsp:rsid wsp:val=&quot;00FE6C98&quot;/&gt;&lt;wsp:rsid wsp:val=&quot;00FE76FF&quot;/&gt;&lt;wsp:rsid wsp:val=&quot;00FF0550&quot;/&gt;&lt;wsp:rsid wsp:val=&quot;00FF3F13&quot;/&gt;&lt;wsp:rsid wsp:val=&quot;069D11AC&quot;/&gt;&lt;wsp:rsid wsp:val=&quot;09B11BED&quot;/&gt;&lt;wsp:rsid wsp:val=&quot;2CA27B92&quot;/&gt;&lt;wsp:rsid wsp:val=&quot;2E761E7C&quot;/&gt;&lt;wsp:rsid wsp:val=&quot;3DAA4DB8&quot;/&gt;&lt;wsp:rsid wsp:val=&quot;483E004C&quot;/&gt;&lt;wsp:rsid wsp:val=&quot;521A1E56&quot;/&gt;&lt;wsp:rsid wsp:val=&quot;521A5946&quot;/&gt;&lt;wsp:rsid wsp:val=&quot;69124135&quot;/&gt;&lt;wsp:rsid wsp:val=&quot;6A4D2BD0&quot;/&gt;&lt;wsp:rsid wsp:val=&quot;796B021D&quot;/&gt;&lt;/wsp:rsids&gt;&lt;/w:docPr&gt;&lt;w:body&gt;&lt;wx:sect&gt;&lt;w:p wsp:rsidR=&quot;00000000&quot; wsp:rsidRDefault=&quot;00312576&quot; wsp:rsidP=&quot;00312576&quot;&gt;&lt;w:pPr&gt;&lt;w:ind w:first-line=&quot;480&quot;/&gt;&lt;/w:pPr&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44&lt;/m:t&gt;&lt;/m:r&gt;&lt;/m:num&gt;&lt;m:den&gt;&lt;m:r&gt;&lt;w:rPr&gt;&lt;w:rFonts w:ascii=&quot;Cambria Math&quot; w:h-ansi=&quot;Cambria Math&quot;/&gt;&lt;wx:font wx:val=&quot;Cambria Math&quot;/&gt;&lt;w:i/&gt;&lt;/w:rPr&gt;&lt;m:t&gt;12&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89" chromakey="#FFFFFF" o:title=""/>
            <o:lock v:ext="edit" aspectratio="t"/>
            <w10:wrap type="none"/>
            <w10:anchorlock/>
          </v:shape>
        </w:pict>
      </w:r>
      <w:r>
        <w:rPr>
          <w:rFonts w:ascii="Times New Roman" w:cs="Times New Roman"/>
          <w:kern w:val="2"/>
        </w:rPr>
        <w:fldChar w:fldCharType="end"/>
      </w:r>
      <w:r>
        <w:rPr>
          <w:rFonts w:hint="eastAsia" w:ascii="Times New Roman" w:cs="Times New Roman"/>
          <w:kern w:val="2"/>
        </w:rPr>
        <w:t>二氧化碳的相对分子质量与碳的相对分子质量之比，量纲为1；</w:t>
      </w:r>
    </w:p>
    <w:p>
      <w:pPr>
        <w:topLinePunct w:val="0"/>
        <w:adjustRightInd/>
        <w:ind w:firstLine="1200" w:firstLineChars="500"/>
        <w:rPr>
          <w:rFonts w:ascii="Times New Roman" w:cs="Times New Roman"/>
          <w:kern w:val="2"/>
        </w:rPr>
      </w:pPr>
      <w:r>
        <w:rPr>
          <w:rFonts w:hint="eastAsia" w:ascii="Times New Roman" w:cs="Times New Roman"/>
          <w:kern w:val="2"/>
        </w:rPr>
        <w:t>i燃烧设施序号；</w:t>
      </w:r>
    </w:p>
    <w:p>
      <w:pPr>
        <w:topLinePunct w:val="0"/>
        <w:adjustRightInd/>
        <w:ind w:firstLine="1200" w:firstLineChars="500"/>
        <w:rPr>
          <w:rFonts w:ascii="Times New Roman" w:cs="Times New Roman"/>
          <w:kern w:val="2"/>
        </w:rPr>
      </w:pPr>
      <w:r>
        <w:rPr>
          <w:rFonts w:hint="eastAsia" w:ascii="Times New Roman" w:cs="Times New Roman"/>
          <w:kern w:val="2"/>
        </w:rPr>
        <w:t>j化石燃料品种</w:t>
      </w:r>
    </w:p>
    <w:p>
      <w:pPr>
        <w:topLinePunct w:val="0"/>
        <w:adjustRightInd/>
        <w:ind w:firstLine="480"/>
        <w:rPr>
          <w:rFonts w:ascii="Times New Roman" w:cs="Times New Roman"/>
          <w:kern w:val="2"/>
        </w:rPr>
      </w:pPr>
      <w:r>
        <w:rPr>
          <w:rFonts w:hint="eastAsia" w:ascii="Times New Roman" w:cs="Times New Roman"/>
          <w:kern w:val="2"/>
        </w:rPr>
        <w:t>因此，根据上述公式：</w:t>
      </w:r>
    </w:p>
    <w:p>
      <w:pPr>
        <w:topLinePunct w:val="0"/>
        <w:adjustRightInd/>
        <w:ind w:firstLine="480"/>
        <w:rPr>
          <w:rFonts w:ascii="Times New Roman" w:cs="Times New Roman"/>
          <w:kern w:val="2"/>
        </w:rPr>
      </w:pPr>
      <w:r>
        <w:rPr>
          <w:rFonts w:hint="eastAsia" w:ascii="Times New Roman" w:cs="Times New Roman"/>
          <w:kern w:val="2"/>
        </w:rPr>
        <w:t>E</w:t>
      </w:r>
      <w:r>
        <w:rPr>
          <w:rFonts w:hint="eastAsia" w:ascii="Times New Roman" w:cs="Times New Roman"/>
          <w:kern w:val="2"/>
          <w:vertAlign w:val="subscript"/>
        </w:rPr>
        <w:t>c</w:t>
      </w:r>
      <w:r>
        <w:rPr>
          <w:rFonts w:hint="eastAsia" w:ascii="Times New Roman" w:cs="Times New Roman"/>
          <w:kern w:val="2"/>
        </w:rPr>
        <w:t>=55×8000/10000×5.96×0.99×</w:t>
      </w:r>
      <w:r>
        <w:rPr>
          <w:rFonts w:ascii="Times New Roman" w:cs="Times New Roman"/>
          <w:kern w:val="2"/>
        </w:rPr>
        <w:fldChar w:fldCharType="begin"/>
      </w:r>
      <w:r>
        <w:rPr>
          <w:rFonts w:ascii="Times New Roman" w:cs="Times New Roman"/>
          <w:kern w:val="2"/>
        </w:rPr>
        <w:instrText xml:space="preserve"> QUOTE </w:instrText>
      </w:r>
      <w:r>
        <w:rPr>
          <w:rFonts w:ascii="Times New Roman" w:cs="Times New Roman"/>
          <w:kern w:val="2"/>
          <w:position w:val="-28"/>
        </w:rPr>
        <w:pict>
          <v:shape id="_x0000_i1029" o:spt="75" type="#_x0000_t75" style="height:26.9pt;width:9.4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mirrorMargins/&gt;&lt;w:bordersDontSurroundHeader/&gt;&lt;w:bordersDontSurroundFooter/&gt;&lt;w:hideSpellingErrors/&gt;&lt;w:stylePaneFormatFilter w:val=&quot;3F01&quot;/&gt;&lt;w:documentProtection w:edit=&quot;read-only&quot; w:enforcement=&quot;off&quot;/&gt;&lt;w:defaultTabStop w:val=&quot;0&quot;/&gt;&lt;w:evenAndOddHeaders/&gt;&lt;w:drawingGridHorizontalSpacing w:val=&quot;105&quot;/&gt;&lt;w:drawingGridVerticalSpacing w:val=&quot;156&quot;/&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dontGrowAutofit/&gt;&lt;w:useFELayout/&gt;&lt;/w:compat&gt;&lt;w:docVars&gt;&lt;w:docVar w:name=&quot;commondata&quot; w:val=&quot;eyJoZGlkIjoiYzE4N2M0YWU5ZGQyMWIwMGFiMDc3NzM3Y2I5MDk3MWYifQ==&quot;/&gt;&lt;/w:docVars&gt;&lt;wsp:rsids&gt;&lt;wsp:rsidRoot wsp:val=&quot;00172A27&quot;/&gt;&lt;wsp:rsid wsp:val=&quot;00000752&quot;/&gt;&lt;wsp:rsid wsp:val=&quot;00001B16&quot;/&gt;&lt;wsp:rsid wsp:val=&quot;00003A89&quot;/&gt;&lt;wsp:rsid wsp:val=&quot;000050CD&quot;/&gt;&lt;wsp:rsid wsp:val=&quot;000064CD&quot;/&gt;&lt;wsp:rsid wsp:val=&quot;00012191&quot;/&gt;&lt;wsp:rsid wsp:val=&quot;0002136A&quot;/&gt;&lt;wsp:rsid wsp:val=&quot;00021A6B&quot;/&gt;&lt;wsp:rsid wsp:val=&quot;00025148&quot;/&gt;&lt;wsp:rsid wsp:val=&quot;00026FF1&quot;/&gt;&lt;wsp:rsid wsp:val=&quot;00027A79&quot;/&gt;&lt;wsp:rsid wsp:val=&quot;00030C58&quot;/&gt;&lt;wsp:rsid wsp:val=&quot;000311A3&quot;/&gt;&lt;wsp:rsid wsp:val=&quot;0003127A&quot;/&gt;&lt;wsp:rsid wsp:val=&quot;000332D1&quot;/&gt;&lt;wsp:rsid wsp:val=&quot;00033776&quot;/&gt;&lt;wsp:rsid wsp:val=&quot;0003611A&quot;/&gt;&lt;wsp:rsid wsp:val=&quot;00036C83&quot;/&gt;&lt;wsp:rsid wsp:val=&quot;0004179D&quot;/&gt;&lt;wsp:rsid wsp:val=&quot;00041826&quot;/&gt;&lt;wsp:rsid wsp:val=&quot;000423CA&quot;/&gt;&lt;wsp:rsid wsp:val=&quot;000438A2&quot;/&gt;&lt;wsp:rsid wsp:val=&quot;00046590&quot;/&gt;&lt;wsp:rsid wsp:val=&quot;000500A0&quot;/&gt;&lt;wsp:rsid wsp:val=&quot;000565F8&quot;/&gt;&lt;wsp:rsid wsp:val=&quot;00056A68&quot;/&gt;&lt;wsp:rsid wsp:val=&quot;0005773F&quot;/&gt;&lt;wsp:rsid wsp:val=&quot;000601FE&quot;/&gt;&lt;wsp:rsid wsp:val=&quot;00060864&quot;/&gt;&lt;wsp:rsid wsp:val=&quot;00060DE3&quot;/&gt;&lt;wsp:rsid wsp:val=&quot;00062F8A&quot;/&gt;&lt;wsp:rsid wsp:val=&quot;000643BE&quot;/&gt;&lt;wsp:rsid wsp:val=&quot;00070CBD&quot;/&gt;&lt;wsp:rsid wsp:val=&quot;00075CCB&quot;/&gt;&lt;wsp:rsid wsp:val=&quot;0008373B&quot;/&gt;&lt;wsp:rsid wsp:val=&quot;000844FB&quot;/&gt;&lt;wsp:rsid wsp:val=&quot;000922A4&quot;/&gt;&lt;wsp:rsid wsp:val=&quot;00094029&quot;/&gt;&lt;wsp:rsid wsp:val=&quot;00096D5B&quot;/&gt;&lt;wsp:rsid wsp:val=&quot;000A299B&quot;/&gt;&lt;wsp:rsid wsp:val=&quot;000A342F&quot;/&gt;&lt;wsp:rsid wsp:val=&quot;000B03F2&quot;/&gt;&lt;wsp:rsid wsp:val=&quot;000B07EE&quot;/&gt;&lt;wsp:rsid wsp:val=&quot;000B379A&quot;/&gt;&lt;wsp:rsid wsp:val=&quot;000B4A2B&quot;/&gt;&lt;wsp:rsid wsp:val=&quot;000B6A75&quot;/&gt;&lt;wsp:rsid wsp:val=&quot;000C171A&quot;/&gt;&lt;wsp:rsid wsp:val=&quot;000D1BD3&quot;/&gt;&lt;wsp:rsid wsp:val=&quot;000D20DF&quot;/&gt;&lt;wsp:rsid wsp:val=&quot;000D48A4&quot;/&gt;&lt;wsp:rsid wsp:val=&quot;000D6A21&quot;/&gt;&lt;wsp:rsid wsp:val=&quot;000E2EDB&quot;/&gt;&lt;wsp:rsid wsp:val=&quot;000E4561&quot;/&gt;&lt;wsp:rsid wsp:val=&quot;000E4B27&quot;/&gt;&lt;wsp:rsid wsp:val=&quot;000E6AF8&quot;/&gt;&lt;wsp:rsid wsp:val=&quot;000F2E34&quot;/&gt;&lt;wsp:rsid wsp:val=&quot;000F3517&quot;/&gt;&lt;wsp:rsid wsp:val=&quot;000F5B68&quot;/&gt;&lt;wsp:rsid wsp:val=&quot;000F6CD7&quot;/&gt;&lt;wsp:rsid wsp:val=&quot;001035DC&quot;/&gt;&lt;wsp:rsid wsp:val=&quot;00105F6D&quot;/&gt;&lt;wsp:rsid wsp:val=&quot;0010660C&quot;/&gt;&lt;wsp:rsid wsp:val=&quot;00106BB5&quot;/&gt;&lt;wsp:rsid wsp:val=&quot;0011045C&quot;/&gt;&lt;wsp:rsid wsp:val=&quot;00112010&quot;/&gt;&lt;wsp:rsid wsp:val=&quot;00116D88&quot;/&gt;&lt;wsp:rsid wsp:val=&quot;00117335&quot;/&gt;&lt;wsp:rsid wsp:val=&quot;00125E4D&quot;/&gt;&lt;wsp:rsid wsp:val=&quot;001316CA&quot;/&gt;&lt;wsp:rsid wsp:val=&quot;0013193B&quot;/&gt;&lt;wsp:rsid wsp:val=&quot;0014421A&quot;/&gt;&lt;wsp:rsid wsp:val=&quot;0015128B&quot;/&gt;&lt;wsp:rsid wsp:val=&quot;00151367&quot;/&gt;&lt;wsp:rsid wsp:val=&quot;001514BB&quot;/&gt;&lt;wsp:rsid wsp:val=&quot;00162873&quot;/&gt;&lt;wsp:rsid wsp:val=&quot;00172A27&quot;/&gt;&lt;wsp:rsid wsp:val=&quot;00174BCE&quot;/&gt;&lt;wsp:rsid wsp:val=&quot;00180780&quot;/&gt;&lt;wsp:rsid wsp:val=&quot;00182394&quot;/&gt;&lt;wsp:rsid wsp:val=&quot;001832AF&quot;/&gt;&lt;wsp:rsid wsp:val=&quot;001925F3&quot;/&gt;&lt;wsp:rsid wsp:val=&quot;00193520&quot;/&gt;&lt;wsp:rsid wsp:val=&quot;0019494A&quot;/&gt;&lt;wsp:rsid wsp:val=&quot;0019696A&quot;/&gt;&lt;wsp:rsid wsp:val=&quot;00196C27&quot;/&gt;&lt;wsp:rsid wsp:val=&quot;001A7865&quot;/&gt;&lt;wsp:rsid wsp:val=&quot;001B47BA&quot;/&gt;&lt;wsp:rsid wsp:val=&quot;001C2B03&quot;/&gt;&lt;wsp:rsid wsp:val=&quot;001C5076&quot;/&gt;&lt;wsp:rsid wsp:val=&quot;001C6757&quot;/&gt;&lt;wsp:rsid wsp:val=&quot;001C71CF&quot;/&gt;&lt;wsp:rsid wsp:val=&quot;001D051A&quot;/&gt;&lt;wsp:rsid wsp:val=&quot;001D1871&quot;/&gt;&lt;wsp:rsid wsp:val=&quot;001E288F&quot;/&gt;&lt;wsp:rsid wsp:val=&quot;001E4B8D&quot;/&gt;&lt;wsp:rsid wsp:val=&quot;001F0AA1&quot;/&gt;&lt;wsp:rsid wsp:val=&quot;001F3B76&quot;/&gt;&lt;wsp:rsid wsp:val=&quot;001F5C47&quot;/&gt;&lt;wsp:rsid wsp:val=&quot;001F67A7&quot;/&gt;&lt;wsp:rsid wsp:val=&quot;0020331B&quot;/&gt;&lt;wsp:rsid wsp:val=&quot;0020575C&quot;/&gt;&lt;wsp:rsid wsp:val=&quot;00206F41&quot;/&gt;&lt;wsp:rsid wsp:val=&quot;002101D6&quot;/&gt;&lt;wsp:rsid wsp:val=&quot;00212200&quot;/&gt;&lt;wsp:rsid wsp:val=&quot;00214B00&quot;/&gt;&lt;wsp:rsid wsp:val=&quot;00217839&quot;/&gt;&lt;wsp:rsid wsp:val=&quot;0022558D&quot;/&gt;&lt;wsp:rsid wsp:val=&quot;00226CE9&quot;/&gt;&lt;wsp:rsid wsp:val=&quot;00230A0B&quot;/&gt;&lt;wsp:rsid wsp:val=&quot;00232DAF&quot;/&gt;&lt;wsp:rsid wsp:val=&quot;00236C1C&quot;/&gt;&lt;wsp:rsid wsp:val=&quot;00236D5F&quot;/&gt;&lt;wsp:rsid wsp:val=&quot;00241029&quot;/&gt;&lt;wsp:rsid wsp:val=&quot;0024649B&quot;/&gt;&lt;wsp:rsid wsp:val=&quot;002502B5&quot;/&gt;&lt;wsp:rsid wsp:val=&quot;002518A0&quot;/&gt;&lt;wsp:rsid wsp:val=&quot;00253710&quot;/&gt;&lt;wsp:rsid wsp:val=&quot;00253D35&quot;/&gt;&lt;wsp:rsid wsp:val=&quot;00254AAE&quot;/&gt;&lt;wsp:rsid wsp:val=&quot;00256465&quot;/&gt;&lt;wsp:rsid wsp:val=&quot;002569C7&quot;/&gt;&lt;wsp:rsid wsp:val=&quot;00257178&quot;/&gt;&lt;wsp:rsid wsp:val=&quot;002627B6&quot;/&gt;&lt;wsp:rsid wsp:val=&quot;0026357C&quot;/&gt;&lt;wsp:rsid wsp:val=&quot;002637DE&quot;/&gt;&lt;wsp:rsid wsp:val=&quot;0026405C&quot;/&gt;&lt;wsp:rsid wsp:val=&quot;00264B38&quot;/&gt;&lt;wsp:rsid wsp:val=&quot;0027270D&quot;/&gt;&lt;wsp:rsid wsp:val=&quot;00272E1D&quot;/&gt;&lt;wsp:rsid wsp:val=&quot;00277BAE&quot;/&gt;&lt;wsp:rsid wsp:val=&quot;00290852&quot;/&gt;&lt;wsp:rsid wsp:val=&quot;00294B41&quot;/&gt;&lt;wsp:rsid wsp:val=&quot;002A4270&quot;/&gt;&lt;wsp:rsid wsp:val=&quot;002A592C&quot;/&gt;&lt;wsp:rsid wsp:val=&quot;002B2223&quot;/&gt;&lt;wsp:rsid wsp:val=&quot;002B5104&quot;/&gt;&lt;wsp:rsid wsp:val=&quot;002B63B8&quot;/&gt;&lt;wsp:rsid wsp:val=&quot;002C24A3&quot;/&gt;&lt;wsp:rsid wsp:val=&quot;002C50D8&quot;/&gt;&lt;wsp:rsid wsp:val=&quot;002D0CDA&quot;/&gt;&lt;wsp:rsid wsp:val=&quot;002D116A&quot;/&gt;&lt;wsp:rsid wsp:val=&quot;002D3BF6&quot;/&gt;&lt;wsp:rsid wsp:val=&quot;002D4CA3&quot;/&gt;&lt;wsp:rsid wsp:val=&quot;002E27A2&quot;/&gt;&lt;wsp:rsid wsp:val=&quot;002E32BB&quot;/&gt;&lt;wsp:rsid wsp:val=&quot;002E5044&quot;/&gt;&lt;wsp:rsid wsp:val=&quot;002E571E&quot;/&gt;&lt;wsp:rsid wsp:val=&quot;002E62E3&quot;/&gt;&lt;wsp:rsid wsp:val=&quot;002E7F51&quot;/&gt;&lt;wsp:rsid wsp:val=&quot;002F0805&quot;/&gt;&lt;wsp:rsid wsp:val=&quot;002F2387&quot;/&gt;&lt;wsp:rsid wsp:val=&quot;002F7F85&quot;/&gt;&lt;wsp:rsid wsp:val=&quot;003041C1&quot;/&gt;&lt;wsp:rsid wsp:val=&quot;00307922&quot;/&gt;&lt;wsp:rsid wsp:val=&quot;00315863&quot;/&gt;&lt;wsp:rsid wsp:val=&quot;003236F4&quot;/&gt;&lt;wsp:rsid wsp:val=&quot;00323FE0&quot;/&gt;&lt;wsp:rsid wsp:val=&quot;003260BC&quot;/&gt;&lt;wsp:rsid wsp:val=&quot;003267EA&quot;/&gt;&lt;wsp:rsid wsp:val=&quot;00327474&quot;/&gt;&lt;wsp:rsid wsp:val=&quot;0033219A&quot;/&gt;&lt;wsp:rsid wsp:val=&quot;0033356F&quot;/&gt;&lt;wsp:rsid wsp:val=&quot;003336B2&quot;/&gt;&lt;wsp:rsid wsp:val=&quot;003338FD&quot;/&gt;&lt;wsp:rsid wsp:val=&quot;00340D73&quot;/&gt;&lt;wsp:rsid wsp:val=&quot;00340D74&quot;/&gt;&lt;wsp:rsid wsp:val=&quot;00341A69&quot;/&gt;&lt;wsp:rsid wsp:val=&quot;00343E78&quot;/&gt;&lt;wsp:rsid wsp:val=&quot;00350100&quot;/&gt;&lt;wsp:rsid wsp:val=&quot;0035694E&quot;/&gt;&lt;wsp:rsid wsp:val=&quot;003615F0&quot;/&gt;&lt;wsp:rsid wsp:val=&quot;00361821&quot;/&gt;&lt;wsp:rsid wsp:val=&quot;003667E1&quot;/&gt;&lt;wsp:rsid wsp:val=&quot;00367188&quot;/&gt;&lt;wsp:rsid wsp:val=&quot;00367290&quot;/&gt;&lt;wsp:rsid wsp:val=&quot;00370293&quot;/&gt;&lt;wsp:rsid wsp:val=&quot;00370C07&quot;/&gt;&lt;wsp:rsid wsp:val=&quot;003715E9&quot;/&gt;&lt;wsp:rsid wsp:val=&quot;00375D6A&quot;/&gt;&lt;wsp:rsid wsp:val=&quot;00377F5B&quot;/&gt;&lt;wsp:rsid wsp:val=&quot;00380241&quot;/&gt;&lt;wsp:rsid wsp:val=&quot;00380B64&quot;/&gt;&lt;wsp:rsid wsp:val=&quot;003863FF&quot;/&gt;&lt;wsp:rsid wsp:val=&quot;00386974&quot;/&gt;&lt;wsp:rsid wsp:val=&quot;00386D5F&quot;/&gt;&lt;wsp:rsid wsp:val=&quot;003970B2&quot;/&gt;&lt;wsp:rsid wsp:val=&quot;003A0CDD&quot;/&gt;&lt;wsp:rsid wsp:val=&quot;003A2B93&quot;/&gt;&lt;wsp:rsid wsp:val=&quot;003A41CF&quot;/&gt;&lt;wsp:rsid wsp:val=&quot;003A614F&quot;/&gt;&lt;wsp:rsid wsp:val=&quot;003B208A&quot;/&gt;&lt;wsp:rsid wsp:val=&quot;003B27EF&quot;/&gt;&lt;wsp:rsid wsp:val=&quot;003B2FEC&quot;/&gt;&lt;wsp:rsid wsp:val=&quot;003B445D&quot;/&gt;&lt;wsp:rsid wsp:val=&quot;003B5AFB&quot;/&gt;&lt;wsp:rsid wsp:val=&quot;003C18B0&quot;/&gt;&lt;wsp:rsid wsp:val=&quot;003C337B&quot;/&gt;&lt;wsp:rsid wsp:val=&quot;003C37C7&quot;/&gt;&lt;wsp:rsid wsp:val=&quot;003C3BA0&quot;/&gt;&lt;wsp:rsid wsp:val=&quot;003C6CC8&quot;/&gt;&lt;wsp:rsid wsp:val=&quot;003D1CB7&quot;/&gt;&lt;wsp:rsid wsp:val=&quot;003D2F76&quot;/&gt;&lt;wsp:rsid wsp:val=&quot;003D3E5C&quot;/&gt;&lt;wsp:rsid wsp:val=&quot;003D5DA8&quot;/&gt;&lt;wsp:rsid wsp:val=&quot;003D6FCA&quot;/&gt;&lt;wsp:rsid wsp:val=&quot;003D7DF1&quot;/&gt;&lt;wsp:rsid wsp:val=&quot;003E100A&quot;/&gt;&lt;wsp:rsid wsp:val=&quot;003E20ED&quot;/&gt;&lt;wsp:rsid wsp:val=&quot;003E753A&quot;/&gt;&lt;wsp:rsid wsp:val=&quot;00403DD0&quot;/&gt;&lt;wsp:rsid wsp:val=&quot;00406210&quot;/&gt;&lt;wsp:rsid wsp:val=&quot;0040661F&quot;/&gt;&lt;wsp:rsid wsp:val=&quot;00411C2A&quot;/&gt;&lt;wsp:rsid wsp:val=&quot;004127FF&quot;/&gt;&lt;wsp:rsid wsp:val=&quot;00412EFE&quot;/&gt;&lt;wsp:rsid wsp:val=&quot;0041332C&quot;/&gt;&lt;wsp:rsid wsp:val=&quot;004139CC&quot;/&gt;&lt;wsp:rsid wsp:val=&quot;00420A46&quot;/&gt;&lt;wsp:rsid wsp:val=&quot;00424445&quot;/&gt;&lt;wsp:rsid wsp:val=&quot;004262E8&quot;/&gt;&lt;wsp:rsid wsp:val=&quot;00430D82&quot;/&gt;&lt;wsp:rsid wsp:val=&quot;00432041&quot;/&gt;&lt;wsp:rsid wsp:val=&quot;00433651&quot;/&gt;&lt;wsp:rsid wsp:val=&quot;004367B9&quot;/&gt;&lt;wsp:rsid wsp:val=&quot;00450B77&quot;/&gt;&lt;wsp:rsid wsp:val=&quot;0045220D&quot;/&gt;&lt;wsp:rsid wsp:val=&quot;00452835&quot;/&gt;&lt;wsp:rsid wsp:val=&quot;004624BF&quot;/&gt;&lt;wsp:rsid wsp:val=&quot;00463E2C&quot;/&gt;&lt;wsp:rsid wsp:val=&quot;00470DCE&quot;/&gt;&lt;wsp:rsid wsp:val=&quot;00477568&quot;/&gt;&lt;wsp:rsid wsp:val=&quot;00480F20&quot;/&gt;&lt;wsp:rsid wsp:val=&quot;004816AC&quot;/&gt;&lt;wsp:rsid wsp:val=&quot;00484323&quot;/&gt;&lt;wsp:rsid wsp:val=&quot;0048528A&quot;/&gt;&lt;wsp:rsid wsp:val=&quot;00485BF1&quot;/&gt;&lt;wsp:rsid wsp:val=&quot;00486315&quot;/&gt;&lt;wsp:rsid wsp:val=&quot;004866C3&quot;/&gt;&lt;wsp:rsid wsp:val=&quot;004940CC&quot;/&gt;&lt;wsp:rsid wsp:val=&quot;004A2E02&quot;/&gt;&lt;wsp:rsid wsp:val=&quot;004A3930&quot;/&gt;&lt;wsp:rsid wsp:val=&quot;004A4CCE&quot;/&gt;&lt;wsp:rsid wsp:val=&quot;004B3B71&quot;/&gt;&lt;wsp:rsid wsp:val=&quot;004B4F5B&quot;/&gt;&lt;wsp:rsid wsp:val=&quot;004B7783&quot;/&gt;&lt;wsp:rsid wsp:val=&quot;004C28C7&quot;/&gt;&lt;wsp:rsid wsp:val=&quot;004C2F99&quot;/&gt;&lt;wsp:rsid wsp:val=&quot;004D08F6&quot;/&gt;&lt;wsp:rsid wsp:val=&quot;004D0961&quot;/&gt;&lt;wsp:rsid wsp:val=&quot;004D25F1&quot;/&gt;&lt;wsp:rsid wsp:val=&quot;004D63A4&quot;/&gt;&lt;wsp:rsid wsp:val=&quot;004D6827&quot;/&gt;&lt;wsp:rsid wsp:val=&quot;004E0328&quot;/&gt;&lt;wsp:rsid wsp:val=&quot;004E15DD&quot;/&gt;&lt;wsp:rsid wsp:val=&quot;004E1CB3&quot;/&gt;&lt;wsp:rsid wsp:val=&quot;004E67D2&quot;/&gt;&lt;wsp:rsid wsp:val=&quot;004E6F73&quot;/&gt;&lt;wsp:rsid wsp:val=&quot;004F02A2&quot;/&gt;&lt;wsp:rsid wsp:val=&quot;004F0481&quot;/&gt;&lt;wsp:rsid wsp:val=&quot;004F3CE5&quot;/&gt;&lt;wsp:rsid wsp:val=&quot;004F40CC&quot;/&gt;&lt;wsp:rsid wsp:val=&quot;004F5EA7&quot;/&gt;&lt;wsp:rsid wsp:val=&quot;00500BB1&quot;/&gt;&lt;wsp:rsid wsp:val=&quot;00500EE2&quot;/&gt;&lt;wsp:rsid wsp:val=&quot;005038B7&quot;/&gt;&lt;wsp:rsid wsp:val=&quot;00504029&quot;/&gt;&lt;wsp:rsid wsp:val=&quot;00507FB9&quot;/&gt;&lt;wsp:rsid wsp:val=&quot;0051048F&quot;/&gt;&lt;wsp:rsid wsp:val=&quot;005115CD&quot;/&gt;&lt;wsp:rsid wsp:val=&quot;00512E2E&quot;/&gt;&lt;wsp:rsid wsp:val=&quot;0051314F&quot;/&gt;&lt;wsp:rsid wsp:val=&quot;00517A04&quot;/&gt;&lt;wsp:rsid wsp:val=&quot;005229E8&quot;/&gt;&lt;wsp:rsid wsp:val=&quot;00524EFC&quot;/&gt;&lt;wsp:rsid wsp:val=&quot;00526C07&quot;/&gt;&lt;wsp:rsid wsp:val=&quot;00530888&quot;/&gt;&lt;wsp:rsid wsp:val=&quot;00532F33&quot;/&gt;&lt;wsp:rsid wsp:val=&quot;0053623A&quot;/&gt;&lt;wsp:rsid wsp:val=&quot;005416D7&quot;/&gt;&lt;wsp:rsid wsp:val=&quot;0054702B&quot;/&gt;&lt;wsp:rsid wsp:val=&quot;005473CC&quot;/&gt;&lt;wsp:rsid wsp:val=&quot;005514D4&quot;/&gt;&lt;wsp:rsid wsp:val=&quot;00551F64&quot;/&gt;&lt;wsp:rsid wsp:val=&quot;0055303C&quot;/&gt;&lt;wsp:rsid wsp:val=&quot;00554450&quot;/&gt;&lt;wsp:rsid wsp:val=&quot;00556112&quot;/&gt;&lt;wsp:rsid wsp:val=&quot;00561902&quot;/&gt;&lt;wsp:rsid wsp:val=&quot;0056305A&quot;/&gt;&lt;wsp:rsid wsp:val=&quot;005645CD&quot;/&gt;&lt;wsp:rsid wsp:val=&quot;00572CD9&quot;/&gt;&lt;wsp:rsid wsp:val=&quot;00574753&quot;/&gt;&lt;wsp:rsid wsp:val=&quot;00574F02&quot;/&gt;&lt;wsp:rsid wsp:val=&quot;0057529E&quot;/&gt;&lt;wsp:rsid wsp:val=&quot;00575583&quot;/&gt;&lt;wsp:rsid wsp:val=&quot;0057685B&quot;/&gt;&lt;wsp:rsid wsp:val=&quot;00577090&quot;/&gt;&lt;wsp:rsid wsp:val=&quot;00580D04&quot;/&gt;&lt;wsp:rsid wsp:val=&quot;00582FF2&quot;/&gt;&lt;wsp:rsid wsp:val=&quot;00583460&quot;/&gt;&lt;wsp:rsid wsp:val=&quot;005847E0&quot;/&gt;&lt;wsp:rsid wsp:val=&quot;00584B7A&quot;/&gt;&lt;wsp:rsid wsp:val=&quot;00586743&quot;/&gt;&lt;wsp:rsid wsp:val=&quot;00591C72&quot;/&gt;&lt;wsp:rsid wsp:val=&quot;00591F46&quot;/&gt;&lt;wsp:rsid wsp:val=&quot;0059253F&quot;/&gt;&lt;wsp:rsid wsp:val=&quot;005945E3&quot;/&gt;&lt;wsp:rsid wsp:val=&quot;005960AD&quot;/&gt;&lt;wsp:rsid wsp:val=&quot;00596EC2&quot;/&gt;&lt;wsp:rsid wsp:val=&quot;005A0D4F&quot;/&gt;&lt;wsp:rsid wsp:val=&quot;005B43F0&quot;/&gt;&lt;wsp:rsid wsp:val=&quot;005B4FDF&quot;/&gt;&lt;wsp:rsid wsp:val=&quot;005C0FE9&quot;/&gt;&lt;wsp:rsid wsp:val=&quot;005C260A&quot;/&gt;&lt;wsp:rsid wsp:val=&quot;005C368E&quot;/&gt;&lt;wsp:rsid wsp:val=&quot;005D466E&quot;/&gt;&lt;wsp:rsid wsp:val=&quot;005D4BE7&quot;/&gt;&lt;wsp:rsid wsp:val=&quot;005E3C0B&quot;/&gt;&lt;wsp:rsid wsp:val=&quot;005E5DBA&quot;/&gt;&lt;wsp:rsid wsp:val=&quot;005E69B4&quot;/&gt;&lt;wsp:rsid wsp:val=&quot;005E7FBC&quot;/&gt;&lt;wsp:rsid wsp:val=&quot;005F023C&quot;/&gt;&lt;wsp:rsid wsp:val=&quot;005F1595&quot;/&gt;&lt;wsp:rsid wsp:val=&quot;005F3D91&quot;/&gt;&lt;wsp:rsid wsp:val=&quot;005F57B7&quot;/&gt;&lt;wsp:rsid wsp:val=&quot;005F5F05&quot;/&gt;&lt;wsp:rsid wsp:val=&quot;005F6AC6&quot;/&gt;&lt;wsp:rsid wsp:val=&quot;005F713D&quot;/&gt;&lt;wsp:rsid wsp:val=&quot;006003E6&quot;/&gt;&lt;wsp:rsid wsp:val=&quot;006175DE&quot;/&gt;&lt;wsp:rsid wsp:val=&quot;00617DD3&quot;/&gt;&lt;wsp:rsid wsp:val=&quot;00622F68&quot;/&gt;&lt;wsp:rsid wsp:val=&quot;00632181&quot;/&gt;&lt;wsp:rsid wsp:val=&quot;00632429&quot;/&gt;&lt;wsp:rsid wsp:val=&quot;00636115&quot;/&gt;&lt;wsp:rsid wsp:val=&quot;0064008C&quot;/&gt;&lt;wsp:rsid wsp:val=&quot;00640D7B&quot;/&gt;&lt;wsp:rsid wsp:val=&quot;00643159&quot;/&gt;&lt;wsp:rsid wsp:val=&quot;00644D00&quot;/&gt;&lt;wsp:rsid wsp:val=&quot;00644D32&quot;/&gt;&lt;wsp:rsid wsp:val=&quot;006501B0&quot;/&gt;&lt;wsp:rsid wsp:val=&quot;00652061&quot;/&gt;&lt;wsp:rsid wsp:val=&quot;006559AD&quot;/&gt;&lt;wsp:rsid wsp:val=&quot;00660948&quot;/&gt;&lt;wsp:rsid wsp:val=&quot;006636B9&quot;/&gt;&lt;wsp:rsid wsp:val=&quot;006674ED&quot;/&gt;&lt;wsp:rsid wsp:val=&quot;00667CBE&quot;/&gt;&lt;wsp:rsid wsp:val=&quot;00672766&quot;/&gt;&lt;wsp:rsid wsp:val=&quot;0068415A&quot;/&gt;&lt;wsp:rsid wsp:val=&quot;00693C4F&quot;/&gt;&lt;wsp:rsid wsp:val=&quot;00696563&quot;/&gt;&lt;wsp:rsid wsp:val=&quot;006A0960&quot;/&gt;&lt;wsp:rsid wsp:val=&quot;006A23EA&quot;/&gt;&lt;wsp:rsid wsp:val=&quot;006A42C3&quot;/&gt;&lt;wsp:rsid wsp:val=&quot;006A6C66&quot;/&gt;&lt;wsp:rsid wsp:val=&quot;006B2A27&quot;/&gt;&lt;wsp:rsid wsp:val=&quot;006B4142&quot;/&gt;&lt;wsp:rsid wsp:val=&quot;006C2228&quot;/&gt;&lt;wsp:rsid wsp:val=&quot;006C241F&quot;/&gt;&lt;wsp:rsid wsp:val=&quot;006C5348&quot;/&gt;&lt;wsp:rsid wsp:val=&quot;006C7228&quot;/&gt;&lt;wsp:rsid wsp:val=&quot;006D0B0D&quot;/&gt;&lt;wsp:rsid wsp:val=&quot;006D17A6&quot;/&gt;&lt;wsp:rsid wsp:val=&quot;006D3368&quot;/&gt;&lt;wsp:rsid wsp:val=&quot;006E41CD&quot;/&gt;&lt;wsp:rsid wsp:val=&quot;006E7D12&quot;/&gt;&lt;wsp:rsid wsp:val=&quot;006E7FB0&quot;/&gt;&lt;wsp:rsid wsp:val=&quot;006F0523&quot;/&gt;&lt;wsp:rsid wsp:val=&quot;006F3D6D&quot;/&gt;&lt;wsp:rsid wsp:val=&quot;006F4F45&quot;/&gt;&lt;wsp:rsid wsp:val=&quot;006F511C&quot;/&gt;&lt;wsp:rsid wsp:val=&quot;006F5DAD&quot;/&gt;&lt;wsp:rsid wsp:val=&quot;006F605F&quot;/&gt;&lt;wsp:rsid wsp:val=&quot;006F69BA&quot;/&gt;&lt;wsp:rsid wsp:val=&quot;006F759A&quot;/&gt;&lt;wsp:rsid wsp:val=&quot;007003E8&quot;/&gt;&lt;wsp:rsid wsp:val=&quot;007034BF&quot;/&gt;&lt;wsp:rsid wsp:val=&quot;00703DE6&quot;/&gt;&lt;wsp:rsid wsp:val=&quot;0070402F&quot;/&gt;&lt;wsp:rsid wsp:val=&quot;00711E52&quot;/&gt;&lt;wsp:rsid wsp:val=&quot;007126CD&quot;/&gt;&lt;wsp:rsid wsp:val=&quot;00716B92&quot;/&gt;&lt;wsp:rsid wsp:val=&quot;007231EA&quot;/&gt;&lt;wsp:rsid wsp:val=&quot;00723FE6&quot;/&gt;&lt;wsp:rsid wsp:val=&quot;00726832&quot;/&gt;&lt;wsp:rsid wsp:val=&quot;007312CD&quot;/&gt;&lt;wsp:rsid wsp:val=&quot;00731A0D&quot;/&gt;&lt;wsp:rsid wsp:val=&quot;00734081&quot;/&gt;&lt;wsp:rsid wsp:val=&quot;00734789&quot;/&gt;&lt;wsp:rsid wsp:val=&quot;00734CA7&quot;/&gt;&lt;wsp:rsid wsp:val=&quot;00740669&quot;/&gt;&lt;wsp:rsid wsp:val=&quot;007500B5&quot;/&gt;&lt;wsp:rsid wsp:val=&quot;0075101B&quot;/&gt;&lt;wsp:rsid wsp:val=&quot;00753DCE&quot;/&gt;&lt;wsp:rsid wsp:val=&quot;007544DB&quot;/&gt;&lt;wsp:rsid wsp:val=&quot;00755AF4&quot;/&gt;&lt;wsp:rsid wsp:val=&quot;00763C4D&quot;/&gt;&lt;wsp:rsid wsp:val=&quot;007721EC&quot;/&gt;&lt;wsp:rsid wsp:val=&quot;0077402B&quot;/&gt;&lt;wsp:rsid wsp:val=&quot;00774F98&quot;/&gt;&lt;wsp:rsid wsp:val=&quot;00776CBE&quot;/&gt;&lt;wsp:rsid wsp:val=&quot;007806D5&quot;/&gt;&lt;wsp:rsid wsp:val=&quot;00785017&quot;/&gt;&lt;wsp:rsid wsp:val=&quot;00786393&quot;/&gt;&lt;wsp:rsid wsp:val=&quot;00787D29&quot;/&gt;&lt;wsp:rsid wsp:val=&quot;00791681&quot;/&gt;&lt;wsp:rsid wsp:val=&quot;00795488&quot;/&gt;&lt;wsp:rsid wsp:val=&quot;007978F4&quot;/&gt;&lt;wsp:rsid wsp:val=&quot;007A137B&quot;/&gt;&lt;wsp:rsid wsp:val=&quot;007A284E&quot;/&gt;&lt;wsp:rsid wsp:val=&quot;007A7869&quot;/&gt;&lt;wsp:rsid wsp:val=&quot;007B1E41&quot;/&gt;&lt;wsp:rsid wsp:val=&quot;007B415D&quot;/&gt;&lt;wsp:rsid wsp:val=&quot;007B74DF&quot;/&gt;&lt;wsp:rsid wsp:val=&quot;007C0C6E&quot;/&gt;&lt;wsp:rsid wsp:val=&quot;007C453C&quot;/&gt;&lt;wsp:rsid wsp:val=&quot;007C56C9&quot;/&gt;&lt;wsp:rsid wsp:val=&quot;007D3B34&quot;/&gt;&lt;wsp:rsid wsp:val=&quot;007D73F9&quot;/&gt;&lt;wsp:rsid wsp:val=&quot;007E396A&quot;/&gt;&lt;wsp:rsid wsp:val=&quot;007E428A&quot;/&gt;&lt;wsp:rsid wsp:val=&quot;007E52FF&quot;/&gt;&lt;wsp:rsid wsp:val=&quot;007F2D67&quot;/&gt;&lt;wsp:rsid wsp:val=&quot;007F6E5B&quot;/&gt;&lt;wsp:rsid wsp:val=&quot;0080472E&quot;/&gt;&lt;wsp:rsid wsp:val=&quot;00805909&quot;/&gt;&lt;wsp:rsid wsp:val=&quot;00805EDD&quot;/&gt;&lt;wsp:rsid wsp:val=&quot;008070CC&quot;/&gt;&lt;wsp:rsid wsp:val=&quot;00810757&quot;/&gt;&lt;wsp:rsid wsp:val=&quot;00810F9B&quot;/&gt;&lt;wsp:rsid wsp:val=&quot;0081147F&quot;/&gt;&lt;wsp:rsid wsp:val=&quot;0081356F&quot;/&gt;&lt;wsp:rsid wsp:val=&quot;00815902&quot;/&gt;&lt;wsp:rsid wsp:val=&quot;00822CA9&quot;/&gt;&lt;wsp:rsid wsp:val=&quot;00823184&quot;/&gt;&lt;wsp:rsid wsp:val=&quot;0082702A&quot;/&gt;&lt;wsp:rsid wsp:val=&quot;008405EB&quot;/&gt;&lt;wsp:rsid wsp:val=&quot;00842197&quot;/&gt;&lt;wsp:rsid wsp:val=&quot;00844D9C&quot;/&gt;&lt;wsp:rsid wsp:val=&quot;00845671&quot;/&gt;&lt;wsp:rsid wsp:val=&quot;0084605D&quot;/&gt;&lt;wsp:rsid wsp:val=&quot;00846EE7&quot;/&gt;&lt;wsp:rsid wsp:val=&quot;00851E1F&quot;/&gt;&lt;wsp:rsid wsp:val=&quot;008527BD&quot;/&gt;&lt;wsp:rsid wsp:val=&quot;008534EF&quot;/&gt;&lt;wsp:rsid wsp:val=&quot;00862EFF&quot;/&gt;&lt;wsp:rsid wsp:val=&quot;00864E7B&quot;/&gt;&lt;wsp:rsid wsp:val=&quot;00865931&quot;/&gt;&lt;wsp:rsid wsp:val=&quot;00865B39&quot;/&gt;&lt;wsp:rsid wsp:val=&quot;008663C0&quot;/&gt;&lt;wsp:rsid wsp:val=&quot;008669BE&quot;/&gt;&lt;wsp:rsid wsp:val=&quot;00866A4A&quot;/&gt;&lt;wsp:rsid wsp:val=&quot;00883B67&quot;/&gt;&lt;wsp:rsid wsp:val=&quot;00891A10&quot;/&gt;&lt;wsp:rsid wsp:val=&quot;00892C19&quot;/&gt;&lt;wsp:rsid wsp:val=&quot;008941E8&quot;/&gt;&lt;wsp:rsid wsp:val=&quot;00896EAB&quot;/&gt;&lt;wsp:rsid wsp:val=&quot;008A000E&quot;/&gt;&lt;wsp:rsid wsp:val=&quot;008A23D4&quot;/&gt;&lt;wsp:rsid wsp:val=&quot;008A3FFB&quot;/&gt;&lt;wsp:rsid wsp:val=&quot;008A49CA&quot;/&gt;&lt;wsp:rsid wsp:val=&quot;008B1C1F&quot;/&gt;&lt;wsp:rsid wsp:val=&quot;008B2CA6&quot;/&gt;&lt;wsp:rsid wsp:val=&quot;008B2CD3&quot;/&gt;&lt;wsp:rsid wsp:val=&quot;008B4EA3&quot;/&gt;&lt;wsp:rsid wsp:val=&quot;008B6318&quot;/&gt;&lt;wsp:rsid wsp:val=&quot;008C15A8&quot;/&gt;&lt;wsp:rsid wsp:val=&quot;008C2397&quot;/&gt;&lt;wsp:rsid wsp:val=&quot;008D07B9&quot;/&gt;&lt;wsp:rsid wsp:val=&quot;008D2EB4&quot;/&gt;&lt;wsp:rsid wsp:val=&quot;008D3427&quot;/&gt;&lt;wsp:rsid wsp:val=&quot;008E1385&quot;/&gt;&lt;wsp:rsid wsp:val=&quot;008E1DFA&quot;/&gt;&lt;wsp:rsid wsp:val=&quot;008E5C5E&quot;/&gt;&lt;wsp:rsid wsp:val=&quot;008E695A&quot;/&gt;&lt;wsp:rsid wsp:val=&quot;008E799C&quot;/&gt;&lt;wsp:rsid wsp:val=&quot;008F2EC1&quot;/&gt;&lt;wsp:rsid wsp:val=&quot;008F516E&quot;/&gt;&lt;wsp:rsid wsp:val=&quot;008F67F7&quot;/&gt;&lt;wsp:rsid wsp:val=&quot;008F6828&quot;/&gt;&lt;wsp:rsid wsp:val=&quot;009027AE&quot;/&gt;&lt;wsp:rsid wsp:val=&quot;0090284D&quot;/&gt;&lt;wsp:rsid wsp:val=&quot;00904B62&quot;/&gt;&lt;wsp:rsid wsp:val=&quot;0090762C&quot;/&gt;&lt;wsp:rsid wsp:val=&quot;00914F64&quot;/&gt;&lt;wsp:rsid wsp:val=&quot;009175C0&quot;/&gt;&lt;wsp:rsid wsp:val=&quot;009214DD&quot;/&gt;&lt;wsp:rsid wsp:val=&quot;009237FE&quot;/&gt;&lt;wsp:rsid wsp:val=&quot;0092560D&quot;/&gt;&lt;wsp:rsid wsp:val=&quot;00925FF8&quot;/&gt;&lt;wsp:rsid wsp:val=&quot;00926364&quot;/&gt;&lt;wsp:rsid wsp:val=&quot;00935A6A&quot;/&gt;&lt;wsp:rsid wsp:val=&quot;00941F13&quot;/&gt;&lt;wsp:rsid wsp:val=&quot;00951D45&quot;/&gt;&lt;wsp:rsid wsp:val=&quot;0095226D&quot;/&gt;&lt;wsp:rsid wsp:val=&quot;00954EC2&quot;/&gt;&lt;wsp:rsid wsp:val=&quot;009624D9&quot;/&gt;&lt;wsp:rsid wsp:val=&quot;009628A3&quot;/&gt;&lt;wsp:rsid wsp:val=&quot;00962D64&quot;/&gt;&lt;wsp:rsid wsp:val=&quot;00964A71&quot;/&gt;&lt;wsp:rsid wsp:val=&quot;00966984&quot;/&gt;&lt;wsp:rsid wsp:val=&quot;009670BA&quot;/&gt;&lt;wsp:rsid wsp:val=&quot;0096777A&quot;/&gt;&lt;wsp:rsid wsp:val=&quot;00971B69&quot;/&gt;&lt;wsp:rsid wsp:val=&quot;00972E76&quot;/&gt;&lt;wsp:rsid wsp:val=&quot;00981AC6&quot;/&gt;&lt;wsp:rsid wsp:val=&quot;00984AD8&quot;/&gt;&lt;wsp:rsid wsp:val=&quot;009874B7&quot;/&gt;&lt;wsp:rsid wsp:val=&quot;00990C40&quot;/&gt;&lt;wsp:rsid wsp:val=&quot;00992373&quot;/&gt;&lt;wsp:rsid wsp:val=&quot;00994DDD&quot;/&gt;&lt;wsp:rsid wsp:val=&quot;009A40B8&quot;/&gt;&lt;wsp:rsid wsp:val=&quot;009A5B49&quot;/&gt;&lt;wsp:rsid wsp:val=&quot;009A7117&quot;/&gt;&lt;wsp:rsid wsp:val=&quot;009B0EFF&quot;/&gt;&lt;wsp:rsid wsp:val=&quot;009B1631&quot;/&gt;&lt;wsp:rsid wsp:val=&quot;009B4827&quot;/&gt;&lt;wsp:rsid wsp:val=&quot;009B4954&quot;/&gt;&lt;wsp:rsid wsp:val=&quot;009B5618&quot;/&gt;&lt;wsp:rsid wsp:val=&quot;009C1186&quot;/&gt;&lt;wsp:rsid wsp:val=&quot;009D52F9&quot;/&gt;&lt;wsp:rsid wsp:val=&quot;009D675F&quot;/&gt;&lt;wsp:rsid wsp:val=&quot;009E40CE&quot;/&gt;&lt;wsp:rsid wsp:val=&quot;009F1FBC&quot;/&gt;&lt;wsp:rsid wsp:val=&quot;00A01D46&quot;/&gt;&lt;wsp:rsid wsp:val=&quot;00A048D7&quot;/&gt;&lt;wsp:rsid wsp:val=&quot;00A123A3&quot;/&gt;&lt;wsp:rsid wsp:val=&quot;00A1524C&quot;/&gt;&lt;wsp:rsid wsp:val=&quot;00A20089&quot;/&gt;&lt;wsp:rsid wsp:val=&quot;00A20721&quot;/&gt;&lt;wsp:rsid wsp:val=&quot;00A2127E&quot;/&gt;&lt;wsp:rsid wsp:val=&quot;00A26B14&quot;/&gt;&lt;wsp:rsid wsp:val=&quot;00A30FC3&quot;/&gt;&lt;wsp:rsid wsp:val=&quot;00A32048&quot;/&gt;&lt;wsp:rsid wsp:val=&quot;00A32DED&quot;/&gt;&lt;wsp:rsid wsp:val=&quot;00A34A30&quot;/&gt;&lt;wsp:rsid wsp:val=&quot;00A36913&quot;/&gt;&lt;wsp:rsid wsp:val=&quot;00A36AA9&quot;/&gt;&lt;wsp:rsid wsp:val=&quot;00A37932&quot;/&gt;&lt;wsp:rsid wsp:val=&quot;00A408E0&quot;/&gt;&lt;wsp:rsid wsp:val=&quot;00A40C66&quot;/&gt;&lt;wsp:rsid wsp:val=&quot;00A432AD&quot;/&gt;&lt;wsp:rsid wsp:val=&quot;00A46257&quot;/&gt;&lt;wsp:rsid wsp:val=&quot;00A517DE&quot;/&gt;&lt;wsp:rsid wsp:val=&quot;00A53DB1&quot;/&gt;&lt;wsp:rsid wsp:val=&quot;00A56360&quot;/&gt;&lt;wsp:rsid wsp:val=&quot;00A56BA0&quot;/&gt;&lt;wsp:rsid wsp:val=&quot;00A62455&quot;/&gt;&lt;wsp:rsid wsp:val=&quot;00A63D7E&quot;/&gt;&lt;wsp:rsid wsp:val=&quot;00A64920&quot;/&gt;&lt;wsp:rsid wsp:val=&quot;00A7277A&quot;/&gt;&lt;wsp:rsid wsp:val=&quot;00A7473A&quot;/&gt;&lt;wsp:rsid wsp:val=&quot;00A762B1&quot;/&gt;&lt;wsp:rsid wsp:val=&quot;00A76CBE&quot;/&gt;&lt;wsp:rsid wsp:val=&quot;00A857A7&quot;/&gt;&lt;wsp:rsid wsp:val=&quot;00A936D9&quot;/&gt;&lt;wsp:rsid wsp:val=&quot;00A93DB0&quot;/&gt;&lt;wsp:rsid wsp:val=&quot;00A940F2&quot;/&gt;&lt;wsp:rsid wsp:val=&quot;00A96385&quot;/&gt;&lt;wsp:rsid wsp:val=&quot;00A966BA&quot;/&gt;&lt;wsp:rsid wsp:val=&quot;00A975A5&quot;/&gt;&lt;wsp:rsid wsp:val=&quot;00AA4EED&quot;/&gt;&lt;wsp:rsid wsp:val=&quot;00AA53FD&quot;/&gt;&lt;wsp:rsid wsp:val=&quot;00AB6082&quot;/&gt;&lt;wsp:rsid wsp:val=&quot;00AB6BDA&quot;/&gt;&lt;wsp:rsid wsp:val=&quot;00AB7803&quot;/&gt;&lt;wsp:rsid wsp:val=&quot;00AB7B62&quot;/&gt;&lt;wsp:rsid wsp:val=&quot;00AC45E0&quot;/&gt;&lt;wsp:rsid wsp:val=&quot;00AC5935&quot;/&gt;&lt;wsp:rsid wsp:val=&quot;00AC6D0B&quot;/&gt;&lt;wsp:rsid wsp:val=&quot;00AC7C96&quot;/&gt;&lt;wsp:rsid wsp:val=&quot;00AD2B3F&quot;/&gt;&lt;wsp:rsid wsp:val=&quot;00AD4084&quot;/&gt;&lt;wsp:rsid wsp:val=&quot;00AD5477&quot;/&gt;&lt;wsp:rsid wsp:val=&quot;00AD65F3&quot;/&gt;&lt;wsp:rsid wsp:val=&quot;00AE10A5&quot;/&gt;&lt;wsp:rsid wsp:val=&quot;00AE22DC&quot;/&gt;&lt;wsp:rsid wsp:val=&quot;00AE315E&quot;/&gt;&lt;wsp:rsid wsp:val=&quot;00AE36C6&quot;/&gt;&lt;wsp:rsid wsp:val=&quot;00AE3A32&quot;/&gt;&lt;wsp:rsid wsp:val=&quot;00AF252E&quot;/&gt;&lt;wsp:rsid wsp:val=&quot;00AF2747&quot;/&gt;&lt;wsp:rsid wsp:val=&quot;00AF3184&quot;/&gt;&lt;wsp:rsid wsp:val=&quot;00AF778A&quot;/&gt;&lt;wsp:rsid wsp:val=&quot;00AF7AA4&quot;/&gt;&lt;wsp:rsid wsp:val=&quot;00B0188D&quot;/&gt;&lt;wsp:rsid wsp:val=&quot;00B04E4F&quot;/&gt;&lt;wsp:rsid wsp:val=&quot;00B15B1C&quot;/&gt;&lt;wsp:rsid wsp:val=&quot;00B15B49&quot;/&gt;&lt;wsp:rsid wsp:val=&quot;00B21DED&quot;/&gt;&lt;wsp:rsid wsp:val=&quot;00B2234B&quot;/&gt;&lt;wsp:rsid wsp:val=&quot;00B2326F&quot;/&gt;&lt;wsp:rsid wsp:val=&quot;00B23BC5&quot;/&gt;&lt;wsp:rsid wsp:val=&quot;00B23F02&quot;/&gt;&lt;wsp:rsid wsp:val=&quot;00B24A2E&quot;/&gt;&lt;wsp:rsid wsp:val=&quot;00B2737C&quot;/&gt;&lt;wsp:rsid wsp:val=&quot;00B355AB&quot;/&gt;&lt;wsp:rsid wsp:val=&quot;00B35808&quot;/&gt;&lt;wsp:rsid wsp:val=&quot;00B40A77&quot;/&gt;&lt;wsp:rsid wsp:val=&quot;00B4331C&quot;/&gt;&lt;wsp:rsid wsp:val=&quot;00B43962&quot;/&gt;&lt;wsp:rsid wsp:val=&quot;00B43A2C&quot;/&gt;&lt;wsp:rsid wsp:val=&quot;00B45171&quot;/&gt;&lt;wsp:rsid wsp:val=&quot;00B457D3&quot;/&gt;&lt;wsp:rsid wsp:val=&quot;00B50066&quot;/&gt;&lt;wsp:rsid wsp:val=&quot;00B5139F&quot;/&gt;&lt;wsp:rsid wsp:val=&quot;00B5385F&quot;/&gt;&lt;wsp:rsid wsp:val=&quot;00B5482A&quot;/&gt;&lt;wsp:rsid wsp:val=&quot;00B63009&quot;/&gt;&lt;wsp:rsid wsp:val=&quot;00B6611C&quot;/&gt;&lt;wsp:rsid wsp:val=&quot;00B71E13&quot;/&gt;&lt;wsp:rsid wsp:val=&quot;00B73798&quot;/&gt;&lt;wsp:rsid wsp:val=&quot;00B742B7&quot;/&gt;&lt;wsp:rsid wsp:val=&quot;00B754BD&quot;/&gt;&lt;wsp:rsid wsp:val=&quot;00B81630&quot;/&gt;&lt;wsp:rsid wsp:val=&quot;00B822EA&quot;/&gt;&lt;wsp:rsid wsp:val=&quot;00B8619A&quot;/&gt;&lt;wsp:rsid wsp:val=&quot;00B86472&quot;/&gt;&lt;wsp:rsid wsp:val=&quot;00B869CB&quot;/&gt;&lt;wsp:rsid wsp:val=&quot;00B902A0&quot;/&gt;&lt;wsp:rsid wsp:val=&quot;00B90A7B&quot;/&gt;&lt;wsp:rsid wsp:val=&quot;00BA3A66&quot;/&gt;&lt;wsp:rsid wsp:val=&quot;00BA4824&quot;/&gt;&lt;wsp:rsid wsp:val=&quot;00BA6E84&quot;/&gt;&lt;wsp:rsid wsp:val=&quot;00BA76DD&quot;/&gt;&lt;wsp:rsid wsp:val=&quot;00BB0D5C&quot;/&gt;&lt;wsp:rsid wsp:val=&quot;00BB15B3&quot;/&gt;&lt;wsp:rsid wsp:val=&quot;00BC4436&quot;/&gt;&lt;wsp:rsid wsp:val=&quot;00BC6C5F&quot;/&gt;&lt;wsp:rsid wsp:val=&quot;00BD1368&quot;/&gt;&lt;wsp:rsid wsp:val=&quot;00BD21EF&quot;/&gt;&lt;wsp:rsid wsp:val=&quot;00BD355B&quot;/&gt;&lt;wsp:rsid wsp:val=&quot;00BD5A8D&quot;/&gt;&lt;wsp:rsid wsp:val=&quot;00BE2AC1&quot;/&gt;&lt;wsp:rsid wsp:val=&quot;00BE592E&quot;/&gt;&lt;wsp:rsid wsp:val=&quot;00BE65ED&quot;/&gt;&lt;wsp:rsid wsp:val=&quot;00BF25B0&quot;/&gt;&lt;wsp:rsid wsp:val=&quot;00BF3B70&quot;/&gt;&lt;wsp:rsid wsp:val=&quot;00BF3C5D&quot;/&gt;&lt;wsp:rsid wsp:val=&quot;00BF6E45&quot;/&gt;&lt;wsp:rsid wsp:val=&quot;00C01E49&quot;/&gt;&lt;wsp:rsid wsp:val=&quot;00C021D7&quot;/&gt;&lt;wsp:rsid wsp:val=&quot;00C02215&quot;/&gt;&lt;wsp:rsid wsp:val=&quot;00C04695&quot;/&gt;&lt;wsp:rsid wsp:val=&quot;00C04D0B&quot;/&gt;&lt;wsp:rsid wsp:val=&quot;00C074C0&quot;/&gt;&lt;wsp:rsid wsp:val=&quot;00C07EB7&quot;/&gt;&lt;wsp:rsid wsp:val=&quot;00C104F4&quot;/&gt;&lt;wsp:rsid wsp:val=&quot;00C1118A&quot;/&gt;&lt;wsp:rsid wsp:val=&quot;00C11EA4&quot;/&gt;&lt;wsp:rsid wsp:val=&quot;00C128D2&quot;/&gt;&lt;wsp:rsid wsp:val=&quot;00C13A35&quot;/&gt;&lt;wsp:rsid wsp:val=&quot;00C21583&quot;/&gt;&lt;wsp:rsid wsp:val=&quot;00C2592D&quot;/&gt;&lt;wsp:rsid wsp:val=&quot;00C31477&quot;/&gt;&lt;wsp:rsid wsp:val=&quot;00C32824&quot;/&gt;&lt;wsp:rsid wsp:val=&quot;00C3307D&quot;/&gt;&lt;wsp:rsid wsp:val=&quot;00C42D45&quot;/&gt;&lt;wsp:rsid wsp:val=&quot;00C43BAE&quot;/&gt;&lt;wsp:rsid wsp:val=&quot;00C504B7&quot;/&gt;&lt;wsp:rsid wsp:val=&quot;00C53DAE&quot;/&gt;&lt;wsp:rsid wsp:val=&quot;00C542A2&quot;/&gt;&lt;wsp:rsid wsp:val=&quot;00C60D32&quot;/&gt;&lt;wsp:rsid wsp:val=&quot;00C7408C&quot;/&gt;&lt;wsp:rsid wsp:val=&quot;00C7431E&quot;/&gt;&lt;wsp:rsid wsp:val=&quot;00C749DF&quot;/&gt;&lt;wsp:rsid wsp:val=&quot;00C840D1&quot;/&gt;&lt;wsp:rsid wsp:val=&quot;00C84B77&quot;/&gt;&lt;wsp:rsid wsp:val=&quot;00C85A72&quot;/&gt;&lt;wsp:rsid wsp:val=&quot;00C85F24&quot;/&gt;&lt;wsp:rsid wsp:val=&quot;00C87F71&quot;/&gt;&lt;wsp:rsid wsp:val=&quot;00C9074E&quot;/&gt;&lt;wsp:rsid wsp:val=&quot;00C940A6&quot;/&gt;&lt;wsp:rsid wsp:val=&quot;00C949DD&quot;/&gt;&lt;wsp:rsid wsp:val=&quot;00C95D01&quot;/&gt;&lt;wsp:rsid wsp:val=&quot;00C96DC9&quot;/&gt;&lt;wsp:rsid wsp:val=&quot;00C9790B&quot;/&gt;&lt;wsp:rsid wsp:val=&quot;00CA0D11&quot;/&gt;&lt;wsp:rsid wsp:val=&quot;00CA130D&quot;/&gt;&lt;wsp:rsid wsp:val=&quot;00CA3D14&quot;/&gt;&lt;wsp:rsid wsp:val=&quot;00CA7DCE&quot;/&gt;&lt;wsp:rsid wsp:val=&quot;00CB5434&quot;/&gt;&lt;wsp:rsid wsp:val=&quot;00CB7F97&quot;/&gt;&lt;wsp:rsid wsp:val=&quot;00CC34B5&quot;/&gt;&lt;wsp:rsid wsp:val=&quot;00CC516D&quot;/&gt;&lt;wsp:rsid wsp:val=&quot;00CD74BF&quot;/&gt;&lt;wsp:rsid wsp:val=&quot;00CE0EA7&quot;/&gt;&lt;wsp:rsid wsp:val=&quot;00CE31EF&quot;/&gt;&lt;wsp:rsid wsp:val=&quot;00CE71BD&quot;/&gt;&lt;wsp:rsid wsp:val=&quot;00CF48D4&quot;/&gt;&lt;wsp:rsid wsp:val=&quot;00CF54A3&quot;/&gt;&lt;wsp:rsid wsp:val=&quot;00CF6FD7&quot;/&gt;&lt;wsp:rsid wsp:val=&quot;00D0033D&quot;/&gt;&lt;wsp:rsid wsp:val=&quot;00D047B1&quot;/&gt;&lt;wsp:rsid wsp:val=&quot;00D04B3B&quot;/&gt;&lt;wsp:rsid wsp:val=&quot;00D04D6B&quot;/&gt;&lt;wsp:rsid wsp:val=&quot;00D0727B&quot;/&gt;&lt;wsp:rsid wsp:val=&quot;00D10393&quot;/&gt;&lt;wsp:rsid wsp:val=&quot;00D103F2&quot;/&gt;&lt;wsp:rsid wsp:val=&quot;00D12CD8&quot;/&gt;&lt;wsp:rsid wsp:val=&quot;00D212DB&quot;/&gt;&lt;wsp:rsid wsp:val=&quot;00D2545C&quot;/&gt;&lt;wsp:rsid wsp:val=&quot;00D25D37&quot;/&gt;&lt;wsp:rsid wsp:val=&quot;00D263A4&quot;/&gt;&lt;wsp:rsid wsp:val=&quot;00D3295E&quot;/&gt;&lt;wsp:rsid wsp:val=&quot;00D33B4C&quot;/&gt;&lt;wsp:rsid wsp:val=&quot;00D347B8&quot;/&gt;&lt;wsp:rsid wsp:val=&quot;00D4192C&quot;/&gt;&lt;wsp:rsid wsp:val=&quot;00D41DBA&quot;/&gt;&lt;wsp:rsid wsp:val=&quot;00D46A11&quot;/&gt;&lt;wsp:rsid wsp:val=&quot;00D5476A&quot;/&gt;&lt;wsp:rsid wsp:val=&quot;00D55A12&quot;/&gt;&lt;wsp:rsid wsp:val=&quot;00D606AA&quot;/&gt;&lt;wsp:rsid wsp:val=&quot;00D756AE&quot;/&gt;&lt;wsp:rsid wsp:val=&quot;00D76267&quot;/&gt;&lt;wsp:rsid wsp:val=&quot;00D81456&quot;/&gt;&lt;wsp:rsid wsp:val=&quot;00D81687&quot;/&gt;&lt;wsp:rsid wsp:val=&quot;00D84B18&quot;/&gt;&lt;wsp:rsid wsp:val=&quot;00D86763&quot;/&gt;&lt;wsp:rsid wsp:val=&quot;00D874B9&quot;/&gt;&lt;wsp:rsid wsp:val=&quot;00D87738&quot;/&gt;&lt;wsp:rsid wsp:val=&quot;00D8792B&quot;/&gt;&lt;wsp:rsid wsp:val=&quot;00D92CEF&quot;/&gt;&lt;wsp:rsid wsp:val=&quot;00D93D97&quot;/&gt;&lt;wsp:rsid wsp:val=&quot;00DA3131&quot;/&gt;&lt;wsp:rsid wsp:val=&quot;00DA3C67&quot;/&gt;&lt;wsp:rsid wsp:val=&quot;00DA5827&quot;/&gt;&lt;wsp:rsid wsp:val=&quot;00DB457E&quot;/&gt;&lt;wsp:rsid wsp:val=&quot;00DB5542&quot;/&gt;&lt;wsp:rsid wsp:val=&quot;00DB5AD7&quot;/&gt;&lt;wsp:rsid wsp:val=&quot;00DC538B&quot;/&gt;&lt;wsp:rsid wsp:val=&quot;00DC58B5&quot;/&gt;&lt;wsp:rsid wsp:val=&quot;00DD0DD1&quot;/&gt;&lt;wsp:rsid wsp:val=&quot;00DD139D&quot;/&gt;&lt;wsp:rsid wsp:val=&quot;00DE4009&quot;/&gt;&lt;wsp:rsid wsp:val=&quot;00DE5C50&quot;/&gt;&lt;wsp:rsid wsp:val=&quot;00DE6E6F&quot;/&gt;&lt;wsp:rsid wsp:val=&quot;00DF52F8&quot;/&gt;&lt;wsp:rsid wsp:val=&quot;00DF7AC1&quot;/&gt;&lt;wsp:rsid wsp:val=&quot;00E01754&quot;/&gt;&lt;wsp:rsid wsp:val=&quot;00E061B3&quot;/&gt;&lt;wsp:rsid wsp:val=&quot;00E07E36&quot;/&gt;&lt;wsp:rsid wsp:val=&quot;00E200BC&quot;/&gt;&lt;wsp:rsid wsp:val=&quot;00E225FB&quot;/&gt;&lt;wsp:rsid wsp:val=&quot;00E23B20&quot;/&gt;&lt;wsp:rsid wsp:val=&quot;00E30F24&quot;/&gt;&lt;wsp:rsid wsp:val=&quot;00E31DF9&quot;/&gt;&lt;wsp:rsid wsp:val=&quot;00E3773F&quot;/&gt;&lt;wsp:rsid wsp:val=&quot;00E4178F&quot;/&gt;&lt;wsp:rsid wsp:val=&quot;00E50AA6&quot;/&gt;&lt;wsp:rsid wsp:val=&quot;00E57916&quot;/&gt;&lt;wsp:rsid wsp:val=&quot;00E62407&quot;/&gt;&lt;wsp:rsid wsp:val=&quot;00E72753&quot;/&gt;&lt;wsp:rsid wsp:val=&quot;00E73CE9&quot;/&gt;&lt;wsp:rsid wsp:val=&quot;00E77C0A&quot;/&gt;&lt;wsp:rsid wsp:val=&quot;00E81EB9&quot;/&gt;&lt;wsp:rsid wsp:val=&quot;00E83A28&quot;/&gt;&lt;wsp:rsid wsp:val=&quot;00E8413C&quot;/&gt;&lt;wsp:rsid wsp:val=&quot;00E86F28&quot;/&gt;&lt;wsp:rsid wsp:val=&quot;00E91938&quot;/&gt;&lt;wsp:rsid wsp:val=&quot;00E94C0B&quot;/&gt;&lt;wsp:rsid wsp:val=&quot;00EB3364&quot;/&gt;&lt;wsp:rsid wsp:val=&quot;00EB4A71&quot;/&gt;&lt;wsp:rsid wsp:val=&quot;00EC524B&quot;/&gt;&lt;wsp:rsid wsp:val=&quot;00ED0091&quot;/&gt;&lt;wsp:rsid wsp:val=&quot;00ED5E63&quot;/&gt;&lt;wsp:rsid wsp:val=&quot;00ED7653&quot;/&gt;&lt;wsp:rsid wsp:val=&quot;00EE06D8&quot;/&gt;&lt;wsp:rsid wsp:val=&quot;00EE1404&quot;/&gt;&lt;wsp:rsid wsp:val=&quot;00EE148A&quot;/&gt;&lt;wsp:rsid wsp:val=&quot;00EE2C31&quot;/&gt;&lt;wsp:rsid wsp:val=&quot;00EE4EE7&quot;/&gt;&lt;wsp:rsid wsp:val=&quot;00F00746&quot;/&gt;&lt;wsp:rsid wsp:val=&quot;00F07059&quot;/&gt;&lt;wsp:rsid wsp:val=&quot;00F1155C&quot;/&gt;&lt;wsp:rsid wsp:val=&quot;00F1681C&quot;/&gt;&lt;wsp:rsid wsp:val=&quot;00F16BF4&quot;/&gt;&lt;wsp:rsid wsp:val=&quot;00F21253&quot;/&gt;&lt;wsp:rsid wsp:val=&quot;00F21CF8&quot;/&gt;&lt;wsp:rsid wsp:val=&quot;00F25031&quot;/&gt;&lt;wsp:rsid wsp:val=&quot;00F34817&quot;/&gt;&lt;wsp:rsid wsp:val=&quot;00F359D4&quot;/&gt;&lt;wsp:rsid wsp:val=&quot;00F46362&quot;/&gt;&lt;wsp:rsid wsp:val=&quot;00F463ED&quot;/&gt;&lt;wsp:rsid wsp:val=&quot;00F4744D&quot;/&gt;&lt;wsp:rsid wsp:val=&quot;00F60578&quot;/&gt;&lt;wsp:rsid wsp:val=&quot;00F6097E&quot;/&gt;&lt;wsp:rsid wsp:val=&quot;00F649EE&quot;/&gt;&lt;wsp:rsid wsp:val=&quot;00F65688&quot;/&gt;&lt;wsp:rsid wsp:val=&quot;00F659A1&quot;/&gt;&lt;wsp:rsid wsp:val=&quot;00F7252E&quot;/&gt;&lt;wsp:rsid wsp:val=&quot;00F72E30&quot;/&gt;&lt;wsp:rsid wsp:val=&quot;00F802A9&quot;/&gt;&lt;wsp:rsid wsp:val=&quot;00F8033E&quot;/&gt;&lt;wsp:rsid wsp:val=&quot;00F82619&quot;/&gt;&lt;wsp:rsid wsp:val=&quot;00F9226D&quot;/&gt;&lt;wsp:rsid wsp:val=&quot;00F92795&quot;/&gt;&lt;wsp:rsid wsp:val=&quot;00F93081&quot;/&gt;&lt;wsp:rsid wsp:val=&quot;00F947AC&quot;/&gt;&lt;wsp:rsid wsp:val=&quot;00FA36E1&quot;/&gt;&lt;wsp:rsid wsp:val=&quot;00FA386E&quot;/&gt;&lt;wsp:rsid wsp:val=&quot;00FA4A91&quot;/&gt;&lt;wsp:rsid wsp:val=&quot;00FB6267&quot;/&gt;&lt;wsp:rsid wsp:val=&quot;00FC1C47&quot;/&gt;&lt;wsp:rsid wsp:val=&quot;00FC235A&quot;/&gt;&lt;wsp:rsid wsp:val=&quot;00FC4A1A&quot;/&gt;&lt;wsp:rsid wsp:val=&quot;00FC7FAC&quot;/&gt;&lt;wsp:rsid wsp:val=&quot;00FD0FEC&quot;/&gt;&lt;wsp:rsid wsp:val=&quot;00FD29B4&quot;/&gt;&lt;wsp:rsid wsp:val=&quot;00FD2B57&quot;/&gt;&lt;wsp:rsid wsp:val=&quot;00FD427A&quot;/&gt;&lt;wsp:rsid wsp:val=&quot;00FE0DA1&quot;/&gt;&lt;wsp:rsid wsp:val=&quot;00FE2D78&quot;/&gt;&lt;wsp:rsid wsp:val=&quot;00FE40EF&quot;/&gt;&lt;wsp:rsid wsp:val=&quot;00FE5965&quot;/&gt;&lt;wsp:rsid wsp:val=&quot;00FE6C98&quot;/&gt;&lt;wsp:rsid wsp:val=&quot;00FE76FF&quot;/&gt;&lt;wsp:rsid wsp:val=&quot;00FF0550&quot;/&gt;&lt;wsp:rsid wsp:val=&quot;00FF3F13&quot;/&gt;&lt;wsp:rsid wsp:val=&quot;069D11AC&quot;/&gt;&lt;wsp:rsid wsp:val=&quot;09B11BED&quot;/&gt;&lt;wsp:rsid wsp:val=&quot;2CA27B92&quot;/&gt;&lt;wsp:rsid wsp:val=&quot;2E761E7C&quot;/&gt;&lt;wsp:rsid wsp:val=&quot;3DAA4DB8&quot;/&gt;&lt;wsp:rsid wsp:val=&quot;483E004C&quot;/&gt;&lt;wsp:rsid wsp:val=&quot;521A1E56&quot;/&gt;&lt;wsp:rsid wsp:val=&quot;521A5946&quot;/&gt;&lt;wsp:rsid wsp:val=&quot;69124135&quot;/&gt;&lt;wsp:rsid wsp:val=&quot;6A4D2BD0&quot;/&gt;&lt;wsp:rsid wsp:val=&quot;796B021D&quot;/&gt;&lt;/wsp:rsids&gt;&lt;/w:docPr&gt;&lt;w:body&gt;&lt;wx:sect&gt;&lt;w:p wsp:rsidR=&quot;00000000&quot; wsp:rsidRDefault=&quot;00486315&quot; wsp:rsidP=&quot;00486315&quot;&gt;&lt;w:pPr&gt;&lt;w:ind w:first-line=&quot;480&quot;/&gt;&lt;/w:pPr&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44&lt;/m:t&gt;&lt;/m:r&gt;&lt;/m:num&gt;&lt;m:den&gt;&lt;m:r&gt;&lt;w:rPr&gt;&lt;w:rFonts w:ascii=&quot;Cambria Math&quot; w:h-ansi=&quot;Cambria Math&quot;/&gt;&lt;wx:font wx:val=&quot;Cambria Math&quot;/&gt;&lt;w:i/&gt;&lt;/w:rPr&gt;&lt;m:t&gt;12&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89" chromakey="#FFFFFF" o:title=""/>
            <o:lock v:ext="edit" aspectratio="t"/>
            <w10:wrap type="none"/>
            <w10:anchorlock/>
          </v:shape>
        </w:pict>
      </w:r>
      <w:r>
        <w:rPr>
          <w:rFonts w:ascii="Times New Roman" w:cs="Times New Roman"/>
          <w:kern w:val="2"/>
        </w:rPr>
        <w:instrText xml:space="preserve"> </w:instrText>
      </w:r>
      <w:r>
        <w:rPr>
          <w:rFonts w:ascii="Times New Roman" w:cs="Times New Roman"/>
          <w:kern w:val="2"/>
        </w:rPr>
        <w:fldChar w:fldCharType="separate"/>
      </w:r>
      <w:r>
        <w:rPr>
          <w:rFonts w:ascii="Times New Roman" w:cs="Times New Roman"/>
          <w:kern w:val="2"/>
          <w:position w:val="-28"/>
        </w:rPr>
        <w:pict>
          <v:shape id="_x0000_i1030" o:spt="75" type="#_x0000_t75" style="height:26.9pt;width:9.4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mirrorMargins/&gt;&lt;w:bordersDontSurroundHeader/&gt;&lt;w:bordersDontSurroundFooter/&gt;&lt;w:hideSpellingErrors/&gt;&lt;w:stylePaneFormatFilter w:val=&quot;3F01&quot;/&gt;&lt;w:documentProtection w:edit=&quot;read-only&quot; w:enforcement=&quot;off&quot;/&gt;&lt;w:defaultTabStop w:val=&quot;0&quot;/&gt;&lt;w:evenAndOddHeaders/&gt;&lt;w:drawingGridHorizontalSpacing w:val=&quot;105&quot;/&gt;&lt;w:drawingGridVerticalSpacing w:val=&quot;156&quot;/&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dontGrowAutofit/&gt;&lt;w:useFELayout/&gt;&lt;/w:compat&gt;&lt;w:docVars&gt;&lt;w:docVar w:name=&quot;commondata&quot; w:val=&quot;eyJoZGlkIjoiYzE4N2M0YWU5ZGQyMWIwMGFiMDc3NzM3Y2I5MDk3MWYifQ==&quot;/&gt;&lt;/w:docVars&gt;&lt;wsp:rsids&gt;&lt;wsp:rsidRoot wsp:val=&quot;00172A27&quot;/&gt;&lt;wsp:rsid wsp:val=&quot;00000752&quot;/&gt;&lt;wsp:rsid wsp:val=&quot;00001B16&quot;/&gt;&lt;wsp:rsid wsp:val=&quot;00003A89&quot;/&gt;&lt;wsp:rsid wsp:val=&quot;000050CD&quot;/&gt;&lt;wsp:rsid wsp:val=&quot;000064CD&quot;/&gt;&lt;wsp:rsid wsp:val=&quot;00012191&quot;/&gt;&lt;wsp:rsid wsp:val=&quot;0002136A&quot;/&gt;&lt;wsp:rsid wsp:val=&quot;00021A6B&quot;/&gt;&lt;wsp:rsid wsp:val=&quot;00025148&quot;/&gt;&lt;wsp:rsid wsp:val=&quot;00026FF1&quot;/&gt;&lt;wsp:rsid wsp:val=&quot;00027A79&quot;/&gt;&lt;wsp:rsid wsp:val=&quot;00030C58&quot;/&gt;&lt;wsp:rsid wsp:val=&quot;000311A3&quot;/&gt;&lt;wsp:rsid wsp:val=&quot;0003127A&quot;/&gt;&lt;wsp:rsid wsp:val=&quot;000332D1&quot;/&gt;&lt;wsp:rsid wsp:val=&quot;00033776&quot;/&gt;&lt;wsp:rsid wsp:val=&quot;0003611A&quot;/&gt;&lt;wsp:rsid wsp:val=&quot;00036C83&quot;/&gt;&lt;wsp:rsid wsp:val=&quot;0004179D&quot;/&gt;&lt;wsp:rsid wsp:val=&quot;00041826&quot;/&gt;&lt;wsp:rsid wsp:val=&quot;000423CA&quot;/&gt;&lt;wsp:rsid wsp:val=&quot;000438A2&quot;/&gt;&lt;wsp:rsid wsp:val=&quot;00046590&quot;/&gt;&lt;wsp:rsid wsp:val=&quot;000500A0&quot;/&gt;&lt;wsp:rsid wsp:val=&quot;000565F8&quot;/&gt;&lt;wsp:rsid wsp:val=&quot;00056A68&quot;/&gt;&lt;wsp:rsid wsp:val=&quot;0005773F&quot;/&gt;&lt;wsp:rsid wsp:val=&quot;000601FE&quot;/&gt;&lt;wsp:rsid wsp:val=&quot;00060864&quot;/&gt;&lt;wsp:rsid wsp:val=&quot;00060DE3&quot;/&gt;&lt;wsp:rsid wsp:val=&quot;00062F8A&quot;/&gt;&lt;wsp:rsid wsp:val=&quot;000643BE&quot;/&gt;&lt;wsp:rsid wsp:val=&quot;00070CBD&quot;/&gt;&lt;wsp:rsid wsp:val=&quot;00075CCB&quot;/&gt;&lt;wsp:rsid wsp:val=&quot;0008373B&quot;/&gt;&lt;wsp:rsid wsp:val=&quot;000844FB&quot;/&gt;&lt;wsp:rsid wsp:val=&quot;000922A4&quot;/&gt;&lt;wsp:rsid wsp:val=&quot;00094029&quot;/&gt;&lt;wsp:rsid wsp:val=&quot;00096D5B&quot;/&gt;&lt;wsp:rsid wsp:val=&quot;000A299B&quot;/&gt;&lt;wsp:rsid wsp:val=&quot;000A342F&quot;/&gt;&lt;wsp:rsid wsp:val=&quot;000B03F2&quot;/&gt;&lt;wsp:rsid wsp:val=&quot;000B07EE&quot;/&gt;&lt;wsp:rsid wsp:val=&quot;000B379A&quot;/&gt;&lt;wsp:rsid wsp:val=&quot;000B4A2B&quot;/&gt;&lt;wsp:rsid wsp:val=&quot;000B6A75&quot;/&gt;&lt;wsp:rsid wsp:val=&quot;000C171A&quot;/&gt;&lt;wsp:rsid wsp:val=&quot;000D1BD3&quot;/&gt;&lt;wsp:rsid wsp:val=&quot;000D20DF&quot;/&gt;&lt;wsp:rsid wsp:val=&quot;000D48A4&quot;/&gt;&lt;wsp:rsid wsp:val=&quot;000D6A21&quot;/&gt;&lt;wsp:rsid wsp:val=&quot;000E2EDB&quot;/&gt;&lt;wsp:rsid wsp:val=&quot;000E4561&quot;/&gt;&lt;wsp:rsid wsp:val=&quot;000E4B27&quot;/&gt;&lt;wsp:rsid wsp:val=&quot;000E6AF8&quot;/&gt;&lt;wsp:rsid wsp:val=&quot;000F2E34&quot;/&gt;&lt;wsp:rsid wsp:val=&quot;000F3517&quot;/&gt;&lt;wsp:rsid wsp:val=&quot;000F5B68&quot;/&gt;&lt;wsp:rsid wsp:val=&quot;000F6CD7&quot;/&gt;&lt;wsp:rsid wsp:val=&quot;001035DC&quot;/&gt;&lt;wsp:rsid wsp:val=&quot;00105F6D&quot;/&gt;&lt;wsp:rsid wsp:val=&quot;0010660C&quot;/&gt;&lt;wsp:rsid wsp:val=&quot;00106BB5&quot;/&gt;&lt;wsp:rsid wsp:val=&quot;0011045C&quot;/&gt;&lt;wsp:rsid wsp:val=&quot;00112010&quot;/&gt;&lt;wsp:rsid wsp:val=&quot;00116D88&quot;/&gt;&lt;wsp:rsid wsp:val=&quot;00117335&quot;/&gt;&lt;wsp:rsid wsp:val=&quot;00125E4D&quot;/&gt;&lt;wsp:rsid wsp:val=&quot;001316CA&quot;/&gt;&lt;wsp:rsid wsp:val=&quot;0013193B&quot;/&gt;&lt;wsp:rsid wsp:val=&quot;0014421A&quot;/&gt;&lt;wsp:rsid wsp:val=&quot;0015128B&quot;/&gt;&lt;wsp:rsid wsp:val=&quot;00151367&quot;/&gt;&lt;wsp:rsid wsp:val=&quot;001514BB&quot;/&gt;&lt;wsp:rsid wsp:val=&quot;00162873&quot;/&gt;&lt;wsp:rsid wsp:val=&quot;00172A27&quot;/&gt;&lt;wsp:rsid wsp:val=&quot;00174BCE&quot;/&gt;&lt;wsp:rsid wsp:val=&quot;00180780&quot;/&gt;&lt;wsp:rsid wsp:val=&quot;00182394&quot;/&gt;&lt;wsp:rsid wsp:val=&quot;001832AF&quot;/&gt;&lt;wsp:rsid wsp:val=&quot;001925F3&quot;/&gt;&lt;wsp:rsid wsp:val=&quot;00193520&quot;/&gt;&lt;wsp:rsid wsp:val=&quot;0019494A&quot;/&gt;&lt;wsp:rsid wsp:val=&quot;0019696A&quot;/&gt;&lt;wsp:rsid wsp:val=&quot;00196C27&quot;/&gt;&lt;wsp:rsid wsp:val=&quot;001A7865&quot;/&gt;&lt;wsp:rsid wsp:val=&quot;001B47BA&quot;/&gt;&lt;wsp:rsid wsp:val=&quot;001C2B03&quot;/&gt;&lt;wsp:rsid wsp:val=&quot;001C5076&quot;/&gt;&lt;wsp:rsid wsp:val=&quot;001C6757&quot;/&gt;&lt;wsp:rsid wsp:val=&quot;001C71CF&quot;/&gt;&lt;wsp:rsid wsp:val=&quot;001D051A&quot;/&gt;&lt;wsp:rsid wsp:val=&quot;001D1871&quot;/&gt;&lt;wsp:rsid wsp:val=&quot;001E288F&quot;/&gt;&lt;wsp:rsid wsp:val=&quot;001E4B8D&quot;/&gt;&lt;wsp:rsid wsp:val=&quot;001F0AA1&quot;/&gt;&lt;wsp:rsid wsp:val=&quot;001F3B76&quot;/&gt;&lt;wsp:rsid wsp:val=&quot;001F5C47&quot;/&gt;&lt;wsp:rsid wsp:val=&quot;001F67A7&quot;/&gt;&lt;wsp:rsid wsp:val=&quot;0020331B&quot;/&gt;&lt;wsp:rsid wsp:val=&quot;0020575C&quot;/&gt;&lt;wsp:rsid wsp:val=&quot;00206F41&quot;/&gt;&lt;wsp:rsid wsp:val=&quot;002101D6&quot;/&gt;&lt;wsp:rsid wsp:val=&quot;00212200&quot;/&gt;&lt;wsp:rsid wsp:val=&quot;00214B00&quot;/&gt;&lt;wsp:rsid wsp:val=&quot;00217839&quot;/&gt;&lt;wsp:rsid wsp:val=&quot;0022558D&quot;/&gt;&lt;wsp:rsid wsp:val=&quot;00226CE9&quot;/&gt;&lt;wsp:rsid wsp:val=&quot;00230A0B&quot;/&gt;&lt;wsp:rsid wsp:val=&quot;00232DAF&quot;/&gt;&lt;wsp:rsid wsp:val=&quot;00236C1C&quot;/&gt;&lt;wsp:rsid wsp:val=&quot;00236D5F&quot;/&gt;&lt;wsp:rsid wsp:val=&quot;00241029&quot;/&gt;&lt;wsp:rsid wsp:val=&quot;0024649B&quot;/&gt;&lt;wsp:rsid wsp:val=&quot;002502B5&quot;/&gt;&lt;wsp:rsid wsp:val=&quot;002518A0&quot;/&gt;&lt;wsp:rsid wsp:val=&quot;00253710&quot;/&gt;&lt;wsp:rsid wsp:val=&quot;00253D35&quot;/&gt;&lt;wsp:rsid wsp:val=&quot;00254AAE&quot;/&gt;&lt;wsp:rsid wsp:val=&quot;00256465&quot;/&gt;&lt;wsp:rsid wsp:val=&quot;002569C7&quot;/&gt;&lt;wsp:rsid wsp:val=&quot;00257178&quot;/&gt;&lt;wsp:rsid wsp:val=&quot;002627B6&quot;/&gt;&lt;wsp:rsid wsp:val=&quot;0026357C&quot;/&gt;&lt;wsp:rsid wsp:val=&quot;002637DE&quot;/&gt;&lt;wsp:rsid wsp:val=&quot;0026405C&quot;/&gt;&lt;wsp:rsid wsp:val=&quot;00264B38&quot;/&gt;&lt;wsp:rsid wsp:val=&quot;0027270D&quot;/&gt;&lt;wsp:rsid wsp:val=&quot;00272E1D&quot;/&gt;&lt;wsp:rsid wsp:val=&quot;00277BAE&quot;/&gt;&lt;wsp:rsid wsp:val=&quot;00290852&quot;/&gt;&lt;wsp:rsid wsp:val=&quot;00294B41&quot;/&gt;&lt;wsp:rsid wsp:val=&quot;002A4270&quot;/&gt;&lt;wsp:rsid wsp:val=&quot;002A592C&quot;/&gt;&lt;wsp:rsid wsp:val=&quot;002B2223&quot;/&gt;&lt;wsp:rsid wsp:val=&quot;002B5104&quot;/&gt;&lt;wsp:rsid wsp:val=&quot;002B63B8&quot;/&gt;&lt;wsp:rsid wsp:val=&quot;002C24A3&quot;/&gt;&lt;wsp:rsid wsp:val=&quot;002C50D8&quot;/&gt;&lt;wsp:rsid wsp:val=&quot;002D0CDA&quot;/&gt;&lt;wsp:rsid wsp:val=&quot;002D116A&quot;/&gt;&lt;wsp:rsid wsp:val=&quot;002D3BF6&quot;/&gt;&lt;wsp:rsid wsp:val=&quot;002D4CA3&quot;/&gt;&lt;wsp:rsid wsp:val=&quot;002E27A2&quot;/&gt;&lt;wsp:rsid wsp:val=&quot;002E32BB&quot;/&gt;&lt;wsp:rsid wsp:val=&quot;002E5044&quot;/&gt;&lt;wsp:rsid wsp:val=&quot;002E571E&quot;/&gt;&lt;wsp:rsid wsp:val=&quot;002E62E3&quot;/&gt;&lt;wsp:rsid wsp:val=&quot;002E7F51&quot;/&gt;&lt;wsp:rsid wsp:val=&quot;002F0805&quot;/&gt;&lt;wsp:rsid wsp:val=&quot;002F2387&quot;/&gt;&lt;wsp:rsid wsp:val=&quot;002F7F85&quot;/&gt;&lt;wsp:rsid wsp:val=&quot;003041C1&quot;/&gt;&lt;wsp:rsid wsp:val=&quot;00307922&quot;/&gt;&lt;wsp:rsid wsp:val=&quot;00315863&quot;/&gt;&lt;wsp:rsid wsp:val=&quot;003236F4&quot;/&gt;&lt;wsp:rsid wsp:val=&quot;00323FE0&quot;/&gt;&lt;wsp:rsid wsp:val=&quot;003260BC&quot;/&gt;&lt;wsp:rsid wsp:val=&quot;003267EA&quot;/&gt;&lt;wsp:rsid wsp:val=&quot;00327474&quot;/&gt;&lt;wsp:rsid wsp:val=&quot;0033219A&quot;/&gt;&lt;wsp:rsid wsp:val=&quot;0033356F&quot;/&gt;&lt;wsp:rsid wsp:val=&quot;003336B2&quot;/&gt;&lt;wsp:rsid wsp:val=&quot;003338FD&quot;/&gt;&lt;wsp:rsid wsp:val=&quot;00340D73&quot;/&gt;&lt;wsp:rsid wsp:val=&quot;00340D74&quot;/&gt;&lt;wsp:rsid wsp:val=&quot;00341A69&quot;/&gt;&lt;wsp:rsid wsp:val=&quot;00343E78&quot;/&gt;&lt;wsp:rsid wsp:val=&quot;00350100&quot;/&gt;&lt;wsp:rsid wsp:val=&quot;0035694E&quot;/&gt;&lt;wsp:rsid wsp:val=&quot;003615F0&quot;/&gt;&lt;wsp:rsid wsp:val=&quot;00361821&quot;/&gt;&lt;wsp:rsid wsp:val=&quot;003667E1&quot;/&gt;&lt;wsp:rsid wsp:val=&quot;00367188&quot;/&gt;&lt;wsp:rsid wsp:val=&quot;00367290&quot;/&gt;&lt;wsp:rsid wsp:val=&quot;00370293&quot;/&gt;&lt;wsp:rsid wsp:val=&quot;00370C07&quot;/&gt;&lt;wsp:rsid wsp:val=&quot;003715E9&quot;/&gt;&lt;wsp:rsid wsp:val=&quot;00375D6A&quot;/&gt;&lt;wsp:rsid wsp:val=&quot;00377F5B&quot;/&gt;&lt;wsp:rsid wsp:val=&quot;00380241&quot;/&gt;&lt;wsp:rsid wsp:val=&quot;00380B64&quot;/&gt;&lt;wsp:rsid wsp:val=&quot;003863FF&quot;/&gt;&lt;wsp:rsid wsp:val=&quot;00386974&quot;/&gt;&lt;wsp:rsid wsp:val=&quot;00386D5F&quot;/&gt;&lt;wsp:rsid wsp:val=&quot;003970B2&quot;/&gt;&lt;wsp:rsid wsp:val=&quot;003A0CDD&quot;/&gt;&lt;wsp:rsid wsp:val=&quot;003A2B93&quot;/&gt;&lt;wsp:rsid wsp:val=&quot;003A41CF&quot;/&gt;&lt;wsp:rsid wsp:val=&quot;003A614F&quot;/&gt;&lt;wsp:rsid wsp:val=&quot;003B208A&quot;/&gt;&lt;wsp:rsid wsp:val=&quot;003B27EF&quot;/&gt;&lt;wsp:rsid wsp:val=&quot;003B2FEC&quot;/&gt;&lt;wsp:rsid wsp:val=&quot;003B445D&quot;/&gt;&lt;wsp:rsid wsp:val=&quot;003B5AFB&quot;/&gt;&lt;wsp:rsid wsp:val=&quot;003C18B0&quot;/&gt;&lt;wsp:rsid wsp:val=&quot;003C337B&quot;/&gt;&lt;wsp:rsid wsp:val=&quot;003C37C7&quot;/&gt;&lt;wsp:rsid wsp:val=&quot;003C3BA0&quot;/&gt;&lt;wsp:rsid wsp:val=&quot;003C6CC8&quot;/&gt;&lt;wsp:rsid wsp:val=&quot;003D1CB7&quot;/&gt;&lt;wsp:rsid wsp:val=&quot;003D2F76&quot;/&gt;&lt;wsp:rsid wsp:val=&quot;003D3E5C&quot;/&gt;&lt;wsp:rsid wsp:val=&quot;003D5DA8&quot;/&gt;&lt;wsp:rsid wsp:val=&quot;003D6FCA&quot;/&gt;&lt;wsp:rsid wsp:val=&quot;003D7DF1&quot;/&gt;&lt;wsp:rsid wsp:val=&quot;003E100A&quot;/&gt;&lt;wsp:rsid wsp:val=&quot;003E20ED&quot;/&gt;&lt;wsp:rsid wsp:val=&quot;003E753A&quot;/&gt;&lt;wsp:rsid wsp:val=&quot;00403DD0&quot;/&gt;&lt;wsp:rsid wsp:val=&quot;00406210&quot;/&gt;&lt;wsp:rsid wsp:val=&quot;0040661F&quot;/&gt;&lt;wsp:rsid wsp:val=&quot;00411C2A&quot;/&gt;&lt;wsp:rsid wsp:val=&quot;004127FF&quot;/&gt;&lt;wsp:rsid wsp:val=&quot;00412EFE&quot;/&gt;&lt;wsp:rsid wsp:val=&quot;0041332C&quot;/&gt;&lt;wsp:rsid wsp:val=&quot;004139CC&quot;/&gt;&lt;wsp:rsid wsp:val=&quot;00420A46&quot;/&gt;&lt;wsp:rsid wsp:val=&quot;00424445&quot;/&gt;&lt;wsp:rsid wsp:val=&quot;004262E8&quot;/&gt;&lt;wsp:rsid wsp:val=&quot;00430D82&quot;/&gt;&lt;wsp:rsid wsp:val=&quot;00432041&quot;/&gt;&lt;wsp:rsid wsp:val=&quot;00433651&quot;/&gt;&lt;wsp:rsid wsp:val=&quot;004367B9&quot;/&gt;&lt;wsp:rsid wsp:val=&quot;00450B77&quot;/&gt;&lt;wsp:rsid wsp:val=&quot;0045220D&quot;/&gt;&lt;wsp:rsid wsp:val=&quot;00452835&quot;/&gt;&lt;wsp:rsid wsp:val=&quot;004624BF&quot;/&gt;&lt;wsp:rsid wsp:val=&quot;00463E2C&quot;/&gt;&lt;wsp:rsid wsp:val=&quot;00470DCE&quot;/&gt;&lt;wsp:rsid wsp:val=&quot;00477568&quot;/&gt;&lt;wsp:rsid wsp:val=&quot;00480F20&quot;/&gt;&lt;wsp:rsid wsp:val=&quot;004816AC&quot;/&gt;&lt;wsp:rsid wsp:val=&quot;00484323&quot;/&gt;&lt;wsp:rsid wsp:val=&quot;0048528A&quot;/&gt;&lt;wsp:rsid wsp:val=&quot;00485BF1&quot;/&gt;&lt;wsp:rsid wsp:val=&quot;00486315&quot;/&gt;&lt;wsp:rsid wsp:val=&quot;004866C3&quot;/&gt;&lt;wsp:rsid wsp:val=&quot;004940CC&quot;/&gt;&lt;wsp:rsid wsp:val=&quot;004A2E02&quot;/&gt;&lt;wsp:rsid wsp:val=&quot;004A3930&quot;/&gt;&lt;wsp:rsid wsp:val=&quot;004A4CCE&quot;/&gt;&lt;wsp:rsid wsp:val=&quot;004B3B71&quot;/&gt;&lt;wsp:rsid wsp:val=&quot;004B4F5B&quot;/&gt;&lt;wsp:rsid wsp:val=&quot;004B7783&quot;/&gt;&lt;wsp:rsid wsp:val=&quot;004C28C7&quot;/&gt;&lt;wsp:rsid wsp:val=&quot;004C2F99&quot;/&gt;&lt;wsp:rsid wsp:val=&quot;004D08F6&quot;/&gt;&lt;wsp:rsid wsp:val=&quot;004D0961&quot;/&gt;&lt;wsp:rsid wsp:val=&quot;004D25F1&quot;/&gt;&lt;wsp:rsid wsp:val=&quot;004D63A4&quot;/&gt;&lt;wsp:rsid wsp:val=&quot;004D6827&quot;/&gt;&lt;wsp:rsid wsp:val=&quot;004E0328&quot;/&gt;&lt;wsp:rsid wsp:val=&quot;004E15DD&quot;/&gt;&lt;wsp:rsid wsp:val=&quot;004E1CB3&quot;/&gt;&lt;wsp:rsid wsp:val=&quot;004E67D2&quot;/&gt;&lt;wsp:rsid wsp:val=&quot;004E6F73&quot;/&gt;&lt;wsp:rsid wsp:val=&quot;004F02A2&quot;/&gt;&lt;wsp:rsid wsp:val=&quot;004F0481&quot;/&gt;&lt;wsp:rsid wsp:val=&quot;004F3CE5&quot;/&gt;&lt;wsp:rsid wsp:val=&quot;004F40CC&quot;/&gt;&lt;wsp:rsid wsp:val=&quot;004F5EA7&quot;/&gt;&lt;wsp:rsid wsp:val=&quot;00500BB1&quot;/&gt;&lt;wsp:rsid wsp:val=&quot;00500EE2&quot;/&gt;&lt;wsp:rsid wsp:val=&quot;005038B7&quot;/&gt;&lt;wsp:rsid wsp:val=&quot;00504029&quot;/&gt;&lt;wsp:rsid wsp:val=&quot;00507FB9&quot;/&gt;&lt;wsp:rsid wsp:val=&quot;0051048F&quot;/&gt;&lt;wsp:rsid wsp:val=&quot;005115CD&quot;/&gt;&lt;wsp:rsid wsp:val=&quot;00512E2E&quot;/&gt;&lt;wsp:rsid wsp:val=&quot;0051314F&quot;/&gt;&lt;wsp:rsid wsp:val=&quot;00517A04&quot;/&gt;&lt;wsp:rsid wsp:val=&quot;005229E8&quot;/&gt;&lt;wsp:rsid wsp:val=&quot;00524EFC&quot;/&gt;&lt;wsp:rsid wsp:val=&quot;00526C07&quot;/&gt;&lt;wsp:rsid wsp:val=&quot;00530888&quot;/&gt;&lt;wsp:rsid wsp:val=&quot;00532F33&quot;/&gt;&lt;wsp:rsid wsp:val=&quot;0053623A&quot;/&gt;&lt;wsp:rsid wsp:val=&quot;005416D7&quot;/&gt;&lt;wsp:rsid wsp:val=&quot;0054702B&quot;/&gt;&lt;wsp:rsid wsp:val=&quot;005473CC&quot;/&gt;&lt;wsp:rsid wsp:val=&quot;005514D4&quot;/&gt;&lt;wsp:rsid wsp:val=&quot;00551F64&quot;/&gt;&lt;wsp:rsid wsp:val=&quot;0055303C&quot;/&gt;&lt;wsp:rsid wsp:val=&quot;00554450&quot;/&gt;&lt;wsp:rsid wsp:val=&quot;00556112&quot;/&gt;&lt;wsp:rsid wsp:val=&quot;00561902&quot;/&gt;&lt;wsp:rsid wsp:val=&quot;0056305A&quot;/&gt;&lt;wsp:rsid wsp:val=&quot;005645CD&quot;/&gt;&lt;wsp:rsid wsp:val=&quot;00572CD9&quot;/&gt;&lt;wsp:rsid wsp:val=&quot;00574753&quot;/&gt;&lt;wsp:rsid wsp:val=&quot;00574F02&quot;/&gt;&lt;wsp:rsid wsp:val=&quot;0057529E&quot;/&gt;&lt;wsp:rsid wsp:val=&quot;00575583&quot;/&gt;&lt;wsp:rsid wsp:val=&quot;0057685B&quot;/&gt;&lt;wsp:rsid wsp:val=&quot;00577090&quot;/&gt;&lt;wsp:rsid wsp:val=&quot;00580D04&quot;/&gt;&lt;wsp:rsid wsp:val=&quot;00582FF2&quot;/&gt;&lt;wsp:rsid wsp:val=&quot;00583460&quot;/&gt;&lt;wsp:rsid wsp:val=&quot;005847E0&quot;/&gt;&lt;wsp:rsid wsp:val=&quot;00584B7A&quot;/&gt;&lt;wsp:rsid wsp:val=&quot;00586743&quot;/&gt;&lt;wsp:rsid wsp:val=&quot;00591C72&quot;/&gt;&lt;wsp:rsid wsp:val=&quot;00591F46&quot;/&gt;&lt;wsp:rsid wsp:val=&quot;0059253F&quot;/&gt;&lt;wsp:rsid wsp:val=&quot;005945E3&quot;/&gt;&lt;wsp:rsid wsp:val=&quot;005960AD&quot;/&gt;&lt;wsp:rsid wsp:val=&quot;00596EC2&quot;/&gt;&lt;wsp:rsid wsp:val=&quot;005A0D4F&quot;/&gt;&lt;wsp:rsid wsp:val=&quot;005B43F0&quot;/&gt;&lt;wsp:rsid wsp:val=&quot;005B4FDF&quot;/&gt;&lt;wsp:rsid wsp:val=&quot;005C0FE9&quot;/&gt;&lt;wsp:rsid wsp:val=&quot;005C260A&quot;/&gt;&lt;wsp:rsid wsp:val=&quot;005C368E&quot;/&gt;&lt;wsp:rsid wsp:val=&quot;005D466E&quot;/&gt;&lt;wsp:rsid wsp:val=&quot;005D4BE7&quot;/&gt;&lt;wsp:rsid wsp:val=&quot;005E3C0B&quot;/&gt;&lt;wsp:rsid wsp:val=&quot;005E5DBA&quot;/&gt;&lt;wsp:rsid wsp:val=&quot;005E69B4&quot;/&gt;&lt;wsp:rsid wsp:val=&quot;005E7FBC&quot;/&gt;&lt;wsp:rsid wsp:val=&quot;005F023C&quot;/&gt;&lt;wsp:rsid wsp:val=&quot;005F1595&quot;/&gt;&lt;wsp:rsid wsp:val=&quot;005F3D91&quot;/&gt;&lt;wsp:rsid wsp:val=&quot;005F57B7&quot;/&gt;&lt;wsp:rsid wsp:val=&quot;005F5F05&quot;/&gt;&lt;wsp:rsid wsp:val=&quot;005F6AC6&quot;/&gt;&lt;wsp:rsid wsp:val=&quot;005F713D&quot;/&gt;&lt;wsp:rsid wsp:val=&quot;006003E6&quot;/&gt;&lt;wsp:rsid wsp:val=&quot;006175DE&quot;/&gt;&lt;wsp:rsid wsp:val=&quot;00617DD3&quot;/&gt;&lt;wsp:rsid wsp:val=&quot;00622F68&quot;/&gt;&lt;wsp:rsid wsp:val=&quot;00632181&quot;/&gt;&lt;wsp:rsid wsp:val=&quot;00632429&quot;/&gt;&lt;wsp:rsid wsp:val=&quot;00636115&quot;/&gt;&lt;wsp:rsid wsp:val=&quot;0064008C&quot;/&gt;&lt;wsp:rsid wsp:val=&quot;00640D7B&quot;/&gt;&lt;wsp:rsid wsp:val=&quot;00643159&quot;/&gt;&lt;wsp:rsid wsp:val=&quot;00644D00&quot;/&gt;&lt;wsp:rsid wsp:val=&quot;00644D32&quot;/&gt;&lt;wsp:rsid wsp:val=&quot;006501B0&quot;/&gt;&lt;wsp:rsid wsp:val=&quot;00652061&quot;/&gt;&lt;wsp:rsid wsp:val=&quot;006559AD&quot;/&gt;&lt;wsp:rsid wsp:val=&quot;00660948&quot;/&gt;&lt;wsp:rsid wsp:val=&quot;006636B9&quot;/&gt;&lt;wsp:rsid wsp:val=&quot;006674ED&quot;/&gt;&lt;wsp:rsid wsp:val=&quot;00667CBE&quot;/&gt;&lt;wsp:rsid wsp:val=&quot;00672766&quot;/&gt;&lt;wsp:rsid wsp:val=&quot;0068415A&quot;/&gt;&lt;wsp:rsid wsp:val=&quot;00693C4F&quot;/&gt;&lt;wsp:rsid wsp:val=&quot;00696563&quot;/&gt;&lt;wsp:rsid wsp:val=&quot;006A0960&quot;/&gt;&lt;wsp:rsid wsp:val=&quot;006A23EA&quot;/&gt;&lt;wsp:rsid wsp:val=&quot;006A42C3&quot;/&gt;&lt;wsp:rsid wsp:val=&quot;006A6C66&quot;/&gt;&lt;wsp:rsid wsp:val=&quot;006B2A27&quot;/&gt;&lt;wsp:rsid wsp:val=&quot;006B4142&quot;/&gt;&lt;wsp:rsid wsp:val=&quot;006C2228&quot;/&gt;&lt;wsp:rsid wsp:val=&quot;006C241F&quot;/&gt;&lt;wsp:rsid wsp:val=&quot;006C5348&quot;/&gt;&lt;wsp:rsid wsp:val=&quot;006C7228&quot;/&gt;&lt;wsp:rsid wsp:val=&quot;006D0B0D&quot;/&gt;&lt;wsp:rsid wsp:val=&quot;006D17A6&quot;/&gt;&lt;wsp:rsid wsp:val=&quot;006D3368&quot;/&gt;&lt;wsp:rsid wsp:val=&quot;006E41CD&quot;/&gt;&lt;wsp:rsid wsp:val=&quot;006E7D12&quot;/&gt;&lt;wsp:rsid wsp:val=&quot;006E7FB0&quot;/&gt;&lt;wsp:rsid wsp:val=&quot;006F0523&quot;/&gt;&lt;wsp:rsid wsp:val=&quot;006F3D6D&quot;/&gt;&lt;wsp:rsid wsp:val=&quot;006F4F45&quot;/&gt;&lt;wsp:rsid wsp:val=&quot;006F511C&quot;/&gt;&lt;wsp:rsid wsp:val=&quot;006F5DAD&quot;/&gt;&lt;wsp:rsid wsp:val=&quot;006F605F&quot;/&gt;&lt;wsp:rsid wsp:val=&quot;006F69BA&quot;/&gt;&lt;wsp:rsid wsp:val=&quot;006F759A&quot;/&gt;&lt;wsp:rsid wsp:val=&quot;007003E8&quot;/&gt;&lt;wsp:rsid wsp:val=&quot;007034BF&quot;/&gt;&lt;wsp:rsid wsp:val=&quot;00703DE6&quot;/&gt;&lt;wsp:rsid wsp:val=&quot;0070402F&quot;/&gt;&lt;wsp:rsid wsp:val=&quot;00711E52&quot;/&gt;&lt;wsp:rsid wsp:val=&quot;007126CD&quot;/&gt;&lt;wsp:rsid wsp:val=&quot;00716B92&quot;/&gt;&lt;wsp:rsid wsp:val=&quot;007231EA&quot;/&gt;&lt;wsp:rsid wsp:val=&quot;00723FE6&quot;/&gt;&lt;wsp:rsid wsp:val=&quot;00726832&quot;/&gt;&lt;wsp:rsid wsp:val=&quot;007312CD&quot;/&gt;&lt;wsp:rsid wsp:val=&quot;00731A0D&quot;/&gt;&lt;wsp:rsid wsp:val=&quot;00734081&quot;/&gt;&lt;wsp:rsid wsp:val=&quot;00734789&quot;/&gt;&lt;wsp:rsid wsp:val=&quot;00734CA7&quot;/&gt;&lt;wsp:rsid wsp:val=&quot;00740669&quot;/&gt;&lt;wsp:rsid wsp:val=&quot;007500B5&quot;/&gt;&lt;wsp:rsid wsp:val=&quot;0075101B&quot;/&gt;&lt;wsp:rsid wsp:val=&quot;00753DCE&quot;/&gt;&lt;wsp:rsid wsp:val=&quot;007544DB&quot;/&gt;&lt;wsp:rsid wsp:val=&quot;00755AF4&quot;/&gt;&lt;wsp:rsid wsp:val=&quot;00763C4D&quot;/&gt;&lt;wsp:rsid wsp:val=&quot;007721EC&quot;/&gt;&lt;wsp:rsid wsp:val=&quot;0077402B&quot;/&gt;&lt;wsp:rsid wsp:val=&quot;00774F98&quot;/&gt;&lt;wsp:rsid wsp:val=&quot;00776CBE&quot;/&gt;&lt;wsp:rsid wsp:val=&quot;007806D5&quot;/&gt;&lt;wsp:rsid wsp:val=&quot;00785017&quot;/&gt;&lt;wsp:rsid wsp:val=&quot;00786393&quot;/&gt;&lt;wsp:rsid wsp:val=&quot;00787D29&quot;/&gt;&lt;wsp:rsid wsp:val=&quot;00791681&quot;/&gt;&lt;wsp:rsid wsp:val=&quot;00795488&quot;/&gt;&lt;wsp:rsid wsp:val=&quot;007978F4&quot;/&gt;&lt;wsp:rsid wsp:val=&quot;007A137B&quot;/&gt;&lt;wsp:rsid wsp:val=&quot;007A284E&quot;/&gt;&lt;wsp:rsid wsp:val=&quot;007A7869&quot;/&gt;&lt;wsp:rsid wsp:val=&quot;007B1E41&quot;/&gt;&lt;wsp:rsid wsp:val=&quot;007B415D&quot;/&gt;&lt;wsp:rsid wsp:val=&quot;007B74DF&quot;/&gt;&lt;wsp:rsid wsp:val=&quot;007C0C6E&quot;/&gt;&lt;wsp:rsid wsp:val=&quot;007C453C&quot;/&gt;&lt;wsp:rsid wsp:val=&quot;007C56C9&quot;/&gt;&lt;wsp:rsid wsp:val=&quot;007D3B34&quot;/&gt;&lt;wsp:rsid wsp:val=&quot;007D73F9&quot;/&gt;&lt;wsp:rsid wsp:val=&quot;007E396A&quot;/&gt;&lt;wsp:rsid wsp:val=&quot;007E428A&quot;/&gt;&lt;wsp:rsid wsp:val=&quot;007E52FF&quot;/&gt;&lt;wsp:rsid wsp:val=&quot;007F2D67&quot;/&gt;&lt;wsp:rsid wsp:val=&quot;007F6E5B&quot;/&gt;&lt;wsp:rsid wsp:val=&quot;0080472E&quot;/&gt;&lt;wsp:rsid wsp:val=&quot;00805909&quot;/&gt;&lt;wsp:rsid wsp:val=&quot;00805EDD&quot;/&gt;&lt;wsp:rsid wsp:val=&quot;008070CC&quot;/&gt;&lt;wsp:rsid wsp:val=&quot;00810757&quot;/&gt;&lt;wsp:rsid wsp:val=&quot;00810F9B&quot;/&gt;&lt;wsp:rsid wsp:val=&quot;0081147F&quot;/&gt;&lt;wsp:rsid wsp:val=&quot;0081356F&quot;/&gt;&lt;wsp:rsid wsp:val=&quot;00815902&quot;/&gt;&lt;wsp:rsid wsp:val=&quot;00822CA9&quot;/&gt;&lt;wsp:rsid wsp:val=&quot;00823184&quot;/&gt;&lt;wsp:rsid wsp:val=&quot;0082702A&quot;/&gt;&lt;wsp:rsid wsp:val=&quot;008405EB&quot;/&gt;&lt;wsp:rsid wsp:val=&quot;00842197&quot;/&gt;&lt;wsp:rsid wsp:val=&quot;00844D9C&quot;/&gt;&lt;wsp:rsid wsp:val=&quot;00845671&quot;/&gt;&lt;wsp:rsid wsp:val=&quot;0084605D&quot;/&gt;&lt;wsp:rsid wsp:val=&quot;00846EE7&quot;/&gt;&lt;wsp:rsid wsp:val=&quot;00851E1F&quot;/&gt;&lt;wsp:rsid wsp:val=&quot;008527BD&quot;/&gt;&lt;wsp:rsid wsp:val=&quot;008534EF&quot;/&gt;&lt;wsp:rsid wsp:val=&quot;00862EFF&quot;/&gt;&lt;wsp:rsid wsp:val=&quot;00864E7B&quot;/&gt;&lt;wsp:rsid wsp:val=&quot;00865931&quot;/&gt;&lt;wsp:rsid wsp:val=&quot;00865B39&quot;/&gt;&lt;wsp:rsid wsp:val=&quot;008663C0&quot;/&gt;&lt;wsp:rsid wsp:val=&quot;008669BE&quot;/&gt;&lt;wsp:rsid wsp:val=&quot;00866A4A&quot;/&gt;&lt;wsp:rsid wsp:val=&quot;00883B67&quot;/&gt;&lt;wsp:rsid wsp:val=&quot;00891A10&quot;/&gt;&lt;wsp:rsid wsp:val=&quot;00892C19&quot;/&gt;&lt;wsp:rsid wsp:val=&quot;008941E8&quot;/&gt;&lt;wsp:rsid wsp:val=&quot;00896EAB&quot;/&gt;&lt;wsp:rsid wsp:val=&quot;008A000E&quot;/&gt;&lt;wsp:rsid wsp:val=&quot;008A23D4&quot;/&gt;&lt;wsp:rsid wsp:val=&quot;008A3FFB&quot;/&gt;&lt;wsp:rsid wsp:val=&quot;008A49CA&quot;/&gt;&lt;wsp:rsid wsp:val=&quot;008B1C1F&quot;/&gt;&lt;wsp:rsid wsp:val=&quot;008B2CA6&quot;/&gt;&lt;wsp:rsid wsp:val=&quot;008B2CD3&quot;/&gt;&lt;wsp:rsid wsp:val=&quot;008B4EA3&quot;/&gt;&lt;wsp:rsid wsp:val=&quot;008B6318&quot;/&gt;&lt;wsp:rsid wsp:val=&quot;008C15A8&quot;/&gt;&lt;wsp:rsid wsp:val=&quot;008C2397&quot;/&gt;&lt;wsp:rsid wsp:val=&quot;008D07B9&quot;/&gt;&lt;wsp:rsid wsp:val=&quot;008D2EB4&quot;/&gt;&lt;wsp:rsid wsp:val=&quot;008D3427&quot;/&gt;&lt;wsp:rsid wsp:val=&quot;008E1385&quot;/&gt;&lt;wsp:rsid wsp:val=&quot;008E1DFA&quot;/&gt;&lt;wsp:rsid wsp:val=&quot;008E5C5E&quot;/&gt;&lt;wsp:rsid wsp:val=&quot;008E695A&quot;/&gt;&lt;wsp:rsid wsp:val=&quot;008E799C&quot;/&gt;&lt;wsp:rsid wsp:val=&quot;008F2EC1&quot;/&gt;&lt;wsp:rsid wsp:val=&quot;008F516E&quot;/&gt;&lt;wsp:rsid wsp:val=&quot;008F67F7&quot;/&gt;&lt;wsp:rsid wsp:val=&quot;008F6828&quot;/&gt;&lt;wsp:rsid wsp:val=&quot;009027AE&quot;/&gt;&lt;wsp:rsid wsp:val=&quot;0090284D&quot;/&gt;&lt;wsp:rsid wsp:val=&quot;00904B62&quot;/&gt;&lt;wsp:rsid wsp:val=&quot;0090762C&quot;/&gt;&lt;wsp:rsid wsp:val=&quot;00914F64&quot;/&gt;&lt;wsp:rsid wsp:val=&quot;009175C0&quot;/&gt;&lt;wsp:rsid wsp:val=&quot;009214DD&quot;/&gt;&lt;wsp:rsid wsp:val=&quot;009237FE&quot;/&gt;&lt;wsp:rsid wsp:val=&quot;0092560D&quot;/&gt;&lt;wsp:rsid wsp:val=&quot;00925FF8&quot;/&gt;&lt;wsp:rsid wsp:val=&quot;00926364&quot;/&gt;&lt;wsp:rsid wsp:val=&quot;00935A6A&quot;/&gt;&lt;wsp:rsid wsp:val=&quot;00941F13&quot;/&gt;&lt;wsp:rsid wsp:val=&quot;00951D45&quot;/&gt;&lt;wsp:rsid wsp:val=&quot;0095226D&quot;/&gt;&lt;wsp:rsid wsp:val=&quot;00954EC2&quot;/&gt;&lt;wsp:rsid wsp:val=&quot;009624D9&quot;/&gt;&lt;wsp:rsid wsp:val=&quot;009628A3&quot;/&gt;&lt;wsp:rsid wsp:val=&quot;00962D64&quot;/&gt;&lt;wsp:rsid wsp:val=&quot;00964A71&quot;/&gt;&lt;wsp:rsid wsp:val=&quot;00966984&quot;/&gt;&lt;wsp:rsid wsp:val=&quot;009670BA&quot;/&gt;&lt;wsp:rsid wsp:val=&quot;0096777A&quot;/&gt;&lt;wsp:rsid wsp:val=&quot;00971B69&quot;/&gt;&lt;wsp:rsid wsp:val=&quot;00972E76&quot;/&gt;&lt;wsp:rsid wsp:val=&quot;00981AC6&quot;/&gt;&lt;wsp:rsid wsp:val=&quot;00984AD8&quot;/&gt;&lt;wsp:rsid wsp:val=&quot;009874B7&quot;/&gt;&lt;wsp:rsid wsp:val=&quot;00990C40&quot;/&gt;&lt;wsp:rsid wsp:val=&quot;00992373&quot;/&gt;&lt;wsp:rsid wsp:val=&quot;00994DDD&quot;/&gt;&lt;wsp:rsid wsp:val=&quot;009A40B8&quot;/&gt;&lt;wsp:rsid wsp:val=&quot;009A5B49&quot;/&gt;&lt;wsp:rsid wsp:val=&quot;009A7117&quot;/&gt;&lt;wsp:rsid wsp:val=&quot;009B0EFF&quot;/&gt;&lt;wsp:rsid wsp:val=&quot;009B1631&quot;/&gt;&lt;wsp:rsid wsp:val=&quot;009B4827&quot;/&gt;&lt;wsp:rsid wsp:val=&quot;009B4954&quot;/&gt;&lt;wsp:rsid wsp:val=&quot;009B5618&quot;/&gt;&lt;wsp:rsid wsp:val=&quot;009C1186&quot;/&gt;&lt;wsp:rsid wsp:val=&quot;009D52F9&quot;/&gt;&lt;wsp:rsid wsp:val=&quot;009D675F&quot;/&gt;&lt;wsp:rsid wsp:val=&quot;009E40CE&quot;/&gt;&lt;wsp:rsid wsp:val=&quot;009F1FBC&quot;/&gt;&lt;wsp:rsid wsp:val=&quot;00A01D46&quot;/&gt;&lt;wsp:rsid wsp:val=&quot;00A048D7&quot;/&gt;&lt;wsp:rsid wsp:val=&quot;00A123A3&quot;/&gt;&lt;wsp:rsid wsp:val=&quot;00A1524C&quot;/&gt;&lt;wsp:rsid wsp:val=&quot;00A20089&quot;/&gt;&lt;wsp:rsid wsp:val=&quot;00A20721&quot;/&gt;&lt;wsp:rsid wsp:val=&quot;00A2127E&quot;/&gt;&lt;wsp:rsid wsp:val=&quot;00A26B14&quot;/&gt;&lt;wsp:rsid wsp:val=&quot;00A30FC3&quot;/&gt;&lt;wsp:rsid wsp:val=&quot;00A32048&quot;/&gt;&lt;wsp:rsid wsp:val=&quot;00A32DED&quot;/&gt;&lt;wsp:rsid wsp:val=&quot;00A34A30&quot;/&gt;&lt;wsp:rsid wsp:val=&quot;00A36913&quot;/&gt;&lt;wsp:rsid wsp:val=&quot;00A36AA9&quot;/&gt;&lt;wsp:rsid wsp:val=&quot;00A37932&quot;/&gt;&lt;wsp:rsid wsp:val=&quot;00A408E0&quot;/&gt;&lt;wsp:rsid wsp:val=&quot;00A40C66&quot;/&gt;&lt;wsp:rsid wsp:val=&quot;00A432AD&quot;/&gt;&lt;wsp:rsid wsp:val=&quot;00A46257&quot;/&gt;&lt;wsp:rsid wsp:val=&quot;00A517DE&quot;/&gt;&lt;wsp:rsid wsp:val=&quot;00A53DB1&quot;/&gt;&lt;wsp:rsid wsp:val=&quot;00A56360&quot;/&gt;&lt;wsp:rsid wsp:val=&quot;00A56BA0&quot;/&gt;&lt;wsp:rsid wsp:val=&quot;00A62455&quot;/&gt;&lt;wsp:rsid wsp:val=&quot;00A63D7E&quot;/&gt;&lt;wsp:rsid wsp:val=&quot;00A64920&quot;/&gt;&lt;wsp:rsid wsp:val=&quot;00A7277A&quot;/&gt;&lt;wsp:rsid wsp:val=&quot;00A7473A&quot;/&gt;&lt;wsp:rsid wsp:val=&quot;00A762B1&quot;/&gt;&lt;wsp:rsid wsp:val=&quot;00A76CBE&quot;/&gt;&lt;wsp:rsid wsp:val=&quot;00A857A7&quot;/&gt;&lt;wsp:rsid wsp:val=&quot;00A936D9&quot;/&gt;&lt;wsp:rsid wsp:val=&quot;00A93DB0&quot;/&gt;&lt;wsp:rsid wsp:val=&quot;00A940F2&quot;/&gt;&lt;wsp:rsid wsp:val=&quot;00A96385&quot;/&gt;&lt;wsp:rsid wsp:val=&quot;00A966BA&quot;/&gt;&lt;wsp:rsid wsp:val=&quot;00A975A5&quot;/&gt;&lt;wsp:rsid wsp:val=&quot;00AA4EED&quot;/&gt;&lt;wsp:rsid wsp:val=&quot;00AA53FD&quot;/&gt;&lt;wsp:rsid wsp:val=&quot;00AB6082&quot;/&gt;&lt;wsp:rsid wsp:val=&quot;00AB6BDA&quot;/&gt;&lt;wsp:rsid wsp:val=&quot;00AB7803&quot;/&gt;&lt;wsp:rsid wsp:val=&quot;00AB7B62&quot;/&gt;&lt;wsp:rsid wsp:val=&quot;00AC45E0&quot;/&gt;&lt;wsp:rsid wsp:val=&quot;00AC5935&quot;/&gt;&lt;wsp:rsid wsp:val=&quot;00AC6D0B&quot;/&gt;&lt;wsp:rsid wsp:val=&quot;00AC7C96&quot;/&gt;&lt;wsp:rsid wsp:val=&quot;00AD2B3F&quot;/&gt;&lt;wsp:rsid wsp:val=&quot;00AD4084&quot;/&gt;&lt;wsp:rsid wsp:val=&quot;00AD5477&quot;/&gt;&lt;wsp:rsid wsp:val=&quot;00AD65F3&quot;/&gt;&lt;wsp:rsid wsp:val=&quot;00AE10A5&quot;/&gt;&lt;wsp:rsid wsp:val=&quot;00AE22DC&quot;/&gt;&lt;wsp:rsid wsp:val=&quot;00AE315E&quot;/&gt;&lt;wsp:rsid wsp:val=&quot;00AE36C6&quot;/&gt;&lt;wsp:rsid wsp:val=&quot;00AE3A32&quot;/&gt;&lt;wsp:rsid wsp:val=&quot;00AF252E&quot;/&gt;&lt;wsp:rsid wsp:val=&quot;00AF2747&quot;/&gt;&lt;wsp:rsid wsp:val=&quot;00AF3184&quot;/&gt;&lt;wsp:rsid wsp:val=&quot;00AF778A&quot;/&gt;&lt;wsp:rsid wsp:val=&quot;00AF7AA4&quot;/&gt;&lt;wsp:rsid wsp:val=&quot;00B0188D&quot;/&gt;&lt;wsp:rsid wsp:val=&quot;00B04E4F&quot;/&gt;&lt;wsp:rsid wsp:val=&quot;00B15B1C&quot;/&gt;&lt;wsp:rsid wsp:val=&quot;00B15B49&quot;/&gt;&lt;wsp:rsid wsp:val=&quot;00B21DED&quot;/&gt;&lt;wsp:rsid wsp:val=&quot;00B2234B&quot;/&gt;&lt;wsp:rsid wsp:val=&quot;00B2326F&quot;/&gt;&lt;wsp:rsid wsp:val=&quot;00B23BC5&quot;/&gt;&lt;wsp:rsid wsp:val=&quot;00B23F02&quot;/&gt;&lt;wsp:rsid wsp:val=&quot;00B24A2E&quot;/&gt;&lt;wsp:rsid wsp:val=&quot;00B2737C&quot;/&gt;&lt;wsp:rsid wsp:val=&quot;00B355AB&quot;/&gt;&lt;wsp:rsid wsp:val=&quot;00B35808&quot;/&gt;&lt;wsp:rsid wsp:val=&quot;00B40A77&quot;/&gt;&lt;wsp:rsid wsp:val=&quot;00B4331C&quot;/&gt;&lt;wsp:rsid wsp:val=&quot;00B43962&quot;/&gt;&lt;wsp:rsid wsp:val=&quot;00B43A2C&quot;/&gt;&lt;wsp:rsid wsp:val=&quot;00B45171&quot;/&gt;&lt;wsp:rsid wsp:val=&quot;00B457D3&quot;/&gt;&lt;wsp:rsid wsp:val=&quot;00B50066&quot;/&gt;&lt;wsp:rsid wsp:val=&quot;00B5139F&quot;/&gt;&lt;wsp:rsid wsp:val=&quot;00B5385F&quot;/&gt;&lt;wsp:rsid wsp:val=&quot;00B5482A&quot;/&gt;&lt;wsp:rsid wsp:val=&quot;00B63009&quot;/&gt;&lt;wsp:rsid wsp:val=&quot;00B6611C&quot;/&gt;&lt;wsp:rsid wsp:val=&quot;00B71E13&quot;/&gt;&lt;wsp:rsid wsp:val=&quot;00B73798&quot;/&gt;&lt;wsp:rsid wsp:val=&quot;00B742B7&quot;/&gt;&lt;wsp:rsid wsp:val=&quot;00B754BD&quot;/&gt;&lt;wsp:rsid wsp:val=&quot;00B81630&quot;/&gt;&lt;wsp:rsid wsp:val=&quot;00B822EA&quot;/&gt;&lt;wsp:rsid wsp:val=&quot;00B8619A&quot;/&gt;&lt;wsp:rsid wsp:val=&quot;00B86472&quot;/&gt;&lt;wsp:rsid wsp:val=&quot;00B869CB&quot;/&gt;&lt;wsp:rsid wsp:val=&quot;00B902A0&quot;/&gt;&lt;wsp:rsid wsp:val=&quot;00B90A7B&quot;/&gt;&lt;wsp:rsid wsp:val=&quot;00BA3A66&quot;/&gt;&lt;wsp:rsid wsp:val=&quot;00BA4824&quot;/&gt;&lt;wsp:rsid wsp:val=&quot;00BA6E84&quot;/&gt;&lt;wsp:rsid wsp:val=&quot;00BA76DD&quot;/&gt;&lt;wsp:rsid wsp:val=&quot;00BB0D5C&quot;/&gt;&lt;wsp:rsid wsp:val=&quot;00BB15B3&quot;/&gt;&lt;wsp:rsid wsp:val=&quot;00BC4436&quot;/&gt;&lt;wsp:rsid wsp:val=&quot;00BC6C5F&quot;/&gt;&lt;wsp:rsid wsp:val=&quot;00BD1368&quot;/&gt;&lt;wsp:rsid wsp:val=&quot;00BD21EF&quot;/&gt;&lt;wsp:rsid wsp:val=&quot;00BD355B&quot;/&gt;&lt;wsp:rsid wsp:val=&quot;00BD5A8D&quot;/&gt;&lt;wsp:rsid wsp:val=&quot;00BE2AC1&quot;/&gt;&lt;wsp:rsid wsp:val=&quot;00BE592E&quot;/&gt;&lt;wsp:rsid wsp:val=&quot;00BE65ED&quot;/&gt;&lt;wsp:rsid wsp:val=&quot;00BF25B0&quot;/&gt;&lt;wsp:rsid wsp:val=&quot;00BF3B70&quot;/&gt;&lt;wsp:rsid wsp:val=&quot;00BF3C5D&quot;/&gt;&lt;wsp:rsid wsp:val=&quot;00BF6E45&quot;/&gt;&lt;wsp:rsid wsp:val=&quot;00C01E49&quot;/&gt;&lt;wsp:rsid wsp:val=&quot;00C021D7&quot;/&gt;&lt;wsp:rsid wsp:val=&quot;00C02215&quot;/&gt;&lt;wsp:rsid wsp:val=&quot;00C04695&quot;/&gt;&lt;wsp:rsid wsp:val=&quot;00C04D0B&quot;/&gt;&lt;wsp:rsid wsp:val=&quot;00C074C0&quot;/&gt;&lt;wsp:rsid wsp:val=&quot;00C07EB7&quot;/&gt;&lt;wsp:rsid wsp:val=&quot;00C104F4&quot;/&gt;&lt;wsp:rsid wsp:val=&quot;00C1118A&quot;/&gt;&lt;wsp:rsid wsp:val=&quot;00C11EA4&quot;/&gt;&lt;wsp:rsid wsp:val=&quot;00C128D2&quot;/&gt;&lt;wsp:rsid wsp:val=&quot;00C13A35&quot;/&gt;&lt;wsp:rsid wsp:val=&quot;00C21583&quot;/&gt;&lt;wsp:rsid wsp:val=&quot;00C2592D&quot;/&gt;&lt;wsp:rsid wsp:val=&quot;00C31477&quot;/&gt;&lt;wsp:rsid wsp:val=&quot;00C32824&quot;/&gt;&lt;wsp:rsid wsp:val=&quot;00C3307D&quot;/&gt;&lt;wsp:rsid wsp:val=&quot;00C42D45&quot;/&gt;&lt;wsp:rsid wsp:val=&quot;00C43BAE&quot;/&gt;&lt;wsp:rsid wsp:val=&quot;00C504B7&quot;/&gt;&lt;wsp:rsid wsp:val=&quot;00C53DAE&quot;/&gt;&lt;wsp:rsid wsp:val=&quot;00C542A2&quot;/&gt;&lt;wsp:rsid wsp:val=&quot;00C60D32&quot;/&gt;&lt;wsp:rsid wsp:val=&quot;00C7408C&quot;/&gt;&lt;wsp:rsid wsp:val=&quot;00C7431E&quot;/&gt;&lt;wsp:rsid wsp:val=&quot;00C749DF&quot;/&gt;&lt;wsp:rsid wsp:val=&quot;00C840D1&quot;/&gt;&lt;wsp:rsid wsp:val=&quot;00C84B77&quot;/&gt;&lt;wsp:rsid wsp:val=&quot;00C85A72&quot;/&gt;&lt;wsp:rsid wsp:val=&quot;00C85F24&quot;/&gt;&lt;wsp:rsid wsp:val=&quot;00C87F71&quot;/&gt;&lt;wsp:rsid wsp:val=&quot;00C9074E&quot;/&gt;&lt;wsp:rsid wsp:val=&quot;00C940A6&quot;/&gt;&lt;wsp:rsid wsp:val=&quot;00C949DD&quot;/&gt;&lt;wsp:rsid wsp:val=&quot;00C95D01&quot;/&gt;&lt;wsp:rsid wsp:val=&quot;00C96DC9&quot;/&gt;&lt;wsp:rsid wsp:val=&quot;00C9790B&quot;/&gt;&lt;wsp:rsid wsp:val=&quot;00CA0D11&quot;/&gt;&lt;wsp:rsid wsp:val=&quot;00CA130D&quot;/&gt;&lt;wsp:rsid wsp:val=&quot;00CA3D14&quot;/&gt;&lt;wsp:rsid wsp:val=&quot;00CA7DCE&quot;/&gt;&lt;wsp:rsid wsp:val=&quot;00CB5434&quot;/&gt;&lt;wsp:rsid wsp:val=&quot;00CB7F97&quot;/&gt;&lt;wsp:rsid wsp:val=&quot;00CC34B5&quot;/&gt;&lt;wsp:rsid wsp:val=&quot;00CC516D&quot;/&gt;&lt;wsp:rsid wsp:val=&quot;00CD74BF&quot;/&gt;&lt;wsp:rsid wsp:val=&quot;00CE0EA7&quot;/&gt;&lt;wsp:rsid wsp:val=&quot;00CE31EF&quot;/&gt;&lt;wsp:rsid wsp:val=&quot;00CE71BD&quot;/&gt;&lt;wsp:rsid wsp:val=&quot;00CF48D4&quot;/&gt;&lt;wsp:rsid wsp:val=&quot;00CF54A3&quot;/&gt;&lt;wsp:rsid wsp:val=&quot;00CF6FD7&quot;/&gt;&lt;wsp:rsid wsp:val=&quot;00D0033D&quot;/&gt;&lt;wsp:rsid wsp:val=&quot;00D047B1&quot;/&gt;&lt;wsp:rsid wsp:val=&quot;00D04B3B&quot;/&gt;&lt;wsp:rsid wsp:val=&quot;00D04D6B&quot;/&gt;&lt;wsp:rsid wsp:val=&quot;00D0727B&quot;/&gt;&lt;wsp:rsid wsp:val=&quot;00D10393&quot;/&gt;&lt;wsp:rsid wsp:val=&quot;00D103F2&quot;/&gt;&lt;wsp:rsid wsp:val=&quot;00D12CD8&quot;/&gt;&lt;wsp:rsid wsp:val=&quot;00D212DB&quot;/&gt;&lt;wsp:rsid wsp:val=&quot;00D2545C&quot;/&gt;&lt;wsp:rsid wsp:val=&quot;00D25D37&quot;/&gt;&lt;wsp:rsid wsp:val=&quot;00D263A4&quot;/&gt;&lt;wsp:rsid wsp:val=&quot;00D3295E&quot;/&gt;&lt;wsp:rsid wsp:val=&quot;00D33B4C&quot;/&gt;&lt;wsp:rsid wsp:val=&quot;00D347B8&quot;/&gt;&lt;wsp:rsid wsp:val=&quot;00D4192C&quot;/&gt;&lt;wsp:rsid wsp:val=&quot;00D41DBA&quot;/&gt;&lt;wsp:rsid wsp:val=&quot;00D46A11&quot;/&gt;&lt;wsp:rsid wsp:val=&quot;00D5476A&quot;/&gt;&lt;wsp:rsid wsp:val=&quot;00D55A12&quot;/&gt;&lt;wsp:rsid wsp:val=&quot;00D606AA&quot;/&gt;&lt;wsp:rsid wsp:val=&quot;00D756AE&quot;/&gt;&lt;wsp:rsid wsp:val=&quot;00D76267&quot;/&gt;&lt;wsp:rsid wsp:val=&quot;00D81456&quot;/&gt;&lt;wsp:rsid wsp:val=&quot;00D81687&quot;/&gt;&lt;wsp:rsid wsp:val=&quot;00D84B18&quot;/&gt;&lt;wsp:rsid wsp:val=&quot;00D86763&quot;/&gt;&lt;wsp:rsid wsp:val=&quot;00D874B9&quot;/&gt;&lt;wsp:rsid wsp:val=&quot;00D87738&quot;/&gt;&lt;wsp:rsid wsp:val=&quot;00D8792B&quot;/&gt;&lt;wsp:rsid wsp:val=&quot;00D92CEF&quot;/&gt;&lt;wsp:rsid wsp:val=&quot;00D93D97&quot;/&gt;&lt;wsp:rsid wsp:val=&quot;00DA3131&quot;/&gt;&lt;wsp:rsid wsp:val=&quot;00DA3C67&quot;/&gt;&lt;wsp:rsid wsp:val=&quot;00DA5827&quot;/&gt;&lt;wsp:rsid wsp:val=&quot;00DB457E&quot;/&gt;&lt;wsp:rsid wsp:val=&quot;00DB5542&quot;/&gt;&lt;wsp:rsid wsp:val=&quot;00DB5AD7&quot;/&gt;&lt;wsp:rsid wsp:val=&quot;00DC538B&quot;/&gt;&lt;wsp:rsid wsp:val=&quot;00DC58B5&quot;/&gt;&lt;wsp:rsid wsp:val=&quot;00DD0DD1&quot;/&gt;&lt;wsp:rsid wsp:val=&quot;00DD139D&quot;/&gt;&lt;wsp:rsid wsp:val=&quot;00DE4009&quot;/&gt;&lt;wsp:rsid wsp:val=&quot;00DE5C50&quot;/&gt;&lt;wsp:rsid wsp:val=&quot;00DE6E6F&quot;/&gt;&lt;wsp:rsid wsp:val=&quot;00DF52F8&quot;/&gt;&lt;wsp:rsid wsp:val=&quot;00DF7AC1&quot;/&gt;&lt;wsp:rsid wsp:val=&quot;00E01754&quot;/&gt;&lt;wsp:rsid wsp:val=&quot;00E061B3&quot;/&gt;&lt;wsp:rsid wsp:val=&quot;00E07E36&quot;/&gt;&lt;wsp:rsid wsp:val=&quot;00E200BC&quot;/&gt;&lt;wsp:rsid wsp:val=&quot;00E225FB&quot;/&gt;&lt;wsp:rsid wsp:val=&quot;00E23B20&quot;/&gt;&lt;wsp:rsid wsp:val=&quot;00E30F24&quot;/&gt;&lt;wsp:rsid wsp:val=&quot;00E31DF9&quot;/&gt;&lt;wsp:rsid wsp:val=&quot;00E3773F&quot;/&gt;&lt;wsp:rsid wsp:val=&quot;00E4178F&quot;/&gt;&lt;wsp:rsid wsp:val=&quot;00E50AA6&quot;/&gt;&lt;wsp:rsid wsp:val=&quot;00E57916&quot;/&gt;&lt;wsp:rsid wsp:val=&quot;00E62407&quot;/&gt;&lt;wsp:rsid wsp:val=&quot;00E72753&quot;/&gt;&lt;wsp:rsid wsp:val=&quot;00E73CE9&quot;/&gt;&lt;wsp:rsid wsp:val=&quot;00E77C0A&quot;/&gt;&lt;wsp:rsid wsp:val=&quot;00E81EB9&quot;/&gt;&lt;wsp:rsid wsp:val=&quot;00E83A28&quot;/&gt;&lt;wsp:rsid wsp:val=&quot;00E8413C&quot;/&gt;&lt;wsp:rsid wsp:val=&quot;00E86F28&quot;/&gt;&lt;wsp:rsid wsp:val=&quot;00E91938&quot;/&gt;&lt;wsp:rsid wsp:val=&quot;00E94C0B&quot;/&gt;&lt;wsp:rsid wsp:val=&quot;00EB3364&quot;/&gt;&lt;wsp:rsid wsp:val=&quot;00EB4A71&quot;/&gt;&lt;wsp:rsid wsp:val=&quot;00EC524B&quot;/&gt;&lt;wsp:rsid wsp:val=&quot;00ED0091&quot;/&gt;&lt;wsp:rsid wsp:val=&quot;00ED5E63&quot;/&gt;&lt;wsp:rsid wsp:val=&quot;00ED7653&quot;/&gt;&lt;wsp:rsid wsp:val=&quot;00EE06D8&quot;/&gt;&lt;wsp:rsid wsp:val=&quot;00EE1404&quot;/&gt;&lt;wsp:rsid wsp:val=&quot;00EE148A&quot;/&gt;&lt;wsp:rsid wsp:val=&quot;00EE2C31&quot;/&gt;&lt;wsp:rsid wsp:val=&quot;00EE4EE7&quot;/&gt;&lt;wsp:rsid wsp:val=&quot;00F00746&quot;/&gt;&lt;wsp:rsid wsp:val=&quot;00F07059&quot;/&gt;&lt;wsp:rsid wsp:val=&quot;00F1155C&quot;/&gt;&lt;wsp:rsid wsp:val=&quot;00F1681C&quot;/&gt;&lt;wsp:rsid wsp:val=&quot;00F16BF4&quot;/&gt;&lt;wsp:rsid wsp:val=&quot;00F21253&quot;/&gt;&lt;wsp:rsid wsp:val=&quot;00F21CF8&quot;/&gt;&lt;wsp:rsid wsp:val=&quot;00F25031&quot;/&gt;&lt;wsp:rsid wsp:val=&quot;00F34817&quot;/&gt;&lt;wsp:rsid wsp:val=&quot;00F359D4&quot;/&gt;&lt;wsp:rsid wsp:val=&quot;00F46362&quot;/&gt;&lt;wsp:rsid wsp:val=&quot;00F463ED&quot;/&gt;&lt;wsp:rsid wsp:val=&quot;00F4744D&quot;/&gt;&lt;wsp:rsid wsp:val=&quot;00F60578&quot;/&gt;&lt;wsp:rsid wsp:val=&quot;00F6097E&quot;/&gt;&lt;wsp:rsid wsp:val=&quot;00F649EE&quot;/&gt;&lt;wsp:rsid wsp:val=&quot;00F65688&quot;/&gt;&lt;wsp:rsid wsp:val=&quot;00F659A1&quot;/&gt;&lt;wsp:rsid wsp:val=&quot;00F7252E&quot;/&gt;&lt;wsp:rsid wsp:val=&quot;00F72E30&quot;/&gt;&lt;wsp:rsid wsp:val=&quot;00F802A9&quot;/&gt;&lt;wsp:rsid wsp:val=&quot;00F8033E&quot;/&gt;&lt;wsp:rsid wsp:val=&quot;00F82619&quot;/&gt;&lt;wsp:rsid wsp:val=&quot;00F9226D&quot;/&gt;&lt;wsp:rsid wsp:val=&quot;00F92795&quot;/&gt;&lt;wsp:rsid wsp:val=&quot;00F93081&quot;/&gt;&lt;wsp:rsid wsp:val=&quot;00F947AC&quot;/&gt;&lt;wsp:rsid wsp:val=&quot;00FA36E1&quot;/&gt;&lt;wsp:rsid wsp:val=&quot;00FA386E&quot;/&gt;&lt;wsp:rsid wsp:val=&quot;00FA4A91&quot;/&gt;&lt;wsp:rsid wsp:val=&quot;00FB6267&quot;/&gt;&lt;wsp:rsid wsp:val=&quot;00FC1C47&quot;/&gt;&lt;wsp:rsid wsp:val=&quot;00FC235A&quot;/&gt;&lt;wsp:rsid wsp:val=&quot;00FC4A1A&quot;/&gt;&lt;wsp:rsid wsp:val=&quot;00FC7FAC&quot;/&gt;&lt;wsp:rsid wsp:val=&quot;00FD0FEC&quot;/&gt;&lt;wsp:rsid wsp:val=&quot;00FD29B4&quot;/&gt;&lt;wsp:rsid wsp:val=&quot;00FD2B57&quot;/&gt;&lt;wsp:rsid wsp:val=&quot;00FD427A&quot;/&gt;&lt;wsp:rsid wsp:val=&quot;00FE0DA1&quot;/&gt;&lt;wsp:rsid wsp:val=&quot;00FE2D78&quot;/&gt;&lt;wsp:rsid wsp:val=&quot;00FE40EF&quot;/&gt;&lt;wsp:rsid wsp:val=&quot;00FE5965&quot;/&gt;&lt;wsp:rsid wsp:val=&quot;00FE6C98&quot;/&gt;&lt;wsp:rsid wsp:val=&quot;00FE76FF&quot;/&gt;&lt;wsp:rsid wsp:val=&quot;00FF0550&quot;/&gt;&lt;wsp:rsid wsp:val=&quot;00FF3F13&quot;/&gt;&lt;wsp:rsid wsp:val=&quot;069D11AC&quot;/&gt;&lt;wsp:rsid wsp:val=&quot;09B11BED&quot;/&gt;&lt;wsp:rsid wsp:val=&quot;2CA27B92&quot;/&gt;&lt;wsp:rsid wsp:val=&quot;2E761E7C&quot;/&gt;&lt;wsp:rsid wsp:val=&quot;3DAA4DB8&quot;/&gt;&lt;wsp:rsid wsp:val=&quot;483E004C&quot;/&gt;&lt;wsp:rsid wsp:val=&quot;521A1E56&quot;/&gt;&lt;wsp:rsid wsp:val=&quot;521A5946&quot;/&gt;&lt;wsp:rsid wsp:val=&quot;69124135&quot;/&gt;&lt;wsp:rsid wsp:val=&quot;6A4D2BD0&quot;/&gt;&lt;wsp:rsid wsp:val=&quot;796B021D&quot;/&gt;&lt;/wsp:rsids&gt;&lt;/w:docPr&gt;&lt;w:body&gt;&lt;wx:sect&gt;&lt;w:p wsp:rsidR=&quot;00000000&quot; wsp:rsidRDefault=&quot;00486315&quot; wsp:rsidP=&quot;00486315&quot;&gt;&lt;w:pPr&gt;&lt;w:ind w:first-line=&quot;480&quot;/&gt;&lt;/w:pPr&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44&lt;/m:t&gt;&lt;/m:r&gt;&lt;/m:num&gt;&lt;m:den&gt;&lt;m:r&gt;&lt;w:rPr&gt;&lt;w:rFonts w:ascii=&quot;Cambria Math&quot; w:h-ansi=&quot;Cambria Math&quot;/&gt;&lt;wx:font wx:val=&quot;Cambria Math&quot;/&gt;&lt;w:i/&gt;&lt;/w:rPr&gt;&lt;m:t&gt;12&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89" chromakey="#FFFFFF" o:title=""/>
            <o:lock v:ext="edit" aspectratio="t"/>
            <w10:wrap type="none"/>
            <w10:anchorlock/>
          </v:shape>
        </w:pict>
      </w:r>
      <w:r>
        <w:rPr>
          <w:rFonts w:ascii="Times New Roman" w:cs="Times New Roman"/>
          <w:kern w:val="2"/>
        </w:rPr>
        <w:fldChar w:fldCharType="end"/>
      </w:r>
      <w:r>
        <w:rPr>
          <w:rFonts w:hint="eastAsia" w:ascii="Times New Roman" w:cs="Times New Roman"/>
          <w:kern w:val="2"/>
        </w:rPr>
        <w:t>=952t/a。</w:t>
      </w:r>
    </w:p>
    <w:p>
      <w:pPr>
        <w:topLinePunct w:val="0"/>
        <w:adjustRightInd/>
        <w:ind w:firstLine="480"/>
        <w:rPr>
          <w:rFonts w:ascii="Times New Roman" w:cs="Times New Roman"/>
          <w:kern w:val="2"/>
        </w:rPr>
      </w:pPr>
      <w:r>
        <w:rPr>
          <w:rFonts w:hint="eastAsia" w:ascii="Times New Roman" w:cs="Times New Roman"/>
          <w:kern w:val="2"/>
        </w:rPr>
        <w:t>由此计算得，本项目化石燃料燃烧产生的二氧化碳为每年952吨。</w:t>
      </w:r>
    </w:p>
    <w:p>
      <w:pPr>
        <w:ind w:left="480" w:firstLine="0" w:firstLineChars="0"/>
        <w:rPr>
          <w:rFonts w:ascii="Times New Roman" w:cs="Times New Roman"/>
          <w:b/>
          <w:kern w:val="2"/>
        </w:rPr>
      </w:pPr>
      <w:r>
        <w:rPr>
          <w:rFonts w:hint="eastAsia" w:ascii="Times New Roman" w:cs="Times New Roman"/>
          <w:b/>
          <w:kern w:val="2"/>
        </w:rPr>
        <w:t>（2）CH</w:t>
      </w:r>
      <w:r>
        <w:rPr>
          <w:rFonts w:hint="eastAsia" w:ascii="Times New Roman" w:cs="Times New Roman"/>
          <w:b/>
          <w:kern w:val="2"/>
          <w:vertAlign w:val="subscript"/>
        </w:rPr>
        <w:t>4</w:t>
      </w:r>
      <w:r>
        <w:rPr>
          <w:rFonts w:hint="eastAsia" w:ascii="Times New Roman" w:cs="Times New Roman"/>
          <w:b/>
          <w:kern w:val="2"/>
        </w:rPr>
        <w:t>排放</w:t>
      </w:r>
    </w:p>
    <w:p>
      <w:pPr>
        <w:topLinePunct w:val="0"/>
        <w:adjustRightInd/>
        <w:ind w:firstLine="480"/>
        <w:rPr>
          <w:rFonts w:ascii="Times New Roman" w:cs="Times New Roman"/>
          <w:kern w:val="2"/>
        </w:rPr>
      </w:pPr>
      <w:r>
        <w:rPr>
          <w:rFonts w:hint="eastAsia" w:ascii="Times New Roman" w:cs="Times New Roman"/>
          <w:kern w:val="2"/>
        </w:rPr>
        <w:t>天然气开采过程中逸散少量天然气，其主要成分是甲烷。本项目试采过程中天然气的采出、汇集、处理和输送全过程采用密闭工艺流程。根据前文事故状态下15min井喷事故下天然气泄露量中CH</w:t>
      </w:r>
      <w:r>
        <w:rPr>
          <w:rFonts w:hint="eastAsia" w:ascii="Times New Roman" w:cs="Times New Roman"/>
          <w:kern w:val="2"/>
          <w:vertAlign w:val="subscript"/>
        </w:rPr>
        <w:t>4</w:t>
      </w:r>
      <w:r>
        <w:rPr>
          <w:rFonts w:hint="eastAsia" w:ascii="Times New Roman" w:cs="Times New Roman"/>
          <w:kern w:val="2"/>
        </w:rPr>
        <w:t>量约为1.21t。</w:t>
      </w:r>
    </w:p>
    <w:p>
      <w:pPr>
        <w:pStyle w:val="114"/>
        <w:ind w:firstLine="480"/>
      </w:pPr>
      <w:r>
        <w:rPr>
          <w:rFonts w:hint="eastAsia"/>
          <w:kern w:val="2"/>
        </w:rPr>
        <w:t>综上，根据计算，本工程二氧化碳排放约为每年953.21吨</w:t>
      </w:r>
    </w:p>
    <w:p>
      <w:pPr>
        <w:pStyle w:val="3"/>
        <w:spacing w:before="120"/>
        <w:rPr>
          <w:rFonts w:cs="Times New Roman"/>
        </w:rPr>
      </w:pPr>
      <w:bookmarkStart w:id="645" w:name="bookmark80"/>
      <w:bookmarkEnd w:id="645"/>
      <w:bookmarkStart w:id="646" w:name="_Toc19816145"/>
      <w:bookmarkStart w:id="647" w:name="_Toc9711"/>
      <w:bookmarkStart w:id="648" w:name="_Toc12288826"/>
      <w:r>
        <w:rPr>
          <w:rFonts w:cs="Times New Roman"/>
        </w:rPr>
        <w:t>9.</w:t>
      </w:r>
      <w:r>
        <w:rPr>
          <w:rFonts w:hint="eastAsia" w:cs="Times New Roman"/>
        </w:rPr>
        <w:t>4</w:t>
      </w:r>
      <w:r>
        <w:rPr>
          <w:rFonts w:cs="Times New Roman"/>
        </w:rPr>
        <w:t xml:space="preserve"> 结论</w:t>
      </w:r>
      <w:bookmarkEnd w:id="646"/>
      <w:bookmarkEnd w:id="647"/>
      <w:bookmarkEnd w:id="648"/>
    </w:p>
    <w:p>
      <w:pPr>
        <w:pStyle w:val="114"/>
        <w:ind w:firstLine="480"/>
      </w:pPr>
      <w:r>
        <w:t>经上述分析可知，从长远角度考虑，本项目的建设有利于环境质量改善，区域长久稳定、安全的发展。对于工程在施工期产生的各类污染物及对生态环境的影响采取了相应的环境保护措施，减轻工程建设所带来的不利影响。由此可见，本项目实施后所带来的环境经济效益，比工程在施工中所造成的直接环境经济损失要大的多。因此，本项目实施后，产生的环境经济效益是显著的，项目建设符合社会效益、经济效益和环境效益统一的原则。</w:t>
      </w:r>
    </w:p>
    <w:p>
      <w:pPr>
        <w:widowControl/>
        <w:topLinePunct w:val="0"/>
        <w:adjustRightInd/>
        <w:ind w:firstLine="0" w:firstLineChars="0"/>
        <w:jc w:val="left"/>
        <w:rPr>
          <w:rFonts w:ascii="Times New Roman" w:cs="Times New Roman"/>
          <w:b/>
          <w:bCs/>
          <w:sz w:val="32"/>
          <w:szCs w:val="32"/>
        </w:rPr>
        <w:sectPr>
          <w:pgSz w:w="11910" w:h="16840"/>
          <w:pgMar w:top="1417" w:right="1417" w:bottom="1417" w:left="1701" w:header="885" w:footer="1025" w:gutter="0"/>
          <w:pgBorders>
            <w:top w:val="none" w:sz="0" w:space="0"/>
            <w:left w:val="none" w:sz="0" w:space="0"/>
            <w:bottom w:val="none" w:sz="0" w:space="0"/>
            <w:right w:val="none" w:sz="0" w:space="0"/>
          </w:pgBorders>
          <w:cols w:space="720" w:num="1"/>
          <w:docGrid w:linePitch="326" w:charSpace="0"/>
        </w:sectPr>
      </w:pPr>
    </w:p>
    <w:p>
      <w:pPr>
        <w:pStyle w:val="2"/>
        <w:spacing w:before="0" w:beforeAutospacing="0" w:after="0" w:afterAutospacing="0"/>
        <w:rPr>
          <w:rFonts w:eastAsia="宋体"/>
        </w:rPr>
      </w:pPr>
      <w:bookmarkStart w:id="649" w:name="bookmark81"/>
      <w:bookmarkEnd w:id="649"/>
      <w:bookmarkStart w:id="650" w:name="_Toc18403"/>
      <w:bookmarkStart w:id="651" w:name="_Toc19816146"/>
      <w:bookmarkStart w:id="652" w:name="_Toc12288827"/>
      <w:r>
        <w:rPr>
          <w:rFonts w:eastAsia="宋体"/>
        </w:rPr>
        <w:t>10 环境管理与监测计划</w:t>
      </w:r>
      <w:bookmarkEnd w:id="650"/>
      <w:bookmarkEnd w:id="651"/>
      <w:bookmarkEnd w:id="652"/>
    </w:p>
    <w:p>
      <w:pPr>
        <w:pStyle w:val="6"/>
        <w:ind w:firstLine="480"/>
        <w:rPr>
          <w:rFonts w:ascii="Times New Roman" w:cs="Times New Roman"/>
        </w:rPr>
      </w:pPr>
      <w:r>
        <w:rPr>
          <w:rFonts w:ascii="Times New Roman" w:cs="Times New Roman"/>
        </w:rPr>
        <w:t>环境管理是企业管理的一项重要内容。加强环境监督管理力度，</w:t>
      </w:r>
      <w:r>
        <w:rPr>
          <w:rFonts w:hint="eastAsia" w:ascii="Times New Roman" w:cs="Times New Roman"/>
          <w:lang w:eastAsia="zh-CN"/>
        </w:rPr>
        <w:t>尽可能地</w:t>
      </w:r>
      <w:r>
        <w:rPr>
          <w:rFonts w:ascii="Times New Roman" w:cs="Times New Roman"/>
        </w:rPr>
        <w:t>减少“三废”排放数量及提高资源的合理利用率，把对环境的不良影响减小到最低限度，是企业实现环境、生产、经济协调持续发展的重要措施。环境监测是环境管理的重要组成部分，是工业污染防治的依据和环境监督管理工作的哨兵，加强环境监测是了解和掌握项目排污特征，研究污染发展趋势及防治对策的重要依据与途径。</w:t>
      </w:r>
    </w:p>
    <w:p>
      <w:pPr>
        <w:pStyle w:val="6"/>
        <w:ind w:firstLine="480"/>
        <w:rPr>
          <w:rFonts w:ascii="Times New Roman" w:cs="Times New Roman"/>
        </w:rPr>
      </w:pPr>
      <w:r>
        <w:rPr>
          <w:rFonts w:ascii="Times New Roman" w:cs="Times New Roman"/>
        </w:rPr>
        <w:t>本项目依托管道工程线路长度较短，对环境的影响主要来自运行期的风险事故。将会给生态环境带来较大的影响。为最大限度地减少事故的发生，确保管道安全运行，建立科学有效的环境管理体制，落实各项环保和安全措施尤为重要。</w:t>
      </w:r>
    </w:p>
    <w:p>
      <w:pPr>
        <w:pStyle w:val="6"/>
        <w:ind w:firstLine="480"/>
        <w:rPr>
          <w:rFonts w:ascii="Times New Roman" w:cs="Times New Roman"/>
        </w:rPr>
      </w:pPr>
      <w:r>
        <w:rPr>
          <w:rFonts w:ascii="Times New Roman" w:cs="Times New Roman"/>
        </w:rPr>
        <w:t>本章将根据工程在施工期和试采期的环境污染特征，提出施工期和试采期的环境管理、施工环境监理和环境监测计划的具体内容。</w:t>
      </w:r>
    </w:p>
    <w:p>
      <w:pPr>
        <w:pStyle w:val="3"/>
        <w:spacing w:before="120"/>
        <w:rPr>
          <w:rFonts w:cs="Times New Roman"/>
        </w:rPr>
      </w:pPr>
      <w:bookmarkStart w:id="653" w:name="bookmark82"/>
      <w:bookmarkEnd w:id="653"/>
      <w:bookmarkStart w:id="654" w:name="_Toc19816147"/>
      <w:bookmarkStart w:id="655" w:name="_Toc12318"/>
      <w:bookmarkStart w:id="656" w:name="_Toc12288828"/>
      <w:r>
        <w:rPr>
          <w:rFonts w:cs="Times New Roman"/>
        </w:rPr>
        <w:t>10.1 施工期环境管理</w:t>
      </w:r>
      <w:bookmarkEnd w:id="654"/>
      <w:bookmarkEnd w:id="655"/>
      <w:bookmarkEnd w:id="656"/>
    </w:p>
    <w:p>
      <w:pPr>
        <w:pStyle w:val="6"/>
        <w:ind w:firstLine="480"/>
        <w:rPr>
          <w:rFonts w:ascii="Times New Roman" w:cs="Times New Roman"/>
        </w:rPr>
      </w:pPr>
      <w:r>
        <w:rPr>
          <w:rFonts w:ascii="Times New Roman" w:cs="Times New Roman"/>
        </w:rPr>
        <w:t>项目施工对环境的影响主要是在建设施工期，为确保各项环保措施的落实，最大限度地减轻施工作业对环境的影响，建立环境管理体系和监督机制尤为重要。本项目施工期环境管理由中国石油化工股份有限公司中原油田普光分公司负责。</w:t>
      </w:r>
    </w:p>
    <w:p>
      <w:pPr>
        <w:pStyle w:val="4"/>
        <w:rPr>
          <w:rFonts w:eastAsia="宋体"/>
        </w:rPr>
      </w:pPr>
      <w:bookmarkStart w:id="657" w:name="_Toc19816148"/>
      <w:bookmarkStart w:id="658" w:name="_Toc12288829"/>
      <w:r>
        <w:rPr>
          <w:rFonts w:eastAsia="宋体"/>
        </w:rPr>
        <w:t>10.1.1 施工期的环境管理</w:t>
      </w:r>
      <w:bookmarkEnd w:id="657"/>
      <w:bookmarkEnd w:id="658"/>
    </w:p>
    <w:p>
      <w:pPr>
        <w:pStyle w:val="6"/>
        <w:ind w:firstLine="480"/>
        <w:rPr>
          <w:rFonts w:ascii="Times New Roman" w:cs="Times New Roman"/>
        </w:rPr>
      </w:pPr>
      <w:r>
        <w:rPr>
          <w:rFonts w:ascii="Times New Roman" w:cs="Times New Roman"/>
        </w:rPr>
        <w:t>（1）贯彻执行国家环境保护的方针、政策、法律和法规。</w:t>
      </w:r>
    </w:p>
    <w:p>
      <w:pPr>
        <w:pStyle w:val="6"/>
        <w:ind w:firstLine="480"/>
        <w:rPr>
          <w:rFonts w:ascii="Times New Roman" w:cs="Times New Roman"/>
        </w:rPr>
      </w:pPr>
      <w:r>
        <w:rPr>
          <w:rFonts w:ascii="Times New Roman" w:cs="Times New Roman"/>
        </w:rPr>
        <w:t>（2）组织制定本部门环境保护的规章制度和标准，并督促检查其执行。</w:t>
      </w:r>
    </w:p>
    <w:p>
      <w:pPr>
        <w:pStyle w:val="6"/>
        <w:ind w:firstLine="480"/>
        <w:rPr>
          <w:rFonts w:ascii="Times New Roman" w:cs="Times New Roman"/>
        </w:rPr>
      </w:pPr>
      <w:r>
        <w:rPr>
          <w:rFonts w:ascii="Times New Roman" w:cs="Times New Roman"/>
        </w:rPr>
        <w:t>（3）选择环保业绩优秀的施工承包方。施工期对环境的破坏程度与施工承包方的素质和管理水平有很大关系。在承包方的选择上，除实力、人员素质和装备技术等方面外，还要考虑施工承包方的HSE表现，应优先那些HSE管理水平高、业绩好的单位。</w:t>
      </w:r>
    </w:p>
    <w:p>
      <w:pPr>
        <w:pStyle w:val="6"/>
        <w:ind w:firstLine="480"/>
        <w:rPr>
          <w:rFonts w:ascii="Times New Roman" w:cs="Times New Roman"/>
        </w:rPr>
      </w:pPr>
      <w:r>
        <w:rPr>
          <w:rFonts w:ascii="Times New Roman" w:cs="Times New Roman"/>
        </w:rPr>
        <w:t>（4）对施工承包方提出明确的环保要求。在承包合同中应明确规定有关环境保护条款，如承包施工段的主要环境保护目标应采取的水、气、声、生态保护及水土保持等，将环保工作的执行情况作为工程验收的标准之一。要求承包方按照中国石油化工股份有限公司中原油田普光分公司HSE体系要求，建立相应的HSE管理机构，明确人员、职责等。要求施工承包方在施工前，按照其施工段的环保要求，编制详细的“环境管理方案”，并连同施工计划一起呈报中国石油化工股份有限公司中原油田普光分公司HSE管理部门，批准后方可开工。</w:t>
      </w:r>
    </w:p>
    <w:p>
      <w:pPr>
        <w:pStyle w:val="6"/>
        <w:ind w:firstLine="480"/>
        <w:rPr>
          <w:rFonts w:ascii="Times New Roman" w:cs="Times New Roman"/>
        </w:rPr>
      </w:pPr>
      <w:r>
        <w:rPr>
          <w:rFonts w:ascii="Times New Roman" w:cs="Times New Roman"/>
        </w:rPr>
        <w:t>（5）根据环境保护目标，负责制定或审核段施工作业的监督计划，提出环境保护要求，制定发生环境事故的应急计划和措施。</w:t>
      </w:r>
    </w:p>
    <w:p>
      <w:pPr>
        <w:pStyle w:val="6"/>
        <w:ind w:firstLine="480"/>
        <w:rPr>
          <w:rFonts w:ascii="Times New Roman" w:cs="Times New Roman"/>
        </w:rPr>
      </w:pPr>
      <w:r>
        <w:rPr>
          <w:rFonts w:ascii="Times New Roman" w:cs="Times New Roman"/>
        </w:rPr>
        <w:t>（6）监督施工期各项环保措施的落实情况，负责环保工程的检查和预验收，负责协调与县环保、水利、土地等部门的关系，以及群众团体的生态环境保护问题，调查处理站场施工中的环境破坏和污染事故。</w:t>
      </w:r>
    </w:p>
    <w:p>
      <w:pPr>
        <w:pStyle w:val="6"/>
        <w:ind w:firstLine="480"/>
        <w:rPr>
          <w:rFonts w:ascii="Times New Roman" w:cs="Times New Roman"/>
        </w:rPr>
      </w:pPr>
      <w:r>
        <w:rPr>
          <w:rFonts w:ascii="Times New Roman" w:cs="Times New Roman"/>
        </w:rPr>
        <w:t>（7）审定、落实并督促实施生态恢复和污染治理方案，监督恢复治理资金和物质的使用；负责有关环保文件、技术资料和施工期现场环境监测资料的收集建档。</w:t>
      </w:r>
    </w:p>
    <w:p>
      <w:pPr>
        <w:pStyle w:val="6"/>
        <w:ind w:firstLine="480"/>
        <w:rPr>
          <w:rFonts w:ascii="Times New Roman" w:cs="Times New Roman"/>
        </w:rPr>
      </w:pPr>
      <w:r>
        <w:rPr>
          <w:rFonts w:ascii="Times New Roman" w:cs="Times New Roman"/>
        </w:rPr>
        <w:t>（8）监督检查保护生态环境和防止污染设施与管道主体工程同时设计、同时施工、同时投入使用的执行情况。</w:t>
      </w:r>
    </w:p>
    <w:p>
      <w:pPr>
        <w:pStyle w:val="6"/>
        <w:ind w:firstLine="480"/>
        <w:rPr>
          <w:rFonts w:ascii="Times New Roman" w:cs="Times New Roman"/>
        </w:rPr>
      </w:pPr>
      <w:r>
        <w:rPr>
          <w:rFonts w:ascii="Times New Roman" w:cs="Times New Roman"/>
        </w:rPr>
        <w:t>（9）组织开展管道环境保护的科研、宣传教育、培训工作。</w:t>
      </w:r>
    </w:p>
    <w:p>
      <w:pPr>
        <w:pStyle w:val="39"/>
        <w:rPr>
          <w:rFonts w:cs="Times New Roman"/>
        </w:rPr>
      </w:pPr>
      <w:r>
        <w:rPr>
          <w:rFonts w:cs="Times New Roman"/>
        </w:rPr>
        <w:t>表10.1-1  施工期HSE管理方案的重点监控内容</w:t>
      </w:r>
    </w:p>
    <w:tbl>
      <w:tblPr>
        <w:tblStyle w:val="59"/>
        <w:tblW w:w="485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09"/>
        <w:gridCol w:w="5092"/>
        <w:gridCol w:w="212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83" w:hRule="atLeast"/>
          <w:jc w:val="center"/>
        </w:trPr>
        <w:tc>
          <w:tcPr>
            <w:tcW w:w="768" w:type="pct"/>
            <w:tcBorders>
              <w:top w:val="single" w:color="000000" w:sz="12" w:space="0"/>
              <w:left w:val="nil"/>
              <w:bottom w:val="single" w:color="000000" w:sz="4" w:space="0"/>
              <w:right w:val="single" w:color="000000" w:sz="4" w:space="0"/>
            </w:tcBorders>
            <w:vAlign w:val="center"/>
          </w:tcPr>
          <w:p>
            <w:pPr>
              <w:pStyle w:val="134"/>
              <w:rPr>
                <w:b/>
                <w:bCs/>
              </w:rPr>
            </w:pPr>
            <w:r>
              <w:rPr>
                <w:b/>
                <w:bCs/>
              </w:rPr>
              <w:t>重点地段</w:t>
            </w:r>
          </w:p>
        </w:tc>
        <w:tc>
          <w:tcPr>
            <w:tcW w:w="2987" w:type="pct"/>
            <w:tcBorders>
              <w:top w:val="single" w:color="000000" w:sz="12" w:space="0"/>
              <w:left w:val="single" w:color="000000" w:sz="4" w:space="0"/>
              <w:bottom w:val="single" w:color="000000" w:sz="4" w:space="0"/>
              <w:right w:val="single" w:color="000000" w:sz="4" w:space="0"/>
            </w:tcBorders>
            <w:vAlign w:val="center"/>
          </w:tcPr>
          <w:p>
            <w:pPr>
              <w:pStyle w:val="134"/>
              <w:rPr>
                <w:b/>
                <w:bCs/>
              </w:rPr>
            </w:pPr>
            <w:r>
              <w:rPr>
                <w:b/>
                <w:bCs/>
              </w:rPr>
              <w:t>重点监理内容</w:t>
            </w:r>
          </w:p>
        </w:tc>
        <w:tc>
          <w:tcPr>
            <w:tcW w:w="1245" w:type="pct"/>
            <w:tcBorders>
              <w:top w:val="single" w:color="000000" w:sz="12" w:space="0"/>
              <w:left w:val="single" w:color="000000" w:sz="4" w:space="0"/>
              <w:bottom w:val="single" w:color="000000" w:sz="4" w:space="0"/>
              <w:right w:val="nil"/>
            </w:tcBorders>
            <w:vAlign w:val="center"/>
          </w:tcPr>
          <w:p>
            <w:pPr>
              <w:pStyle w:val="134"/>
              <w:rPr>
                <w:b/>
                <w:bCs/>
              </w:rPr>
            </w:pPr>
            <w:r>
              <w:rPr>
                <w:b/>
                <w:bCs/>
              </w:rPr>
              <w:t>目的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68" w:type="pct"/>
            <w:tcBorders>
              <w:top w:val="single" w:color="000000" w:sz="4" w:space="0"/>
              <w:left w:val="nil"/>
              <w:bottom w:val="single" w:color="000000" w:sz="4" w:space="0"/>
              <w:right w:val="single" w:color="000000" w:sz="4" w:space="0"/>
            </w:tcBorders>
            <w:vAlign w:val="center"/>
          </w:tcPr>
          <w:p>
            <w:pPr>
              <w:pStyle w:val="134"/>
            </w:pPr>
            <w:r>
              <w:t>站场周围农田</w:t>
            </w:r>
          </w:p>
        </w:tc>
        <w:tc>
          <w:tcPr>
            <w:tcW w:w="2987" w:type="pct"/>
            <w:tcBorders>
              <w:top w:val="single" w:color="000000" w:sz="4" w:space="0"/>
              <w:left w:val="single" w:color="000000" w:sz="4" w:space="0"/>
              <w:bottom w:val="single" w:color="000000" w:sz="4" w:space="0"/>
              <w:right w:val="single" w:color="000000" w:sz="4" w:space="0"/>
            </w:tcBorders>
            <w:vAlign w:val="center"/>
          </w:tcPr>
          <w:p>
            <w:pPr>
              <w:pStyle w:val="134"/>
              <w:jc w:val="left"/>
            </w:pPr>
            <w:r>
              <w:t>1．是否严格执行了“分层开挖、分层堆放、分层回填”；</w:t>
            </w:r>
          </w:p>
          <w:p>
            <w:pPr>
              <w:pStyle w:val="134"/>
              <w:jc w:val="left"/>
            </w:pPr>
            <w:r>
              <w:t>2．施工作业场地设置是否合理，施工、运输车辆是否按指定路线行驶；</w:t>
            </w:r>
          </w:p>
          <w:p>
            <w:pPr>
              <w:pStyle w:val="134"/>
              <w:jc w:val="left"/>
            </w:pPr>
            <w:r>
              <w:t>3．施工人员是否超越施工活动范围；</w:t>
            </w:r>
          </w:p>
          <w:p>
            <w:pPr>
              <w:pStyle w:val="134"/>
              <w:jc w:val="left"/>
            </w:pPr>
            <w:r>
              <w:t>4．垃圾、废物是否有指定地点堆放，是否及时清理；</w:t>
            </w:r>
          </w:p>
          <w:p>
            <w:pPr>
              <w:pStyle w:val="134"/>
              <w:jc w:val="left"/>
            </w:pPr>
            <w:r>
              <w:t>5．施工结束后临时用地是否彻底恢复。</w:t>
            </w:r>
          </w:p>
        </w:tc>
        <w:tc>
          <w:tcPr>
            <w:tcW w:w="1245" w:type="pct"/>
            <w:tcBorders>
              <w:top w:val="single" w:color="000000" w:sz="4" w:space="0"/>
              <w:left w:val="single" w:color="000000" w:sz="4" w:space="0"/>
              <w:bottom w:val="single" w:color="000000" w:sz="4" w:space="0"/>
              <w:right w:val="nil"/>
            </w:tcBorders>
            <w:vAlign w:val="center"/>
          </w:tcPr>
          <w:p>
            <w:pPr>
              <w:pStyle w:val="134"/>
            </w:pPr>
            <w:r>
              <w:t>减少土壤和农作物的破坏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68" w:type="pct"/>
            <w:tcBorders>
              <w:top w:val="single" w:color="000000" w:sz="4" w:space="0"/>
              <w:left w:val="nil"/>
              <w:bottom w:val="single" w:color="000000" w:sz="4" w:space="0"/>
              <w:right w:val="single" w:color="000000" w:sz="4" w:space="0"/>
            </w:tcBorders>
            <w:vAlign w:val="center"/>
          </w:tcPr>
          <w:p>
            <w:pPr>
              <w:pStyle w:val="134"/>
            </w:pPr>
            <w:r>
              <w:t>站场周围林地等</w:t>
            </w:r>
          </w:p>
        </w:tc>
        <w:tc>
          <w:tcPr>
            <w:tcW w:w="2987" w:type="pct"/>
            <w:tcBorders>
              <w:top w:val="single" w:color="000000" w:sz="4" w:space="0"/>
              <w:left w:val="single" w:color="000000" w:sz="4" w:space="0"/>
              <w:bottom w:val="single" w:color="000000" w:sz="4" w:space="0"/>
              <w:right w:val="single" w:color="000000" w:sz="4" w:space="0"/>
            </w:tcBorders>
            <w:vAlign w:val="center"/>
          </w:tcPr>
          <w:p>
            <w:pPr>
              <w:pStyle w:val="134"/>
              <w:jc w:val="left"/>
            </w:pPr>
            <w:r>
              <w:t>1．是否对土壤影响范围内公益林进行保护</w:t>
            </w:r>
            <w:r>
              <w:rPr>
                <w:bCs/>
              </w:rPr>
              <w:t>（如：封山育林、人工造林等）</w:t>
            </w:r>
            <w:r>
              <w:t>，防止施工期对公益林的扰动。</w:t>
            </w:r>
          </w:p>
          <w:p>
            <w:pPr>
              <w:pStyle w:val="134"/>
              <w:jc w:val="left"/>
            </w:pPr>
            <w:r>
              <w:t>2．是否超越施工作业带施工；</w:t>
            </w:r>
          </w:p>
          <w:p>
            <w:pPr>
              <w:pStyle w:val="134"/>
              <w:jc w:val="left"/>
            </w:pPr>
            <w:r>
              <w:t>3．施工是否利用现有便道；</w:t>
            </w:r>
          </w:p>
          <w:p>
            <w:pPr>
              <w:pStyle w:val="134"/>
              <w:jc w:val="left"/>
            </w:pPr>
            <w:r>
              <w:t>4．施工人员是否有捕食野生动物的行为；</w:t>
            </w:r>
          </w:p>
          <w:p>
            <w:pPr>
              <w:pStyle w:val="134"/>
              <w:jc w:val="left"/>
            </w:pPr>
            <w:r>
              <w:t>5．施工是否按要求进行施工。</w:t>
            </w:r>
          </w:p>
        </w:tc>
        <w:tc>
          <w:tcPr>
            <w:tcW w:w="1245" w:type="pct"/>
            <w:tcBorders>
              <w:top w:val="single" w:color="000000" w:sz="4" w:space="0"/>
              <w:left w:val="single" w:color="000000" w:sz="4" w:space="0"/>
              <w:bottom w:val="single" w:color="000000" w:sz="4" w:space="0"/>
              <w:right w:val="nil"/>
            </w:tcBorders>
            <w:vAlign w:val="center"/>
          </w:tcPr>
          <w:p>
            <w:pPr>
              <w:pStyle w:val="134"/>
            </w:pPr>
            <w:r>
              <w:t>保护林地，减少损失</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68" w:type="pct"/>
            <w:tcBorders>
              <w:top w:val="single" w:color="000000" w:sz="4" w:space="0"/>
              <w:left w:val="nil"/>
              <w:bottom w:val="single" w:color="000000" w:sz="12" w:space="0"/>
              <w:right w:val="single" w:color="000000" w:sz="4" w:space="0"/>
            </w:tcBorders>
            <w:vAlign w:val="center"/>
          </w:tcPr>
          <w:p>
            <w:pPr>
              <w:pStyle w:val="134"/>
            </w:pPr>
            <w:r>
              <w:t>参见所列的村庄敏感点</w:t>
            </w:r>
          </w:p>
        </w:tc>
        <w:tc>
          <w:tcPr>
            <w:tcW w:w="2987" w:type="pct"/>
            <w:tcBorders>
              <w:top w:val="single" w:color="000000" w:sz="4" w:space="0"/>
              <w:left w:val="single" w:color="000000" w:sz="4" w:space="0"/>
              <w:bottom w:val="single" w:color="000000" w:sz="12" w:space="0"/>
              <w:right w:val="single" w:color="000000" w:sz="4" w:space="0"/>
            </w:tcBorders>
            <w:vAlign w:val="center"/>
          </w:tcPr>
          <w:p>
            <w:pPr>
              <w:pStyle w:val="134"/>
              <w:jc w:val="left"/>
            </w:pPr>
            <w:r>
              <w:t>1．施工噪声对居民的影响；</w:t>
            </w:r>
          </w:p>
          <w:p>
            <w:pPr>
              <w:pStyle w:val="134"/>
              <w:jc w:val="left"/>
            </w:pPr>
            <w:r>
              <w:t>2．施工路段、灰土拌和场地是否定时洒水；</w:t>
            </w:r>
          </w:p>
          <w:p>
            <w:pPr>
              <w:pStyle w:val="134"/>
              <w:jc w:val="left"/>
            </w:pPr>
            <w:r>
              <w:t>3．粉状材料（主要为临时堆放弃土）堆放时是否覆盖。</w:t>
            </w:r>
          </w:p>
        </w:tc>
        <w:tc>
          <w:tcPr>
            <w:tcW w:w="1245" w:type="pct"/>
            <w:tcBorders>
              <w:top w:val="single" w:color="000000" w:sz="4" w:space="0"/>
              <w:left w:val="single" w:color="000000" w:sz="4" w:space="0"/>
              <w:bottom w:val="single" w:color="000000" w:sz="12" w:space="0"/>
              <w:right w:val="nil"/>
            </w:tcBorders>
            <w:vAlign w:val="center"/>
          </w:tcPr>
          <w:p>
            <w:pPr>
              <w:pStyle w:val="134"/>
            </w:pPr>
            <w:r>
              <w:t>防止施工噪声影响居民的正常生活；减少施工扬尘对居民的影响</w:t>
            </w:r>
          </w:p>
        </w:tc>
      </w:tr>
    </w:tbl>
    <w:p>
      <w:pPr>
        <w:pStyle w:val="4"/>
        <w:rPr>
          <w:rFonts w:eastAsia="宋体"/>
        </w:rPr>
      </w:pPr>
      <w:bookmarkStart w:id="659" w:name="_Toc19816149"/>
      <w:bookmarkStart w:id="660" w:name="_Toc12288830"/>
      <w:r>
        <w:rPr>
          <w:rFonts w:eastAsia="宋体"/>
        </w:rPr>
        <w:t>10.1.2 施工期的环境监测</w:t>
      </w:r>
      <w:bookmarkEnd w:id="659"/>
      <w:bookmarkEnd w:id="660"/>
    </w:p>
    <w:p>
      <w:pPr>
        <w:pStyle w:val="6"/>
        <w:ind w:firstLine="480"/>
        <w:rPr>
          <w:rFonts w:ascii="Times New Roman" w:cs="Times New Roman"/>
        </w:rPr>
      </w:pPr>
      <w:r>
        <w:rPr>
          <w:rFonts w:ascii="Times New Roman" w:cs="Times New Roman"/>
        </w:rPr>
        <w:t>施工期的环境监测主要是对作业场所的控制监测和事故发生后的影响监测，主要监测对象有土壤、植被、施工作业废气、废水和噪声等。对作业场所的控制监测可视当地具体情况及当地环保部门要求等情况而定，诸如：在人群密集区施工可进行适当噪声监测等。对事故监测可根据事故性质、事故影响的大小等，视具体情况监测大气、土壤、水等。本项目监督、监测计划见下表。</w:t>
      </w:r>
    </w:p>
    <w:p>
      <w:pPr>
        <w:pStyle w:val="39"/>
        <w:rPr>
          <w:rFonts w:cs="Times New Roman"/>
        </w:rPr>
      </w:pPr>
      <w:r>
        <w:rPr>
          <w:rFonts w:cs="Times New Roman"/>
        </w:rPr>
        <w:t>表10.1-2  施工期环境监督、监测计划</w:t>
      </w:r>
    </w:p>
    <w:tbl>
      <w:tblPr>
        <w:tblStyle w:val="59"/>
        <w:tblW w:w="4850" w:type="pct"/>
        <w:jc w:val="center"/>
        <w:tblLayout w:type="autofit"/>
        <w:tblCellMar>
          <w:top w:w="0" w:type="dxa"/>
          <w:left w:w="0" w:type="dxa"/>
          <w:bottom w:w="0" w:type="dxa"/>
          <w:right w:w="0" w:type="dxa"/>
        </w:tblCellMar>
      </w:tblPr>
      <w:tblGrid>
        <w:gridCol w:w="1004"/>
        <w:gridCol w:w="3902"/>
        <w:gridCol w:w="1516"/>
        <w:gridCol w:w="2102"/>
      </w:tblGrid>
      <w:tr>
        <w:tblPrEx>
          <w:tblCellMar>
            <w:top w:w="0" w:type="dxa"/>
            <w:left w:w="0" w:type="dxa"/>
            <w:bottom w:w="0" w:type="dxa"/>
            <w:right w:w="0" w:type="dxa"/>
          </w:tblCellMar>
        </w:tblPrEx>
        <w:trPr>
          <w:trHeight w:val="369" w:hRule="atLeast"/>
          <w:jc w:val="center"/>
        </w:trPr>
        <w:tc>
          <w:tcPr>
            <w:tcW w:w="589" w:type="pct"/>
            <w:tcBorders>
              <w:top w:val="single" w:color="000000" w:sz="12" w:space="0"/>
              <w:left w:val="nil"/>
              <w:bottom w:val="single" w:color="000000" w:sz="4" w:space="0"/>
              <w:right w:val="single" w:color="000000" w:sz="4" w:space="0"/>
            </w:tcBorders>
            <w:vAlign w:val="center"/>
          </w:tcPr>
          <w:p>
            <w:pPr>
              <w:pStyle w:val="134"/>
              <w:rPr>
                <w:b/>
                <w:bCs/>
              </w:rPr>
            </w:pPr>
            <w:r>
              <w:rPr>
                <w:b/>
                <w:bCs/>
              </w:rPr>
              <w:t>监测项目</w:t>
            </w:r>
          </w:p>
        </w:tc>
        <w:tc>
          <w:tcPr>
            <w:tcW w:w="2289" w:type="pct"/>
            <w:tcBorders>
              <w:top w:val="single" w:color="000000" w:sz="12" w:space="0"/>
              <w:left w:val="single" w:color="000000" w:sz="4" w:space="0"/>
              <w:bottom w:val="single" w:color="000000" w:sz="4" w:space="0"/>
              <w:right w:val="single" w:color="000000" w:sz="4" w:space="0"/>
            </w:tcBorders>
            <w:vAlign w:val="center"/>
          </w:tcPr>
          <w:p>
            <w:pPr>
              <w:pStyle w:val="134"/>
              <w:rPr>
                <w:b/>
                <w:bCs/>
              </w:rPr>
            </w:pPr>
            <w:r>
              <w:rPr>
                <w:b/>
                <w:bCs/>
              </w:rPr>
              <w:t>监督、监测内容</w:t>
            </w:r>
          </w:p>
        </w:tc>
        <w:tc>
          <w:tcPr>
            <w:tcW w:w="889" w:type="pct"/>
            <w:tcBorders>
              <w:top w:val="single" w:color="000000" w:sz="12" w:space="0"/>
              <w:left w:val="single" w:color="000000" w:sz="4" w:space="0"/>
              <w:bottom w:val="single" w:color="000000" w:sz="4" w:space="0"/>
              <w:right w:val="single" w:color="000000" w:sz="4" w:space="0"/>
            </w:tcBorders>
            <w:vAlign w:val="center"/>
          </w:tcPr>
          <w:p>
            <w:pPr>
              <w:pStyle w:val="134"/>
              <w:rPr>
                <w:b/>
                <w:bCs/>
              </w:rPr>
            </w:pPr>
            <w:r>
              <w:rPr>
                <w:b/>
                <w:bCs/>
              </w:rPr>
              <w:t>报告制度</w:t>
            </w:r>
          </w:p>
        </w:tc>
        <w:tc>
          <w:tcPr>
            <w:tcW w:w="1233" w:type="pct"/>
            <w:tcBorders>
              <w:top w:val="single" w:color="000000" w:sz="12" w:space="0"/>
              <w:left w:val="single" w:color="000000" w:sz="4" w:space="0"/>
              <w:bottom w:val="single" w:color="000000" w:sz="4" w:space="0"/>
              <w:right w:val="nil"/>
            </w:tcBorders>
            <w:vAlign w:val="center"/>
          </w:tcPr>
          <w:p>
            <w:pPr>
              <w:pStyle w:val="134"/>
              <w:rPr>
                <w:b/>
                <w:bCs/>
              </w:rPr>
            </w:pPr>
            <w:r>
              <w:rPr>
                <w:b/>
                <w:bCs/>
              </w:rPr>
              <w:t>实施单位</w:t>
            </w:r>
          </w:p>
        </w:tc>
      </w:tr>
      <w:tr>
        <w:tblPrEx>
          <w:tblCellMar>
            <w:top w:w="0" w:type="dxa"/>
            <w:left w:w="0" w:type="dxa"/>
            <w:bottom w:w="0" w:type="dxa"/>
            <w:right w:w="0" w:type="dxa"/>
          </w:tblCellMar>
        </w:tblPrEx>
        <w:trPr>
          <w:trHeight w:val="369" w:hRule="atLeast"/>
          <w:jc w:val="center"/>
        </w:trPr>
        <w:tc>
          <w:tcPr>
            <w:tcW w:w="589" w:type="pct"/>
            <w:tcBorders>
              <w:top w:val="single" w:color="000000" w:sz="4" w:space="0"/>
              <w:left w:val="nil"/>
              <w:bottom w:val="single" w:color="000000" w:sz="4" w:space="0"/>
              <w:right w:val="single" w:color="000000" w:sz="4" w:space="0"/>
            </w:tcBorders>
            <w:vAlign w:val="center"/>
          </w:tcPr>
          <w:p>
            <w:pPr>
              <w:pStyle w:val="134"/>
            </w:pPr>
            <w:r>
              <w:t>施工现场清理</w:t>
            </w:r>
          </w:p>
        </w:tc>
        <w:tc>
          <w:tcPr>
            <w:tcW w:w="2289" w:type="pct"/>
            <w:tcBorders>
              <w:top w:val="single" w:color="000000" w:sz="4" w:space="0"/>
              <w:left w:val="single" w:color="000000" w:sz="4" w:space="0"/>
              <w:bottom w:val="single" w:color="000000" w:sz="4" w:space="0"/>
              <w:right w:val="single" w:color="000000" w:sz="4" w:space="0"/>
            </w:tcBorders>
            <w:vAlign w:val="center"/>
          </w:tcPr>
          <w:p>
            <w:pPr>
              <w:pStyle w:val="134"/>
            </w:pPr>
            <w:r>
              <w:t>施工结束后，施工现场的弃土、石、渣等垃圾和生态环境恢复情况；监督频率：施工结束后1次；监督点：站场施工区。</w:t>
            </w:r>
          </w:p>
        </w:tc>
        <w:tc>
          <w:tcPr>
            <w:tcW w:w="889" w:type="pct"/>
            <w:tcBorders>
              <w:top w:val="single" w:color="000000" w:sz="4" w:space="0"/>
              <w:left w:val="single" w:color="000000" w:sz="4" w:space="0"/>
              <w:bottom w:val="single" w:color="000000" w:sz="4" w:space="0"/>
              <w:right w:val="single" w:color="000000" w:sz="4" w:space="0"/>
            </w:tcBorders>
            <w:vAlign w:val="center"/>
          </w:tcPr>
          <w:p>
            <w:pPr>
              <w:pStyle w:val="134"/>
            </w:pPr>
            <w:r>
              <w:t>报建设单位</w:t>
            </w:r>
          </w:p>
        </w:tc>
        <w:tc>
          <w:tcPr>
            <w:tcW w:w="1233" w:type="pct"/>
            <w:tcBorders>
              <w:top w:val="single" w:color="000000" w:sz="4" w:space="0"/>
              <w:left w:val="single" w:color="000000" w:sz="4" w:space="0"/>
              <w:bottom w:val="single" w:color="000000" w:sz="4" w:space="0"/>
              <w:right w:val="nil"/>
            </w:tcBorders>
            <w:vAlign w:val="center"/>
          </w:tcPr>
          <w:p>
            <w:pPr>
              <w:pStyle w:val="134"/>
            </w:pPr>
            <w:r>
              <w:t>建设单位和施工单位专、兼职环保人员。</w:t>
            </w:r>
          </w:p>
        </w:tc>
      </w:tr>
      <w:tr>
        <w:tblPrEx>
          <w:tblCellMar>
            <w:top w:w="0" w:type="dxa"/>
            <w:left w:w="0" w:type="dxa"/>
            <w:bottom w:w="0" w:type="dxa"/>
            <w:right w:w="0" w:type="dxa"/>
          </w:tblCellMar>
        </w:tblPrEx>
        <w:trPr>
          <w:trHeight w:val="369" w:hRule="atLeast"/>
          <w:jc w:val="center"/>
        </w:trPr>
        <w:tc>
          <w:tcPr>
            <w:tcW w:w="589" w:type="pct"/>
            <w:tcBorders>
              <w:top w:val="single" w:color="000000" w:sz="4" w:space="0"/>
              <w:left w:val="nil"/>
              <w:bottom w:val="single" w:color="000000" w:sz="4" w:space="0"/>
              <w:right w:val="single" w:color="000000" w:sz="4" w:space="0"/>
            </w:tcBorders>
            <w:vAlign w:val="center"/>
          </w:tcPr>
          <w:p>
            <w:pPr>
              <w:pStyle w:val="134"/>
            </w:pPr>
            <w:r>
              <w:t>施工噪声</w:t>
            </w:r>
          </w:p>
        </w:tc>
        <w:tc>
          <w:tcPr>
            <w:tcW w:w="2289" w:type="pct"/>
            <w:tcBorders>
              <w:top w:val="single" w:color="000000" w:sz="4" w:space="0"/>
              <w:left w:val="single" w:color="000000" w:sz="4" w:space="0"/>
              <w:bottom w:val="single" w:color="000000" w:sz="4" w:space="0"/>
              <w:right w:val="single" w:color="000000" w:sz="4" w:space="0"/>
            </w:tcBorders>
            <w:vAlign w:val="center"/>
          </w:tcPr>
          <w:p>
            <w:pPr>
              <w:pStyle w:val="134"/>
            </w:pPr>
            <w:r>
              <w:t>居民密集区厂界噪声；监测频率：施工中视情况而定；监测点：各环境敏感点段。</w:t>
            </w:r>
          </w:p>
        </w:tc>
        <w:tc>
          <w:tcPr>
            <w:tcW w:w="889" w:type="pct"/>
            <w:tcBorders>
              <w:top w:val="single" w:color="000000" w:sz="4" w:space="0"/>
              <w:left w:val="single" w:color="000000" w:sz="4" w:space="0"/>
              <w:bottom w:val="single" w:color="000000" w:sz="4" w:space="0"/>
              <w:right w:val="single" w:color="000000" w:sz="4" w:space="0"/>
            </w:tcBorders>
            <w:vAlign w:val="center"/>
          </w:tcPr>
          <w:p>
            <w:pPr>
              <w:pStyle w:val="134"/>
            </w:pPr>
            <w:r>
              <w:t>报建设单位</w:t>
            </w:r>
          </w:p>
        </w:tc>
        <w:tc>
          <w:tcPr>
            <w:tcW w:w="1233" w:type="pct"/>
            <w:tcBorders>
              <w:top w:val="single" w:color="000000" w:sz="4" w:space="0"/>
              <w:left w:val="single" w:color="000000" w:sz="4" w:space="0"/>
              <w:bottom w:val="single" w:color="000000" w:sz="4" w:space="0"/>
              <w:right w:val="nil"/>
            </w:tcBorders>
            <w:vAlign w:val="center"/>
          </w:tcPr>
          <w:p>
            <w:pPr>
              <w:pStyle w:val="134"/>
            </w:pPr>
            <w:r>
              <w:t>业主和施工单位专、兼职环保人员。</w:t>
            </w:r>
          </w:p>
        </w:tc>
      </w:tr>
      <w:tr>
        <w:tblPrEx>
          <w:tblCellMar>
            <w:top w:w="0" w:type="dxa"/>
            <w:left w:w="0" w:type="dxa"/>
            <w:bottom w:w="0" w:type="dxa"/>
            <w:right w:w="0" w:type="dxa"/>
          </w:tblCellMar>
        </w:tblPrEx>
        <w:trPr>
          <w:trHeight w:val="369" w:hRule="atLeast"/>
          <w:jc w:val="center"/>
        </w:trPr>
        <w:tc>
          <w:tcPr>
            <w:tcW w:w="589" w:type="pct"/>
            <w:tcBorders>
              <w:top w:val="single" w:color="000000" w:sz="4" w:space="0"/>
              <w:left w:val="nil"/>
              <w:bottom w:val="single" w:color="000000" w:sz="4" w:space="0"/>
              <w:right w:val="single" w:color="000000" w:sz="4" w:space="0"/>
            </w:tcBorders>
            <w:vAlign w:val="center"/>
          </w:tcPr>
          <w:p>
            <w:pPr>
              <w:pStyle w:val="134"/>
            </w:pPr>
            <w:r>
              <w:t>事故监测</w:t>
            </w:r>
          </w:p>
        </w:tc>
        <w:tc>
          <w:tcPr>
            <w:tcW w:w="2289" w:type="pct"/>
            <w:tcBorders>
              <w:top w:val="single" w:color="000000" w:sz="4" w:space="0"/>
              <w:left w:val="single" w:color="000000" w:sz="4" w:space="0"/>
              <w:bottom w:val="single" w:color="000000" w:sz="4" w:space="0"/>
              <w:right w:val="single" w:color="000000" w:sz="4" w:space="0"/>
            </w:tcBorders>
            <w:vAlign w:val="center"/>
          </w:tcPr>
          <w:p>
            <w:pPr>
              <w:pStyle w:val="134"/>
            </w:pPr>
            <w:r>
              <w:t>根据事故性质、事故影响的大小，视具体情况监测大气、土壤、水等。</w:t>
            </w:r>
          </w:p>
        </w:tc>
        <w:tc>
          <w:tcPr>
            <w:tcW w:w="889" w:type="pct"/>
            <w:tcBorders>
              <w:top w:val="single" w:color="000000" w:sz="4" w:space="0"/>
              <w:left w:val="single" w:color="000000" w:sz="4" w:space="0"/>
              <w:bottom w:val="single" w:color="000000" w:sz="4" w:space="0"/>
              <w:right w:val="single" w:color="000000" w:sz="4" w:space="0"/>
            </w:tcBorders>
            <w:vAlign w:val="center"/>
          </w:tcPr>
          <w:p>
            <w:pPr>
              <w:pStyle w:val="134"/>
            </w:pPr>
            <w:r>
              <w:t>报建设单位和市生态环境部门</w:t>
            </w:r>
          </w:p>
        </w:tc>
        <w:tc>
          <w:tcPr>
            <w:tcW w:w="1233" w:type="pct"/>
            <w:tcBorders>
              <w:top w:val="single" w:color="000000" w:sz="4" w:space="0"/>
              <w:left w:val="single" w:color="000000" w:sz="4" w:space="0"/>
              <w:bottom w:val="single" w:color="000000" w:sz="4" w:space="0"/>
              <w:right w:val="nil"/>
            </w:tcBorders>
            <w:vAlign w:val="center"/>
          </w:tcPr>
          <w:p>
            <w:pPr>
              <w:pStyle w:val="134"/>
            </w:pPr>
            <w:r>
              <w:t>当地环境监测站。</w:t>
            </w:r>
          </w:p>
        </w:tc>
      </w:tr>
      <w:tr>
        <w:tblPrEx>
          <w:tblCellMar>
            <w:top w:w="0" w:type="dxa"/>
            <w:left w:w="0" w:type="dxa"/>
            <w:bottom w:w="0" w:type="dxa"/>
            <w:right w:w="0" w:type="dxa"/>
          </w:tblCellMar>
        </w:tblPrEx>
        <w:trPr>
          <w:trHeight w:val="369" w:hRule="atLeast"/>
          <w:jc w:val="center"/>
        </w:trPr>
        <w:tc>
          <w:tcPr>
            <w:tcW w:w="589" w:type="pct"/>
            <w:tcBorders>
              <w:top w:val="single" w:color="000000" w:sz="4" w:space="0"/>
              <w:left w:val="nil"/>
              <w:bottom w:val="single" w:color="000000" w:sz="12" w:space="0"/>
              <w:right w:val="single" w:color="000000" w:sz="4" w:space="0"/>
            </w:tcBorders>
            <w:vAlign w:val="center"/>
          </w:tcPr>
          <w:p>
            <w:pPr>
              <w:pStyle w:val="134"/>
            </w:pPr>
            <w:r>
              <w:t>水土保持</w:t>
            </w:r>
          </w:p>
        </w:tc>
        <w:tc>
          <w:tcPr>
            <w:tcW w:w="2289" w:type="pct"/>
            <w:tcBorders>
              <w:top w:val="single" w:color="000000" w:sz="4" w:space="0"/>
              <w:left w:val="single" w:color="000000" w:sz="4" w:space="0"/>
              <w:bottom w:val="single" w:color="000000" w:sz="12" w:space="0"/>
              <w:right w:val="single" w:color="000000" w:sz="4" w:space="0"/>
            </w:tcBorders>
            <w:vAlign w:val="center"/>
          </w:tcPr>
          <w:p>
            <w:pPr>
              <w:pStyle w:val="134"/>
            </w:pPr>
            <w:r>
              <w:t>影响水土流失的因子；水土流失量；水土流失灾害；水土保持设施效益。</w:t>
            </w:r>
          </w:p>
        </w:tc>
        <w:tc>
          <w:tcPr>
            <w:tcW w:w="889" w:type="pct"/>
            <w:tcBorders>
              <w:top w:val="single" w:color="000000" w:sz="4" w:space="0"/>
              <w:left w:val="single" w:color="000000" w:sz="4" w:space="0"/>
              <w:bottom w:val="single" w:color="000000" w:sz="12" w:space="0"/>
              <w:right w:val="single" w:color="000000" w:sz="4" w:space="0"/>
            </w:tcBorders>
            <w:vAlign w:val="center"/>
          </w:tcPr>
          <w:p>
            <w:pPr>
              <w:pStyle w:val="134"/>
            </w:pPr>
            <w:r>
              <w:t>报建设单位</w:t>
            </w:r>
          </w:p>
        </w:tc>
        <w:tc>
          <w:tcPr>
            <w:tcW w:w="1233" w:type="pct"/>
            <w:tcBorders>
              <w:top w:val="single" w:color="000000" w:sz="4" w:space="0"/>
              <w:left w:val="single" w:color="000000" w:sz="4" w:space="0"/>
              <w:bottom w:val="single" w:color="000000" w:sz="12" w:space="0"/>
              <w:right w:val="nil"/>
            </w:tcBorders>
            <w:vAlign w:val="center"/>
          </w:tcPr>
          <w:p>
            <w:pPr>
              <w:pStyle w:val="134"/>
            </w:pPr>
            <w:r>
              <w:t>在有关行政主管部门的协调指导下，委托当地水保监测单位完成。</w:t>
            </w:r>
          </w:p>
        </w:tc>
      </w:tr>
    </w:tbl>
    <w:p>
      <w:pPr>
        <w:pStyle w:val="3"/>
        <w:spacing w:before="120"/>
        <w:rPr>
          <w:rFonts w:cs="Times New Roman"/>
        </w:rPr>
      </w:pPr>
      <w:bookmarkStart w:id="661" w:name="bookmark83"/>
      <w:bookmarkEnd w:id="661"/>
      <w:bookmarkStart w:id="662" w:name="_Toc19816151"/>
      <w:bookmarkStart w:id="663" w:name="_Toc24597"/>
      <w:bookmarkStart w:id="664" w:name="_Toc12288837"/>
      <w:r>
        <w:rPr>
          <w:rFonts w:cs="Times New Roman"/>
        </w:rPr>
        <w:t>10.2 试采期环境管理</w:t>
      </w:r>
      <w:bookmarkEnd w:id="662"/>
      <w:bookmarkEnd w:id="663"/>
      <w:bookmarkEnd w:id="664"/>
    </w:p>
    <w:p>
      <w:pPr>
        <w:pStyle w:val="4"/>
        <w:rPr>
          <w:rFonts w:eastAsia="宋体"/>
        </w:rPr>
      </w:pPr>
      <w:r>
        <w:rPr>
          <w:rFonts w:eastAsia="宋体"/>
        </w:rPr>
        <w:t>10.2.1 试采期环境监测计划</w:t>
      </w:r>
    </w:p>
    <w:p>
      <w:pPr>
        <w:pStyle w:val="114"/>
        <w:ind w:firstLine="480"/>
      </w:pPr>
      <w:r>
        <w:t>排污单位应查清本单位污染源、污染物指标及潜在的环境影响，制定监测方案，设置和维护监测设施，按照监测方案开展自行监测，做好质量保证和质量控制，记录和保存监测数据，并依法向社会公开监测结果。</w:t>
      </w:r>
    </w:p>
    <w:p>
      <w:pPr>
        <w:pStyle w:val="114"/>
        <w:ind w:firstLine="480"/>
        <w:rPr>
          <w:b/>
          <w:bCs/>
        </w:rPr>
      </w:pPr>
      <w:r>
        <w:t>本次评价根据或者参照《排污单位自行监测技术指南 总则》（HJ819-2017 ）、《环境影响评价技术导则 大气环境》（HJ2.2-2018）等制定本监测计划，供建设单位参考。</w:t>
      </w:r>
    </w:p>
    <w:p>
      <w:pPr>
        <w:pStyle w:val="39"/>
        <w:rPr>
          <w:rFonts w:cs="Times New Roman"/>
        </w:rPr>
      </w:pPr>
      <w:r>
        <w:rPr>
          <w:rFonts w:cs="Times New Roman"/>
        </w:rPr>
        <w:t>表10.2-1  试采期环境监测计划</w:t>
      </w:r>
    </w:p>
    <w:tbl>
      <w:tblPr>
        <w:tblStyle w:val="59"/>
        <w:tblW w:w="4850" w:type="pct"/>
        <w:jc w:val="center"/>
        <w:tblLayout w:type="autofit"/>
        <w:tblCellMar>
          <w:top w:w="0" w:type="dxa"/>
          <w:left w:w="0" w:type="dxa"/>
          <w:bottom w:w="0" w:type="dxa"/>
          <w:right w:w="0" w:type="dxa"/>
        </w:tblCellMar>
      </w:tblPr>
      <w:tblGrid>
        <w:gridCol w:w="672"/>
        <w:gridCol w:w="1292"/>
        <w:gridCol w:w="2018"/>
        <w:gridCol w:w="2849"/>
        <w:gridCol w:w="1693"/>
      </w:tblGrid>
      <w:tr>
        <w:tblPrEx>
          <w:tblCellMar>
            <w:top w:w="0" w:type="dxa"/>
            <w:left w:w="0" w:type="dxa"/>
            <w:bottom w:w="0" w:type="dxa"/>
            <w:right w:w="0" w:type="dxa"/>
          </w:tblCellMar>
        </w:tblPrEx>
        <w:trPr>
          <w:trHeight w:val="369" w:hRule="atLeast"/>
          <w:jc w:val="center"/>
        </w:trPr>
        <w:tc>
          <w:tcPr>
            <w:tcW w:w="394" w:type="pct"/>
            <w:tcBorders>
              <w:top w:val="single" w:color="000000" w:sz="12" w:space="0"/>
              <w:left w:val="nil"/>
              <w:bottom w:val="single" w:color="000000" w:sz="4" w:space="0"/>
              <w:right w:val="single" w:color="000000" w:sz="4" w:space="0"/>
            </w:tcBorders>
            <w:vAlign w:val="center"/>
          </w:tcPr>
          <w:p>
            <w:pPr>
              <w:pStyle w:val="103"/>
              <w:spacing w:line="240" w:lineRule="auto"/>
              <w:ind w:firstLine="0" w:firstLineChars="0"/>
              <w:rPr>
                <w:rFonts w:ascii="Times New Roman" w:cs="Times New Roman"/>
                <w:b/>
                <w:kern w:val="2"/>
                <w:sz w:val="21"/>
                <w:szCs w:val="21"/>
              </w:rPr>
            </w:pPr>
            <w:r>
              <w:rPr>
                <w:rFonts w:ascii="Times New Roman" w:cs="Times New Roman"/>
                <w:b/>
                <w:kern w:val="2"/>
                <w:sz w:val="21"/>
                <w:szCs w:val="21"/>
              </w:rPr>
              <w:t>序号</w:t>
            </w:r>
          </w:p>
        </w:tc>
        <w:tc>
          <w:tcPr>
            <w:tcW w:w="758" w:type="pct"/>
            <w:tcBorders>
              <w:top w:val="single" w:color="000000" w:sz="12" w:space="0"/>
              <w:left w:val="single" w:color="000000" w:sz="4" w:space="0"/>
              <w:bottom w:val="single" w:color="000000" w:sz="4" w:space="0"/>
              <w:right w:val="single" w:color="000000" w:sz="4" w:space="0"/>
            </w:tcBorders>
            <w:vAlign w:val="center"/>
          </w:tcPr>
          <w:p>
            <w:pPr>
              <w:pStyle w:val="103"/>
              <w:spacing w:line="240" w:lineRule="auto"/>
              <w:ind w:firstLine="0" w:firstLineChars="0"/>
              <w:rPr>
                <w:rFonts w:ascii="Times New Roman" w:cs="Times New Roman"/>
                <w:b/>
                <w:kern w:val="2"/>
                <w:sz w:val="21"/>
                <w:szCs w:val="21"/>
              </w:rPr>
            </w:pPr>
            <w:r>
              <w:rPr>
                <w:rFonts w:ascii="Times New Roman" w:cs="Times New Roman"/>
                <w:b/>
                <w:kern w:val="2"/>
                <w:sz w:val="21"/>
                <w:szCs w:val="21"/>
              </w:rPr>
              <w:t>监测内容</w:t>
            </w:r>
          </w:p>
        </w:tc>
        <w:tc>
          <w:tcPr>
            <w:tcW w:w="1184" w:type="pct"/>
            <w:tcBorders>
              <w:top w:val="single" w:color="000000" w:sz="12" w:space="0"/>
              <w:left w:val="single" w:color="000000" w:sz="4" w:space="0"/>
              <w:bottom w:val="single" w:color="000000" w:sz="4" w:space="0"/>
              <w:right w:val="single" w:color="000000" w:sz="4" w:space="0"/>
            </w:tcBorders>
            <w:vAlign w:val="center"/>
          </w:tcPr>
          <w:p>
            <w:pPr>
              <w:pStyle w:val="103"/>
              <w:spacing w:line="240" w:lineRule="auto"/>
              <w:ind w:firstLine="0" w:firstLineChars="0"/>
              <w:rPr>
                <w:rFonts w:ascii="Times New Roman" w:cs="Times New Roman"/>
                <w:b/>
                <w:kern w:val="2"/>
                <w:sz w:val="21"/>
                <w:szCs w:val="21"/>
              </w:rPr>
            </w:pPr>
            <w:r>
              <w:rPr>
                <w:rFonts w:ascii="Times New Roman" w:cs="Times New Roman"/>
                <w:b/>
                <w:kern w:val="2"/>
                <w:sz w:val="21"/>
                <w:szCs w:val="21"/>
              </w:rPr>
              <w:t>监测项目</w:t>
            </w:r>
          </w:p>
        </w:tc>
        <w:tc>
          <w:tcPr>
            <w:tcW w:w="1671" w:type="pct"/>
            <w:tcBorders>
              <w:top w:val="single" w:color="000000" w:sz="12" w:space="0"/>
              <w:left w:val="single" w:color="000000" w:sz="4" w:space="0"/>
              <w:bottom w:val="single" w:color="000000" w:sz="4" w:space="0"/>
              <w:right w:val="single" w:color="000000" w:sz="4" w:space="0"/>
            </w:tcBorders>
            <w:vAlign w:val="center"/>
          </w:tcPr>
          <w:p>
            <w:pPr>
              <w:pStyle w:val="103"/>
              <w:spacing w:line="240" w:lineRule="auto"/>
              <w:ind w:firstLine="0" w:firstLineChars="0"/>
              <w:rPr>
                <w:rFonts w:ascii="Times New Roman" w:cs="Times New Roman"/>
                <w:b/>
                <w:kern w:val="2"/>
                <w:sz w:val="21"/>
                <w:szCs w:val="21"/>
              </w:rPr>
            </w:pPr>
            <w:r>
              <w:rPr>
                <w:rFonts w:ascii="Times New Roman" w:cs="Times New Roman"/>
                <w:b/>
                <w:kern w:val="2"/>
                <w:sz w:val="21"/>
                <w:szCs w:val="21"/>
              </w:rPr>
              <w:t>监测点位</w:t>
            </w:r>
          </w:p>
        </w:tc>
        <w:tc>
          <w:tcPr>
            <w:tcW w:w="991" w:type="pct"/>
            <w:tcBorders>
              <w:top w:val="single" w:color="000000" w:sz="12" w:space="0"/>
              <w:left w:val="single" w:color="000000" w:sz="4" w:space="0"/>
              <w:bottom w:val="single" w:color="000000" w:sz="4" w:space="0"/>
              <w:right w:val="nil"/>
            </w:tcBorders>
            <w:vAlign w:val="center"/>
          </w:tcPr>
          <w:p>
            <w:pPr>
              <w:pStyle w:val="103"/>
              <w:spacing w:line="240" w:lineRule="auto"/>
              <w:ind w:firstLine="0" w:firstLineChars="0"/>
              <w:rPr>
                <w:rFonts w:ascii="Times New Roman" w:cs="Times New Roman"/>
                <w:b/>
                <w:kern w:val="2"/>
                <w:sz w:val="21"/>
                <w:szCs w:val="21"/>
              </w:rPr>
            </w:pPr>
            <w:r>
              <w:rPr>
                <w:rFonts w:ascii="Times New Roman" w:cs="Times New Roman"/>
                <w:b/>
                <w:kern w:val="2"/>
                <w:sz w:val="21"/>
                <w:szCs w:val="21"/>
              </w:rPr>
              <w:t>监测时间及频率</w:t>
            </w:r>
          </w:p>
        </w:tc>
      </w:tr>
      <w:tr>
        <w:tblPrEx>
          <w:tblCellMar>
            <w:top w:w="0" w:type="dxa"/>
            <w:left w:w="0" w:type="dxa"/>
            <w:bottom w:w="0" w:type="dxa"/>
            <w:right w:w="0" w:type="dxa"/>
          </w:tblCellMar>
        </w:tblPrEx>
        <w:trPr>
          <w:trHeight w:val="369" w:hRule="atLeast"/>
          <w:jc w:val="center"/>
        </w:trPr>
        <w:tc>
          <w:tcPr>
            <w:tcW w:w="394" w:type="pct"/>
            <w:tcBorders>
              <w:top w:val="single" w:color="000000" w:sz="12" w:space="0"/>
              <w:left w:val="nil"/>
              <w:right w:val="single" w:color="000000"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1</w:t>
            </w:r>
          </w:p>
        </w:tc>
        <w:tc>
          <w:tcPr>
            <w:tcW w:w="758" w:type="pct"/>
            <w:tcBorders>
              <w:top w:val="single" w:color="000000" w:sz="12" w:space="0"/>
              <w:left w:val="single" w:color="000000" w:sz="4" w:space="0"/>
              <w:right w:val="single" w:color="000000"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设备噪声</w:t>
            </w:r>
          </w:p>
        </w:tc>
        <w:tc>
          <w:tcPr>
            <w:tcW w:w="1184" w:type="pct"/>
            <w:tcBorders>
              <w:top w:val="single" w:color="000000" w:sz="12" w:space="0"/>
              <w:left w:val="single" w:color="000000" w:sz="4" w:space="0"/>
              <w:bottom w:val="single" w:color="000000" w:sz="4" w:space="0"/>
              <w:right w:val="single" w:color="000000"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厂界噪声</w:t>
            </w:r>
          </w:p>
        </w:tc>
        <w:tc>
          <w:tcPr>
            <w:tcW w:w="1671" w:type="pct"/>
            <w:tcBorders>
              <w:top w:val="single" w:color="000000" w:sz="12" w:space="0"/>
              <w:left w:val="single" w:color="000000" w:sz="4" w:space="0"/>
              <w:bottom w:val="single" w:color="000000" w:sz="4" w:space="0"/>
              <w:right w:val="single" w:color="000000"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本项目站场厂界外4个点</w:t>
            </w:r>
          </w:p>
        </w:tc>
        <w:tc>
          <w:tcPr>
            <w:tcW w:w="991" w:type="pct"/>
            <w:tcBorders>
              <w:top w:val="single" w:color="000000" w:sz="12" w:space="0"/>
              <w:left w:val="single" w:color="000000" w:sz="4" w:space="0"/>
              <w:bottom w:val="single" w:color="000000" w:sz="4" w:space="0"/>
              <w:right w:val="nil"/>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1次/年</w:t>
            </w:r>
          </w:p>
        </w:tc>
      </w:tr>
      <w:tr>
        <w:tblPrEx>
          <w:tblCellMar>
            <w:top w:w="0" w:type="dxa"/>
            <w:left w:w="0" w:type="dxa"/>
            <w:bottom w:w="0" w:type="dxa"/>
            <w:right w:w="0" w:type="dxa"/>
          </w:tblCellMar>
        </w:tblPrEx>
        <w:trPr>
          <w:trHeight w:val="369" w:hRule="atLeast"/>
          <w:jc w:val="center"/>
        </w:trPr>
        <w:tc>
          <w:tcPr>
            <w:tcW w:w="394" w:type="pct"/>
            <w:tcBorders>
              <w:top w:val="single" w:color="000000" w:sz="4" w:space="0"/>
              <w:left w:val="nil"/>
              <w:bottom w:val="single" w:color="000000" w:sz="4" w:space="0"/>
              <w:right w:val="single" w:color="000000"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2</w:t>
            </w:r>
          </w:p>
        </w:tc>
        <w:tc>
          <w:tcPr>
            <w:tcW w:w="758" w:type="pct"/>
            <w:tcBorders>
              <w:top w:val="single" w:color="000000" w:sz="4" w:space="0"/>
              <w:left w:val="single" w:color="000000" w:sz="4" w:space="0"/>
              <w:bottom w:val="single" w:color="000000" w:sz="4" w:space="0"/>
              <w:right w:val="single" w:color="000000"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地下水</w:t>
            </w:r>
          </w:p>
        </w:tc>
        <w:tc>
          <w:tcPr>
            <w:tcW w:w="1184" w:type="pct"/>
            <w:tcBorders>
              <w:top w:val="single" w:color="000000" w:sz="4" w:space="0"/>
              <w:left w:val="single" w:color="000000" w:sz="4" w:space="0"/>
              <w:bottom w:val="single" w:color="000000" w:sz="4" w:space="0"/>
              <w:right w:val="single" w:color="000000" w:sz="4" w:space="0"/>
            </w:tcBorders>
            <w:vAlign w:val="center"/>
          </w:tcPr>
          <w:p>
            <w:pPr>
              <w:pStyle w:val="103"/>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氯化物、耗氧量、钡离子、</w:t>
            </w:r>
            <w:r>
              <w:rPr>
                <w:rFonts w:ascii="Times New Roman" w:cs="Times New Roman"/>
                <w:kern w:val="2"/>
                <w:sz w:val="21"/>
                <w:szCs w:val="21"/>
              </w:rPr>
              <w:t>石油类</w:t>
            </w:r>
          </w:p>
        </w:tc>
        <w:tc>
          <w:tcPr>
            <w:tcW w:w="1671" w:type="pct"/>
            <w:tcBorders>
              <w:top w:val="single" w:color="000000" w:sz="4" w:space="0"/>
              <w:left w:val="single" w:color="000000" w:sz="4" w:space="0"/>
              <w:bottom w:val="single" w:color="000000" w:sz="4" w:space="0"/>
              <w:right w:val="single" w:color="000000"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本项目站场侧向水井（107.785314</w:t>
            </w:r>
            <w:r>
              <w:rPr>
                <w:rFonts w:hint="eastAsia" w:ascii="Times New Roman" w:cs="Times New Roman"/>
                <w:kern w:val="2"/>
                <w:sz w:val="21"/>
                <w:szCs w:val="21"/>
              </w:rPr>
              <w:t>，31.537408</w:t>
            </w:r>
            <w:r>
              <w:rPr>
                <w:rFonts w:ascii="Times New Roman" w:cs="Times New Roman"/>
                <w:kern w:val="2"/>
                <w:sz w:val="21"/>
                <w:szCs w:val="21"/>
              </w:rPr>
              <w:t>）、侧向水井（107.787224</w:t>
            </w:r>
            <w:r>
              <w:rPr>
                <w:rFonts w:hint="eastAsia" w:ascii="Times New Roman" w:cs="Times New Roman"/>
                <w:kern w:val="2"/>
                <w:sz w:val="21"/>
                <w:szCs w:val="21"/>
              </w:rPr>
              <w:t>，31.534340</w:t>
            </w:r>
            <w:r>
              <w:rPr>
                <w:rFonts w:ascii="Times New Roman" w:cs="Times New Roman"/>
                <w:kern w:val="2"/>
                <w:sz w:val="21"/>
                <w:szCs w:val="21"/>
              </w:rPr>
              <w:t>）、下游水井（107.7793282，31.532323）</w:t>
            </w:r>
          </w:p>
        </w:tc>
        <w:tc>
          <w:tcPr>
            <w:tcW w:w="991" w:type="pct"/>
            <w:tcBorders>
              <w:top w:val="single" w:color="000000" w:sz="4" w:space="0"/>
              <w:left w:val="single" w:color="000000" w:sz="4" w:space="0"/>
              <w:bottom w:val="single" w:color="000000" w:sz="4" w:space="0"/>
              <w:right w:val="nil"/>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1次/年</w:t>
            </w:r>
          </w:p>
        </w:tc>
      </w:tr>
      <w:tr>
        <w:tblPrEx>
          <w:tblCellMar>
            <w:top w:w="0" w:type="dxa"/>
            <w:left w:w="0" w:type="dxa"/>
            <w:bottom w:w="0" w:type="dxa"/>
            <w:right w:w="0" w:type="dxa"/>
          </w:tblCellMar>
        </w:tblPrEx>
        <w:trPr>
          <w:trHeight w:val="369" w:hRule="atLeast"/>
          <w:jc w:val="center"/>
        </w:trPr>
        <w:tc>
          <w:tcPr>
            <w:tcW w:w="394" w:type="pct"/>
            <w:tcBorders>
              <w:top w:val="single" w:color="000000" w:sz="4" w:space="0"/>
              <w:left w:val="nil"/>
              <w:bottom w:val="single" w:color="000000" w:sz="4" w:space="0"/>
              <w:right w:val="single" w:color="000000"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3</w:t>
            </w:r>
          </w:p>
        </w:tc>
        <w:tc>
          <w:tcPr>
            <w:tcW w:w="758" w:type="pct"/>
            <w:tcBorders>
              <w:top w:val="single" w:color="000000" w:sz="4" w:space="0"/>
              <w:left w:val="single" w:color="000000" w:sz="4" w:space="0"/>
              <w:bottom w:val="single" w:color="000000" w:sz="4" w:space="0"/>
              <w:right w:val="single" w:color="000000"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土壤</w:t>
            </w:r>
          </w:p>
        </w:tc>
        <w:tc>
          <w:tcPr>
            <w:tcW w:w="1184" w:type="pct"/>
            <w:tcBorders>
              <w:top w:val="single" w:color="000000" w:sz="4" w:space="0"/>
              <w:left w:val="single" w:color="000000" w:sz="4" w:space="0"/>
              <w:bottom w:val="single" w:color="000000" w:sz="4" w:space="0"/>
              <w:right w:val="single" w:color="000000"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石油类</w:t>
            </w:r>
            <w:r>
              <w:rPr>
                <w:rFonts w:hint="eastAsia" w:ascii="Times New Roman" w:cs="Times New Roman"/>
                <w:kern w:val="2"/>
                <w:sz w:val="21"/>
                <w:szCs w:val="21"/>
              </w:rPr>
              <w:t>、石油烃、全盐量</w:t>
            </w:r>
          </w:p>
        </w:tc>
        <w:tc>
          <w:tcPr>
            <w:tcW w:w="1671" w:type="pct"/>
            <w:tcBorders>
              <w:top w:val="single" w:color="000000" w:sz="4" w:space="0"/>
              <w:left w:val="single" w:color="000000" w:sz="4" w:space="0"/>
              <w:bottom w:val="single" w:color="000000" w:sz="4" w:space="0"/>
              <w:right w:val="single" w:color="000000"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本项目站场周围耕地</w:t>
            </w:r>
          </w:p>
        </w:tc>
        <w:tc>
          <w:tcPr>
            <w:tcW w:w="991" w:type="pct"/>
            <w:tcBorders>
              <w:top w:val="single" w:color="000000" w:sz="4" w:space="0"/>
              <w:left w:val="single" w:color="000000" w:sz="4" w:space="0"/>
              <w:bottom w:val="single" w:color="000000" w:sz="4" w:space="0"/>
              <w:right w:val="nil"/>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1次/5年</w:t>
            </w:r>
          </w:p>
        </w:tc>
      </w:tr>
      <w:tr>
        <w:tblPrEx>
          <w:tblCellMar>
            <w:top w:w="0" w:type="dxa"/>
            <w:left w:w="0" w:type="dxa"/>
            <w:bottom w:w="0" w:type="dxa"/>
            <w:right w:w="0" w:type="dxa"/>
          </w:tblCellMar>
        </w:tblPrEx>
        <w:trPr>
          <w:trHeight w:val="369" w:hRule="atLeast"/>
          <w:jc w:val="center"/>
        </w:trPr>
        <w:tc>
          <w:tcPr>
            <w:tcW w:w="394" w:type="pct"/>
            <w:tcBorders>
              <w:top w:val="single" w:color="000000" w:sz="4" w:space="0"/>
              <w:left w:val="nil"/>
              <w:bottom w:val="single" w:color="000000" w:sz="4" w:space="0"/>
              <w:right w:val="single" w:color="000000"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4</w:t>
            </w:r>
          </w:p>
        </w:tc>
        <w:tc>
          <w:tcPr>
            <w:tcW w:w="758" w:type="pct"/>
            <w:tcBorders>
              <w:top w:val="single" w:color="000000" w:sz="4" w:space="0"/>
              <w:left w:val="single" w:color="000000" w:sz="4" w:space="0"/>
              <w:bottom w:val="single" w:color="000000" w:sz="4" w:space="0"/>
              <w:right w:val="single" w:color="000000"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事故监测</w:t>
            </w:r>
            <w:r>
              <w:rPr>
                <w:rFonts w:ascii="Times New Roman" w:cs="Times New Roman"/>
                <w:kern w:val="2"/>
                <w:sz w:val="21"/>
                <w:szCs w:val="21"/>
                <w:vertAlign w:val="superscript"/>
              </w:rPr>
              <w:t>①</w:t>
            </w:r>
          </w:p>
        </w:tc>
        <w:tc>
          <w:tcPr>
            <w:tcW w:w="1184" w:type="pct"/>
            <w:tcBorders>
              <w:top w:val="single" w:color="000000" w:sz="4" w:space="0"/>
              <w:left w:val="single" w:color="000000" w:sz="4" w:space="0"/>
              <w:bottom w:val="single" w:color="000000" w:sz="4" w:space="0"/>
              <w:right w:val="single" w:color="000000"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非甲烷总烃、硫化氢</w:t>
            </w:r>
          </w:p>
        </w:tc>
        <w:tc>
          <w:tcPr>
            <w:tcW w:w="1671" w:type="pct"/>
            <w:tcBorders>
              <w:top w:val="single" w:color="000000" w:sz="4" w:space="0"/>
              <w:left w:val="single" w:color="000000" w:sz="4" w:space="0"/>
              <w:bottom w:val="single" w:color="000000" w:sz="4" w:space="0"/>
              <w:right w:val="single" w:color="000000" w:sz="4" w:space="0"/>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事故地段</w:t>
            </w:r>
          </w:p>
        </w:tc>
        <w:tc>
          <w:tcPr>
            <w:tcW w:w="991" w:type="pct"/>
            <w:tcBorders>
              <w:top w:val="single" w:color="000000" w:sz="4" w:space="0"/>
              <w:left w:val="single" w:color="000000" w:sz="4" w:space="0"/>
              <w:bottom w:val="single" w:color="000000" w:sz="4" w:space="0"/>
              <w:right w:val="nil"/>
            </w:tcBorders>
            <w:vAlign w:val="center"/>
          </w:tcPr>
          <w:p>
            <w:pPr>
              <w:pStyle w:val="103"/>
              <w:spacing w:line="240" w:lineRule="auto"/>
              <w:ind w:firstLine="0" w:firstLineChars="0"/>
              <w:rPr>
                <w:rFonts w:ascii="Times New Roman" w:cs="Times New Roman"/>
                <w:kern w:val="2"/>
                <w:sz w:val="21"/>
                <w:szCs w:val="21"/>
              </w:rPr>
            </w:pPr>
            <w:r>
              <w:rPr>
                <w:rFonts w:ascii="Times New Roman" w:cs="Times New Roman"/>
                <w:kern w:val="2"/>
                <w:sz w:val="21"/>
                <w:szCs w:val="21"/>
              </w:rPr>
              <w:t>立即进行</w:t>
            </w:r>
          </w:p>
        </w:tc>
      </w:tr>
      <w:tr>
        <w:tblPrEx>
          <w:tblCellMar>
            <w:top w:w="0" w:type="dxa"/>
            <w:left w:w="0" w:type="dxa"/>
            <w:bottom w:w="0" w:type="dxa"/>
            <w:right w:w="0" w:type="dxa"/>
          </w:tblCellMar>
        </w:tblPrEx>
        <w:trPr>
          <w:trHeight w:val="369" w:hRule="atLeast"/>
          <w:jc w:val="center"/>
        </w:trPr>
        <w:tc>
          <w:tcPr>
            <w:tcW w:w="5000" w:type="pct"/>
            <w:gridSpan w:val="5"/>
            <w:tcBorders>
              <w:top w:val="single" w:color="000000" w:sz="4" w:space="0"/>
              <w:left w:val="nil"/>
              <w:bottom w:val="single" w:color="000000" w:sz="12" w:space="0"/>
            </w:tcBorders>
            <w:vAlign w:val="center"/>
          </w:tcPr>
          <w:p>
            <w:pPr>
              <w:pStyle w:val="121"/>
              <w:rPr>
                <w:rFonts w:ascii="Times New Roman" w:hAnsi="Times New Roman" w:cs="Times New Roman"/>
                <w:color w:val="auto"/>
                <w:kern w:val="2"/>
                <w:sz w:val="21"/>
                <w:szCs w:val="21"/>
              </w:rPr>
            </w:pPr>
            <w:r>
              <w:rPr>
                <w:rFonts w:ascii="Times New Roman" w:hAnsi="Times New Roman" w:cs="Times New Roman"/>
                <w:color w:val="auto"/>
                <w:kern w:val="2"/>
                <w:sz w:val="20"/>
                <w:szCs w:val="20"/>
              </w:rPr>
              <w:t>注：①事故发生时的环境监测：因依托管线发生泄漏</w:t>
            </w:r>
          </w:p>
        </w:tc>
      </w:tr>
    </w:tbl>
    <w:p>
      <w:pPr>
        <w:pStyle w:val="4"/>
        <w:rPr>
          <w:rFonts w:eastAsia="宋体"/>
        </w:rPr>
      </w:pPr>
      <w:r>
        <w:rPr>
          <w:rFonts w:eastAsia="宋体"/>
        </w:rPr>
        <w:t>10.2.2 试采期环境管理</w:t>
      </w:r>
    </w:p>
    <w:p>
      <w:pPr>
        <w:pStyle w:val="6"/>
        <w:ind w:firstLine="482"/>
        <w:rPr>
          <w:rFonts w:ascii="Times New Roman" w:cs="Times New Roman"/>
          <w:b/>
          <w:bCs/>
        </w:rPr>
      </w:pPr>
      <w:r>
        <w:rPr>
          <w:rFonts w:ascii="Times New Roman" w:cs="Times New Roman"/>
          <w:b/>
          <w:bCs/>
        </w:rPr>
        <w:t>1、加强环保设备的管理</w:t>
      </w:r>
    </w:p>
    <w:p>
      <w:pPr>
        <w:pStyle w:val="6"/>
        <w:ind w:firstLine="480"/>
        <w:rPr>
          <w:rFonts w:ascii="Times New Roman" w:cs="Times New Roman"/>
        </w:rPr>
      </w:pPr>
      <w:r>
        <w:rPr>
          <w:rFonts w:ascii="Times New Roman" w:cs="Times New Roman"/>
        </w:rPr>
        <w:t>建立环保设备台账，制定主要环保设备的操作规程及安排专门操作人员，建立重点处理设备的“环保运行记录”等。</w:t>
      </w:r>
    </w:p>
    <w:p>
      <w:pPr>
        <w:pStyle w:val="6"/>
        <w:ind w:firstLine="482"/>
        <w:rPr>
          <w:rFonts w:ascii="Times New Roman" w:cs="Times New Roman"/>
          <w:b/>
          <w:bCs/>
        </w:rPr>
      </w:pPr>
      <w:r>
        <w:rPr>
          <w:rFonts w:ascii="Times New Roman" w:cs="Times New Roman"/>
          <w:b/>
          <w:bCs/>
        </w:rPr>
        <w:t>2、落实管理制度</w:t>
      </w:r>
    </w:p>
    <w:p>
      <w:pPr>
        <w:pStyle w:val="6"/>
        <w:ind w:firstLine="480"/>
        <w:rPr>
          <w:rFonts w:ascii="Times New Roman" w:cs="Times New Roman"/>
        </w:rPr>
      </w:pPr>
      <w:r>
        <w:rPr>
          <w:rFonts w:ascii="Times New Roman" w:cs="Times New Roman"/>
        </w:rPr>
        <w:t>除加强环保设备的基础管理外，尚需狠抓制度的落实，制定环保经济责任制考核制度，以提高各部门对环境保护的责任感。</w:t>
      </w:r>
    </w:p>
    <w:p>
      <w:pPr>
        <w:ind w:firstLine="480"/>
        <w:rPr>
          <w:rFonts w:ascii="Times New Roman" w:cs="Times New Roman"/>
        </w:rPr>
      </w:pPr>
      <w:r>
        <w:rPr>
          <w:rFonts w:ascii="Times New Roman" w:cs="Times New Roman"/>
        </w:rPr>
        <w:t>在管道运行期，环境管理除做好监督与检查站场各项环保设施的运行和维护等工作外，工作重点应针对依托管线破裂后天然气泄漏着火爆炸、着火爆炸等重大事故的预防和处理上。重大环境污染事故不同于一般的环境污染，它没有固定的排放方式和排放途径，具有发生突然、危害严重、污染影响长远且难于完全消除等特点。为此，必须制定相应的事故预防措施、事故应急措施以及恢复补偿措施等。</w:t>
      </w:r>
    </w:p>
    <w:p>
      <w:pPr>
        <w:pStyle w:val="4"/>
        <w:rPr>
          <w:rFonts w:eastAsia="宋体"/>
        </w:rPr>
      </w:pPr>
      <w:r>
        <w:rPr>
          <w:rFonts w:eastAsia="宋体"/>
        </w:rPr>
        <w:t>10.2.3试采期结束后现有设施设备的环境管理</w:t>
      </w:r>
    </w:p>
    <w:p>
      <w:pPr>
        <w:ind w:firstLine="480"/>
        <w:rPr>
          <w:rFonts w:ascii="Times New Roman" w:cs="Times New Roman"/>
        </w:rPr>
      </w:pPr>
      <w:r>
        <w:rPr>
          <w:rFonts w:ascii="Times New Roman" w:cs="Times New Roman"/>
        </w:rPr>
        <w:t>本项目试采期为2年，试采期结束后，若能够满足后期开发需要，则现有设施设备继续服务于项目开发，并需按照区块开发相关要求另行办理相关环保手续；若不能满足区域开发需要，现有设施设备原则上进行暂时保留，不予拆除，若根据确需配合开发部门进行转移或利旧的，应按照《企业设备、建（构）筑物拆除活动污染防治技术指南》要求进行，同时，对防治设施内涉及的废水、废渣及时进行清运处置，防止造成环境污染事故。</w:t>
      </w:r>
    </w:p>
    <w:p>
      <w:pPr>
        <w:ind w:firstLine="480"/>
        <w:rPr>
          <w:rFonts w:ascii="Times New Roman" w:cs="Times New Roman"/>
        </w:rPr>
        <w:sectPr>
          <w:pgSz w:w="11906" w:h="16838"/>
          <w:pgMar w:top="1417" w:right="1417" w:bottom="1417" w:left="1701" w:header="851" w:footer="992" w:gutter="0"/>
          <w:pgBorders>
            <w:top w:val="none" w:sz="0" w:space="0"/>
            <w:left w:val="none" w:sz="0" w:space="0"/>
            <w:bottom w:val="none" w:sz="0" w:space="0"/>
            <w:right w:val="none" w:sz="0" w:space="0"/>
          </w:pgBorders>
          <w:cols w:space="425" w:num="1"/>
          <w:docGrid w:type="lines" w:linePitch="312" w:charSpace="0"/>
        </w:sectPr>
      </w:pPr>
    </w:p>
    <w:p>
      <w:pPr>
        <w:pStyle w:val="2"/>
        <w:spacing w:before="0" w:beforeAutospacing="0" w:after="0" w:afterAutospacing="0"/>
        <w:rPr>
          <w:rFonts w:eastAsia="宋体"/>
          <w:kern w:val="0"/>
        </w:rPr>
      </w:pPr>
      <w:bookmarkStart w:id="665" w:name="_Toc23912"/>
      <w:bookmarkStart w:id="666" w:name="_Toc19816152"/>
      <w:bookmarkStart w:id="667" w:name="_Toc12288838"/>
      <w:r>
        <w:rPr>
          <w:rFonts w:eastAsia="宋体"/>
          <w:kern w:val="0"/>
        </w:rPr>
        <w:t>11 结论与建议</w:t>
      </w:r>
      <w:bookmarkEnd w:id="665"/>
      <w:bookmarkEnd w:id="666"/>
    </w:p>
    <w:p>
      <w:pPr>
        <w:pStyle w:val="3"/>
        <w:spacing w:before="120"/>
        <w:rPr>
          <w:rFonts w:cs="Times New Roman"/>
        </w:rPr>
      </w:pPr>
      <w:bookmarkStart w:id="668" w:name="_Toc19816153"/>
      <w:bookmarkStart w:id="669" w:name="_Toc10295"/>
      <w:r>
        <w:rPr>
          <w:rFonts w:cs="Times New Roman"/>
        </w:rPr>
        <w:t>11.1 项目基本情况</w:t>
      </w:r>
      <w:bookmarkEnd w:id="667"/>
      <w:bookmarkEnd w:id="668"/>
      <w:bookmarkEnd w:id="669"/>
    </w:p>
    <w:p>
      <w:pPr>
        <w:pStyle w:val="4"/>
        <w:rPr>
          <w:rFonts w:eastAsia="宋体"/>
        </w:rPr>
      </w:pPr>
      <w:bookmarkStart w:id="670" w:name="_Toc19816155"/>
      <w:r>
        <w:rPr>
          <w:rFonts w:eastAsia="宋体"/>
        </w:rPr>
        <w:t>11.1.1 项目规模</w:t>
      </w:r>
      <w:bookmarkEnd w:id="670"/>
    </w:p>
    <w:p>
      <w:pPr>
        <w:pStyle w:val="6"/>
        <w:ind w:firstLine="480"/>
        <w:rPr>
          <w:rFonts w:ascii="Times New Roman" w:cs="Times New Roman"/>
        </w:rPr>
      </w:pPr>
      <w:r>
        <w:rPr>
          <w:rFonts w:ascii="Times New Roman" w:cs="Times New Roman"/>
        </w:rPr>
        <w:t>普光气田P108-2H井钻井及试采工程位于宣汉县普光镇</w:t>
      </w:r>
      <w:r>
        <w:rPr>
          <w:rFonts w:hint="eastAsia" w:ascii="Times New Roman" w:cs="Times New Roman"/>
        </w:rPr>
        <w:t>塔垭村</w:t>
      </w:r>
      <w:r>
        <w:rPr>
          <w:rFonts w:ascii="Times New Roman" w:cs="Times New Roman"/>
        </w:rPr>
        <w:t>。本项目采用“全湿气加热保温混输工艺”。 针对P108-2H、P108-3井采用湿气加热保温、气液混输工艺，井口天然气经采气树节流后经过两级加热节流，计量后依托现有酸气管线接入11#阀室与上游来气一同输往集气总站。P108-2H、P108-3井均配产</w:t>
      </w:r>
      <w:r>
        <w:rPr>
          <w:rFonts w:hint="eastAsia" w:ascii="Times New Roman" w:cs="Times New Roman"/>
        </w:rPr>
        <w:t>20</w:t>
      </w:r>
      <w:r>
        <w:rPr>
          <w:rFonts w:ascii="Times New Roman" w:cs="Times New Roman"/>
        </w:rPr>
        <w:t>×10</w:t>
      </w:r>
      <w:r>
        <w:rPr>
          <w:rFonts w:ascii="Times New Roman" w:cs="Times New Roman"/>
          <w:vertAlign w:val="superscript"/>
        </w:rPr>
        <w:t>4</w:t>
      </w:r>
      <w:r>
        <w:rPr>
          <w:rFonts w:ascii="Times New Roman" w:cs="Times New Roman"/>
        </w:rPr>
        <w:t>m</w:t>
      </w:r>
      <w:r>
        <w:rPr>
          <w:rFonts w:ascii="Times New Roman" w:cs="Times New Roman"/>
          <w:vertAlign w:val="superscript"/>
        </w:rPr>
        <w:t>3</w:t>
      </w:r>
      <w:r>
        <w:rPr>
          <w:rFonts w:ascii="Times New Roman" w:cs="Times New Roman"/>
        </w:rPr>
        <w:t>/d，本项目试采期为2年，若能够满足后期区块开发需要，则现有设施设备继续服务于区块开发，并需按照区块开发相关要求另行办理相关环保手续。具体建设内容为：</w:t>
      </w:r>
    </w:p>
    <w:p>
      <w:pPr>
        <w:pStyle w:val="6"/>
        <w:ind w:firstLine="480"/>
        <w:rPr>
          <w:rFonts w:ascii="Times New Roman" w:cs="Times New Roman"/>
        </w:rPr>
      </w:pPr>
      <w:r>
        <w:rPr>
          <w:rFonts w:ascii="Times New Roman" w:cs="Times New Roman"/>
        </w:rPr>
        <w:t>（1）气藏地质与气藏工程</w:t>
      </w:r>
    </w:p>
    <w:p>
      <w:pPr>
        <w:pStyle w:val="6"/>
        <w:ind w:firstLine="480"/>
        <w:rPr>
          <w:rFonts w:ascii="Times New Roman" w:cs="Times New Roman"/>
        </w:rPr>
      </w:pPr>
      <w:r>
        <w:rPr>
          <w:rFonts w:ascii="Times New Roman" w:cs="Times New Roman"/>
        </w:rPr>
        <w:t>P108-2H、P108-3井设计目的：落实大湾南部相变带储层展布范围，提高储量动用程度，本井预计钻遇气层共计1185米，可实现井区储量全部动用，</w:t>
      </w:r>
      <w:r>
        <w:rPr>
          <w:rFonts w:hint="eastAsia" w:ascii="Times New Roman" w:cs="Times New Roman"/>
        </w:rPr>
        <w:t>设计</w:t>
      </w:r>
      <w:r>
        <w:rPr>
          <w:rFonts w:ascii="Times New Roman" w:cs="Times New Roman"/>
        </w:rPr>
        <w:t>日产气均为</w:t>
      </w:r>
      <w:r>
        <w:rPr>
          <w:rFonts w:hint="eastAsia" w:ascii="Times New Roman" w:cs="Times New Roman"/>
        </w:rPr>
        <w:t>20</w:t>
      </w:r>
      <w:r>
        <w:rPr>
          <w:rFonts w:ascii="Times New Roman" w:cs="Times New Roman"/>
        </w:rPr>
        <w:t>×10</w:t>
      </w:r>
      <w:r>
        <w:rPr>
          <w:rFonts w:ascii="Times New Roman" w:cs="Times New Roman"/>
          <w:vertAlign w:val="superscript"/>
        </w:rPr>
        <w:t>4</w:t>
      </w:r>
      <w:r>
        <w:rPr>
          <w:rFonts w:ascii="Times New Roman" w:cs="Times New Roman"/>
        </w:rPr>
        <w:t>m</w:t>
      </w:r>
      <w:r>
        <w:rPr>
          <w:rFonts w:ascii="Times New Roman" w:cs="Times New Roman"/>
          <w:vertAlign w:val="superscript"/>
        </w:rPr>
        <w:t>3</w:t>
      </w:r>
      <w:r>
        <w:rPr>
          <w:rFonts w:ascii="Times New Roman" w:cs="Times New Roman"/>
        </w:rPr>
        <w:t>/d，预期期末累产气6.95亿立方米。</w:t>
      </w:r>
    </w:p>
    <w:p>
      <w:pPr>
        <w:pStyle w:val="6"/>
        <w:ind w:firstLine="480"/>
        <w:rPr>
          <w:rFonts w:ascii="Times New Roman" w:cs="Times New Roman"/>
        </w:rPr>
      </w:pPr>
      <w:r>
        <w:rPr>
          <w:rFonts w:ascii="Times New Roman" w:cs="Times New Roman"/>
        </w:rPr>
        <w:t>（2）钻前工程</w:t>
      </w:r>
    </w:p>
    <w:p>
      <w:pPr>
        <w:pStyle w:val="6"/>
        <w:ind w:firstLine="480"/>
        <w:rPr>
          <w:rFonts w:ascii="Times New Roman" w:cs="Times New Roman"/>
        </w:rPr>
      </w:pPr>
      <w:r>
        <w:rPr>
          <w:rFonts w:ascii="Times New Roman" w:cs="Times New Roman"/>
          <w:bCs/>
        </w:rPr>
        <w:t>主要利用P108集气站已建井场</w:t>
      </w:r>
      <w:r>
        <w:rPr>
          <w:rFonts w:hint="eastAsia" w:ascii="Times New Roman" w:cs="Times New Roman"/>
          <w:bCs/>
        </w:rPr>
        <w:t>并扩建东侧区域</w:t>
      </w:r>
      <w:r>
        <w:rPr>
          <w:rFonts w:ascii="Times New Roman" w:cs="Times New Roman"/>
          <w:bCs/>
        </w:rPr>
        <w:t>，对</w:t>
      </w:r>
      <w:r>
        <w:rPr>
          <w:rFonts w:hint="eastAsia" w:ascii="Times New Roman" w:cs="Times New Roman"/>
          <w:bCs/>
        </w:rPr>
        <w:t>现有</w:t>
      </w:r>
      <w:r>
        <w:rPr>
          <w:rFonts w:ascii="Times New Roman" w:cs="Times New Roman"/>
          <w:bCs/>
        </w:rPr>
        <w:t>废水池采用土方填埋，填埋后作为井场用地。井场前场填方区采用“1:1.5填方放坡+格构护坡+护脚墙”支护方式，井场后场清理碎石20cm厚，井场后场设备基础间采用20cm厚C30混凝土进行硬化，井场除设备基础外均采用20cm厚6%水泥稳定碎石铺筑，场内南侧区域新建方井2座（P108-2H、P108-3井）</w:t>
      </w:r>
      <w:r>
        <w:rPr>
          <w:rFonts w:ascii="Times New Roman" w:cs="Times New Roman"/>
        </w:rPr>
        <w:t>。</w:t>
      </w:r>
      <w:r>
        <w:rPr>
          <w:rFonts w:hint="eastAsia" w:ascii="Times New Roman" w:cs="Times New Roman"/>
        </w:rPr>
        <w:t>井场南侧新建废水池1座，容积为1000m</w:t>
      </w:r>
      <w:r>
        <w:rPr>
          <w:rFonts w:hint="eastAsia" w:ascii="Times New Roman" w:cs="Times New Roman"/>
          <w:vertAlign w:val="superscript"/>
        </w:rPr>
        <w:t>3</w:t>
      </w:r>
      <w:r>
        <w:rPr>
          <w:rFonts w:hint="eastAsia" w:ascii="Times New Roman" w:cs="Times New Roman"/>
        </w:rPr>
        <w:t>，新建表土堆放区。</w:t>
      </w:r>
    </w:p>
    <w:p>
      <w:pPr>
        <w:pStyle w:val="6"/>
        <w:ind w:firstLine="480"/>
        <w:rPr>
          <w:rFonts w:ascii="Times New Roman" w:cs="Times New Roman"/>
          <w:bCs/>
        </w:rPr>
      </w:pPr>
      <w:r>
        <w:rPr>
          <w:rFonts w:ascii="Times New Roman" w:cs="Times New Roman"/>
        </w:rPr>
        <w:t>（3）</w:t>
      </w:r>
      <w:r>
        <w:rPr>
          <w:rFonts w:ascii="Times New Roman" w:cs="Times New Roman"/>
          <w:bCs/>
        </w:rPr>
        <w:t>钻井工程</w:t>
      </w:r>
    </w:p>
    <w:p>
      <w:pPr>
        <w:pStyle w:val="6"/>
        <w:ind w:firstLine="480"/>
        <w:rPr>
          <w:rFonts w:ascii="Times New Roman" w:cs="Times New Roman"/>
        </w:rPr>
      </w:pPr>
      <w:r>
        <w:rPr>
          <w:rFonts w:ascii="Times New Roman" w:cs="Times New Roman"/>
          <w:bCs/>
        </w:rPr>
        <w:t>设计井别为勘探井（试采期结束后若满足开发需求，则再转为开发井，并另行办理相关环保手续），P108-2H井目的层为飞仙关组，井型为水平井，设计水平段长1670m，预计钻遇气层490m，采用三开井身结构，套管完井，设计井深5988米。P108-3井目的层为飞仙关组，井型为水平井，设计水平段长2352m，预计钻遇气层695m，采用三开井身结构，套管完井，设计井深6670米</w:t>
      </w:r>
      <w:r>
        <w:rPr>
          <w:rFonts w:ascii="Times New Roman" w:cs="Times New Roman"/>
        </w:rPr>
        <w:t>。</w:t>
      </w:r>
    </w:p>
    <w:p>
      <w:pPr>
        <w:pStyle w:val="6"/>
        <w:ind w:firstLine="480"/>
        <w:rPr>
          <w:rFonts w:hint="eastAsia" w:ascii="Times New Roman" w:eastAsia="宋体" w:cs="Times New Roman"/>
          <w:lang w:eastAsia="zh-CN"/>
        </w:rPr>
      </w:pPr>
      <w:r>
        <w:rPr>
          <w:rFonts w:ascii="Times New Roman" w:cs="Times New Roman"/>
        </w:rPr>
        <w:t>（4）</w:t>
      </w:r>
      <w:r>
        <w:rPr>
          <w:rFonts w:hint="eastAsia" w:ascii="Times New Roman" w:cs="Times New Roman"/>
          <w:lang w:eastAsia="zh-CN"/>
        </w:rPr>
        <w:t>采气工程</w:t>
      </w:r>
    </w:p>
    <w:p>
      <w:pPr>
        <w:pStyle w:val="6"/>
        <w:ind w:firstLine="480"/>
        <w:rPr>
          <w:rFonts w:ascii="Times New Roman" w:cs="Times New Roman"/>
        </w:rPr>
      </w:pPr>
      <w:r>
        <w:rPr>
          <w:rFonts w:ascii="Times New Roman" w:cs="Times New Roman"/>
          <w:bCs/>
        </w:rPr>
        <w:t>采用“钻采一体化”投产模式，Φ102mm防硫射孔枪、1米射孔弹一次性射开储层，下入分段多级酸（压）化-生产一体化完井管柱。Ⅰ靶井段采用酸化-控水一体化滑套，分段封隔器4及以上完井油管采用Φ88.9×6.45mm 4c类镍基合金油管；分段封隔器4以下采用Φ88.9×6.45mm 110SS油管。分5段10级进行酸（压）化，其中两端采用酸化改造，中部差层采用多级注入酸压改造。采用HH级105兆帕采气井口，配套70兆帕地面控制系统。施工排量5-7立方米/分钟，井口最高压力95兆帕，总液量2000立方米</w:t>
      </w:r>
      <w:r>
        <w:rPr>
          <w:rFonts w:ascii="Times New Roman" w:cs="Times New Roman"/>
        </w:rPr>
        <w:t>。</w:t>
      </w:r>
    </w:p>
    <w:p>
      <w:pPr>
        <w:pStyle w:val="6"/>
        <w:ind w:firstLine="480"/>
        <w:rPr>
          <w:rFonts w:ascii="Times New Roman" w:cs="Times New Roman"/>
        </w:rPr>
      </w:pPr>
      <w:r>
        <w:rPr>
          <w:rFonts w:ascii="Times New Roman" w:cs="Times New Roman"/>
        </w:rPr>
        <w:t>（5）试采工程</w:t>
      </w:r>
    </w:p>
    <w:p>
      <w:pPr>
        <w:pStyle w:val="6"/>
        <w:ind w:firstLine="480"/>
        <w:rPr>
          <w:rFonts w:ascii="Times New Roman" w:cs="Times New Roman"/>
        </w:rPr>
      </w:pPr>
      <w:r>
        <w:rPr>
          <w:rFonts w:ascii="Times New Roman" w:cs="Times New Roman"/>
          <w:bCs/>
        </w:rPr>
        <w:t>P108-2H、P108-3井口来气经采气树节流、计量后接入P108集气站，依托P108集气站已有临时分酸、加热、节流流程，输入P108集气站至11#阀室，最终于上游来气外输至天然气净化厂。新建井口流程，并配套通信、自控、防腐等</w:t>
      </w:r>
      <w:r>
        <w:rPr>
          <w:rFonts w:ascii="Times New Roman" w:cs="Times New Roman"/>
        </w:rPr>
        <w:t>。</w:t>
      </w:r>
    </w:p>
    <w:p>
      <w:pPr>
        <w:pStyle w:val="6"/>
        <w:ind w:firstLine="480"/>
        <w:rPr>
          <w:rFonts w:ascii="Times New Roman" w:cs="Times New Roman"/>
        </w:rPr>
      </w:pPr>
      <w:r>
        <w:rPr>
          <w:rFonts w:ascii="Times New Roman" w:cs="Times New Roman"/>
        </w:rPr>
        <w:t>本项目总投资18987万元，其中环保投资500万元，占项目总投资的2.63%。</w:t>
      </w:r>
    </w:p>
    <w:p>
      <w:pPr>
        <w:pStyle w:val="3"/>
        <w:spacing w:before="120"/>
        <w:rPr>
          <w:rFonts w:cs="Times New Roman"/>
        </w:rPr>
      </w:pPr>
      <w:bookmarkStart w:id="671" w:name="bookmark86"/>
      <w:bookmarkEnd w:id="671"/>
      <w:bookmarkStart w:id="672" w:name="_Toc19816157"/>
      <w:bookmarkStart w:id="673" w:name="_Toc12288839"/>
      <w:bookmarkStart w:id="674" w:name="_Toc35"/>
      <w:r>
        <w:rPr>
          <w:rFonts w:cs="Times New Roman"/>
        </w:rPr>
        <w:t xml:space="preserve">11.2 </w:t>
      </w:r>
      <w:bookmarkEnd w:id="672"/>
      <w:bookmarkEnd w:id="673"/>
      <w:r>
        <w:rPr>
          <w:rFonts w:cs="Times New Roman"/>
        </w:rPr>
        <w:t>产业政策符合性分析</w:t>
      </w:r>
      <w:bookmarkEnd w:id="674"/>
    </w:p>
    <w:p>
      <w:pPr>
        <w:ind w:firstLine="480"/>
        <w:rPr>
          <w:rFonts w:ascii="Times New Roman" w:cs="Times New Roman"/>
        </w:rPr>
      </w:pPr>
      <w:r>
        <w:rPr>
          <w:rFonts w:ascii="Times New Roman" w:cs="Times New Roman"/>
        </w:rPr>
        <w:t>根据《产业结构调整指导目录》（2019年），本项目属于《产业结构调整指导目录》（2019年本）鼓励类中第七条“石油、天然气”中的第</w:t>
      </w:r>
      <w:r>
        <w:rPr>
          <w:rFonts w:hint="eastAsia" w:ascii="Times New Roman" w:cs="Times New Roman"/>
        </w:rPr>
        <w:t>一</w:t>
      </w:r>
      <w:r>
        <w:rPr>
          <w:rFonts w:ascii="Times New Roman" w:cs="Times New Roman"/>
        </w:rPr>
        <w:t>款“常规石油、天然气勘探与开发”。</w:t>
      </w:r>
    </w:p>
    <w:p>
      <w:pPr>
        <w:ind w:firstLine="480"/>
        <w:rPr>
          <w:rFonts w:ascii="Times New Roman" w:cs="Times New Roman"/>
        </w:rPr>
      </w:pPr>
      <w:r>
        <w:rPr>
          <w:rFonts w:ascii="Times New Roman" w:cs="Times New Roman"/>
        </w:rPr>
        <w:t>因此本项目建设符合国家产业政策。</w:t>
      </w:r>
    </w:p>
    <w:p>
      <w:pPr>
        <w:pStyle w:val="3"/>
        <w:spacing w:before="120"/>
        <w:rPr>
          <w:rFonts w:cs="Times New Roman"/>
        </w:rPr>
      </w:pPr>
      <w:bookmarkStart w:id="675" w:name="bookmark87"/>
      <w:bookmarkEnd w:id="675"/>
      <w:bookmarkStart w:id="676" w:name="_Toc12288840"/>
      <w:bookmarkStart w:id="677" w:name="_Toc19816160"/>
      <w:bookmarkStart w:id="678" w:name="_Toc3403"/>
      <w:r>
        <w:rPr>
          <w:rFonts w:cs="Times New Roman"/>
        </w:rPr>
        <w:t>11.3 清洁生产</w:t>
      </w:r>
      <w:bookmarkEnd w:id="676"/>
      <w:bookmarkEnd w:id="677"/>
      <w:bookmarkEnd w:id="678"/>
    </w:p>
    <w:p>
      <w:pPr>
        <w:pStyle w:val="114"/>
        <w:ind w:firstLine="480"/>
      </w:pPr>
      <w:r>
        <w:t>本项目输送介质为天然气，属清洁能源；通过采用先进的输送工艺，减少了“三废”排放源，从工艺技术、能耗、防腐、节水、施工管理、污染物的排放、运营管理等方面均符合清洁生产原则。工程从输气工艺及施工工艺来看，均最大</w:t>
      </w:r>
      <w:r>
        <w:rPr>
          <w:rFonts w:hint="eastAsia"/>
          <w:lang w:eastAsia="zh-CN"/>
        </w:rPr>
        <w:t>限度地</w:t>
      </w:r>
      <w:r>
        <w:t>减少了生态破坏、污染物排放及能源消耗，最大</w:t>
      </w:r>
      <w:r>
        <w:rPr>
          <w:rFonts w:hint="eastAsia"/>
          <w:lang w:eastAsia="zh-CN"/>
        </w:rPr>
        <w:t>限度地</w:t>
      </w:r>
      <w:r>
        <w:t>保证了管道的安全运行及管输能力，降低事故的发生和对环境的危害，达到了国内先进的清洁生产水平。因此，本次评价认为，本项目贯彻了清洁生产的原则。</w:t>
      </w:r>
    </w:p>
    <w:p>
      <w:pPr>
        <w:pStyle w:val="3"/>
        <w:spacing w:before="120"/>
        <w:rPr>
          <w:rFonts w:cs="Times New Roman"/>
        </w:rPr>
      </w:pPr>
      <w:bookmarkStart w:id="679" w:name="bookmark88"/>
      <w:bookmarkEnd w:id="679"/>
      <w:bookmarkStart w:id="680" w:name="_Toc19816161"/>
      <w:bookmarkStart w:id="681" w:name="_Toc11582"/>
      <w:bookmarkStart w:id="682" w:name="_Toc12288841"/>
      <w:r>
        <w:rPr>
          <w:rFonts w:cs="Times New Roman"/>
        </w:rPr>
        <w:t>11.4 总量控制</w:t>
      </w:r>
      <w:bookmarkEnd w:id="680"/>
      <w:bookmarkEnd w:id="681"/>
      <w:bookmarkEnd w:id="682"/>
    </w:p>
    <w:p>
      <w:pPr>
        <w:pStyle w:val="114"/>
        <w:ind w:firstLine="480"/>
      </w:pPr>
      <w:r>
        <w:t>本项目正常运行时天然气处于密闭输送状态，一般无气体污染物外排；本项目不设置水套炉，正常工况条件下，无废气排放；试采期不产生生产废水和生活污水。因此本次评价建议不设总量控制指标。</w:t>
      </w:r>
    </w:p>
    <w:p>
      <w:pPr>
        <w:pStyle w:val="3"/>
        <w:spacing w:before="120"/>
        <w:rPr>
          <w:rFonts w:cs="Times New Roman"/>
        </w:rPr>
      </w:pPr>
      <w:bookmarkStart w:id="683" w:name="bookmark89"/>
      <w:bookmarkEnd w:id="683"/>
      <w:bookmarkStart w:id="684" w:name="_Toc9358"/>
      <w:bookmarkStart w:id="685" w:name="_Toc19816162"/>
      <w:bookmarkStart w:id="686" w:name="_Toc12288842"/>
      <w:r>
        <w:rPr>
          <w:rFonts w:cs="Times New Roman"/>
        </w:rPr>
        <w:t>11.5 环境现状评价结论</w:t>
      </w:r>
      <w:bookmarkEnd w:id="684"/>
      <w:bookmarkEnd w:id="685"/>
      <w:bookmarkEnd w:id="686"/>
    </w:p>
    <w:p>
      <w:pPr>
        <w:pStyle w:val="4"/>
        <w:rPr>
          <w:rFonts w:eastAsia="宋体"/>
        </w:rPr>
      </w:pPr>
      <w:bookmarkStart w:id="687" w:name="_Toc12288844"/>
      <w:bookmarkStart w:id="688" w:name="_Toc19816164"/>
      <w:r>
        <w:rPr>
          <w:rFonts w:eastAsia="宋体"/>
        </w:rPr>
        <w:t>11.5.1 环境空气</w:t>
      </w:r>
      <w:bookmarkEnd w:id="687"/>
      <w:bookmarkEnd w:id="688"/>
    </w:p>
    <w:p>
      <w:pPr>
        <w:pStyle w:val="114"/>
        <w:ind w:firstLine="480"/>
      </w:pPr>
      <w:r>
        <w:t>根据达州市生态环境局发布的《达州市2022年环境空气质量状况》，项目所在区</w:t>
      </w:r>
      <w:r>
        <w:rPr>
          <w:szCs w:val="24"/>
        </w:rPr>
        <w:t>SO</w:t>
      </w:r>
      <w:r>
        <w:rPr>
          <w:szCs w:val="24"/>
          <w:vertAlign w:val="subscript"/>
        </w:rPr>
        <w:t>2</w:t>
      </w:r>
      <w:r>
        <w:rPr>
          <w:szCs w:val="24"/>
        </w:rPr>
        <w:t>、NO</w:t>
      </w:r>
      <w:r>
        <w:rPr>
          <w:szCs w:val="24"/>
          <w:vertAlign w:val="subscript"/>
        </w:rPr>
        <w:t>2</w:t>
      </w:r>
      <w:r>
        <w:rPr>
          <w:szCs w:val="24"/>
        </w:rPr>
        <w:t>、PM</w:t>
      </w:r>
      <w:r>
        <w:rPr>
          <w:szCs w:val="24"/>
          <w:vertAlign w:val="subscript"/>
        </w:rPr>
        <w:t>10</w:t>
      </w:r>
      <w:r>
        <w:rPr>
          <w:szCs w:val="24"/>
        </w:rPr>
        <w:t>、CO、O</w:t>
      </w:r>
      <w:r>
        <w:rPr>
          <w:szCs w:val="24"/>
          <w:vertAlign w:val="subscript"/>
        </w:rPr>
        <w:t>3</w:t>
      </w:r>
      <w:r>
        <w:t>、</w:t>
      </w:r>
      <w:r>
        <w:rPr>
          <w:szCs w:val="24"/>
        </w:rPr>
        <w:t>PM</w:t>
      </w:r>
      <w:r>
        <w:rPr>
          <w:szCs w:val="24"/>
          <w:vertAlign w:val="subscript"/>
        </w:rPr>
        <w:t>2.5</w:t>
      </w:r>
      <w:r>
        <w:t>均达标，项目所在区为达标区。</w:t>
      </w:r>
      <w:r>
        <w:rPr>
          <w:lang w:val="zh-TW"/>
        </w:rPr>
        <w:t>项目所在地环境空气中特征污染物非甲烷总烃满足《大气污染物综合排放标准详解》浓度限值</w:t>
      </w:r>
      <w:r>
        <w:rPr>
          <w:rFonts w:hint="eastAsia"/>
          <w:lang w:val="zh-TW"/>
        </w:rPr>
        <w:t>，</w:t>
      </w:r>
      <w:r>
        <w:rPr>
          <w:lang w:val="zh-TW"/>
        </w:rPr>
        <w:t>硫化氢现状监测值满足《环境影响评价技术导则</w:t>
      </w:r>
      <w:r>
        <w:rPr>
          <w:rFonts w:hint="eastAsia"/>
        </w:rPr>
        <w:t xml:space="preserve"> </w:t>
      </w:r>
      <w:r>
        <w:rPr>
          <w:lang w:val="zh-TW"/>
        </w:rPr>
        <w:t>大气环境》（HJ2.2-2018）中附录D标准限值。</w:t>
      </w:r>
    </w:p>
    <w:p>
      <w:pPr>
        <w:pStyle w:val="4"/>
        <w:rPr>
          <w:rFonts w:eastAsia="宋体"/>
        </w:rPr>
      </w:pPr>
      <w:bookmarkStart w:id="689" w:name="_Toc19816165"/>
      <w:bookmarkStart w:id="690" w:name="_Toc12288845"/>
      <w:r>
        <w:rPr>
          <w:rFonts w:eastAsia="宋体"/>
        </w:rPr>
        <w:t>11.5.2 地表水环境</w:t>
      </w:r>
      <w:bookmarkEnd w:id="689"/>
      <w:bookmarkEnd w:id="690"/>
    </w:p>
    <w:p>
      <w:pPr>
        <w:pStyle w:val="114"/>
        <w:ind w:firstLine="480"/>
      </w:pPr>
      <w:r>
        <w:t>根据达州市生态环境局发布的《2023年7月达州市地表水水质月报》可知，后河监测断面各项水质指标均满足《地表水环境质量标准》（GB3838-2002）中的Ⅲ类标准，区域地表水环境质量较好。</w:t>
      </w:r>
    </w:p>
    <w:p>
      <w:pPr>
        <w:pStyle w:val="4"/>
        <w:rPr>
          <w:rFonts w:eastAsia="宋体"/>
        </w:rPr>
      </w:pPr>
      <w:bookmarkStart w:id="691" w:name="_Toc12288846"/>
      <w:bookmarkStart w:id="692" w:name="_Toc19816166"/>
      <w:r>
        <w:rPr>
          <w:rFonts w:eastAsia="宋体"/>
        </w:rPr>
        <w:t>11.5.3 地下水环境</w:t>
      </w:r>
      <w:bookmarkEnd w:id="691"/>
      <w:bookmarkEnd w:id="692"/>
    </w:p>
    <w:p>
      <w:pPr>
        <w:pStyle w:val="114"/>
        <w:ind w:firstLine="480"/>
      </w:pPr>
      <w:r>
        <w:t>根据地下水监测统计结果可知，项目所在地地下水监测点各监测因子标准指数均小于1，满足《地下水质量标准》（GB/T14848-93）Ⅲ类标准要求，石油类满足《地表水环境质量标准》（GB3838-2002）Ⅲ类标准要求。</w:t>
      </w:r>
    </w:p>
    <w:p>
      <w:pPr>
        <w:pStyle w:val="4"/>
        <w:rPr>
          <w:rFonts w:eastAsia="宋体"/>
        </w:rPr>
      </w:pPr>
      <w:bookmarkStart w:id="693" w:name="_Toc12288847"/>
      <w:bookmarkStart w:id="694" w:name="_Toc19816167"/>
      <w:r>
        <w:rPr>
          <w:rFonts w:eastAsia="宋体"/>
        </w:rPr>
        <w:t>11.5.4 声环境</w:t>
      </w:r>
      <w:bookmarkEnd w:id="693"/>
      <w:bookmarkEnd w:id="694"/>
    </w:p>
    <w:p>
      <w:pPr>
        <w:pStyle w:val="114"/>
        <w:ind w:firstLine="480"/>
      </w:pPr>
      <w:r>
        <w:t>根据监测结果可知，本项目所在区域声环境质量良好，监测点位处的昼间和夜间声环境质量现状值均满足《声环境质量标准》（GB3096-2008）中2类环境噪声限值要求。</w:t>
      </w:r>
    </w:p>
    <w:p>
      <w:pPr>
        <w:pStyle w:val="4"/>
        <w:rPr>
          <w:rFonts w:eastAsia="宋体"/>
        </w:rPr>
      </w:pPr>
      <w:r>
        <w:rPr>
          <w:rFonts w:eastAsia="宋体"/>
        </w:rPr>
        <w:t>11.5.5 土壤环境</w:t>
      </w:r>
    </w:p>
    <w:p>
      <w:pPr>
        <w:pStyle w:val="114"/>
        <w:ind w:firstLine="480"/>
      </w:pPr>
      <w:r>
        <w:t>根据监测结果可知，项目站场内土壤中各项监测指标均符合《土壤环境质量 建设用地土壤污染风险管控标准（试行）》（GB 36600-2018）中风险筛选值；站场周边耕地土壤环境质量良好，各因子均满足《土壤环境质量 农用地土壤污染风险管控标准（试行）》（GB-15618-2018）中农用地土壤污染风险筛选值。土壤环境质量良好。</w:t>
      </w:r>
    </w:p>
    <w:p>
      <w:pPr>
        <w:pStyle w:val="3"/>
        <w:spacing w:before="120"/>
        <w:rPr>
          <w:rFonts w:cs="Times New Roman"/>
        </w:rPr>
      </w:pPr>
      <w:bookmarkStart w:id="695" w:name="bookmark90"/>
      <w:bookmarkEnd w:id="695"/>
      <w:bookmarkStart w:id="696" w:name="bookmark37"/>
      <w:bookmarkEnd w:id="696"/>
      <w:bookmarkStart w:id="697" w:name="_Toc19816168"/>
      <w:bookmarkStart w:id="698" w:name="_Toc12288848"/>
      <w:bookmarkStart w:id="699" w:name="_Toc28881"/>
      <w:r>
        <w:rPr>
          <w:rFonts w:cs="Times New Roman"/>
        </w:rPr>
        <w:t>11.6 环境影响评价结论</w:t>
      </w:r>
      <w:bookmarkEnd w:id="697"/>
      <w:bookmarkEnd w:id="698"/>
      <w:bookmarkEnd w:id="699"/>
    </w:p>
    <w:p>
      <w:pPr>
        <w:pStyle w:val="4"/>
        <w:rPr>
          <w:rFonts w:eastAsia="宋体"/>
        </w:rPr>
      </w:pPr>
      <w:bookmarkStart w:id="700" w:name="_Toc19816169"/>
      <w:bookmarkStart w:id="701" w:name="_Toc12288849"/>
      <w:r>
        <w:rPr>
          <w:rFonts w:eastAsia="宋体"/>
        </w:rPr>
        <w:t>11.6.1 环境空气</w:t>
      </w:r>
      <w:bookmarkEnd w:id="700"/>
      <w:bookmarkEnd w:id="701"/>
    </w:p>
    <w:p>
      <w:pPr>
        <w:pStyle w:val="114"/>
        <w:ind w:firstLine="480"/>
      </w:pPr>
      <w:bookmarkStart w:id="702" w:name="_Hlk82897008"/>
      <w:r>
        <w:t>施工期地面开挖、回填、土石堆放和运输车辆行驶产生的扬尘（粉尘）及施工机械、运输车辆排放的烟气、气体钻粉尘、测试放喷废气以及放空废气将对大气环境产生轻微、暂时的影响。</w:t>
      </w:r>
    </w:p>
    <w:p>
      <w:pPr>
        <w:pStyle w:val="114"/>
        <w:ind w:firstLine="480"/>
      </w:pPr>
      <w:r>
        <w:t>项目正常生产时，天然气处于完全密闭系统内，输气管道在正常生产时无废气产生和排放。本项目不设水套炉，依托P108集气站水套炉，燃料气为经燃气返输管线返输净化后天然气，废气主要为氮氧化物，利用水套炉自带的8m高排气筒外排，对周围大气环境影响较小。</w:t>
      </w:r>
    </w:p>
    <w:p>
      <w:pPr>
        <w:pStyle w:val="4"/>
        <w:rPr>
          <w:rFonts w:eastAsia="宋体"/>
        </w:rPr>
      </w:pPr>
      <w:bookmarkStart w:id="703" w:name="_Toc19816170"/>
      <w:bookmarkStart w:id="704" w:name="_Toc12288850"/>
      <w:r>
        <w:rPr>
          <w:rFonts w:eastAsia="宋体"/>
        </w:rPr>
        <w:t>11.6.2 地表水环境</w:t>
      </w:r>
      <w:bookmarkEnd w:id="703"/>
      <w:bookmarkEnd w:id="704"/>
    </w:p>
    <w:p>
      <w:pPr>
        <w:pStyle w:val="114"/>
        <w:ind w:firstLine="480"/>
      </w:pPr>
      <w:r>
        <w:t>施工期：施工期井场、钻井</w:t>
      </w:r>
      <w:r>
        <w:rPr>
          <w:spacing w:val="-8"/>
          <w:szCs w:val="21"/>
        </w:rPr>
        <w:t>施工</w:t>
      </w:r>
      <w:r>
        <w:rPr>
          <w:rFonts w:hint="eastAsia"/>
          <w:spacing w:val="-8"/>
          <w:szCs w:val="21"/>
          <w:lang w:eastAsia="zh-CN"/>
        </w:rPr>
        <w:t>人员</w:t>
      </w:r>
      <w:r>
        <w:rPr>
          <w:spacing w:val="-8"/>
          <w:szCs w:val="21"/>
        </w:rPr>
        <w:t>生活污水依托经</w:t>
      </w:r>
      <w:r>
        <w:rPr>
          <w:bCs/>
          <w:spacing w:val="-8"/>
          <w:szCs w:val="21"/>
        </w:rPr>
        <w:t>生态环保厕所收集处理</w:t>
      </w:r>
      <w:r>
        <w:t>后，用作周边农肥，不外排；员工洗澡、食堂废水经单独收集后拉运至普光镇场镇污水处理厂处理。对周边地表水环境影响较小；初期雨水经清洁化操作平台处理达到毛开1井回注标准后回注；钻井废水经清洁化操作平台预处理后达到毛开1井回注标准后，拉运至毛开1井回注；</w:t>
      </w:r>
      <w:r>
        <w:rPr>
          <w:rFonts w:hint="eastAsia"/>
          <w:spacing w:val="-8"/>
          <w:szCs w:val="21"/>
          <w:lang w:eastAsia="zh-CN"/>
        </w:rPr>
        <w:t>压裂废水和洗井废水</w:t>
      </w:r>
      <w:r>
        <w:rPr>
          <w:spacing w:val="-8"/>
          <w:szCs w:val="21"/>
        </w:rPr>
        <w:t>暂存于</w:t>
      </w:r>
      <w:r>
        <w:rPr>
          <w:rFonts w:hint="eastAsia"/>
          <w:spacing w:val="-8"/>
          <w:szCs w:val="21"/>
        </w:rPr>
        <w:t>废水池</w:t>
      </w:r>
      <w:r>
        <w:rPr>
          <w:spacing w:val="-8"/>
          <w:szCs w:val="21"/>
        </w:rPr>
        <w:t>，</w:t>
      </w:r>
      <w:r>
        <w:rPr>
          <w:rFonts w:hint="eastAsia"/>
          <w:spacing w:val="-8"/>
          <w:szCs w:val="21"/>
        </w:rPr>
        <w:t>定期</w:t>
      </w:r>
      <w:r>
        <w:rPr>
          <w:spacing w:val="-8"/>
          <w:szCs w:val="21"/>
        </w:rPr>
        <w:t>装车拉运至大湾403污水站处理达标后管输至毛开1井回注站回注</w:t>
      </w:r>
      <w:r>
        <w:t>。</w:t>
      </w:r>
    </w:p>
    <w:p>
      <w:pPr>
        <w:pStyle w:val="114"/>
        <w:ind w:firstLine="480"/>
      </w:pPr>
      <w:r>
        <w:t>试采期：本项目试采期</w:t>
      </w:r>
      <w:r>
        <w:rPr>
          <w:rFonts w:hint="eastAsia"/>
        </w:rPr>
        <w:t>产生的气田水经酸液缓冲罐收集</w:t>
      </w:r>
      <w:r>
        <w:t>，然后通过密闭罐车拉运至大湾403污水站处理达到《气田水回注方法》（SY/T 6596-2016）中注入水基本要求后管输至毛开1井回注站回注处理，不外排。</w:t>
      </w:r>
    </w:p>
    <w:p>
      <w:pPr>
        <w:pStyle w:val="4"/>
        <w:rPr>
          <w:rFonts w:eastAsia="宋体"/>
        </w:rPr>
      </w:pPr>
      <w:bookmarkStart w:id="705" w:name="_Toc12288851"/>
      <w:bookmarkStart w:id="706" w:name="_Toc19816171"/>
      <w:r>
        <w:rPr>
          <w:rFonts w:eastAsia="宋体"/>
        </w:rPr>
        <w:t>11.6.3 地下水环境</w:t>
      </w:r>
      <w:bookmarkEnd w:id="705"/>
      <w:bookmarkEnd w:id="706"/>
    </w:p>
    <w:p>
      <w:pPr>
        <w:pStyle w:val="114"/>
        <w:ind w:firstLine="480"/>
      </w:pPr>
      <w:r>
        <w:t>施工期：本项目钻井施工期，对柴油储罐、污水缓冲罐和放喷池的防渗处理，渗透系数≤10</w:t>
      </w:r>
      <w:r>
        <w:rPr>
          <w:vertAlign w:val="superscript"/>
        </w:rPr>
        <w:t>-7</w:t>
      </w:r>
      <w:r>
        <w:t>cm/s，柴油储罐、污水缓冲罐设置围堰，及时收集处理事故废水，杜绝事故废水流入周边环境。因此，本项目施工期不会对区域地下水环境造成影响。</w:t>
      </w:r>
    </w:p>
    <w:p>
      <w:pPr>
        <w:pStyle w:val="114"/>
        <w:ind w:firstLine="480"/>
      </w:pPr>
      <w:r>
        <w:t>试采期：井站采取相应防渗措施后，确保不对周边地下水造成污染。试采过程中，加强各项措施落实情况的监督和管理，防止造成地下水水质污染。项目试采期间不会对区域地下水环境造成影响。</w:t>
      </w:r>
    </w:p>
    <w:p>
      <w:pPr>
        <w:pStyle w:val="4"/>
        <w:rPr>
          <w:rFonts w:eastAsia="宋体"/>
        </w:rPr>
      </w:pPr>
      <w:bookmarkStart w:id="707" w:name="_Toc12288852"/>
      <w:bookmarkStart w:id="708" w:name="_Toc19816172"/>
      <w:r>
        <w:rPr>
          <w:rFonts w:eastAsia="宋体"/>
        </w:rPr>
        <w:t>11.6.4 声环境</w:t>
      </w:r>
      <w:bookmarkEnd w:id="707"/>
      <w:bookmarkEnd w:id="708"/>
    </w:p>
    <w:p>
      <w:pPr>
        <w:pStyle w:val="114"/>
        <w:ind w:firstLine="480"/>
      </w:pPr>
      <w:r>
        <w:t>施工期：施工噪声对周边环境的影响有一定影响，但时间较短，影响可接受。</w:t>
      </w:r>
    </w:p>
    <w:p>
      <w:pPr>
        <w:pStyle w:val="114"/>
        <w:ind w:firstLine="480"/>
      </w:pPr>
      <w:r>
        <w:t>试采期：工程完工后井站内噪声源经基础减振和距离衰减后，各场界噪声均满足噪声《工业企业厂界环境噪声排放标准》（GB12348-2008）中2类标准限值要求，放空时及时疏散附近居民，对环境影响较小。</w:t>
      </w:r>
    </w:p>
    <w:p>
      <w:pPr>
        <w:pStyle w:val="4"/>
        <w:rPr>
          <w:rFonts w:eastAsia="宋体"/>
        </w:rPr>
      </w:pPr>
      <w:bookmarkStart w:id="709" w:name="_Toc12288853"/>
      <w:bookmarkStart w:id="710" w:name="_Toc19816173"/>
      <w:r>
        <w:rPr>
          <w:rFonts w:eastAsia="宋体"/>
        </w:rPr>
        <w:t>11.6.5 固体废物</w:t>
      </w:r>
      <w:bookmarkEnd w:id="709"/>
      <w:bookmarkEnd w:id="710"/>
    </w:p>
    <w:p>
      <w:pPr>
        <w:pStyle w:val="6"/>
        <w:ind w:firstLine="480"/>
        <w:rPr>
          <w:rFonts w:ascii="Times New Roman" w:cs="Times New Roman"/>
        </w:rPr>
      </w:pPr>
      <w:r>
        <w:rPr>
          <w:rFonts w:ascii="Times New Roman" w:cs="Times New Roman"/>
        </w:rPr>
        <w:t>施工期：施工人员生活垃圾交由环卫部门处理；站场开挖全部回填，无弃方产生；一~三开井段均采用水基钻井液：本项目采取清洁化操作平台，空气钻岩屑及时拉运填埋处理，废泥浆和与常规钻产生的岩屑</w:t>
      </w:r>
      <w:r>
        <w:rPr>
          <w:rFonts w:ascii="Times New Roman" w:cs="Times New Roman"/>
          <w:bCs/>
        </w:rPr>
        <w:t>采用清洁化操作平台，并采取泥浆不落地措施</w:t>
      </w:r>
      <w:r>
        <w:rPr>
          <w:rFonts w:ascii="Times New Roman" w:cs="Times New Roman"/>
        </w:rPr>
        <w:t>，待项目完成后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w:t>
      </w:r>
      <w:r>
        <w:rPr>
          <w:rFonts w:ascii="Times New Roman" w:cs="Times New Roman"/>
          <w:kern w:val="2"/>
        </w:rPr>
        <w:t>三开井段采用白油基钻井液：本项目</w:t>
      </w:r>
      <w:r>
        <w:rPr>
          <w:rFonts w:ascii="Times New Roman" w:cs="Times New Roman"/>
          <w:bCs/>
          <w:kern w:val="2"/>
        </w:rPr>
        <w:t>采用清洁化操作平台，并采取泥浆不落地措施，水基岩屑、</w:t>
      </w:r>
      <w:r>
        <w:rPr>
          <w:rFonts w:ascii="Times New Roman" w:cs="Times New Roman"/>
          <w:kern w:val="2"/>
        </w:rPr>
        <w:t>水基泥浆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废油基岩屑、废油基泥浆</w:t>
      </w:r>
      <w:r>
        <w:rPr>
          <w:rFonts w:ascii="Times New Roman" w:cs="Times New Roman"/>
        </w:rPr>
        <w:t>袋装后暂存于危废暂存间，面积约</w:t>
      </w:r>
      <w:r>
        <w:rPr>
          <w:rFonts w:hint="eastAsia" w:ascii="Times New Roman" w:cs="Times New Roman"/>
        </w:rPr>
        <w:t>2</w:t>
      </w:r>
      <w:r>
        <w:rPr>
          <w:rFonts w:ascii="Times New Roman" w:cs="Times New Roman"/>
        </w:rPr>
        <w:t>5m</w:t>
      </w:r>
      <w:r>
        <w:rPr>
          <w:rFonts w:ascii="Times New Roman" w:cs="Times New Roman"/>
          <w:vertAlign w:val="superscript"/>
        </w:rPr>
        <w:t>2</w:t>
      </w:r>
      <w:r>
        <w:rPr>
          <w:rFonts w:ascii="Times New Roman" w:cs="Times New Roman"/>
        </w:rPr>
        <w:t>，暂存间地面采取必要的防护措施（防风、防雨、防晒、防渗、防漏、防腐）及其他环境污染防护措施，委托有资质单位处理；废油委托有资质单位进行处理。</w:t>
      </w:r>
    </w:p>
    <w:p>
      <w:pPr>
        <w:pStyle w:val="114"/>
        <w:ind w:firstLine="480"/>
      </w:pPr>
      <w:r>
        <w:t>试采期：本项目站场为无人值守站，试采期无生活垃圾产生。</w:t>
      </w:r>
    </w:p>
    <w:p>
      <w:pPr>
        <w:pStyle w:val="4"/>
        <w:rPr>
          <w:rFonts w:eastAsia="宋体"/>
        </w:rPr>
      </w:pPr>
      <w:bookmarkStart w:id="711" w:name="_Toc12288854"/>
      <w:bookmarkStart w:id="712" w:name="_Toc19816174"/>
      <w:r>
        <w:rPr>
          <w:rFonts w:eastAsia="宋体"/>
        </w:rPr>
        <w:t>11.6.6 生态环境</w:t>
      </w:r>
      <w:bookmarkEnd w:id="711"/>
      <w:bookmarkEnd w:id="712"/>
    </w:p>
    <w:p>
      <w:pPr>
        <w:pStyle w:val="114"/>
        <w:ind w:firstLine="480"/>
      </w:pPr>
      <w:r>
        <w:t>施工期对环境的影响主要表现为站场临时占地对土壤、植被、水土流失等的影响。工程的建设将改变了项目区部分土地的利用性质。造成生物量的减少；站场施工开挖土方引起土壤结构、土壤紧实度、土壤养分变化。站场评价范围内无珍稀野生动物分布，也没有涉及野生动物的通道、栖息地等敏感场所。临时占地不涉及永久基本农田，不会对农业生态系统有明显影响。工程建成后不会对整个评价区的生态完整性产生影响，生物多样性的影响也很小，属可接受范围；工程的建设不会造成物种缺失，不会影响生物</w:t>
      </w:r>
      <w:r>
        <w:rPr>
          <w:rFonts w:hint="eastAsia"/>
          <w:lang w:eastAsia="zh-CN"/>
        </w:rPr>
        <w:t>迁徙</w:t>
      </w:r>
      <w:r>
        <w:t>和物质能量流，也无须预留通道。该项目涉及的生态系统的结构和功能没有受到影响，在干扰之后可以较好的恢复，没有显著的生态问题。</w:t>
      </w:r>
    </w:p>
    <w:bookmarkEnd w:id="702"/>
    <w:p>
      <w:pPr>
        <w:pStyle w:val="3"/>
        <w:spacing w:before="120"/>
        <w:rPr>
          <w:rFonts w:cs="Times New Roman"/>
        </w:rPr>
      </w:pPr>
      <w:bookmarkStart w:id="713" w:name="bookmark91"/>
      <w:bookmarkEnd w:id="713"/>
      <w:bookmarkStart w:id="714" w:name="_Toc3684"/>
      <w:bookmarkStart w:id="715" w:name="_Toc12288856"/>
      <w:bookmarkStart w:id="716" w:name="_Toc19816176"/>
      <w:r>
        <w:rPr>
          <w:rFonts w:cs="Times New Roman"/>
        </w:rPr>
        <w:t>11.7 环保措施及经济技术论证</w:t>
      </w:r>
      <w:bookmarkEnd w:id="714"/>
      <w:bookmarkEnd w:id="715"/>
      <w:bookmarkEnd w:id="716"/>
    </w:p>
    <w:p>
      <w:pPr>
        <w:pStyle w:val="6"/>
        <w:ind w:firstLine="480"/>
        <w:rPr>
          <w:rFonts w:ascii="Times New Roman" w:cs="Times New Roman"/>
        </w:rPr>
      </w:pPr>
      <w:r>
        <w:rPr>
          <w:rFonts w:ascii="Times New Roman" w:cs="Times New Roman"/>
        </w:rPr>
        <w:t>在本报告书的第8章就本项目的生态、大气、地表水、声环境、固体废物等几个方面对本项目拟采用的环保措施进行了分析，分析认为工程拟采用的各项环保措施能够满足环境保护的要求，经济技术可行。本项目环保投资500万元，占工程总投资的2.63%。</w:t>
      </w:r>
    </w:p>
    <w:p>
      <w:pPr>
        <w:pStyle w:val="3"/>
        <w:spacing w:before="120"/>
        <w:rPr>
          <w:rFonts w:cs="Times New Roman"/>
        </w:rPr>
      </w:pPr>
      <w:bookmarkStart w:id="717" w:name="bookmark92"/>
      <w:bookmarkEnd w:id="717"/>
      <w:bookmarkStart w:id="718" w:name="_Toc19816177"/>
      <w:bookmarkStart w:id="719" w:name="_Toc12288857"/>
      <w:bookmarkStart w:id="720" w:name="_Toc9161"/>
      <w:r>
        <w:rPr>
          <w:rFonts w:cs="Times New Roman"/>
        </w:rPr>
        <w:t>11.8 环境风险</w:t>
      </w:r>
      <w:bookmarkEnd w:id="718"/>
      <w:bookmarkEnd w:id="719"/>
      <w:r>
        <w:rPr>
          <w:rFonts w:cs="Times New Roman"/>
        </w:rPr>
        <w:t>评价结论</w:t>
      </w:r>
      <w:bookmarkEnd w:id="720"/>
    </w:p>
    <w:p>
      <w:pPr>
        <w:pStyle w:val="6"/>
        <w:ind w:firstLine="480"/>
        <w:rPr>
          <w:rFonts w:ascii="Times New Roman" w:cs="Times New Roman"/>
        </w:rPr>
      </w:pPr>
      <w:r>
        <w:rPr>
          <w:rFonts w:ascii="Times New Roman" w:cs="Times New Roman"/>
        </w:rPr>
        <w:t>本项目通过采取报告中提出的各项环境风险防范措施，其发生事故的概率较低，在落实应急预案后，能将事故危害降至最低。因此，从环境风险的角度分析，本项目的风险水平是可以接受的。</w:t>
      </w:r>
    </w:p>
    <w:p>
      <w:pPr>
        <w:pStyle w:val="3"/>
        <w:spacing w:before="120"/>
        <w:rPr>
          <w:rFonts w:cs="Times New Roman"/>
        </w:rPr>
      </w:pPr>
      <w:bookmarkStart w:id="721" w:name="bookmark93"/>
      <w:bookmarkEnd w:id="721"/>
      <w:bookmarkStart w:id="722" w:name="_Toc12288858"/>
      <w:bookmarkStart w:id="723" w:name="_Toc19816178"/>
      <w:bookmarkStart w:id="724" w:name="_Toc31154"/>
      <w:r>
        <w:rPr>
          <w:rFonts w:cs="Times New Roman"/>
        </w:rPr>
        <w:t>11.9 选线、选址的环境可行性</w:t>
      </w:r>
      <w:bookmarkEnd w:id="722"/>
      <w:bookmarkEnd w:id="723"/>
      <w:bookmarkEnd w:id="724"/>
    </w:p>
    <w:p>
      <w:pPr>
        <w:pStyle w:val="114"/>
        <w:ind w:firstLine="480"/>
      </w:pPr>
      <w:r>
        <w:t>本项目的选址符合国家的相关法律法规，符合国家的产业政策和相关规划，本项目所在区域交通发达，评价区域内不涉及风景名胜和文物古迹。项目建成后所在区域的环境功能不会发生大的改变，对环境敏感目标的影响属可接受的范围。因此，本项目的选址从环保角度认为可行。</w:t>
      </w:r>
    </w:p>
    <w:p>
      <w:pPr>
        <w:pStyle w:val="3"/>
        <w:spacing w:before="120"/>
        <w:rPr>
          <w:rFonts w:cs="Times New Roman"/>
        </w:rPr>
      </w:pPr>
      <w:bookmarkStart w:id="725" w:name="bookmark94"/>
      <w:bookmarkEnd w:id="725"/>
      <w:bookmarkStart w:id="726" w:name="_Toc21599"/>
      <w:bookmarkStart w:id="727" w:name="_Toc19816179"/>
      <w:bookmarkStart w:id="728" w:name="_Toc12288859"/>
      <w:r>
        <w:rPr>
          <w:rFonts w:cs="Times New Roman"/>
        </w:rPr>
        <w:t>11.10 环境影响经济损益分析</w:t>
      </w:r>
      <w:bookmarkEnd w:id="726"/>
      <w:bookmarkEnd w:id="727"/>
      <w:bookmarkEnd w:id="728"/>
    </w:p>
    <w:p>
      <w:pPr>
        <w:pStyle w:val="114"/>
        <w:ind w:firstLine="480"/>
      </w:pPr>
      <w:r>
        <w:t>工程实施后，从长远角度考虑，本项目的建设有利于环境质量改善，区域长久稳定、安全的发展。对于工程在施工期产生的各类污染物及对生态环境的影响采取了相应的环境保护措施，减轻工程建设所带来的不利影响。由此可见，本项目实施后所带来的环境经济效益，比工程在施工中所造成的直接环境经济损失要大的多。因此，本项目实施后，产生的环境经济效益是显著的，项目建设符合社会效益、经济效益和环境效益统一的原则。</w:t>
      </w:r>
    </w:p>
    <w:p>
      <w:pPr>
        <w:pStyle w:val="3"/>
        <w:spacing w:before="120"/>
        <w:rPr>
          <w:rFonts w:cs="Times New Roman"/>
        </w:rPr>
      </w:pPr>
      <w:bookmarkStart w:id="729" w:name="bookmark95"/>
      <w:bookmarkEnd w:id="729"/>
      <w:bookmarkStart w:id="730" w:name="_Toc12288860"/>
      <w:bookmarkStart w:id="731" w:name="_Toc4879"/>
      <w:bookmarkStart w:id="732" w:name="_Toc19816180"/>
      <w:r>
        <w:rPr>
          <w:rFonts w:cs="Times New Roman"/>
        </w:rPr>
        <w:t>11.11 公众参与调查</w:t>
      </w:r>
      <w:bookmarkEnd w:id="730"/>
      <w:bookmarkEnd w:id="731"/>
      <w:bookmarkEnd w:id="732"/>
    </w:p>
    <w:p>
      <w:pPr>
        <w:pStyle w:val="6"/>
        <w:ind w:firstLine="480"/>
        <w:rPr>
          <w:rFonts w:ascii="Times New Roman" w:cs="Times New Roman"/>
        </w:rPr>
      </w:pPr>
      <w:r>
        <w:rPr>
          <w:rFonts w:ascii="Times New Roman" w:cs="Times New Roman"/>
        </w:rPr>
        <w:t>建设单位根据《环境影响评价公众参与办法》（生态环境部令 第4号）要求对本项目进行了三次公示（包含网络公示、登报和现场公示、报批前公示等），三次公示期间，建设单位及评价单位未收到来自公众、企业、单位反馈的针对本项目环境保护方面的意见信息，无人致电建设单位及评价单位、无人反馈公众意见表，没有公众、企业、单位反对本项目的建设。</w:t>
      </w:r>
    </w:p>
    <w:p>
      <w:pPr>
        <w:pStyle w:val="6"/>
        <w:ind w:firstLine="480"/>
        <w:rPr>
          <w:rFonts w:ascii="Times New Roman" w:cs="Times New Roman"/>
        </w:rPr>
      </w:pPr>
      <w:r>
        <w:rPr>
          <w:rFonts w:ascii="Times New Roman" w:cs="Times New Roman"/>
        </w:rPr>
        <w:t>总体而言，只要建设单位切实采取环评提出的污染防治措施，可以最大程度</w:t>
      </w:r>
      <w:r>
        <w:rPr>
          <w:rFonts w:hint="eastAsia" w:ascii="Times New Roman" w:cs="Times New Roman"/>
          <w:lang w:eastAsia="zh-CN"/>
        </w:rPr>
        <w:t>地</w:t>
      </w:r>
      <w:r>
        <w:rPr>
          <w:rFonts w:ascii="Times New Roman" w:cs="Times New Roman"/>
        </w:rPr>
        <w:t>减轻项目建设所带来的环境污染，公众参与工作程序合法、工作过程透明有效、调查结果真实可靠。建设单位已将环境影响报告书编制过程中公众参与的相关原始资料存档备查。</w:t>
      </w:r>
    </w:p>
    <w:p>
      <w:pPr>
        <w:pStyle w:val="3"/>
        <w:spacing w:before="120"/>
        <w:rPr>
          <w:rFonts w:cs="Times New Roman"/>
        </w:rPr>
      </w:pPr>
      <w:bookmarkStart w:id="733" w:name="bookmark96"/>
      <w:bookmarkEnd w:id="733"/>
      <w:bookmarkStart w:id="734" w:name="_Toc32519"/>
      <w:bookmarkStart w:id="735" w:name="_Toc19816181"/>
      <w:bookmarkStart w:id="736" w:name="_Toc12288861"/>
      <w:r>
        <w:rPr>
          <w:rFonts w:cs="Times New Roman"/>
        </w:rPr>
        <w:t>11.12 评价结论</w:t>
      </w:r>
      <w:bookmarkEnd w:id="734"/>
      <w:bookmarkEnd w:id="735"/>
      <w:bookmarkEnd w:id="736"/>
    </w:p>
    <w:p>
      <w:pPr>
        <w:pStyle w:val="6"/>
        <w:ind w:firstLine="480"/>
        <w:rPr>
          <w:rFonts w:ascii="Times New Roman" w:cs="Times New Roman"/>
        </w:rPr>
      </w:pPr>
      <w:r>
        <w:rPr>
          <w:rFonts w:ascii="Times New Roman" w:cs="Times New Roman"/>
        </w:rPr>
        <w:t>中国石油化工股份有限公司中原油田普光分公司建设的普光气田P108井</w:t>
      </w:r>
      <w:r>
        <w:rPr>
          <w:rFonts w:hint="eastAsia" w:ascii="Times New Roman" w:cs="Times New Roman"/>
        </w:rPr>
        <w:t>台</w:t>
      </w:r>
      <w:r>
        <w:rPr>
          <w:rFonts w:ascii="Times New Roman" w:cs="Times New Roman"/>
        </w:rPr>
        <w:t>钻井及试采工程，符合国家产业政策，符合当地规划要求。项目贯彻了“清洁生产、总量控制、达标排放"原则；采取的生态保护和恢复措施可行，污染治理措施经济技术可行；风险防范措施可靠。在施工期和试采期，只要认真落实本报告提出的各项污染防治、生态恢复、水土保持措施，风险防范措施，并建立突发事故应急预案后，对环境的影响能降到最低，环境风险属可接受水平。</w:t>
      </w:r>
    </w:p>
    <w:p>
      <w:pPr>
        <w:pStyle w:val="6"/>
        <w:ind w:firstLine="480"/>
        <w:rPr>
          <w:rFonts w:ascii="Times New Roman" w:cs="Times New Roman"/>
        </w:rPr>
      </w:pPr>
      <w:r>
        <w:rPr>
          <w:rFonts w:ascii="Times New Roman" w:cs="Times New Roman"/>
        </w:rPr>
        <w:t>因此，从环境保护角度论证，在落实报告书中提出的各项污染防治和风险防范措施的前提下，本项目在该地建设是可行的。</w:t>
      </w:r>
    </w:p>
    <w:sectPr>
      <w:pgSz w:w="11906" w:h="16838"/>
      <w:pgMar w:top="1417" w:right="1417" w:bottom="1417" w:left="1701"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1B0B22DD-CB0C-4B88-A641-6AEC777D8AE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9CB286B0-3D2F-4E7B-B2EF-A89B4931BA75}"/>
  </w:font>
  <w:font w:name="新宋体">
    <w:panose1 w:val="02010609030101010101"/>
    <w:charset w:val="86"/>
    <w:family w:val="modern"/>
    <w:pitch w:val="default"/>
    <w:sig w:usb0="00000003" w:usb1="288F0000" w:usb2="00000006" w:usb3="00000000" w:csb0="00040001" w:csb1="00000000"/>
  </w:font>
  <w:font w:name="Arial Narrow">
    <w:panose1 w:val="020B0606020202030204"/>
    <w:charset w:val="00"/>
    <w:family w:val="swiss"/>
    <w:pitch w:val="default"/>
    <w:sig w:usb0="00000287" w:usb1="00000800" w:usb2="00000000" w:usb3="00000000" w:csb0="2000009F" w:csb1="DFD7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汉仪书宋二简">
    <w:panose1 w:val="02010600000101010101"/>
    <w:charset w:val="86"/>
    <w:family w:val="auto"/>
    <w:pitch w:val="default"/>
    <w:sig w:usb0="00000001" w:usb1="080E0800" w:usb2="00000002" w:usb3="00000000" w:csb0="00040000" w:csb1="00000000"/>
    <w:embedRegular r:id="rId3" w:fontKey="{EF0D0E3E-206F-440F-BF76-C52BD3B2DD13}"/>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embedRegular r:id="rId4" w:fontKey="{ECAE2318-F829-47CD-B009-651ABEB7980F}"/>
  </w:font>
  <w:font w:name="Cambria Math">
    <w:panose1 w:val="02040503050406030204"/>
    <w:charset w:val="00"/>
    <w:family w:val="roman"/>
    <w:pitch w:val="default"/>
    <w:sig w:usb0="E00002FF" w:usb1="420024FF" w:usb2="00000000" w:usb3="00000000" w:csb0="2000019F" w:csb1="00000000"/>
    <w:embedRegular r:id="rId5" w:fontKey="{37F723C7-F410-4095-ADED-2A66EC5A6258}"/>
  </w:font>
  <w:font w:name="等线">
    <w:panose1 w:val="02010600030101010101"/>
    <w:charset w:val="86"/>
    <w:family w:val="auto"/>
    <w:pitch w:val="default"/>
    <w:sig w:usb0="A00002BF" w:usb1="38CF7CFA" w:usb2="00000016" w:usb3="00000000" w:csb0="0004000F" w:csb1="00000000"/>
    <w:embedRegular r:id="rId6" w:fontKey="{C0D2E3EE-5DEE-4336-B069-363AD981D925}"/>
  </w:font>
  <w:font w:name="MS PGothic">
    <w:panose1 w:val="020B0600070205080204"/>
    <w:charset w:val="80"/>
    <w:family w:val="swiss"/>
    <w:pitch w:val="default"/>
    <w:sig w:usb0="E00002FF" w:usb1="6AC7FDFB" w:usb2="00000012" w:usb3="00000000" w:csb0="4002009F" w:csb1="DFD70000"/>
    <w:embedRegular r:id="rId7" w:fontKey="{B016DBA3-4DFE-435E-A0B9-6555E724C9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r>
      <w:rPr>
        <w:rFonts w:ascii="Times New Roman" w:cs="Times New Roman"/>
      </w:rPr>
      <w:fldChar w:fldCharType="begin"/>
    </w:r>
    <w:r>
      <w:rPr>
        <w:rFonts w:ascii="Times New Roman" w:cs="Times New Roman"/>
      </w:rPr>
      <w:instrText xml:space="preserve">PAGE   \* MERGEFORMAT</w:instrText>
    </w:r>
    <w:r>
      <w:rPr>
        <w:rFonts w:ascii="Times New Roman" w:cs="Times New Roman"/>
      </w:rPr>
      <w:fldChar w:fldCharType="separate"/>
    </w:r>
    <w:r>
      <w:rPr>
        <w:rFonts w:ascii="Times New Roman" w:cs="Times New Roman"/>
        <w:lang w:val="zh-CN"/>
      </w:rPr>
      <w:t>117</w:t>
    </w:r>
    <w:r>
      <w:rPr>
        <w:rFonts w:ascii="Times New Roman" w:cs="Times New Roma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r>
      <w:rPr>
        <w:rFonts w:ascii="Times New Roman" w:cs="Times New Roman"/>
      </w:rPr>
      <w:fldChar w:fldCharType="begin"/>
    </w:r>
    <w:r>
      <w:rPr>
        <w:rFonts w:ascii="Times New Roman" w:cs="Times New Roman"/>
      </w:rPr>
      <w:instrText xml:space="preserve">PAGE   \* MERGEFORMAT</w:instrText>
    </w:r>
    <w:r>
      <w:rPr>
        <w:rFonts w:ascii="Times New Roman" w:cs="Times New Roman"/>
      </w:rPr>
      <w:fldChar w:fldCharType="separate"/>
    </w:r>
    <w:r>
      <w:rPr>
        <w:rFonts w:ascii="Times New Roman" w:cs="Times New Roman"/>
        <w:lang w:val="zh-CN"/>
      </w:rPr>
      <w:t>220</w:t>
    </w:r>
    <w:r>
      <w:rPr>
        <w:rFonts w:ascii="Times New Roman" w:cs="Times New Roma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firstLine="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r>
      <w:rPr>
        <w:rFonts w:ascii="Times New Roman" w:cs="Times New Roman"/>
      </w:rPr>
      <w:fldChar w:fldCharType="begin"/>
    </w:r>
    <w:r>
      <w:rPr>
        <w:rFonts w:ascii="Times New Roman" w:cs="Times New Roman"/>
      </w:rPr>
      <w:instrText xml:space="preserve">PAGE   \* MERGEFORMAT</w:instrText>
    </w:r>
    <w:r>
      <w:rPr>
        <w:rFonts w:ascii="Times New Roman" w:cs="Times New Roman"/>
      </w:rPr>
      <w:fldChar w:fldCharType="separate"/>
    </w:r>
    <w:r>
      <w:rPr>
        <w:rFonts w:ascii="Times New Roman" w:cs="Times New Roman"/>
        <w:lang w:val="zh-CN"/>
      </w:rPr>
      <w:t>277</w:t>
    </w:r>
    <w:r>
      <w:rPr>
        <w:rFonts w:ascii="Times New Roman" w:cs="Times New Roma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firstLine="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firstLine="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r>
      <w:rPr>
        <w:rFonts w:ascii="Times New Roman" w:cs="Times New Roman"/>
      </w:rPr>
      <w:fldChar w:fldCharType="begin"/>
    </w:r>
    <w:r>
      <w:rPr>
        <w:rFonts w:ascii="Times New Roman" w:cs="Times New Roman"/>
      </w:rPr>
      <w:instrText xml:space="preserve">PAGE   \* MERGEFORMAT</w:instrText>
    </w:r>
    <w:r>
      <w:rPr>
        <w:rFonts w:ascii="Times New Roman" w:cs="Times New Roman"/>
      </w:rPr>
      <w:fldChar w:fldCharType="separate"/>
    </w:r>
    <w:r>
      <w:rPr>
        <w:rFonts w:ascii="Times New Roman" w:cs="Times New Roman"/>
        <w:lang w:val="zh-CN"/>
      </w:rPr>
      <w:t>317</w:t>
    </w:r>
    <w:r>
      <w:rPr>
        <w:rFonts w:ascii="Times New Roman" w:cs="Times New Roman"/>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firstLine="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r>
      <w:rPr>
        <w:rFonts w:ascii="Times New Roman" w:cs="Times New Roman"/>
      </w:rPr>
      <w:fldChar w:fldCharType="begin"/>
    </w:r>
    <w:r>
      <w:rPr>
        <w:rFonts w:ascii="Times New Roman" w:cs="Times New Roman"/>
      </w:rPr>
      <w:instrText xml:space="preserve">PAGE   \* MERGEFORMAT</w:instrText>
    </w:r>
    <w:r>
      <w:rPr>
        <w:rFonts w:ascii="Times New Roman" w:cs="Times New Roman"/>
      </w:rPr>
      <w:fldChar w:fldCharType="separate"/>
    </w:r>
    <w:r>
      <w:rPr>
        <w:rFonts w:ascii="Times New Roman" w:cs="Times New Roman"/>
        <w:lang w:val="zh-CN"/>
      </w:rPr>
      <w:t>6</w:t>
    </w:r>
    <w:r>
      <w:rPr>
        <w:rFonts w:ascii="Times New Roman" w:cs="Times New Roma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rPr>
        <w:rFonts w:ascii="Times New Roman" w:cs="Times New Roman"/>
      </w:rPr>
    </w:pPr>
    <w:r>
      <w:rPr>
        <w:rFonts w:ascii="Times New Roman" w:cs="Times New Roman"/>
      </w:rPr>
      <w:fldChar w:fldCharType="begin"/>
    </w:r>
    <w:r>
      <w:rPr>
        <w:rFonts w:ascii="Times New Roman" w:cs="Times New Roman"/>
      </w:rPr>
      <w:instrText xml:space="preserve">PAGE   \* MERGEFORMAT</w:instrText>
    </w:r>
    <w:r>
      <w:rPr>
        <w:rFonts w:ascii="Times New Roman" w:cs="Times New Roman"/>
      </w:rPr>
      <w:fldChar w:fldCharType="separate"/>
    </w:r>
    <w:r>
      <w:rPr>
        <w:rFonts w:ascii="Times New Roman" w:cs="Times New Roman"/>
      </w:rPr>
      <w:t>21</w:t>
    </w:r>
    <w:r>
      <w:rPr>
        <w:rFonts w:ascii="Times New Roman" w:cs="Times New Roma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Bdr>
        <w:bottom w:val="none" w:color="auto" w:sz="0" w:space="0"/>
      </w:pBdr>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Bdr>
        <w:bottom w:val="none" w:color="auto" w:sz="0" w:space="0"/>
      </w:pBdr>
      <w:ind w:firstLine="0" w:firstLineChars="0"/>
      <w:jc w:val="both"/>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4"/>
      <w:ind w:firstLine="42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Bdr>
        <w:bottom w:val="none" w:color="auto" w:sz="0" w:space="0"/>
      </w:pBdr>
      <w:ind w:firstLine="36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4"/>
      <w:ind w:firstLine="42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Bdr>
        <w:bottom w:val="none" w:color="auto" w:sz="0" w:space="0"/>
      </w:pBdr>
      <w:ind w:firstLine="0" w:firstLineChars="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Bdr>
        <w:bottom w:val="none" w:color="auto" w:sz="0" w:space="0"/>
      </w:pBdr>
      <w:ind w:firstLine="0" w:firstLineChars="0"/>
      <w:jc w:val="both"/>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E19F8B"/>
    <w:multiLevelType w:val="singleLevel"/>
    <w:tmpl w:val="83E19F8B"/>
    <w:lvl w:ilvl="0" w:tentative="0">
      <w:start w:val="4"/>
      <w:numFmt w:val="decimal"/>
      <w:suff w:val="nothing"/>
      <w:lvlText w:val="（%1）"/>
      <w:lvlJc w:val="left"/>
    </w:lvl>
  </w:abstractNum>
  <w:abstractNum w:abstractNumId="1">
    <w:nsid w:val="0B4D1D85"/>
    <w:multiLevelType w:val="singleLevel"/>
    <w:tmpl w:val="0B4D1D85"/>
    <w:lvl w:ilvl="0" w:tentative="0">
      <w:start w:val="1"/>
      <w:numFmt w:val="upperLetter"/>
      <w:suff w:val="nothing"/>
      <w:lvlText w:val="%1、"/>
      <w:lvlJc w:val="left"/>
    </w:lvl>
  </w:abstractNum>
  <w:abstractNum w:abstractNumId="2">
    <w:nsid w:val="71B21497"/>
    <w:multiLevelType w:val="multilevel"/>
    <w:tmpl w:val="71B21497"/>
    <w:lvl w:ilvl="0" w:tentative="0">
      <w:start w:val="1"/>
      <w:numFmt w:val="decimal"/>
      <w:pStyle w:val="564"/>
      <w:isLgl/>
      <w:suff w:val="nothing"/>
      <w:lvlText w:val="（%1）"/>
      <w:lvlJc w:val="left"/>
      <w:pPr>
        <w:ind w:left="0" w:firstLine="476"/>
      </w:pPr>
      <w:rPr>
        <w:rFonts w:hint="eastAsia" w:ascii="宋体" w:eastAsia="宋体"/>
      </w:rPr>
    </w:lvl>
    <w:lvl w:ilvl="1" w:tentative="0">
      <w:start w:val="1"/>
      <w:numFmt w:val="decimal"/>
      <w:isLgl/>
      <w:suff w:val="nothing"/>
      <w:lvlText w:val="%2）"/>
      <w:lvlJc w:val="left"/>
      <w:pPr>
        <w:ind w:left="0" w:firstLine="476"/>
      </w:pPr>
      <w:rPr>
        <w:rFonts w:hint="eastAsia" w:ascii="宋体" w:eastAsia="宋体"/>
      </w:rPr>
    </w:lvl>
    <w:lvl w:ilvl="2" w:tentative="0">
      <w:start w:val="1"/>
      <w:numFmt w:val="decimalEnclosedCircle"/>
      <w:suff w:val="nothing"/>
      <w:lvlText w:val="%3"/>
      <w:lvlJc w:val="left"/>
      <w:pPr>
        <w:ind w:left="0" w:firstLine="476"/>
      </w:pPr>
      <w:rPr>
        <w:rFonts w:hint="eastAsia" w:ascii="宋体" w:eastAsia="宋体"/>
      </w:rPr>
    </w:lvl>
    <w:lvl w:ilvl="3" w:tentative="0">
      <w:start w:val="1"/>
      <w:numFmt w:val="lowerLetter"/>
      <w:suff w:val="nothing"/>
      <w:lvlText w:val="%4."/>
      <w:lvlJc w:val="left"/>
      <w:pPr>
        <w:ind w:left="0" w:firstLine="476"/>
      </w:pPr>
      <w:rPr>
        <w:rFonts w:hint="eastAsia" w:ascii="宋体" w:eastAsia="宋体"/>
        <w:b w:val="0"/>
      </w:rPr>
    </w:lvl>
    <w:lvl w:ilvl="4" w:tentative="0">
      <w:start w:val="1"/>
      <w:numFmt w:val="lowerLetter"/>
      <w:suff w:val="nothing"/>
      <w:lvlText w:val="%5）"/>
      <w:lvlJc w:val="left"/>
      <w:pPr>
        <w:ind w:left="1509" w:firstLine="476"/>
      </w:pPr>
      <w:rPr>
        <w:rFonts w:hint="eastAsia" w:ascii="宋体" w:eastAsia="宋体"/>
        <w:b w:val="0"/>
      </w:rPr>
    </w:lvl>
    <w:lvl w:ilvl="5" w:tentative="0">
      <w:start w:val="1"/>
      <w:numFmt w:val="upperRoman"/>
      <w:suff w:val="nothing"/>
      <w:lvlText w:val="%6"/>
      <w:lvlJc w:val="left"/>
      <w:pPr>
        <w:ind w:left="0" w:firstLine="476"/>
      </w:pPr>
      <w:rPr>
        <w:rFonts w:hint="eastAsia" w:ascii="宋体" w:eastAsia="宋体"/>
      </w:rPr>
    </w:lvl>
    <w:lvl w:ilvl="6" w:tentative="0">
      <w:start w:val="1"/>
      <w:numFmt w:val="lowerRoman"/>
      <w:suff w:val="nothing"/>
      <w:lvlText w:val="%7."/>
      <w:lvlJc w:val="left"/>
      <w:pPr>
        <w:ind w:left="0" w:firstLine="476"/>
      </w:pPr>
      <w:rPr>
        <w:rFonts w:hint="eastAsia"/>
      </w:rPr>
    </w:lvl>
    <w:lvl w:ilvl="7" w:tentative="0">
      <w:start w:val="1"/>
      <w:numFmt w:val="upperRoman"/>
      <w:suff w:val="nothing"/>
      <w:lvlText w:val="%8"/>
      <w:lvlJc w:val="left"/>
      <w:pPr>
        <w:ind w:left="0" w:firstLine="476"/>
      </w:pPr>
      <w:rPr>
        <w:rFonts w:hint="eastAsia"/>
      </w:rPr>
    </w:lvl>
    <w:lvl w:ilvl="8" w:tentative="0">
      <w:start w:val="1"/>
      <w:numFmt w:val="lowerRoman"/>
      <w:suff w:val="nothing"/>
      <w:lvlText w:val="%9"/>
      <w:lvlJc w:val="left"/>
      <w:pPr>
        <w:ind w:left="0" w:firstLine="476"/>
      </w:pPr>
      <w:rPr>
        <w:rFonts w:hint="eastAsia"/>
      </w:rPr>
    </w:lvl>
  </w:abstractNum>
  <w:abstractNum w:abstractNumId="3">
    <w:nsid w:val="7ABC514E"/>
    <w:multiLevelType w:val="multilevel"/>
    <w:tmpl w:val="7ABC514E"/>
    <w:lvl w:ilvl="0" w:tentative="0">
      <w:start w:val="1"/>
      <w:numFmt w:val="decimalEnclosedCircle"/>
      <w:pStyle w:val="263"/>
      <w:lvlText w:val="%1"/>
      <w:lvlJc w:val="left"/>
      <w:pPr>
        <w:ind w:left="840" w:hanging="360"/>
      </w:pPr>
      <w:rPr>
        <w:rFonts w:hint="default" w:ascii="宋体" w:hAnsi="宋体" w:eastAsia="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pStyle w:val="214"/>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7C7EB389"/>
    <w:multiLevelType w:val="singleLevel"/>
    <w:tmpl w:val="7C7EB389"/>
    <w:lvl w:ilvl="0" w:tentative="0">
      <w:start w:val="4"/>
      <w:numFmt w:val="decimal"/>
      <w:suff w:val="nothing"/>
      <w:lvlText w:val="%1）"/>
      <w:lvlJc w:val="left"/>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yMjhkYTYyOTE5MzZkNTk3MjI4ZjVjYWI2MzM3NjkifQ=="/>
  </w:docVars>
  <w:rsids>
    <w:rsidRoot w:val="002F6860"/>
    <w:rsid w:val="00000A9D"/>
    <w:rsid w:val="00001757"/>
    <w:rsid w:val="00002647"/>
    <w:rsid w:val="000033AA"/>
    <w:rsid w:val="00003D80"/>
    <w:rsid w:val="00006097"/>
    <w:rsid w:val="00006F4A"/>
    <w:rsid w:val="00011028"/>
    <w:rsid w:val="000113A8"/>
    <w:rsid w:val="000127FE"/>
    <w:rsid w:val="0001315C"/>
    <w:rsid w:val="00016A5F"/>
    <w:rsid w:val="00017303"/>
    <w:rsid w:val="00020DA9"/>
    <w:rsid w:val="000215DE"/>
    <w:rsid w:val="00024BF9"/>
    <w:rsid w:val="000255B6"/>
    <w:rsid w:val="0002625A"/>
    <w:rsid w:val="00026F57"/>
    <w:rsid w:val="00030601"/>
    <w:rsid w:val="00031D6F"/>
    <w:rsid w:val="00032123"/>
    <w:rsid w:val="000327C3"/>
    <w:rsid w:val="00032CF1"/>
    <w:rsid w:val="00034734"/>
    <w:rsid w:val="000357C8"/>
    <w:rsid w:val="00035E91"/>
    <w:rsid w:val="00036505"/>
    <w:rsid w:val="00042195"/>
    <w:rsid w:val="00043E39"/>
    <w:rsid w:val="00044303"/>
    <w:rsid w:val="00051B44"/>
    <w:rsid w:val="00052C45"/>
    <w:rsid w:val="00053203"/>
    <w:rsid w:val="00053AE5"/>
    <w:rsid w:val="00055EC3"/>
    <w:rsid w:val="00057F74"/>
    <w:rsid w:val="00062F6D"/>
    <w:rsid w:val="000637D9"/>
    <w:rsid w:val="0006480A"/>
    <w:rsid w:val="000654D5"/>
    <w:rsid w:val="000658A5"/>
    <w:rsid w:val="00067C6D"/>
    <w:rsid w:val="00067DBE"/>
    <w:rsid w:val="0007036C"/>
    <w:rsid w:val="000713CB"/>
    <w:rsid w:val="00072471"/>
    <w:rsid w:val="00072F4D"/>
    <w:rsid w:val="00074CB2"/>
    <w:rsid w:val="00081032"/>
    <w:rsid w:val="00081889"/>
    <w:rsid w:val="000819D9"/>
    <w:rsid w:val="00082066"/>
    <w:rsid w:val="00082D90"/>
    <w:rsid w:val="000846A1"/>
    <w:rsid w:val="00084952"/>
    <w:rsid w:val="00084DD2"/>
    <w:rsid w:val="00084FA3"/>
    <w:rsid w:val="000851B1"/>
    <w:rsid w:val="000862ED"/>
    <w:rsid w:val="00091F65"/>
    <w:rsid w:val="0009382D"/>
    <w:rsid w:val="00095B51"/>
    <w:rsid w:val="00096A2C"/>
    <w:rsid w:val="00096FB9"/>
    <w:rsid w:val="00097B2C"/>
    <w:rsid w:val="000A2E7B"/>
    <w:rsid w:val="000A3853"/>
    <w:rsid w:val="000A4AB5"/>
    <w:rsid w:val="000A55F2"/>
    <w:rsid w:val="000A5965"/>
    <w:rsid w:val="000A6257"/>
    <w:rsid w:val="000B193E"/>
    <w:rsid w:val="000B2A7F"/>
    <w:rsid w:val="000B2F07"/>
    <w:rsid w:val="000B2F10"/>
    <w:rsid w:val="000B4BFB"/>
    <w:rsid w:val="000B6ED5"/>
    <w:rsid w:val="000B7A10"/>
    <w:rsid w:val="000C0F0D"/>
    <w:rsid w:val="000C44C6"/>
    <w:rsid w:val="000C4E8D"/>
    <w:rsid w:val="000C598B"/>
    <w:rsid w:val="000C5DAE"/>
    <w:rsid w:val="000C6323"/>
    <w:rsid w:val="000C65A8"/>
    <w:rsid w:val="000C6E05"/>
    <w:rsid w:val="000D06B4"/>
    <w:rsid w:val="000D0A68"/>
    <w:rsid w:val="000D1B44"/>
    <w:rsid w:val="000D2CA4"/>
    <w:rsid w:val="000D3DA5"/>
    <w:rsid w:val="000D3DD2"/>
    <w:rsid w:val="000D4243"/>
    <w:rsid w:val="000D4303"/>
    <w:rsid w:val="000D4CF7"/>
    <w:rsid w:val="000D775D"/>
    <w:rsid w:val="000E3D17"/>
    <w:rsid w:val="000E4591"/>
    <w:rsid w:val="000E5160"/>
    <w:rsid w:val="000F232E"/>
    <w:rsid w:val="000F2E61"/>
    <w:rsid w:val="000F57FD"/>
    <w:rsid w:val="000F6BEF"/>
    <w:rsid w:val="000F705A"/>
    <w:rsid w:val="000F7383"/>
    <w:rsid w:val="0010055E"/>
    <w:rsid w:val="001007F2"/>
    <w:rsid w:val="001009BC"/>
    <w:rsid w:val="001011F2"/>
    <w:rsid w:val="00102095"/>
    <w:rsid w:val="00102E33"/>
    <w:rsid w:val="00104961"/>
    <w:rsid w:val="00110F02"/>
    <w:rsid w:val="0011144B"/>
    <w:rsid w:val="0011179D"/>
    <w:rsid w:val="00112504"/>
    <w:rsid w:val="00112738"/>
    <w:rsid w:val="00117C3D"/>
    <w:rsid w:val="001205FA"/>
    <w:rsid w:val="001231CF"/>
    <w:rsid w:val="00124375"/>
    <w:rsid w:val="00124F3E"/>
    <w:rsid w:val="00126075"/>
    <w:rsid w:val="00126822"/>
    <w:rsid w:val="00126D01"/>
    <w:rsid w:val="00130544"/>
    <w:rsid w:val="0013064A"/>
    <w:rsid w:val="001318DC"/>
    <w:rsid w:val="0013448D"/>
    <w:rsid w:val="001364E0"/>
    <w:rsid w:val="00137B2F"/>
    <w:rsid w:val="00143564"/>
    <w:rsid w:val="00143A4D"/>
    <w:rsid w:val="0014404A"/>
    <w:rsid w:val="0014487A"/>
    <w:rsid w:val="00146A53"/>
    <w:rsid w:val="00146FCA"/>
    <w:rsid w:val="00147EAE"/>
    <w:rsid w:val="00150DB2"/>
    <w:rsid w:val="00152773"/>
    <w:rsid w:val="00152DD1"/>
    <w:rsid w:val="001540E2"/>
    <w:rsid w:val="0015431B"/>
    <w:rsid w:val="001549F6"/>
    <w:rsid w:val="00155DD1"/>
    <w:rsid w:val="001600C0"/>
    <w:rsid w:val="00160BE4"/>
    <w:rsid w:val="00161567"/>
    <w:rsid w:val="00162134"/>
    <w:rsid w:val="001626C7"/>
    <w:rsid w:val="00162952"/>
    <w:rsid w:val="00163678"/>
    <w:rsid w:val="00165EAC"/>
    <w:rsid w:val="0016641A"/>
    <w:rsid w:val="00166EC3"/>
    <w:rsid w:val="00170630"/>
    <w:rsid w:val="00172FF3"/>
    <w:rsid w:val="00173715"/>
    <w:rsid w:val="001737E6"/>
    <w:rsid w:val="00174753"/>
    <w:rsid w:val="0017585A"/>
    <w:rsid w:val="0018209F"/>
    <w:rsid w:val="0018459E"/>
    <w:rsid w:val="0018583F"/>
    <w:rsid w:val="001862BD"/>
    <w:rsid w:val="00186EAC"/>
    <w:rsid w:val="00187B2E"/>
    <w:rsid w:val="00187EB5"/>
    <w:rsid w:val="00190C6F"/>
    <w:rsid w:val="0019193E"/>
    <w:rsid w:val="001919E2"/>
    <w:rsid w:val="00191F36"/>
    <w:rsid w:val="001921D7"/>
    <w:rsid w:val="001927D1"/>
    <w:rsid w:val="00194517"/>
    <w:rsid w:val="001947C2"/>
    <w:rsid w:val="00194AFC"/>
    <w:rsid w:val="001950D0"/>
    <w:rsid w:val="001964D5"/>
    <w:rsid w:val="00196932"/>
    <w:rsid w:val="00196A53"/>
    <w:rsid w:val="001A254A"/>
    <w:rsid w:val="001A28CE"/>
    <w:rsid w:val="001A48A3"/>
    <w:rsid w:val="001A4D50"/>
    <w:rsid w:val="001A6093"/>
    <w:rsid w:val="001A683F"/>
    <w:rsid w:val="001A7776"/>
    <w:rsid w:val="001B513A"/>
    <w:rsid w:val="001B6E46"/>
    <w:rsid w:val="001B764A"/>
    <w:rsid w:val="001B7678"/>
    <w:rsid w:val="001C15BE"/>
    <w:rsid w:val="001C43F5"/>
    <w:rsid w:val="001C4BC6"/>
    <w:rsid w:val="001C7921"/>
    <w:rsid w:val="001D3F0F"/>
    <w:rsid w:val="001D4A49"/>
    <w:rsid w:val="001D5C63"/>
    <w:rsid w:val="001D642B"/>
    <w:rsid w:val="001D7628"/>
    <w:rsid w:val="001D7731"/>
    <w:rsid w:val="001E45AD"/>
    <w:rsid w:val="001E48DD"/>
    <w:rsid w:val="001E7766"/>
    <w:rsid w:val="001E79D3"/>
    <w:rsid w:val="001F01B0"/>
    <w:rsid w:val="001F1394"/>
    <w:rsid w:val="001F1679"/>
    <w:rsid w:val="001F39A8"/>
    <w:rsid w:val="001F4A69"/>
    <w:rsid w:val="001F5B9C"/>
    <w:rsid w:val="001F63EB"/>
    <w:rsid w:val="001F7814"/>
    <w:rsid w:val="00200253"/>
    <w:rsid w:val="00200C3C"/>
    <w:rsid w:val="00200E4A"/>
    <w:rsid w:val="002016A1"/>
    <w:rsid w:val="00202BCF"/>
    <w:rsid w:val="00203FCF"/>
    <w:rsid w:val="00205574"/>
    <w:rsid w:val="002055B5"/>
    <w:rsid w:val="002062D5"/>
    <w:rsid w:val="0021079D"/>
    <w:rsid w:val="00211A77"/>
    <w:rsid w:val="002132B9"/>
    <w:rsid w:val="00213A2B"/>
    <w:rsid w:val="00214B41"/>
    <w:rsid w:val="00214E53"/>
    <w:rsid w:val="0021697D"/>
    <w:rsid w:val="002169CB"/>
    <w:rsid w:val="00216A66"/>
    <w:rsid w:val="00216A74"/>
    <w:rsid w:val="00217AE8"/>
    <w:rsid w:val="002209D1"/>
    <w:rsid w:val="00221E85"/>
    <w:rsid w:val="0022383C"/>
    <w:rsid w:val="00223E81"/>
    <w:rsid w:val="00224317"/>
    <w:rsid w:val="002246E4"/>
    <w:rsid w:val="00226CA6"/>
    <w:rsid w:val="00227D7D"/>
    <w:rsid w:val="00230D2D"/>
    <w:rsid w:val="00231D5B"/>
    <w:rsid w:val="0023209D"/>
    <w:rsid w:val="002330C4"/>
    <w:rsid w:val="0023542E"/>
    <w:rsid w:val="00235D61"/>
    <w:rsid w:val="00240248"/>
    <w:rsid w:val="002408F4"/>
    <w:rsid w:val="002409BF"/>
    <w:rsid w:val="00240DD3"/>
    <w:rsid w:val="00241B86"/>
    <w:rsid w:val="00245667"/>
    <w:rsid w:val="00246531"/>
    <w:rsid w:val="00246ABB"/>
    <w:rsid w:val="00251CEC"/>
    <w:rsid w:val="002528C5"/>
    <w:rsid w:val="00252FD0"/>
    <w:rsid w:val="00253AF1"/>
    <w:rsid w:val="00254763"/>
    <w:rsid w:val="002548A4"/>
    <w:rsid w:val="002554E9"/>
    <w:rsid w:val="00256996"/>
    <w:rsid w:val="00262163"/>
    <w:rsid w:val="002622A7"/>
    <w:rsid w:val="00263096"/>
    <w:rsid w:val="002641F6"/>
    <w:rsid w:val="00264D2E"/>
    <w:rsid w:val="00265A8C"/>
    <w:rsid w:val="00265C62"/>
    <w:rsid w:val="00272065"/>
    <w:rsid w:val="00272A45"/>
    <w:rsid w:val="00272B1E"/>
    <w:rsid w:val="0027458E"/>
    <w:rsid w:val="00275E50"/>
    <w:rsid w:val="00277566"/>
    <w:rsid w:val="0028375E"/>
    <w:rsid w:val="00283BF3"/>
    <w:rsid w:val="00284647"/>
    <w:rsid w:val="00285372"/>
    <w:rsid w:val="002869D5"/>
    <w:rsid w:val="002871C9"/>
    <w:rsid w:val="00287CE3"/>
    <w:rsid w:val="0029055C"/>
    <w:rsid w:val="00290D1D"/>
    <w:rsid w:val="00292BF2"/>
    <w:rsid w:val="002941D3"/>
    <w:rsid w:val="002957A2"/>
    <w:rsid w:val="00297479"/>
    <w:rsid w:val="00297845"/>
    <w:rsid w:val="002A0385"/>
    <w:rsid w:val="002A0D8A"/>
    <w:rsid w:val="002A1C47"/>
    <w:rsid w:val="002A3528"/>
    <w:rsid w:val="002B0BB1"/>
    <w:rsid w:val="002B0F01"/>
    <w:rsid w:val="002B1712"/>
    <w:rsid w:val="002B3E0C"/>
    <w:rsid w:val="002B7CAC"/>
    <w:rsid w:val="002C0965"/>
    <w:rsid w:val="002C62CA"/>
    <w:rsid w:val="002C7DE6"/>
    <w:rsid w:val="002D10F1"/>
    <w:rsid w:val="002D4BC8"/>
    <w:rsid w:val="002D5153"/>
    <w:rsid w:val="002D6259"/>
    <w:rsid w:val="002E0D4A"/>
    <w:rsid w:val="002E180E"/>
    <w:rsid w:val="002E1DBF"/>
    <w:rsid w:val="002E40B1"/>
    <w:rsid w:val="002E4EB7"/>
    <w:rsid w:val="002E53F3"/>
    <w:rsid w:val="002E6511"/>
    <w:rsid w:val="002E691B"/>
    <w:rsid w:val="002E779E"/>
    <w:rsid w:val="002E7EEF"/>
    <w:rsid w:val="002F00DB"/>
    <w:rsid w:val="002F2873"/>
    <w:rsid w:val="002F2C1D"/>
    <w:rsid w:val="002F6860"/>
    <w:rsid w:val="002F70C4"/>
    <w:rsid w:val="002F7292"/>
    <w:rsid w:val="00300933"/>
    <w:rsid w:val="00300BA0"/>
    <w:rsid w:val="00302320"/>
    <w:rsid w:val="003030B4"/>
    <w:rsid w:val="003049FF"/>
    <w:rsid w:val="00304FD7"/>
    <w:rsid w:val="00305DB0"/>
    <w:rsid w:val="00311E26"/>
    <w:rsid w:val="00312119"/>
    <w:rsid w:val="00312435"/>
    <w:rsid w:val="00314B50"/>
    <w:rsid w:val="00314C06"/>
    <w:rsid w:val="00315747"/>
    <w:rsid w:val="003163DE"/>
    <w:rsid w:val="003171EC"/>
    <w:rsid w:val="0031720E"/>
    <w:rsid w:val="0032084F"/>
    <w:rsid w:val="00321EEC"/>
    <w:rsid w:val="003228E0"/>
    <w:rsid w:val="003229D8"/>
    <w:rsid w:val="00323202"/>
    <w:rsid w:val="00323B14"/>
    <w:rsid w:val="003251F0"/>
    <w:rsid w:val="00325348"/>
    <w:rsid w:val="003262CF"/>
    <w:rsid w:val="00326579"/>
    <w:rsid w:val="00327691"/>
    <w:rsid w:val="00330BDA"/>
    <w:rsid w:val="00332450"/>
    <w:rsid w:val="003345B2"/>
    <w:rsid w:val="003371DA"/>
    <w:rsid w:val="00337B64"/>
    <w:rsid w:val="0034337F"/>
    <w:rsid w:val="00344757"/>
    <w:rsid w:val="00345AF9"/>
    <w:rsid w:val="00350739"/>
    <w:rsid w:val="00351256"/>
    <w:rsid w:val="003530C3"/>
    <w:rsid w:val="003536F6"/>
    <w:rsid w:val="00353B08"/>
    <w:rsid w:val="00354D39"/>
    <w:rsid w:val="003608BC"/>
    <w:rsid w:val="0036092F"/>
    <w:rsid w:val="00362D50"/>
    <w:rsid w:val="00362F1C"/>
    <w:rsid w:val="00365233"/>
    <w:rsid w:val="003655DE"/>
    <w:rsid w:val="003706B8"/>
    <w:rsid w:val="00370C33"/>
    <w:rsid w:val="00370DF5"/>
    <w:rsid w:val="0037392F"/>
    <w:rsid w:val="00380568"/>
    <w:rsid w:val="00380F96"/>
    <w:rsid w:val="00381CA3"/>
    <w:rsid w:val="00383319"/>
    <w:rsid w:val="00383D53"/>
    <w:rsid w:val="00384099"/>
    <w:rsid w:val="00386B13"/>
    <w:rsid w:val="00390E60"/>
    <w:rsid w:val="00392539"/>
    <w:rsid w:val="00392E67"/>
    <w:rsid w:val="003A03D1"/>
    <w:rsid w:val="003A0A1F"/>
    <w:rsid w:val="003A12C9"/>
    <w:rsid w:val="003A2CEB"/>
    <w:rsid w:val="003A4E34"/>
    <w:rsid w:val="003A65E4"/>
    <w:rsid w:val="003A7CE8"/>
    <w:rsid w:val="003B23E9"/>
    <w:rsid w:val="003B38AE"/>
    <w:rsid w:val="003B52A6"/>
    <w:rsid w:val="003B58A5"/>
    <w:rsid w:val="003B6DBD"/>
    <w:rsid w:val="003C05C7"/>
    <w:rsid w:val="003C1FBC"/>
    <w:rsid w:val="003C2664"/>
    <w:rsid w:val="003C2923"/>
    <w:rsid w:val="003C3D81"/>
    <w:rsid w:val="003C3F3A"/>
    <w:rsid w:val="003C4CAF"/>
    <w:rsid w:val="003C5A27"/>
    <w:rsid w:val="003D1F10"/>
    <w:rsid w:val="003D21D0"/>
    <w:rsid w:val="003D3D79"/>
    <w:rsid w:val="003D3F73"/>
    <w:rsid w:val="003D7C96"/>
    <w:rsid w:val="003E2A7C"/>
    <w:rsid w:val="003E327E"/>
    <w:rsid w:val="003E38DC"/>
    <w:rsid w:val="003E3DE7"/>
    <w:rsid w:val="003E4F1C"/>
    <w:rsid w:val="003E7A8B"/>
    <w:rsid w:val="003F128D"/>
    <w:rsid w:val="003F1619"/>
    <w:rsid w:val="003F1710"/>
    <w:rsid w:val="003F1DF4"/>
    <w:rsid w:val="003F5E50"/>
    <w:rsid w:val="00401740"/>
    <w:rsid w:val="004017DE"/>
    <w:rsid w:val="00403916"/>
    <w:rsid w:val="00403C6A"/>
    <w:rsid w:val="00403D70"/>
    <w:rsid w:val="00404320"/>
    <w:rsid w:val="00404445"/>
    <w:rsid w:val="00405131"/>
    <w:rsid w:val="00405DFB"/>
    <w:rsid w:val="004063FC"/>
    <w:rsid w:val="00407A52"/>
    <w:rsid w:val="004106A3"/>
    <w:rsid w:val="0041271A"/>
    <w:rsid w:val="004127D5"/>
    <w:rsid w:val="00413A18"/>
    <w:rsid w:val="00417585"/>
    <w:rsid w:val="004210B7"/>
    <w:rsid w:val="00422077"/>
    <w:rsid w:val="00422112"/>
    <w:rsid w:val="00422512"/>
    <w:rsid w:val="00423978"/>
    <w:rsid w:val="0042573A"/>
    <w:rsid w:val="00425FC3"/>
    <w:rsid w:val="00426806"/>
    <w:rsid w:val="0042730F"/>
    <w:rsid w:val="00435B22"/>
    <w:rsid w:val="00435B66"/>
    <w:rsid w:val="0043634C"/>
    <w:rsid w:val="00436CFE"/>
    <w:rsid w:val="0043787D"/>
    <w:rsid w:val="00442EEB"/>
    <w:rsid w:val="00443182"/>
    <w:rsid w:val="004437DE"/>
    <w:rsid w:val="004449DB"/>
    <w:rsid w:val="00445566"/>
    <w:rsid w:val="00445FD8"/>
    <w:rsid w:val="00446969"/>
    <w:rsid w:val="004470C4"/>
    <w:rsid w:val="004475B5"/>
    <w:rsid w:val="00447B1D"/>
    <w:rsid w:val="00450146"/>
    <w:rsid w:val="00450249"/>
    <w:rsid w:val="004523C7"/>
    <w:rsid w:val="004547D8"/>
    <w:rsid w:val="0045597A"/>
    <w:rsid w:val="00455E0D"/>
    <w:rsid w:val="00455EB1"/>
    <w:rsid w:val="00456969"/>
    <w:rsid w:val="00457BA1"/>
    <w:rsid w:val="00457C87"/>
    <w:rsid w:val="00460142"/>
    <w:rsid w:val="00460D1C"/>
    <w:rsid w:val="00462058"/>
    <w:rsid w:val="004623FB"/>
    <w:rsid w:val="00464C05"/>
    <w:rsid w:val="00466139"/>
    <w:rsid w:val="0046627D"/>
    <w:rsid w:val="0046752E"/>
    <w:rsid w:val="0047210F"/>
    <w:rsid w:val="0047248F"/>
    <w:rsid w:val="0047504A"/>
    <w:rsid w:val="004750C5"/>
    <w:rsid w:val="00475289"/>
    <w:rsid w:val="00475643"/>
    <w:rsid w:val="004758C0"/>
    <w:rsid w:val="00475E3C"/>
    <w:rsid w:val="00476617"/>
    <w:rsid w:val="004777C1"/>
    <w:rsid w:val="00481D5D"/>
    <w:rsid w:val="004844A8"/>
    <w:rsid w:val="00486503"/>
    <w:rsid w:val="00486C6A"/>
    <w:rsid w:val="00486D81"/>
    <w:rsid w:val="004930CF"/>
    <w:rsid w:val="004933A6"/>
    <w:rsid w:val="004951DA"/>
    <w:rsid w:val="004A1902"/>
    <w:rsid w:val="004A321D"/>
    <w:rsid w:val="004A32D7"/>
    <w:rsid w:val="004A6C77"/>
    <w:rsid w:val="004A6D3D"/>
    <w:rsid w:val="004A6E71"/>
    <w:rsid w:val="004B05C3"/>
    <w:rsid w:val="004B093C"/>
    <w:rsid w:val="004B0ADE"/>
    <w:rsid w:val="004B0EEE"/>
    <w:rsid w:val="004B2814"/>
    <w:rsid w:val="004B2867"/>
    <w:rsid w:val="004B4662"/>
    <w:rsid w:val="004B4690"/>
    <w:rsid w:val="004B51D7"/>
    <w:rsid w:val="004B5C3E"/>
    <w:rsid w:val="004B6624"/>
    <w:rsid w:val="004C003B"/>
    <w:rsid w:val="004C35E7"/>
    <w:rsid w:val="004C3F28"/>
    <w:rsid w:val="004C4396"/>
    <w:rsid w:val="004D0B22"/>
    <w:rsid w:val="004D269E"/>
    <w:rsid w:val="004D269F"/>
    <w:rsid w:val="004D3E6E"/>
    <w:rsid w:val="004D52BB"/>
    <w:rsid w:val="004D57D2"/>
    <w:rsid w:val="004D5BA4"/>
    <w:rsid w:val="004D7160"/>
    <w:rsid w:val="004E00E5"/>
    <w:rsid w:val="004E0A38"/>
    <w:rsid w:val="004E18BF"/>
    <w:rsid w:val="004E24E2"/>
    <w:rsid w:val="004E264E"/>
    <w:rsid w:val="004E33E6"/>
    <w:rsid w:val="004E4058"/>
    <w:rsid w:val="004E5A66"/>
    <w:rsid w:val="004E5EE0"/>
    <w:rsid w:val="004E75BF"/>
    <w:rsid w:val="004F467B"/>
    <w:rsid w:val="004F5CE0"/>
    <w:rsid w:val="004F6D88"/>
    <w:rsid w:val="00502B3B"/>
    <w:rsid w:val="00502CEA"/>
    <w:rsid w:val="0050511D"/>
    <w:rsid w:val="00506E88"/>
    <w:rsid w:val="00507154"/>
    <w:rsid w:val="00507B82"/>
    <w:rsid w:val="005108EE"/>
    <w:rsid w:val="00513410"/>
    <w:rsid w:val="005143D5"/>
    <w:rsid w:val="005163AB"/>
    <w:rsid w:val="00516E62"/>
    <w:rsid w:val="00517571"/>
    <w:rsid w:val="00517854"/>
    <w:rsid w:val="00520ACF"/>
    <w:rsid w:val="00521C82"/>
    <w:rsid w:val="0052323B"/>
    <w:rsid w:val="00527612"/>
    <w:rsid w:val="00530EE9"/>
    <w:rsid w:val="00534053"/>
    <w:rsid w:val="00535171"/>
    <w:rsid w:val="00535F05"/>
    <w:rsid w:val="00537157"/>
    <w:rsid w:val="00537D60"/>
    <w:rsid w:val="0054593A"/>
    <w:rsid w:val="00545D57"/>
    <w:rsid w:val="00546269"/>
    <w:rsid w:val="00546B44"/>
    <w:rsid w:val="0054736B"/>
    <w:rsid w:val="00550C06"/>
    <w:rsid w:val="005511F9"/>
    <w:rsid w:val="005531B6"/>
    <w:rsid w:val="0055325E"/>
    <w:rsid w:val="005556BB"/>
    <w:rsid w:val="00555FE4"/>
    <w:rsid w:val="0055650C"/>
    <w:rsid w:val="0055688D"/>
    <w:rsid w:val="0055755B"/>
    <w:rsid w:val="005577EA"/>
    <w:rsid w:val="005608CB"/>
    <w:rsid w:val="00562990"/>
    <w:rsid w:val="00564295"/>
    <w:rsid w:val="005645BE"/>
    <w:rsid w:val="005649C2"/>
    <w:rsid w:val="0057018C"/>
    <w:rsid w:val="00570BE8"/>
    <w:rsid w:val="00570E54"/>
    <w:rsid w:val="00571024"/>
    <w:rsid w:val="00572AB4"/>
    <w:rsid w:val="0057322F"/>
    <w:rsid w:val="00573CD9"/>
    <w:rsid w:val="0057458D"/>
    <w:rsid w:val="00576767"/>
    <w:rsid w:val="00576E38"/>
    <w:rsid w:val="005774DC"/>
    <w:rsid w:val="00580231"/>
    <w:rsid w:val="005804DA"/>
    <w:rsid w:val="00580D8D"/>
    <w:rsid w:val="005827E5"/>
    <w:rsid w:val="00583EEB"/>
    <w:rsid w:val="00583FE0"/>
    <w:rsid w:val="00584463"/>
    <w:rsid w:val="00586636"/>
    <w:rsid w:val="00586C59"/>
    <w:rsid w:val="0058748A"/>
    <w:rsid w:val="00591302"/>
    <w:rsid w:val="00591F34"/>
    <w:rsid w:val="005920BD"/>
    <w:rsid w:val="00594FDC"/>
    <w:rsid w:val="00595C3C"/>
    <w:rsid w:val="00596175"/>
    <w:rsid w:val="0059701E"/>
    <w:rsid w:val="005970CE"/>
    <w:rsid w:val="005A0677"/>
    <w:rsid w:val="005A3CC0"/>
    <w:rsid w:val="005A5F05"/>
    <w:rsid w:val="005B4B8C"/>
    <w:rsid w:val="005B552D"/>
    <w:rsid w:val="005B5E45"/>
    <w:rsid w:val="005B6AEE"/>
    <w:rsid w:val="005B7B91"/>
    <w:rsid w:val="005C084D"/>
    <w:rsid w:val="005C7698"/>
    <w:rsid w:val="005C7A30"/>
    <w:rsid w:val="005D1D0B"/>
    <w:rsid w:val="005D3A58"/>
    <w:rsid w:val="005D56AE"/>
    <w:rsid w:val="005D6B63"/>
    <w:rsid w:val="005D76B7"/>
    <w:rsid w:val="005E0E91"/>
    <w:rsid w:val="005E247F"/>
    <w:rsid w:val="005E32F8"/>
    <w:rsid w:val="005E5334"/>
    <w:rsid w:val="005E5945"/>
    <w:rsid w:val="005E7131"/>
    <w:rsid w:val="005E7AC9"/>
    <w:rsid w:val="005F0550"/>
    <w:rsid w:val="005F0878"/>
    <w:rsid w:val="005F4317"/>
    <w:rsid w:val="005F5B7A"/>
    <w:rsid w:val="005F5CF6"/>
    <w:rsid w:val="005F5F1E"/>
    <w:rsid w:val="005F7AFA"/>
    <w:rsid w:val="00600287"/>
    <w:rsid w:val="00602CF9"/>
    <w:rsid w:val="006030F3"/>
    <w:rsid w:val="00603C50"/>
    <w:rsid w:val="00606FFF"/>
    <w:rsid w:val="00607C67"/>
    <w:rsid w:val="00607D0A"/>
    <w:rsid w:val="00610374"/>
    <w:rsid w:val="006119E3"/>
    <w:rsid w:val="00611D0D"/>
    <w:rsid w:val="00612940"/>
    <w:rsid w:val="0061485A"/>
    <w:rsid w:val="00615F4D"/>
    <w:rsid w:val="00617206"/>
    <w:rsid w:val="0061759A"/>
    <w:rsid w:val="00621F08"/>
    <w:rsid w:val="006243C4"/>
    <w:rsid w:val="0062455D"/>
    <w:rsid w:val="00624EC7"/>
    <w:rsid w:val="00627E58"/>
    <w:rsid w:val="00630DF2"/>
    <w:rsid w:val="0063106D"/>
    <w:rsid w:val="0063141B"/>
    <w:rsid w:val="00631CEC"/>
    <w:rsid w:val="00632127"/>
    <w:rsid w:val="00633FE9"/>
    <w:rsid w:val="00635315"/>
    <w:rsid w:val="00636ED8"/>
    <w:rsid w:val="0064170C"/>
    <w:rsid w:val="00644481"/>
    <w:rsid w:val="0064592E"/>
    <w:rsid w:val="00645A40"/>
    <w:rsid w:val="00646F79"/>
    <w:rsid w:val="00647CF2"/>
    <w:rsid w:val="00650028"/>
    <w:rsid w:val="00651A96"/>
    <w:rsid w:val="00653F09"/>
    <w:rsid w:val="00654567"/>
    <w:rsid w:val="00661B41"/>
    <w:rsid w:val="006632F7"/>
    <w:rsid w:val="00674F5F"/>
    <w:rsid w:val="00675807"/>
    <w:rsid w:val="00676307"/>
    <w:rsid w:val="006776ED"/>
    <w:rsid w:val="0068062C"/>
    <w:rsid w:val="006813FE"/>
    <w:rsid w:val="0068242A"/>
    <w:rsid w:val="00682A18"/>
    <w:rsid w:val="00682BFD"/>
    <w:rsid w:val="00683F02"/>
    <w:rsid w:val="0068488F"/>
    <w:rsid w:val="006854E2"/>
    <w:rsid w:val="00686381"/>
    <w:rsid w:val="006872D4"/>
    <w:rsid w:val="006877EB"/>
    <w:rsid w:val="0069000F"/>
    <w:rsid w:val="006906FC"/>
    <w:rsid w:val="006912EA"/>
    <w:rsid w:val="00695DB1"/>
    <w:rsid w:val="006A0815"/>
    <w:rsid w:val="006A0A66"/>
    <w:rsid w:val="006A1129"/>
    <w:rsid w:val="006A1DCA"/>
    <w:rsid w:val="006A286A"/>
    <w:rsid w:val="006A3F08"/>
    <w:rsid w:val="006B1C6A"/>
    <w:rsid w:val="006B2EB5"/>
    <w:rsid w:val="006B3974"/>
    <w:rsid w:val="006B4E48"/>
    <w:rsid w:val="006B62A9"/>
    <w:rsid w:val="006B7428"/>
    <w:rsid w:val="006B7E2C"/>
    <w:rsid w:val="006C187A"/>
    <w:rsid w:val="006C2B8D"/>
    <w:rsid w:val="006C4127"/>
    <w:rsid w:val="006C5611"/>
    <w:rsid w:val="006C6841"/>
    <w:rsid w:val="006C6B57"/>
    <w:rsid w:val="006C7E79"/>
    <w:rsid w:val="006D1C76"/>
    <w:rsid w:val="006D2FAC"/>
    <w:rsid w:val="006D62D6"/>
    <w:rsid w:val="006D63C0"/>
    <w:rsid w:val="006D7030"/>
    <w:rsid w:val="006E0EEA"/>
    <w:rsid w:val="006E0F85"/>
    <w:rsid w:val="006E3278"/>
    <w:rsid w:val="006E3512"/>
    <w:rsid w:val="006E46FC"/>
    <w:rsid w:val="006F0E40"/>
    <w:rsid w:val="006F3CAC"/>
    <w:rsid w:val="006F3D85"/>
    <w:rsid w:val="006F4551"/>
    <w:rsid w:val="006F49C4"/>
    <w:rsid w:val="006F623C"/>
    <w:rsid w:val="006F71CC"/>
    <w:rsid w:val="00700951"/>
    <w:rsid w:val="00702E84"/>
    <w:rsid w:val="00703F55"/>
    <w:rsid w:val="00706811"/>
    <w:rsid w:val="0070690F"/>
    <w:rsid w:val="00710765"/>
    <w:rsid w:val="0071222C"/>
    <w:rsid w:val="00715A3C"/>
    <w:rsid w:val="0071622A"/>
    <w:rsid w:val="007177C5"/>
    <w:rsid w:val="00717AC7"/>
    <w:rsid w:val="007230AA"/>
    <w:rsid w:val="00725C9F"/>
    <w:rsid w:val="00726D7A"/>
    <w:rsid w:val="00727367"/>
    <w:rsid w:val="00732454"/>
    <w:rsid w:val="00732D7E"/>
    <w:rsid w:val="00732ED9"/>
    <w:rsid w:val="00732EFD"/>
    <w:rsid w:val="00732F70"/>
    <w:rsid w:val="00733363"/>
    <w:rsid w:val="00733954"/>
    <w:rsid w:val="00734744"/>
    <w:rsid w:val="0073480D"/>
    <w:rsid w:val="0074042E"/>
    <w:rsid w:val="00741238"/>
    <w:rsid w:val="0074139C"/>
    <w:rsid w:val="00741753"/>
    <w:rsid w:val="007422A2"/>
    <w:rsid w:val="0074669D"/>
    <w:rsid w:val="00747A0A"/>
    <w:rsid w:val="00747ED0"/>
    <w:rsid w:val="00753052"/>
    <w:rsid w:val="007530E3"/>
    <w:rsid w:val="00753ED9"/>
    <w:rsid w:val="007563B6"/>
    <w:rsid w:val="00756685"/>
    <w:rsid w:val="0075729E"/>
    <w:rsid w:val="007622AB"/>
    <w:rsid w:val="00763181"/>
    <w:rsid w:val="00763FC5"/>
    <w:rsid w:val="007644BC"/>
    <w:rsid w:val="007658AC"/>
    <w:rsid w:val="00766EEB"/>
    <w:rsid w:val="007679D9"/>
    <w:rsid w:val="00767E5E"/>
    <w:rsid w:val="007703A6"/>
    <w:rsid w:val="00771FA6"/>
    <w:rsid w:val="00773700"/>
    <w:rsid w:val="00773F96"/>
    <w:rsid w:val="00775840"/>
    <w:rsid w:val="00777ABC"/>
    <w:rsid w:val="00780F9C"/>
    <w:rsid w:val="00783589"/>
    <w:rsid w:val="00784348"/>
    <w:rsid w:val="007851CB"/>
    <w:rsid w:val="0079031D"/>
    <w:rsid w:val="0079166D"/>
    <w:rsid w:val="0079191D"/>
    <w:rsid w:val="00791D8B"/>
    <w:rsid w:val="007921C2"/>
    <w:rsid w:val="0079284C"/>
    <w:rsid w:val="00793F05"/>
    <w:rsid w:val="00795131"/>
    <w:rsid w:val="007952C1"/>
    <w:rsid w:val="00795D60"/>
    <w:rsid w:val="0079614C"/>
    <w:rsid w:val="007965B8"/>
    <w:rsid w:val="00796959"/>
    <w:rsid w:val="00796BE9"/>
    <w:rsid w:val="00796EFD"/>
    <w:rsid w:val="007A22BD"/>
    <w:rsid w:val="007A3ABD"/>
    <w:rsid w:val="007A3D54"/>
    <w:rsid w:val="007A3F35"/>
    <w:rsid w:val="007A77A7"/>
    <w:rsid w:val="007B0D59"/>
    <w:rsid w:val="007B1068"/>
    <w:rsid w:val="007B287D"/>
    <w:rsid w:val="007B3182"/>
    <w:rsid w:val="007B3552"/>
    <w:rsid w:val="007B400E"/>
    <w:rsid w:val="007B6829"/>
    <w:rsid w:val="007B709D"/>
    <w:rsid w:val="007B7965"/>
    <w:rsid w:val="007C0542"/>
    <w:rsid w:val="007C0C65"/>
    <w:rsid w:val="007C0DFD"/>
    <w:rsid w:val="007C1654"/>
    <w:rsid w:val="007C176B"/>
    <w:rsid w:val="007C384E"/>
    <w:rsid w:val="007C4683"/>
    <w:rsid w:val="007C4688"/>
    <w:rsid w:val="007D0114"/>
    <w:rsid w:val="007D35ED"/>
    <w:rsid w:val="007D517E"/>
    <w:rsid w:val="007D6E2A"/>
    <w:rsid w:val="007E236C"/>
    <w:rsid w:val="007E2A68"/>
    <w:rsid w:val="007E3162"/>
    <w:rsid w:val="007E40F9"/>
    <w:rsid w:val="007E5171"/>
    <w:rsid w:val="007E6F57"/>
    <w:rsid w:val="007E741D"/>
    <w:rsid w:val="007E7AC5"/>
    <w:rsid w:val="007F04C8"/>
    <w:rsid w:val="007F0E7C"/>
    <w:rsid w:val="007F0FC4"/>
    <w:rsid w:val="007F1E85"/>
    <w:rsid w:val="007F3FBC"/>
    <w:rsid w:val="007F4C87"/>
    <w:rsid w:val="007F4E8D"/>
    <w:rsid w:val="0080497A"/>
    <w:rsid w:val="008049F3"/>
    <w:rsid w:val="00810BEF"/>
    <w:rsid w:val="008128AC"/>
    <w:rsid w:val="008165B4"/>
    <w:rsid w:val="0081740B"/>
    <w:rsid w:val="00817ADE"/>
    <w:rsid w:val="00817B1D"/>
    <w:rsid w:val="00821956"/>
    <w:rsid w:val="00821E09"/>
    <w:rsid w:val="00822C1A"/>
    <w:rsid w:val="00823C99"/>
    <w:rsid w:val="00831A9D"/>
    <w:rsid w:val="008322EE"/>
    <w:rsid w:val="00833289"/>
    <w:rsid w:val="00833DAF"/>
    <w:rsid w:val="008369CC"/>
    <w:rsid w:val="008373E2"/>
    <w:rsid w:val="00840852"/>
    <w:rsid w:val="00841F8D"/>
    <w:rsid w:val="00842019"/>
    <w:rsid w:val="00843B6F"/>
    <w:rsid w:val="00843DBF"/>
    <w:rsid w:val="008457E9"/>
    <w:rsid w:val="0084617E"/>
    <w:rsid w:val="008469EB"/>
    <w:rsid w:val="00847EC1"/>
    <w:rsid w:val="00851317"/>
    <w:rsid w:val="008524F9"/>
    <w:rsid w:val="00853604"/>
    <w:rsid w:val="00854FF3"/>
    <w:rsid w:val="00860FBA"/>
    <w:rsid w:val="0086344A"/>
    <w:rsid w:val="008662AE"/>
    <w:rsid w:val="00870C8D"/>
    <w:rsid w:val="00871754"/>
    <w:rsid w:val="00872AA5"/>
    <w:rsid w:val="00875654"/>
    <w:rsid w:val="00880633"/>
    <w:rsid w:val="0088152C"/>
    <w:rsid w:val="008825E9"/>
    <w:rsid w:val="00884269"/>
    <w:rsid w:val="0088488E"/>
    <w:rsid w:val="00886DA8"/>
    <w:rsid w:val="00887CC0"/>
    <w:rsid w:val="008917B0"/>
    <w:rsid w:val="00891D77"/>
    <w:rsid w:val="0089329A"/>
    <w:rsid w:val="008939D7"/>
    <w:rsid w:val="0089537D"/>
    <w:rsid w:val="008969DA"/>
    <w:rsid w:val="008A1B18"/>
    <w:rsid w:val="008A2EC7"/>
    <w:rsid w:val="008A3508"/>
    <w:rsid w:val="008A363F"/>
    <w:rsid w:val="008A4F3F"/>
    <w:rsid w:val="008A655B"/>
    <w:rsid w:val="008A7077"/>
    <w:rsid w:val="008B0468"/>
    <w:rsid w:val="008B17C2"/>
    <w:rsid w:val="008B3B0D"/>
    <w:rsid w:val="008B3D4A"/>
    <w:rsid w:val="008B3DCC"/>
    <w:rsid w:val="008B491B"/>
    <w:rsid w:val="008B4E08"/>
    <w:rsid w:val="008B5B84"/>
    <w:rsid w:val="008B60CF"/>
    <w:rsid w:val="008B6189"/>
    <w:rsid w:val="008B63ED"/>
    <w:rsid w:val="008B6B5F"/>
    <w:rsid w:val="008C0160"/>
    <w:rsid w:val="008C02B8"/>
    <w:rsid w:val="008C0D17"/>
    <w:rsid w:val="008C25DD"/>
    <w:rsid w:val="008C6284"/>
    <w:rsid w:val="008C6A0B"/>
    <w:rsid w:val="008C70CC"/>
    <w:rsid w:val="008C76F1"/>
    <w:rsid w:val="008D058C"/>
    <w:rsid w:val="008D059A"/>
    <w:rsid w:val="008D0B1C"/>
    <w:rsid w:val="008D1659"/>
    <w:rsid w:val="008D1781"/>
    <w:rsid w:val="008D3FB5"/>
    <w:rsid w:val="008D5208"/>
    <w:rsid w:val="008D7139"/>
    <w:rsid w:val="008D72B1"/>
    <w:rsid w:val="008E03F3"/>
    <w:rsid w:val="008E25EA"/>
    <w:rsid w:val="008E6FCE"/>
    <w:rsid w:val="008F2D6C"/>
    <w:rsid w:val="008F32C2"/>
    <w:rsid w:val="009014AC"/>
    <w:rsid w:val="009025F1"/>
    <w:rsid w:val="00902C14"/>
    <w:rsid w:val="009043D9"/>
    <w:rsid w:val="00907B8A"/>
    <w:rsid w:val="00911614"/>
    <w:rsid w:val="00914663"/>
    <w:rsid w:val="009150DD"/>
    <w:rsid w:val="00915B39"/>
    <w:rsid w:val="009161F1"/>
    <w:rsid w:val="00920447"/>
    <w:rsid w:val="00921E2C"/>
    <w:rsid w:val="0092466C"/>
    <w:rsid w:val="009246AA"/>
    <w:rsid w:val="00924CA4"/>
    <w:rsid w:val="00924F96"/>
    <w:rsid w:val="0092582D"/>
    <w:rsid w:val="00931050"/>
    <w:rsid w:val="00931A0E"/>
    <w:rsid w:val="00933B71"/>
    <w:rsid w:val="00934F8F"/>
    <w:rsid w:val="00941FE8"/>
    <w:rsid w:val="00943200"/>
    <w:rsid w:val="00943BBA"/>
    <w:rsid w:val="00944029"/>
    <w:rsid w:val="009454C5"/>
    <w:rsid w:val="009457D8"/>
    <w:rsid w:val="00950603"/>
    <w:rsid w:val="00950B6F"/>
    <w:rsid w:val="00950F49"/>
    <w:rsid w:val="00952E2F"/>
    <w:rsid w:val="0095333E"/>
    <w:rsid w:val="00953C0F"/>
    <w:rsid w:val="009553B6"/>
    <w:rsid w:val="00955B88"/>
    <w:rsid w:val="00956FBF"/>
    <w:rsid w:val="00960220"/>
    <w:rsid w:val="00960DFD"/>
    <w:rsid w:val="00961BF3"/>
    <w:rsid w:val="00961E26"/>
    <w:rsid w:val="009620CD"/>
    <w:rsid w:val="00967A24"/>
    <w:rsid w:val="0097231A"/>
    <w:rsid w:val="00972BFF"/>
    <w:rsid w:val="00974D66"/>
    <w:rsid w:val="009753F2"/>
    <w:rsid w:val="0097602D"/>
    <w:rsid w:val="009801F1"/>
    <w:rsid w:val="009841B1"/>
    <w:rsid w:val="0098587C"/>
    <w:rsid w:val="00985E89"/>
    <w:rsid w:val="00986687"/>
    <w:rsid w:val="009866A7"/>
    <w:rsid w:val="00987050"/>
    <w:rsid w:val="009872A1"/>
    <w:rsid w:val="00987595"/>
    <w:rsid w:val="00987B45"/>
    <w:rsid w:val="00987BFD"/>
    <w:rsid w:val="0099033B"/>
    <w:rsid w:val="0099264C"/>
    <w:rsid w:val="0099576E"/>
    <w:rsid w:val="009970D9"/>
    <w:rsid w:val="0099742E"/>
    <w:rsid w:val="009A0B01"/>
    <w:rsid w:val="009A22FB"/>
    <w:rsid w:val="009A3467"/>
    <w:rsid w:val="009A34A1"/>
    <w:rsid w:val="009A366C"/>
    <w:rsid w:val="009A4F57"/>
    <w:rsid w:val="009A67AA"/>
    <w:rsid w:val="009A6B5C"/>
    <w:rsid w:val="009A7B3E"/>
    <w:rsid w:val="009A7EFA"/>
    <w:rsid w:val="009B1506"/>
    <w:rsid w:val="009B1A2F"/>
    <w:rsid w:val="009B1EE1"/>
    <w:rsid w:val="009B2B86"/>
    <w:rsid w:val="009B3109"/>
    <w:rsid w:val="009B411A"/>
    <w:rsid w:val="009B5AAE"/>
    <w:rsid w:val="009B63E3"/>
    <w:rsid w:val="009B7700"/>
    <w:rsid w:val="009C41DD"/>
    <w:rsid w:val="009C4D29"/>
    <w:rsid w:val="009C5AFD"/>
    <w:rsid w:val="009C7AD7"/>
    <w:rsid w:val="009D06C0"/>
    <w:rsid w:val="009D153A"/>
    <w:rsid w:val="009D3AFA"/>
    <w:rsid w:val="009D4838"/>
    <w:rsid w:val="009D52F7"/>
    <w:rsid w:val="009D6983"/>
    <w:rsid w:val="009E24C5"/>
    <w:rsid w:val="009E2729"/>
    <w:rsid w:val="009E4484"/>
    <w:rsid w:val="009E459B"/>
    <w:rsid w:val="009E5083"/>
    <w:rsid w:val="009E55EA"/>
    <w:rsid w:val="009E57A3"/>
    <w:rsid w:val="009E5D2B"/>
    <w:rsid w:val="009E60C7"/>
    <w:rsid w:val="009E7637"/>
    <w:rsid w:val="009E76BB"/>
    <w:rsid w:val="009F1580"/>
    <w:rsid w:val="009F2144"/>
    <w:rsid w:val="009F2783"/>
    <w:rsid w:val="009F5E5D"/>
    <w:rsid w:val="00A00C0A"/>
    <w:rsid w:val="00A00E8E"/>
    <w:rsid w:val="00A03549"/>
    <w:rsid w:val="00A043AC"/>
    <w:rsid w:val="00A058C9"/>
    <w:rsid w:val="00A059E7"/>
    <w:rsid w:val="00A05EEF"/>
    <w:rsid w:val="00A0659D"/>
    <w:rsid w:val="00A07924"/>
    <w:rsid w:val="00A1072C"/>
    <w:rsid w:val="00A10DD3"/>
    <w:rsid w:val="00A11619"/>
    <w:rsid w:val="00A122B4"/>
    <w:rsid w:val="00A126C5"/>
    <w:rsid w:val="00A12989"/>
    <w:rsid w:val="00A14E61"/>
    <w:rsid w:val="00A21ABE"/>
    <w:rsid w:val="00A24B1A"/>
    <w:rsid w:val="00A2535E"/>
    <w:rsid w:val="00A25625"/>
    <w:rsid w:val="00A2569C"/>
    <w:rsid w:val="00A274D8"/>
    <w:rsid w:val="00A30965"/>
    <w:rsid w:val="00A31DAB"/>
    <w:rsid w:val="00A321AE"/>
    <w:rsid w:val="00A32467"/>
    <w:rsid w:val="00A3522C"/>
    <w:rsid w:val="00A3537E"/>
    <w:rsid w:val="00A36CD3"/>
    <w:rsid w:val="00A41C7D"/>
    <w:rsid w:val="00A4370D"/>
    <w:rsid w:val="00A44474"/>
    <w:rsid w:val="00A44E7A"/>
    <w:rsid w:val="00A504C7"/>
    <w:rsid w:val="00A5360A"/>
    <w:rsid w:val="00A53768"/>
    <w:rsid w:val="00A55CCB"/>
    <w:rsid w:val="00A56456"/>
    <w:rsid w:val="00A565D0"/>
    <w:rsid w:val="00A576CF"/>
    <w:rsid w:val="00A57E20"/>
    <w:rsid w:val="00A617CB"/>
    <w:rsid w:val="00A61A06"/>
    <w:rsid w:val="00A624BD"/>
    <w:rsid w:val="00A62690"/>
    <w:rsid w:val="00A64242"/>
    <w:rsid w:val="00A6525C"/>
    <w:rsid w:val="00A6730D"/>
    <w:rsid w:val="00A706F0"/>
    <w:rsid w:val="00A709D4"/>
    <w:rsid w:val="00A71FCF"/>
    <w:rsid w:val="00A72BCB"/>
    <w:rsid w:val="00A73661"/>
    <w:rsid w:val="00A75AB5"/>
    <w:rsid w:val="00A775D0"/>
    <w:rsid w:val="00A77720"/>
    <w:rsid w:val="00A80FEA"/>
    <w:rsid w:val="00A82587"/>
    <w:rsid w:val="00A8317B"/>
    <w:rsid w:val="00A842BE"/>
    <w:rsid w:val="00A85C31"/>
    <w:rsid w:val="00A85D9B"/>
    <w:rsid w:val="00A85F07"/>
    <w:rsid w:val="00A875E1"/>
    <w:rsid w:val="00A87BCC"/>
    <w:rsid w:val="00A90CC4"/>
    <w:rsid w:val="00A923DD"/>
    <w:rsid w:val="00A924FB"/>
    <w:rsid w:val="00A95C4C"/>
    <w:rsid w:val="00A96190"/>
    <w:rsid w:val="00A9736A"/>
    <w:rsid w:val="00A97ED0"/>
    <w:rsid w:val="00AA0920"/>
    <w:rsid w:val="00AA1CE9"/>
    <w:rsid w:val="00AA2CA8"/>
    <w:rsid w:val="00AA2DA0"/>
    <w:rsid w:val="00AA4355"/>
    <w:rsid w:val="00AA5F68"/>
    <w:rsid w:val="00AA6D02"/>
    <w:rsid w:val="00AA71A3"/>
    <w:rsid w:val="00AB0BE5"/>
    <w:rsid w:val="00AB179F"/>
    <w:rsid w:val="00AB2218"/>
    <w:rsid w:val="00AB3242"/>
    <w:rsid w:val="00AB3399"/>
    <w:rsid w:val="00AB4A38"/>
    <w:rsid w:val="00AB7146"/>
    <w:rsid w:val="00AB72A1"/>
    <w:rsid w:val="00AB7794"/>
    <w:rsid w:val="00AC126A"/>
    <w:rsid w:val="00AC5BFD"/>
    <w:rsid w:val="00AC5DA2"/>
    <w:rsid w:val="00AC6371"/>
    <w:rsid w:val="00AC6DB9"/>
    <w:rsid w:val="00AD05DB"/>
    <w:rsid w:val="00AD2BB6"/>
    <w:rsid w:val="00AD4B6B"/>
    <w:rsid w:val="00AD506A"/>
    <w:rsid w:val="00AD59E9"/>
    <w:rsid w:val="00AD5B79"/>
    <w:rsid w:val="00AD6A08"/>
    <w:rsid w:val="00AE4616"/>
    <w:rsid w:val="00AF16EF"/>
    <w:rsid w:val="00AF36E2"/>
    <w:rsid w:val="00AF5D08"/>
    <w:rsid w:val="00B00174"/>
    <w:rsid w:val="00B003A3"/>
    <w:rsid w:val="00B04B14"/>
    <w:rsid w:val="00B06FB5"/>
    <w:rsid w:val="00B10341"/>
    <w:rsid w:val="00B11B9F"/>
    <w:rsid w:val="00B11DA4"/>
    <w:rsid w:val="00B13323"/>
    <w:rsid w:val="00B1397A"/>
    <w:rsid w:val="00B14B6A"/>
    <w:rsid w:val="00B16A14"/>
    <w:rsid w:val="00B21D1D"/>
    <w:rsid w:val="00B22383"/>
    <w:rsid w:val="00B22C9E"/>
    <w:rsid w:val="00B25135"/>
    <w:rsid w:val="00B25E3B"/>
    <w:rsid w:val="00B26697"/>
    <w:rsid w:val="00B26CC8"/>
    <w:rsid w:val="00B31E61"/>
    <w:rsid w:val="00B34AD8"/>
    <w:rsid w:val="00B40159"/>
    <w:rsid w:val="00B4166C"/>
    <w:rsid w:val="00B4366A"/>
    <w:rsid w:val="00B43C65"/>
    <w:rsid w:val="00B4795D"/>
    <w:rsid w:val="00B47A77"/>
    <w:rsid w:val="00B53DD8"/>
    <w:rsid w:val="00B548FB"/>
    <w:rsid w:val="00B54F83"/>
    <w:rsid w:val="00B56958"/>
    <w:rsid w:val="00B57B1E"/>
    <w:rsid w:val="00B60C73"/>
    <w:rsid w:val="00B634D4"/>
    <w:rsid w:val="00B647F3"/>
    <w:rsid w:val="00B71B08"/>
    <w:rsid w:val="00B737CD"/>
    <w:rsid w:val="00B73FBF"/>
    <w:rsid w:val="00B74C46"/>
    <w:rsid w:val="00B756CB"/>
    <w:rsid w:val="00B813D3"/>
    <w:rsid w:val="00B81A7E"/>
    <w:rsid w:val="00B82646"/>
    <w:rsid w:val="00B852D8"/>
    <w:rsid w:val="00B85CB8"/>
    <w:rsid w:val="00B87B98"/>
    <w:rsid w:val="00B916F7"/>
    <w:rsid w:val="00B9377E"/>
    <w:rsid w:val="00B9506A"/>
    <w:rsid w:val="00B951D6"/>
    <w:rsid w:val="00B958B8"/>
    <w:rsid w:val="00B95D98"/>
    <w:rsid w:val="00B97463"/>
    <w:rsid w:val="00BA0CE9"/>
    <w:rsid w:val="00BA3B51"/>
    <w:rsid w:val="00BA3E89"/>
    <w:rsid w:val="00BA4733"/>
    <w:rsid w:val="00BA4F10"/>
    <w:rsid w:val="00BA56AC"/>
    <w:rsid w:val="00BA5DEB"/>
    <w:rsid w:val="00BA69CB"/>
    <w:rsid w:val="00BA76CC"/>
    <w:rsid w:val="00BB06B3"/>
    <w:rsid w:val="00BB0F8F"/>
    <w:rsid w:val="00BB1120"/>
    <w:rsid w:val="00BB2DB2"/>
    <w:rsid w:val="00BC05B4"/>
    <w:rsid w:val="00BC2E2F"/>
    <w:rsid w:val="00BC7580"/>
    <w:rsid w:val="00BD2CD1"/>
    <w:rsid w:val="00BD3248"/>
    <w:rsid w:val="00BD495D"/>
    <w:rsid w:val="00BD5448"/>
    <w:rsid w:val="00BD6BA1"/>
    <w:rsid w:val="00BD7293"/>
    <w:rsid w:val="00BD72C2"/>
    <w:rsid w:val="00BE0268"/>
    <w:rsid w:val="00BE0451"/>
    <w:rsid w:val="00BE1207"/>
    <w:rsid w:val="00BE21F2"/>
    <w:rsid w:val="00BE31F0"/>
    <w:rsid w:val="00BE373F"/>
    <w:rsid w:val="00BE68D7"/>
    <w:rsid w:val="00BF02E9"/>
    <w:rsid w:val="00BF0A0F"/>
    <w:rsid w:val="00BF1B6C"/>
    <w:rsid w:val="00BF2335"/>
    <w:rsid w:val="00BF276A"/>
    <w:rsid w:val="00C001C8"/>
    <w:rsid w:val="00C00846"/>
    <w:rsid w:val="00C01AC2"/>
    <w:rsid w:val="00C01C7F"/>
    <w:rsid w:val="00C062E6"/>
    <w:rsid w:val="00C0740D"/>
    <w:rsid w:val="00C0769E"/>
    <w:rsid w:val="00C106D4"/>
    <w:rsid w:val="00C11BC5"/>
    <w:rsid w:val="00C13041"/>
    <w:rsid w:val="00C149FD"/>
    <w:rsid w:val="00C14E02"/>
    <w:rsid w:val="00C15414"/>
    <w:rsid w:val="00C159F6"/>
    <w:rsid w:val="00C15FFC"/>
    <w:rsid w:val="00C171EA"/>
    <w:rsid w:val="00C17A2E"/>
    <w:rsid w:val="00C20917"/>
    <w:rsid w:val="00C217BD"/>
    <w:rsid w:val="00C218E4"/>
    <w:rsid w:val="00C21B92"/>
    <w:rsid w:val="00C2778B"/>
    <w:rsid w:val="00C3162A"/>
    <w:rsid w:val="00C31657"/>
    <w:rsid w:val="00C32CB3"/>
    <w:rsid w:val="00C35F96"/>
    <w:rsid w:val="00C366ED"/>
    <w:rsid w:val="00C37AAE"/>
    <w:rsid w:val="00C37FF4"/>
    <w:rsid w:val="00C42F30"/>
    <w:rsid w:val="00C4434F"/>
    <w:rsid w:val="00C44868"/>
    <w:rsid w:val="00C45E32"/>
    <w:rsid w:val="00C460E1"/>
    <w:rsid w:val="00C463BF"/>
    <w:rsid w:val="00C50A40"/>
    <w:rsid w:val="00C50C73"/>
    <w:rsid w:val="00C52020"/>
    <w:rsid w:val="00C5736E"/>
    <w:rsid w:val="00C608F7"/>
    <w:rsid w:val="00C610FC"/>
    <w:rsid w:val="00C61A0E"/>
    <w:rsid w:val="00C6368E"/>
    <w:rsid w:val="00C6481F"/>
    <w:rsid w:val="00C65523"/>
    <w:rsid w:val="00C6593E"/>
    <w:rsid w:val="00C663DE"/>
    <w:rsid w:val="00C66952"/>
    <w:rsid w:val="00C674D5"/>
    <w:rsid w:val="00C67558"/>
    <w:rsid w:val="00C70FB8"/>
    <w:rsid w:val="00C722F3"/>
    <w:rsid w:val="00C7238B"/>
    <w:rsid w:val="00C75CA2"/>
    <w:rsid w:val="00C76223"/>
    <w:rsid w:val="00C76A00"/>
    <w:rsid w:val="00C76B08"/>
    <w:rsid w:val="00C77CD8"/>
    <w:rsid w:val="00C83783"/>
    <w:rsid w:val="00C869C5"/>
    <w:rsid w:val="00C86D9A"/>
    <w:rsid w:val="00C8781B"/>
    <w:rsid w:val="00C9196E"/>
    <w:rsid w:val="00C9221A"/>
    <w:rsid w:val="00C92675"/>
    <w:rsid w:val="00C94047"/>
    <w:rsid w:val="00C94A4A"/>
    <w:rsid w:val="00C94AF2"/>
    <w:rsid w:val="00C96F27"/>
    <w:rsid w:val="00CA01FA"/>
    <w:rsid w:val="00CA06E3"/>
    <w:rsid w:val="00CA0959"/>
    <w:rsid w:val="00CA211F"/>
    <w:rsid w:val="00CA3926"/>
    <w:rsid w:val="00CA39EB"/>
    <w:rsid w:val="00CA3FA2"/>
    <w:rsid w:val="00CA412B"/>
    <w:rsid w:val="00CA529F"/>
    <w:rsid w:val="00CA5544"/>
    <w:rsid w:val="00CA7B11"/>
    <w:rsid w:val="00CA7FF5"/>
    <w:rsid w:val="00CB09C9"/>
    <w:rsid w:val="00CB1B19"/>
    <w:rsid w:val="00CB22D7"/>
    <w:rsid w:val="00CB25F5"/>
    <w:rsid w:val="00CB58E1"/>
    <w:rsid w:val="00CB77CF"/>
    <w:rsid w:val="00CC0D0B"/>
    <w:rsid w:val="00CC35FA"/>
    <w:rsid w:val="00CC46BB"/>
    <w:rsid w:val="00CC46D2"/>
    <w:rsid w:val="00CC4D43"/>
    <w:rsid w:val="00CC4E02"/>
    <w:rsid w:val="00CC4E9D"/>
    <w:rsid w:val="00CC603F"/>
    <w:rsid w:val="00CC61A3"/>
    <w:rsid w:val="00CD0194"/>
    <w:rsid w:val="00CD0D87"/>
    <w:rsid w:val="00CD1332"/>
    <w:rsid w:val="00CD1567"/>
    <w:rsid w:val="00CD32AC"/>
    <w:rsid w:val="00CD333E"/>
    <w:rsid w:val="00CE068A"/>
    <w:rsid w:val="00CE0EBC"/>
    <w:rsid w:val="00CE272A"/>
    <w:rsid w:val="00CE6783"/>
    <w:rsid w:val="00CE7C11"/>
    <w:rsid w:val="00CF02EB"/>
    <w:rsid w:val="00CF082A"/>
    <w:rsid w:val="00CF0AF7"/>
    <w:rsid w:val="00CF1F86"/>
    <w:rsid w:val="00CF41B1"/>
    <w:rsid w:val="00CF4EB8"/>
    <w:rsid w:val="00CF63FA"/>
    <w:rsid w:val="00CF68E6"/>
    <w:rsid w:val="00CF7B73"/>
    <w:rsid w:val="00D00A04"/>
    <w:rsid w:val="00D01CD7"/>
    <w:rsid w:val="00D01FAE"/>
    <w:rsid w:val="00D03037"/>
    <w:rsid w:val="00D10308"/>
    <w:rsid w:val="00D11B1A"/>
    <w:rsid w:val="00D14FB3"/>
    <w:rsid w:val="00D15468"/>
    <w:rsid w:val="00D1608A"/>
    <w:rsid w:val="00D169CC"/>
    <w:rsid w:val="00D1797D"/>
    <w:rsid w:val="00D17F35"/>
    <w:rsid w:val="00D20930"/>
    <w:rsid w:val="00D21ED8"/>
    <w:rsid w:val="00D22BB9"/>
    <w:rsid w:val="00D237DC"/>
    <w:rsid w:val="00D25F28"/>
    <w:rsid w:val="00D2634D"/>
    <w:rsid w:val="00D26881"/>
    <w:rsid w:val="00D26A13"/>
    <w:rsid w:val="00D31DA2"/>
    <w:rsid w:val="00D330DC"/>
    <w:rsid w:val="00D35823"/>
    <w:rsid w:val="00D37812"/>
    <w:rsid w:val="00D4235D"/>
    <w:rsid w:val="00D42BDD"/>
    <w:rsid w:val="00D4562D"/>
    <w:rsid w:val="00D45808"/>
    <w:rsid w:val="00D47C72"/>
    <w:rsid w:val="00D5091D"/>
    <w:rsid w:val="00D51DC8"/>
    <w:rsid w:val="00D52178"/>
    <w:rsid w:val="00D533B4"/>
    <w:rsid w:val="00D5346E"/>
    <w:rsid w:val="00D53ACA"/>
    <w:rsid w:val="00D53D7C"/>
    <w:rsid w:val="00D54051"/>
    <w:rsid w:val="00D5466E"/>
    <w:rsid w:val="00D54B0A"/>
    <w:rsid w:val="00D54C27"/>
    <w:rsid w:val="00D55034"/>
    <w:rsid w:val="00D558B4"/>
    <w:rsid w:val="00D56328"/>
    <w:rsid w:val="00D62509"/>
    <w:rsid w:val="00D628B2"/>
    <w:rsid w:val="00D6414A"/>
    <w:rsid w:val="00D71CBC"/>
    <w:rsid w:val="00D71DEA"/>
    <w:rsid w:val="00D729E4"/>
    <w:rsid w:val="00D7410B"/>
    <w:rsid w:val="00D74817"/>
    <w:rsid w:val="00D800CD"/>
    <w:rsid w:val="00D802A9"/>
    <w:rsid w:val="00D803FF"/>
    <w:rsid w:val="00D83821"/>
    <w:rsid w:val="00D83B37"/>
    <w:rsid w:val="00D8425D"/>
    <w:rsid w:val="00D8489C"/>
    <w:rsid w:val="00D86399"/>
    <w:rsid w:val="00D87AEF"/>
    <w:rsid w:val="00D93A24"/>
    <w:rsid w:val="00D96431"/>
    <w:rsid w:val="00D968BC"/>
    <w:rsid w:val="00DA2250"/>
    <w:rsid w:val="00DA27EB"/>
    <w:rsid w:val="00DA2C71"/>
    <w:rsid w:val="00DA39E5"/>
    <w:rsid w:val="00DA4FF5"/>
    <w:rsid w:val="00DA5A50"/>
    <w:rsid w:val="00DA5C10"/>
    <w:rsid w:val="00DA5F7F"/>
    <w:rsid w:val="00DA703F"/>
    <w:rsid w:val="00DB1ADA"/>
    <w:rsid w:val="00DB1FC1"/>
    <w:rsid w:val="00DB2055"/>
    <w:rsid w:val="00DB40DE"/>
    <w:rsid w:val="00DB6EC5"/>
    <w:rsid w:val="00DB748A"/>
    <w:rsid w:val="00DB79DB"/>
    <w:rsid w:val="00DC07D5"/>
    <w:rsid w:val="00DC2861"/>
    <w:rsid w:val="00DC2DF3"/>
    <w:rsid w:val="00DC3E38"/>
    <w:rsid w:val="00DC5D18"/>
    <w:rsid w:val="00DC6370"/>
    <w:rsid w:val="00DC6697"/>
    <w:rsid w:val="00DC6EE4"/>
    <w:rsid w:val="00DD022B"/>
    <w:rsid w:val="00DD13F6"/>
    <w:rsid w:val="00DD1E9A"/>
    <w:rsid w:val="00DD23F5"/>
    <w:rsid w:val="00DD2C57"/>
    <w:rsid w:val="00DD40C6"/>
    <w:rsid w:val="00DD77E3"/>
    <w:rsid w:val="00DE0E80"/>
    <w:rsid w:val="00DE3580"/>
    <w:rsid w:val="00DE4334"/>
    <w:rsid w:val="00DE602D"/>
    <w:rsid w:val="00DE660A"/>
    <w:rsid w:val="00DE7807"/>
    <w:rsid w:val="00DF021F"/>
    <w:rsid w:val="00DF146B"/>
    <w:rsid w:val="00DF44C3"/>
    <w:rsid w:val="00DF5313"/>
    <w:rsid w:val="00DF6070"/>
    <w:rsid w:val="00DF6E43"/>
    <w:rsid w:val="00E00516"/>
    <w:rsid w:val="00E01866"/>
    <w:rsid w:val="00E020BE"/>
    <w:rsid w:val="00E029EE"/>
    <w:rsid w:val="00E03624"/>
    <w:rsid w:val="00E0384E"/>
    <w:rsid w:val="00E057E0"/>
    <w:rsid w:val="00E102DE"/>
    <w:rsid w:val="00E118C8"/>
    <w:rsid w:val="00E13873"/>
    <w:rsid w:val="00E1528E"/>
    <w:rsid w:val="00E1560A"/>
    <w:rsid w:val="00E16058"/>
    <w:rsid w:val="00E168FA"/>
    <w:rsid w:val="00E211D7"/>
    <w:rsid w:val="00E22778"/>
    <w:rsid w:val="00E2454C"/>
    <w:rsid w:val="00E30B37"/>
    <w:rsid w:val="00E312B2"/>
    <w:rsid w:val="00E32462"/>
    <w:rsid w:val="00E326C4"/>
    <w:rsid w:val="00E32A5E"/>
    <w:rsid w:val="00E32DEA"/>
    <w:rsid w:val="00E33968"/>
    <w:rsid w:val="00E34481"/>
    <w:rsid w:val="00E35006"/>
    <w:rsid w:val="00E352C5"/>
    <w:rsid w:val="00E40139"/>
    <w:rsid w:val="00E407B9"/>
    <w:rsid w:val="00E41233"/>
    <w:rsid w:val="00E41BA5"/>
    <w:rsid w:val="00E41E22"/>
    <w:rsid w:val="00E44C40"/>
    <w:rsid w:val="00E46F96"/>
    <w:rsid w:val="00E51D3B"/>
    <w:rsid w:val="00E5228E"/>
    <w:rsid w:val="00E529A2"/>
    <w:rsid w:val="00E53130"/>
    <w:rsid w:val="00E55C62"/>
    <w:rsid w:val="00E578D9"/>
    <w:rsid w:val="00E57FE9"/>
    <w:rsid w:val="00E61B0F"/>
    <w:rsid w:val="00E62A52"/>
    <w:rsid w:val="00E64FEE"/>
    <w:rsid w:val="00E6567D"/>
    <w:rsid w:val="00E65ACD"/>
    <w:rsid w:val="00E65D24"/>
    <w:rsid w:val="00E660E9"/>
    <w:rsid w:val="00E664BB"/>
    <w:rsid w:val="00E6722C"/>
    <w:rsid w:val="00E67813"/>
    <w:rsid w:val="00E70C2F"/>
    <w:rsid w:val="00E70DBA"/>
    <w:rsid w:val="00E71515"/>
    <w:rsid w:val="00E72C74"/>
    <w:rsid w:val="00E72C8A"/>
    <w:rsid w:val="00E74B40"/>
    <w:rsid w:val="00E75AB9"/>
    <w:rsid w:val="00E84120"/>
    <w:rsid w:val="00E87092"/>
    <w:rsid w:val="00E92F8F"/>
    <w:rsid w:val="00E950ED"/>
    <w:rsid w:val="00E9604D"/>
    <w:rsid w:val="00E976D5"/>
    <w:rsid w:val="00EA0850"/>
    <w:rsid w:val="00EA097C"/>
    <w:rsid w:val="00EA20E8"/>
    <w:rsid w:val="00EA24B2"/>
    <w:rsid w:val="00EA2ECF"/>
    <w:rsid w:val="00EA43D3"/>
    <w:rsid w:val="00EA51F0"/>
    <w:rsid w:val="00EA5682"/>
    <w:rsid w:val="00EA607C"/>
    <w:rsid w:val="00EA631B"/>
    <w:rsid w:val="00EA664B"/>
    <w:rsid w:val="00EA67E0"/>
    <w:rsid w:val="00EB155A"/>
    <w:rsid w:val="00EB2894"/>
    <w:rsid w:val="00EB34DA"/>
    <w:rsid w:val="00EB51F0"/>
    <w:rsid w:val="00EB5327"/>
    <w:rsid w:val="00EB7BA2"/>
    <w:rsid w:val="00EC21E3"/>
    <w:rsid w:val="00EC2DBC"/>
    <w:rsid w:val="00EC49D5"/>
    <w:rsid w:val="00EC591F"/>
    <w:rsid w:val="00EC5E0B"/>
    <w:rsid w:val="00EC630C"/>
    <w:rsid w:val="00EC700B"/>
    <w:rsid w:val="00ED0BBC"/>
    <w:rsid w:val="00ED383D"/>
    <w:rsid w:val="00ED6A44"/>
    <w:rsid w:val="00ED6C9B"/>
    <w:rsid w:val="00ED7CB7"/>
    <w:rsid w:val="00EE1653"/>
    <w:rsid w:val="00EE1C9F"/>
    <w:rsid w:val="00EE3E61"/>
    <w:rsid w:val="00EE5CE7"/>
    <w:rsid w:val="00EE61C6"/>
    <w:rsid w:val="00EF0F2B"/>
    <w:rsid w:val="00EF2299"/>
    <w:rsid w:val="00EF360A"/>
    <w:rsid w:val="00EF6C21"/>
    <w:rsid w:val="00F01C09"/>
    <w:rsid w:val="00F01C49"/>
    <w:rsid w:val="00F03532"/>
    <w:rsid w:val="00F042AA"/>
    <w:rsid w:val="00F0561A"/>
    <w:rsid w:val="00F0615B"/>
    <w:rsid w:val="00F070C0"/>
    <w:rsid w:val="00F075F9"/>
    <w:rsid w:val="00F101E9"/>
    <w:rsid w:val="00F14204"/>
    <w:rsid w:val="00F147F0"/>
    <w:rsid w:val="00F20691"/>
    <w:rsid w:val="00F214FA"/>
    <w:rsid w:val="00F23D2F"/>
    <w:rsid w:val="00F23EBB"/>
    <w:rsid w:val="00F23F93"/>
    <w:rsid w:val="00F2484F"/>
    <w:rsid w:val="00F2763B"/>
    <w:rsid w:val="00F276B0"/>
    <w:rsid w:val="00F27971"/>
    <w:rsid w:val="00F31B5C"/>
    <w:rsid w:val="00F31FBD"/>
    <w:rsid w:val="00F32BF2"/>
    <w:rsid w:val="00F35CBE"/>
    <w:rsid w:val="00F35EA9"/>
    <w:rsid w:val="00F361C7"/>
    <w:rsid w:val="00F4031D"/>
    <w:rsid w:val="00F40696"/>
    <w:rsid w:val="00F4090B"/>
    <w:rsid w:val="00F4330E"/>
    <w:rsid w:val="00F4794D"/>
    <w:rsid w:val="00F50B39"/>
    <w:rsid w:val="00F50B57"/>
    <w:rsid w:val="00F5377F"/>
    <w:rsid w:val="00F54A36"/>
    <w:rsid w:val="00F56098"/>
    <w:rsid w:val="00F568C1"/>
    <w:rsid w:val="00F5724B"/>
    <w:rsid w:val="00F617AC"/>
    <w:rsid w:val="00F62275"/>
    <w:rsid w:val="00F624B4"/>
    <w:rsid w:val="00F62EB3"/>
    <w:rsid w:val="00F6383E"/>
    <w:rsid w:val="00F6410F"/>
    <w:rsid w:val="00F64138"/>
    <w:rsid w:val="00F646E1"/>
    <w:rsid w:val="00F64BEF"/>
    <w:rsid w:val="00F669AD"/>
    <w:rsid w:val="00F66A99"/>
    <w:rsid w:val="00F67B93"/>
    <w:rsid w:val="00F70D74"/>
    <w:rsid w:val="00F73C66"/>
    <w:rsid w:val="00F7444B"/>
    <w:rsid w:val="00F7614B"/>
    <w:rsid w:val="00F7691B"/>
    <w:rsid w:val="00F773C2"/>
    <w:rsid w:val="00F8192F"/>
    <w:rsid w:val="00F82130"/>
    <w:rsid w:val="00F828F9"/>
    <w:rsid w:val="00F830FB"/>
    <w:rsid w:val="00F84AF8"/>
    <w:rsid w:val="00F84DE1"/>
    <w:rsid w:val="00F85C1C"/>
    <w:rsid w:val="00F9150E"/>
    <w:rsid w:val="00F9275A"/>
    <w:rsid w:val="00F92EDF"/>
    <w:rsid w:val="00F955EA"/>
    <w:rsid w:val="00F975D4"/>
    <w:rsid w:val="00FA1A23"/>
    <w:rsid w:val="00FA1E20"/>
    <w:rsid w:val="00FA24B2"/>
    <w:rsid w:val="00FA349B"/>
    <w:rsid w:val="00FA4C86"/>
    <w:rsid w:val="00FA5F4E"/>
    <w:rsid w:val="00FA694F"/>
    <w:rsid w:val="00FB2376"/>
    <w:rsid w:val="00FB2D80"/>
    <w:rsid w:val="00FB310F"/>
    <w:rsid w:val="00FB4955"/>
    <w:rsid w:val="00FB4F2B"/>
    <w:rsid w:val="00FB72EC"/>
    <w:rsid w:val="00FB746B"/>
    <w:rsid w:val="00FC092A"/>
    <w:rsid w:val="00FC1430"/>
    <w:rsid w:val="00FC14A4"/>
    <w:rsid w:val="00FC1DAD"/>
    <w:rsid w:val="00FC2F91"/>
    <w:rsid w:val="00FC46A8"/>
    <w:rsid w:val="00FC49BC"/>
    <w:rsid w:val="00FC4C2C"/>
    <w:rsid w:val="00FC510D"/>
    <w:rsid w:val="00FC6D35"/>
    <w:rsid w:val="00FD21B5"/>
    <w:rsid w:val="00FD23D0"/>
    <w:rsid w:val="00FD386E"/>
    <w:rsid w:val="00FD3961"/>
    <w:rsid w:val="00FD3AF3"/>
    <w:rsid w:val="00FD5D8C"/>
    <w:rsid w:val="00FD6638"/>
    <w:rsid w:val="00FD766D"/>
    <w:rsid w:val="00FE014C"/>
    <w:rsid w:val="00FE2E10"/>
    <w:rsid w:val="00FE43DE"/>
    <w:rsid w:val="00FE7B31"/>
    <w:rsid w:val="00FF2E24"/>
    <w:rsid w:val="00FF36BE"/>
    <w:rsid w:val="00FF41BF"/>
    <w:rsid w:val="00FF478B"/>
    <w:rsid w:val="00FF6C0C"/>
    <w:rsid w:val="02381A85"/>
    <w:rsid w:val="02580D44"/>
    <w:rsid w:val="033175CC"/>
    <w:rsid w:val="036540C2"/>
    <w:rsid w:val="05B74AE7"/>
    <w:rsid w:val="06F23CF7"/>
    <w:rsid w:val="072639A0"/>
    <w:rsid w:val="08093005"/>
    <w:rsid w:val="08AC4336"/>
    <w:rsid w:val="08F037EB"/>
    <w:rsid w:val="090F2078"/>
    <w:rsid w:val="0ADE2909"/>
    <w:rsid w:val="0B896516"/>
    <w:rsid w:val="0BB71621"/>
    <w:rsid w:val="0BC8669E"/>
    <w:rsid w:val="0C1B45EA"/>
    <w:rsid w:val="0C360FF6"/>
    <w:rsid w:val="0D824AFF"/>
    <w:rsid w:val="0EA80B99"/>
    <w:rsid w:val="10A357D8"/>
    <w:rsid w:val="11765524"/>
    <w:rsid w:val="119535EF"/>
    <w:rsid w:val="123572D9"/>
    <w:rsid w:val="127D2C6D"/>
    <w:rsid w:val="13552459"/>
    <w:rsid w:val="14472174"/>
    <w:rsid w:val="14D711C2"/>
    <w:rsid w:val="14D85AB4"/>
    <w:rsid w:val="15906437"/>
    <w:rsid w:val="1655284B"/>
    <w:rsid w:val="176356CD"/>
    <w:rsid w:val="17A10C0C"/>
    <w:rsid w:val="17B279C3"/>
    <w:rsid w:val="17C75FA9"/>
    <w:rsid w:val="183D2903"/>
    <w:rsid w:val="1AFE6203"/>
    <w:rsid w:val="1B3A7A8E"/>
    <w:rsid w:val="1B600D66"/>
    <w:rsid w:val="1BC5296D"/>
    <w:rsid w:val="1BF50710"/>
    <w:rsid w:val="1C9E73A3"/>
    <w:rsid w:val="1CD15191"/>
    <w:rsid w:val="1DD13993"/>
    <w:rsid w:val="1E201BB0"/>
    <w:rsid w:val="1EBC6299"/>
    <w:rsid w:val="1ED55F80"/>
    <w:rsid w:val="1F443106"/>
    <w:rsid w:val="22513B6F"/>
    <w:rsid w:val="22AC116D"/>
    <w:rsid w:val="22E569AE"/>
    <w:rsid w:val="23207518"/>
    <w:rsid w:val="256D5A97"/>
    <w:rsid w:val="25A91F14"/>
    <w:rsid w:val="26FC7E22"/>
    <w:rsid w:val="280134C4"/>
    <w:rsid w:val="284D302B"/>
    <w:rsid w:val="28887D1B"/>
    <w:rsid w:val="28C90F74"/>
    <w:rsid w:val="28C94DDC"/>
    <w:rsid w:val="28D4060C"/>
    <w:rsid w:val="29603EB3"/>
    <w:rsid w:val="297A0B27"/>
    <w:rsid w:val="2A0E0598"/>
    <w:rsid w:val="2A2B114A"/>
    <w:rsid w:val="2A7B4CC0"/>
    <w:rsid w:val="2AD36AF0"/>
    <w:rsid w:val="2B7F64CC"/>
    <w:rsid w:val="2B9F3B9D"/>
    <w:rsid w:val="2BBB4336"/>
    <w:rsid w:val="2CBC1D07"/>
    <w:rsid w:val="2CF43A58"/>
    <w:rsid w:val="2D803B80"/>
    <w:rsid w:val="2DB31F13"/>
    <w:rsid w:val="2DC97F11"/>
    <w:rsid w:val="2E796A7E"/>
    <w:rsid w:val="2F3D0BE9"/>
    <w:rsid w:val="31A751E0"/>
    <w:rsid w:val="31F91B2E"/>
    <w:rsid w:val="328C66A0"/>
    <w:rsid w:val="329D06E2"/>
    <w:rsid w:val="33CB5631"/>
    <w:rsid w:val="3622474D"/>
    <w:rsid w:val="367D29A9"/>
    <w:rsid w:val="368D3392"/>
    <w:rsid w:val="36B40AE8"/>
    <w:rsid w:val="36F909D9"/>
    <w:rsid w:val="38C269FF"/>
    <w:rsid w:val="390F333C"/>
    <w:rsid w:val="39815435"/>
    <w:rsid w:val="3AC442B2"/>
    <w:rsid w:val="3BC94220"/>
    <w:rsid w:val="3BEA2DB7"/>
    <w:rsid w:val="3CF86958"/>
    <w:rsid w:val="3DE3382F"/>
    <w:rsid w:val="3DF95C04"/>
    <w:rsid w:val="40731436"/>
    <w:rsid w:val="40F62904"/>
    <w:rsid w:val="410C6EB6"/>
    <w:rsid w:val="421762AB"/>
    <w:rsid w:val="422C6789"/>
    <w:rsid w:val="428B4A24"/>
    <w:rsid w:val="42A23E67"/>
    <w:rsid w:val="42B07FE6"/>
    <w:rsid w:val="42CF522B"/>
    <w:rsid w:val="43BE6733"/>
    <w:rsid w:val="440F0665"/>
    <w:rsid w:val="44BC72B3"/>
    <w:rsid w:val="44BF7CB5"/>
    <w:rsid w:val="454724B5"/>
    <w:rsid w:val="46655C53"/>
    <w:rsid w:val="4668770C"/>
    <w:rsid w:val="46A67254"/>
    <w:rsid w:val="48E83908"/>
    <w:rsid w:val="49FC0249"/>
    <w:rsid w:val="4A1452FF"/>
    <w:rsid w:val="4A24404D"/>
    <w:rsid w:val="4B650286"/>
    <w:rsid w:val="4C6A330E"/>
    <w:rsid w:val="4D275349"/>
    <w:rsid w:val="4D445EFB"/>
    <w:rsid w:val="4D7A1F6F"/>
    <w:rsid w:val="4E1E499E"/>
    <w:rsid w:val="50071B1A"/>
    <w:rsid w:val="51CD7CE8"/>
    <w:rsid w:val="52401CA6"/>
    <w:rsid w:val="53973257"/>
    <w:rsid w:val="53990623"/>
    <w:rsid w:val="53D53DF8"/>
    <w:rsid w:val="53D94C0B"/>
    <w:rsid w:val="544A0D7F"/>
    <w:rsid w:val="544B02CF"/>
    <w:rsid w:val="55D13692"/>
    <w:rsid w:val="55EA1FEA"/>
    <w:rsid w:val="55EF75E6"/>
    <w:rsid w:val="575E2385"/>
    <w:rsid w:val="58714E8F"/>
    <w:rsid w:val="5BC06B71"/>
    <w:rsid w:val="5DE41B59"/>
    <w:rsid w:val="5E8045D7"/>
    <w:rsid w:val="5E972DA3"/>
    <w:rsid w:val="5FB2584F"/>
    <w:rsid w:val="5FEE1469"/>
    <w:rsid w:val="60130085"/>
    <w:rsid w:val="61460008"/>
    <w:rsid w:val="61701960"/>
    <w:rsid w:val="643B7169"/>
    <w:rsid w:val="66162BE6"/>
    <w:rsid w:val="663441EE"/>
    <w:rsid w:val="68C412ED"/>
    <w:rsid w:val="696961E0"/>
    <w:rsid w:val="6AE10DD5"/>
    <w:rsid w:val="6B262D64"/>
    <w:rsid w:val="6B323231"/>
    <w:rsid w:val="6BBB2669"/>
    <w:rsid w:val="6BD770B6"/>
    <w:rsid w:val="6C2B7BA0"/>
    <w:rsid w:val="6F411E43"/>
    <w:rsid w:val="70D65B02"/>
    <w:rsid w:val="7136113E"/>
    <w:rsid w:val="73506AF8"/>
    <w:rsid w:val="73900336"/>
    <w:rsid w:val="74523810"/>
    <w:rsid w:val="747D0CB4"/>
    <w:rsid w:val="74EF6395"/>
    <w:rsid w:val="74F3414F"/>
    <w:rsid w:val="76BA65B4"/>
    <w:rsid w:val="76FA319B"/>
    <w:rsid w:val="7A7D4063"/>
    <w:rsid w:val="7CDB09DF"/>
    <w:rsid w:val="7D9F2540"/>
    <w:rsid w:val="7E1B7CC4"/>
    <w:rsid w:val="7F201B6D"/>
    <w:rsid w:val="7FD065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qFormat="1" w:unhideWhenUsed="0" w:uiPriority="0" w:semiHidden="0"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0" w:semiHidden="0" w:name="header"/>
    <w:lsdException w:qFormat="1"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qFormat="1" w:unhideWhenUsed="0" w:uiPriority="0" w:semiHidden="0"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qFormat="1" w:unhideWhenUsed="0" w:uiPriority="0" w:semiHidden="0"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uiPriority="99" w:name="HTML Code"/>
    <w:lsdException w:qFormat="1" w:unhideWhenUsed="0" w:uiPriority="0" w:semiHidden="0"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topLinePunct/>
      <w:adjustRightInd w:val="0"/>
      <w:spacing w:line="360" w:lineRule="auto"/>
      <w:ind w:firstLine="200" w:firstLineChars="200"/>
      <w:jc w:val="both"/>
    </w:pPr>
    <w:rPr>
      <w:rFonts w:ascii="宋体" w:hAnsi="Times New Roman" w:eastAsia="宋体" w:cs="宋体"/>
      <w:sz w:val="24"/>
      <w:szCs w:val="24"/>
      <w:lang w:val="en-US" w:eastAsia="zh-CN" w:bidi="ar-SA"/>
    </w:rPr>
  </w:style>
  <w:style w:type="paragraph" w:styleId="2">
    <w:name w:val="heading 1"/>
    <w:basedOn w:val="1"/>
    <w:next w:val="1"/>
    <w:link w:val="71"/>
    <w:qFormat/>
    <w:uiPriority w:val="0"/>
    <w:pPr>
      <w:keepNext/>
      <w:keepLines/>
      <w:spacing w:before="100" w:beforeAutospacing="1" w:after="100" w:afterAutospacing="1"/>
      <w:ind w:firstLine="0" w:firstLineChars="0"/>
      <w:jc w:val="left"/>
      <w:outlineLvl w:val="0"/>
    </w:pPr>
    <w:rPr>
      <w:rFonts w:ascii="Times New Roman" w:eastAsia="Times New Roman" w:cs="Times New Roman"/>
      <w:b/>
      <w:kern w:val="44"/>
      <w:sz w:val="32"/>
      <w:szCs w:val="44"/>
    </w:rPr>
  </w:style>
  <w:style w:type="paragraph" w:styleId="3">
    <w:name w:val="heading 2"/>
    <w:basedOn w:val="1"/>
    <w:next w:val="1"/>
    <w:link w:val="72"/>
    <w:qFormat/>
    <w:uiPriority w:val="0"/>
    <w:pPr>
      <w:keepNext/>
      <w:keepLines/>
      <w:spacing w:before="240"/>
      <w:ind w:firstLine="0" w:firstLineChars="0"/>
      <w:outlineLvl w:val="1"/>
    </w:pPr>
    <w:rPr>
      <w:rFonts w:ascii="Times New Roman"/>
      <w:b/>
      <w:bCs/>
      <w:sz w:val="28"/>
      <w:szCs w:val="32"/>
    </w:rPr>
  </w:style>
  <w:style w:type="paragraph" w:styleId="4">
    <w:name w:val="heading 3"/>
    <w:basedOn w:val="1"/>
    <w:next w:val="1"/>
    <w:link w:val="73"/>
    <w:qFormat/>
    <w:uiPriority w:val="0"/>
    <w:pPr>
      <w:keepNext/>
      <w:keepLines/>
      <w:ind w:firstLine="0" w:firstLineChars="0"/>
      <w:outlineLvl w:val="2"/>
    </w:pPr>
    <w:rPr>
      <w:rFonts w:ascii="Times New Roman" w:eastAsia="Times New Roman" w:cs="Times New Roman"/>
      <w:b/>
      <w:szCs w:val="32"/>
    </w:rPr>
  </w:style>
  <w:style w:type="paragraph" w:styleId="5">
    <w:name w:val="heading 4"/>
    <w:basedOn w:val="6"/>
    <w:next w:val="1"/>
    <w:link w:val="75"/>
    <w:qFormat/>
    <w:uiPriority w:val="0"/>
    <w:pPr>
      <w:widowControl/>
      <w:topLinePunct w:val="0"/>
      <w:snapToGrid w:val="0"/>
      <w:spacing w:beforeLines="50" w:line="240" w:lineRule="auto"/>
      <w:ind w:firstLine="600" w:firstLineChars="0"/>
      <w:jc w:val="left"/>
      <w:outlineLvl w:val="3"/>
    </w:pPr>
    <w:rPr>
      <w:rFonts w:ascii="Arial" w:hAnsi="Arial" w:cs="Times New Roman"/>
      <w:kern w:val="2"/>
      <w:sz w:val="28"/>
      <w:szCs w:val="21"/>
    </w:rPr>
  </w:style>
  <w:style w:type="paragraph" w:styleId="7">
    <w:name w:val="heading 5"/>
    <w:basedOn w:val="6"/>
    <w:next w:val="1"/>
    <w:link w:val="76"/>
    <w:qFormat/>
    <w:uiPriority w:val="0"/>
    <w:pPr>
      <w:widowControl/>
      <w:topLinePunct w:val="0"/>
      <w:snapToGrid w:val="0"/>
      <w:spacing w:beforeLines="50"/>
      <w:ind w:left="600" w:firstLine="600" w:firstLineChars="0"/>
      <w:jc w:val="left"/>
      <w:outlineLvl w:val="4"/>
    </w:pPr>
    <w:rPr>
      <w:rFonts w:ascii="Arial" w:hAnsi="Arial" w:cs="Times New Roman"/>
      <w:bCs/>
      <w:kern w:val="2"/>
      <w:sz w:val="28"/>
      <w:szCs w:val="28"/>
    </w:rPr>
  </w:style>
  <w:style w:type="paragraph" w:styleId="8">
    <w:name w:val="heading 6"/>
    <w:basedOn w:val="6"/>
    <w:next w:val="1"/>
    <w:link w:val="77"/>
    <w:qFormat/>
    <w:uiPriority w:val="9"/>
    <w:pPr>
      <w:topLinePunct w:val="0"/>
      <w:snapToGrid w:val="0"/>
      <w:ind w:left="1075" w:hanging="507" w:firstLineChars="0"/>
      <w:jc w:val="left"/>
      <w:outlineLvl w:val="5"/>
    </w:pPr>
    <w:rPr>
      <w:rFonts w:ascii="Arial" w:hAnsi="Arial" w:cs="Times New Roman"/>
      <w:bCs/>
      <w:kern w:val="2"/>
      <w:sz w:val="28"/>
    </w:rPr>
  </w:style>
  <w:style w:type="paragraph" w:styleId="9">
    <w:name w:val="heading 7"/>
    <w:basedOn w:val="1"/>
    <w:next w:val="1"/>
    <w:link w:val="78"/>
    <w:qFormat/>
    <w:uiPriority w:val="0"/>
    <w:pPr>
      <w:topLinePunct w:val="0"/>
      <w:snapToGrid w:val="0"/>
      <w:ind w:left="1103" w:firstLine="499" w:firstLineChars="0"/>
      <w:outlineLvl w:val="6"/>
    </w:pPr>
    <w:rPr>
      <w:rFonts w:ascii="Times New Roman" w:cs="Times New Roman"/>
      <w:bCs/>
      <w:kern w:val="2"/>
    </w:rPr>
  </w:style>
  <w:style w:type="paragraph" w:styleId="10">
    <w:name w:val="heading 8"/>
    <w:basedOn w:val="6"/>
    <w:next w:val="1"/>
    <w:link w:val="79"/>
    <w:qFormat/>
    <w:uiPriority w:val="0"/>
    <w:pPr>
      <w:widowControl/>
      <w:topLinePunct w:val="0"/>
      <w:snapToGrid w:val="0"/>
      <w:ind w:left="1103" w:firstLine="500" w:firstLineChars="0"/>
      <w:jc w:val="left"/>
      <w:outlineLvl w:val="7"/>
    </w:pPr>
    <w:rPr>
      <w:rFonts w:ascii="Arial" w:hAnsi="Arial" w:cs="Times New Roman"/>
      <w:kern w:val="2"/>
    </w:rPr>
  </w:style>
  <w:style w:type="paragraph" w:styleId="11">
    <w:name w:val="heading 9"/>
    <w:basedOn w:val="6"/>
    <w:next w:val="1"/>
    <w:link w:val="80"/>
    <w:qFormat/>
    <w:uiPriority w:val="0"/>
    <w:pPr>
      <w:keepNext/>
      <w:keepLines/>
      <w:widowControl/>
      <w:topLinePunct w:val="0"/>
      <w:snapToGrid w:val="0"/>
      <w:ind w:left="419" w:firstLine="500" w:firstLineChars="0"/>
      <w:jc w:val="left"/>
      <w:outlineLvl w:val="8"/>
    </w:pPr>
    <w:rPr>
      <w:rFonts w:ascii="Arial" w:hAnsi="Arial" w:cs="Times New Roman"/>
      <w:kern w:val="2"/>
      <w:szCs w:val="21"/>
    </w:rPr>
  </w:style>
  <w:style w:type="character" w:default="1" w:styleId="62">
    <w:name w:val="Default Paragraph Font"/>
    <w:semiHidden/>
    <w:unhideWhenUsed/>
    <w:qFormat/>
    <w:uiPriority w:val="1"/>
  </w:style>
  <w:style w:type="table" w:default="1" w:styleId="59">
    <w:name w:val="Normal Table"/>
    <w:semiHidden/>
    <w:unhideWhenUsed/>
    <w:qFormat/>
    <w:uiPriority w:val="99"/>
    <w:tblPr>
      <w:tblCellMar>
        <w:top w:w="0" w:type="dxa"/>
        <w:left w:w="108" w:type="dxa"/>
        <w:bottom w:w="0" w:type="dxa"/>
        <w:right w:w="108" w:type="dxa"/>
      </w:tblCellMar>
    </w:tblPr>
  </w:style>
  <w:style w:type="paragraph" w:styleId="6">
    <w:name w:val="Body Text"/>
    <w:basedOn w:val="1"/>
    <w:link w:val="74"/>
    <w:unhideWhenUsed/>
    <w:qFormat/>
    <w:uiPriority w:val="0"/>
  </w:style>
  <w:style w:type="paragraph" w:styleId="12">
    <w:name w:val="List 3"/>
    <w:basedOn w:val="1"/>
    <w:next w:val="1"/>
    <w:qFormat/>
    <w:uiPriority w:val="0"/>
    <w:pPr>
      <w:topLinePunct w:val="0"/>
      <w:autoSpaceDE w:val="0"/>
      <w:autoSpaceDN w:val="0"/>
      <w:spacing w:line="288" w:lineRule="auto"/>
      <w:ind w:left="1260" w:hanging="420" w:firstLineChars="0"/>
      <w:textAlignment w:val="baseline"/>
    </w:pPr>
    <w:rPr>
      <w:rFonts w:ascii="Calibri" w:hAnsi="Calibri" w:eastAsia="仿宋"/>
      <w:kern w:val="2"/>
      <w:sz w:val="21"/>
      <w:szCs w:val="20"/>
    </w:rPr>
  </w:style>
  <w:style w:type="paragraph" w:styleId="13">
    <w:name w:val="toc 7"/>
    <w:basedOn w:val="1"/>
    <w:next w:val="1"/>
    <w:unhideWhenUsed/>
    <w:qFormat/>
    <w:uiPriority w:val="39"/>
    <w:pPr>
      <w:topLinePunct w:val="0"/>
      <w:adjustRightInd/>
      <w:spacing w:line="240" w:lineRule="auto"/>
      <w:ind w:left="2520" w:leftChars="1200" w:firstLine="0" w:firstLineChars="0"/>
    </w:pPr>
    <w:rPr>
      <w:rFonts w:ascii="Calibri" w:hAnsi="Calibri" w:cs="Times New Roman"/>
      <w:kern w:val="2"/>
      <w:sz w:val="21"/>
      <w:szCs w:val="22"/>
    </w:rPr>
  </w:style>
  <w:style w:type="paragraph" w:styleId="14">
    <w:name w:val="table of authorities"/>
    <w:basedOn w:val="1"/>
    <w:next w:val="1"/>
    <w:qFormat/>
    <w:uiPriority w:val="0"/>
    <w:pPr>
      <w:topLinePunct w:val="0"/>
      <w:adjustRightInd/>
      <w:spacing w:line="240" w:lineRule="auto"/>
      <w:ind w:left="420" w:leftChars="200" w:firstLine="0" w:firstLineChars="0"/>
    </w:pPr>
    <w:rPr>
      <w:rFonts w:ascii="Times New Roman" w:cs="Times New Roman"/>
      <w:kern w:val="2"/>
      <w:sz w:val="21"/>
      <w:szCs w:val="20"/>
    </w:rPr>
  </w:style>
  <w:style w:type="paragraph" w:styleId="15">
    <w:name w:val="Note Heading"/>
    <w:basedOn w:val="1"/>
    <w:next w:val="1"/>
    <w:link w:val="550"/>
    <w:qFormat/>
    <w:uiPriority w:val="0"/>
    <w:pPr>
      <w:topLinePunct w:val="0"/>
      <w:adjustRightInd/>
      <w:jc w:val="center"/>
    </w:pPr>
    <w:rPr>
      <w:rFonts w:ascii="Calibri" w:hAnsi="Calibri" w:cs="Times New Roman"/>
      <w:sz w:val="20"/>
    </w:rPr>
  </w:style>
  <w:style w:type="paragraph" w:styleId="16">
    <w:name w:val="List Number"/>
    <w:basedOn w:val="1"/>
    <w:link w:val="178"/>
    <w:qFormat/>
    <w:uiPriority w:val="0"/>
    <w:pPr>
      <w:tabs>
        <w:tab w:val="left" w:pos="1280"/>
      </w:tabs>
      <w:topLinePunct w:val="0"/>
      <w:adjustRightInd/>
      <w:spacing w:line="240" w:lineRule="auto"/>
      <w:ind w:left="1280" w:hanging="720" w:firstLineChars="0"/>
    </w:pPr>
    <w:rPr>
      <w:rFonts w:ascii="Calibri" w:hAnsi="Calibri" w:cs="Times New Roman"/>
      <w:sz w:val="20"/>
      <w:szCs w:val="20"/>
    </w:rPr>
  </w:style>
  <w:style w:type="paragraph" w:styleId="17">
    <w:name w:val="Normal Indent"/>
    <w:basedOn w:val="1"/>
    <w:link w:val="161"/>
    <w:qFormat/>
    <w:uiPriority w:val="0"/>
    <w:pPr>
      <w:topLinePunct w:val="0"/>
      <w:adjustRightInd/>
      <w:spacing w:line="240" w:lineRule="auto"/>
      <w:ind w:firstLine="420"/>
    </w:pPr>
    <w:rPr>
      <w:rFonts w:ascii="Calibri" w:hAnsi="Calibri" w:cs="Times New Roman"/>
      <w:sz w:val="20"/>
      <w:szCs w:val="20"/>
    </w:rPr>
  </w:style>
  <w:style w:type="paragraph" w:styleId="18">
    <w:name w:val="caption"/>
    <w:basedOn w:val="1"/>
    <w:next w:val="1"/>
    <w:link w:val="561"/>
    <w:qFormat/>
    <w:uiPriority w:val="0"/>
    <w:rPr>
      <w:rFonts w:ascii="Cambria" w:hAnsi="Cambria" w:eastAsia="黑体" w:cs="Times New Roman"/>
      <w:sz w:val="20"/>
      <w:szCs w:val="20"/>
    </w:rPr>
  </w:style>
  <w:style w:type="paragraph" w:styleId="19">
    <w:name w:val="Document Map"/>
    <w:basedOn w:val="1"/>
    <w:link w:val="81"/>
    <w:unhideWhenUsed/>
    <w:qFormat/>
    <w:uiPriority w:val="0"/>
    <w:rPr>
      <w:sz w:val="18"/>
      <w:szCs w:val="18"/>
    </w:rPr>
  </w:style>
  <w:style w:type="paragraph" w:styleId="20">
    <w:name w:val="toa heading"/>
    <w:basedOn w:val="1"/>
    <w:next w:val="1"/>
    <w:qFormat/>
    <w:uiPriority w:val="0"/>
    <w:pPr>
      <w:topLinePunct w:val="0"/>
      <w:adjustRightInd/>
      <w:spacing w:before="120" w:line="240" w:lineRule="auto"/>
      <w:ind w:firstLine="0" w:firstLineChars="0"/>
    </w:pPr>
    <w:rPr>
      <w:rFonts w:ascii="Arial" w:hAnsi="Arial" w:cs="Arial"/>
      <w:kern w:val="2"/>
    </w:rPr>
  </w:style>
  <w:style w:type="paragraph" w:styleId="21">
    <w:name w:val="annotation text"/>
    <w:basedOn w:val="1"/>
    <w:link w:val="82"/>
    <w:unhideWhenUsed/>
    <w:qFormat/>
    <w:uiPriority w:val="0"/>
    <w:pPr>
      <w:jc w:val="left"/>
    </w:pPr>
  </w:style>
  <w:style w:type="paragraph" w:styleId="22">
    <w:name w:val="index 6"/>
    <w:basedOn w:val="1"/>
    <w:next w:val="1"/>
    <w:qFormat/>
    <w:uiPriority w:val="0"/>
    <w:pPr>
      <w:topLinePunct w:val="0"/>
      <w:adjustRightInd/>
      <w:spacing w:line="240" w:lineRule="auto"/>
      <w:ind w:left="1000" w:leftChars="1000" w:firstLine="0" w:firstLineChars="0"/>
    </w:pPr>
    <w:rPr>
      <w:rFonts w:ascii="Times New Roman" w:cs="Times New Roman"/>
      <w:kern w:val="2"/>
      <w:sz w:val="21"/>
      <w:szCs w:val="20"/>
    </w:rPr>
  </w:style>
  <w:style w:type="paragraph" w:styleId="23">
    <w:name w:val="Body Text 3"/>
    <w:basedOn w:val="1"/>
    <w:link w:val="188"/>
    <w:qFormat/>
    <w:uiPriority w:val="0"/>
    <w:pPr>
      <w:topLinePunct w:val="0"/>
      <w:adjustRightInd/>
      <w:spacing w:after="120" w:line="240" w:lineRule="auto"/>
      <w:ind w:firstLine="0" w:firstLineChars="0"/>
    </w:pPr>
    <w:rPr>
      <w:rFonts w:ascii="Calibri" w:hAnsi="Calibri" w:cs="Times New Roman"/>
      <w:sz w:val="16"/>
      <w:szCs w:val="16"/>
    </w:rPr>
  </w:style>
  <w:style w:type="paragraph" w:styleId="24">
    <w:name w:val="List Bullet 3"/>
    <w:basedOn w:val="1"/>
    <w:qFormat/>
    <w:uiPriority w:val="0"/>
    <w:pPr>
      <w:tabs>
        <w:tab w:val="left" w:pos="1280"/>
      </w:tabs>
      <w:topLinePunct w:val="0"/>
      <w:adjustRightInd/>
      <w:spacing w:line="240" w:lineRule="auto"/>
      <w:ind w:left="1280" w:hanging="720" w:firstLineChars="0"/>
    </w:pPr>
    <w:rPr>
      <w:rFonts w:ascii="Times New Roman" w:cs="Times New Roman"/>
      <w:kern w:val="2"/>
      <w:sz w:val="21"/>
      <w:szCs w:val="20"/>
    </w:rPr>
  </w:style>
  <w:style w:type="paragraph" w:styleId="25">
    <w:name w:val="Body Text Indent"/>
    <w:basedOn w:val="1"/>
    <w:next w:val="26"/>
    <w:link w:val="230"/>
    <w:unhideWhenUsed/>
    <w:qFormat/>
    <w:uiPriority w:val="0"/>
    <w:pPr>
      <w:topLinePunct w:val="0"/>
      <w:adjustRightInd/>
      <w:spacing w:after="120" w:line="240" w:lineRule="auto"/>
      <w:ind w:left="420" w:leftChars="200" w:firstLine="0" w:firstLineChars="0"/>
    </w:pPr>
    <w:rPr>
      <w:rFonts w:ascii="Times New Roman" w:cs="Times New Roman"/>
      <w:kern w:val="2"/>
      <w:sz w:val="21"/>
    </w:rPr>
  </w:style>
  <w:style w:type="paragraph" w:customStyle="1" w:styleId="26">
    <w:name w:val="样式 正文文本缩进正文文字缩进 + 首行缩进:  2 字符"/>
    <w:basedOn w:val="1"/>
    <w:next w:val="1"/>
    <w:qFormat/>
    <w:uiPriority w:val="0"/>
    <w:pPr>
      <w:widowControl/>
      <w:snapToGrid w:val="0"/>
      <w:spacing w:line="336" w:lineRule="auto"/>
      <w:ind w:firstLine="560"/>
      <w:jc w:val="left"/>
    </w:pPr>
    <w:rPr>
      <w:sz w:val="28"/>
      <w:szCs w:val="28"/>
    </w:rPr>
  </w:style>
  <w:style w:type="paragraph" w:styleId="27">
    <w:name w:val="List 2"/>
    <w:basedOn w:val="1"/>
    <w:qFormat/>
    <w:uiPriority w:val="0"/>
    <w:pPr>
      <w:topLinePunct w:val="0"/>
      <w:adjustRightInd/>
      <w:spacing w:line="240" w:lineRule="auto"/>
      <w:ind w:left="840" w:hanging="420" w:firstLineChars="0"/>
    </w:pPr>
    <w:rPr>
      <w:rFonts w:ascii="Times New Roman" w:cs="Times New Roman"/>
      <w:kern w:val="2"/>
      <w:sz w:val="21"/>
      <w:szCs w:val="20"/>
    </w:rPr>
  </w:style>
  <w:style w:type="paragraph" w:styleId="28">
    <w:name w:val="Block Text"/>
    <w:basedOn w:val="1"/>
    <w:qFormat/>
    <w:uiPriority w:val="0"/>
    <w:pPr>
      <w:topLinePunct w:val="0"/>
      <w:adjustRightInd/>
      <w:spacing w:line="240" w:lineRule="auto"/>
      <w:ind w:left="105" w:leftChars="50" w:right="284" w:firstLine="560"/>
    </w:pPr>
    <w:rPr>
      <w:rFonts w:ascii="Arial" w:hAnsi="Arial" w:eastAsia="仿宋_GB2312" w:cs="Arial"/>
      <w:kern w:val="2"/>
      <w:sz w:val="28"/>
    </w:rPr>
  </w:style>
  <w:style w:type="paragraph" w:styleId="29">
    <w:name w:val="toc 5"/>
    <w:basedOn w:val="1"/>
    <w:next w:val="1"/>
    <w:unhideWhenUsed/>
    <w:qFormat/>
    <w:uiPriority w:val="39"/>
    <w:pPr>
      <w:topLinePunct w:val="0"/>
      <w:adjustRightInd/>
      <w:spacing w:line="240" w:lineRule="auto"/>
      <w:ind w:left="1680" w:leftChars="800" w:firstLine="0" w:firstLineChars="0"/>
    </w:pPr>
    <w:rPr>
      <w:rFonts w:ascii="Calibri" w:hAnsi="Calibri" w:cs="Times New Roman"/>
      <w:kern w:val="2"/>
      <w:sz w:val="21"/>
      <w:szCs w:val="22"/>
    </w:rPr>
  </w:style>
  <w:style w:type="paragraph" w:styleId="30">
    <w:name w:val="toc 3"/>
    <w:basedOn w:val="1"/>
    <w:next w:val="1"/>
    <w:unhideWhenUsed/>
    <w:qFormat/>
    <w:uiPriority w:val="39"/>
    <w:pPr>
      <w:ind w:left="840" w:leftChars="400"/>
    </w:pPr>
  </w:style>
  <w:style w:type="paragraph" w:styleId="31">
    <w:name w:val="Plain Text"/>
    <w:basedOn w:val="1"/>
    <w:link w:val="277"/>
    <w:qFormat/>
    <w:uiPriority w:val="0"/>
    <w:pPr>
      <w:topLinePunct w:val="0"/>
      <w:adjustRightInd/>
      <w:spacing w:line="240" w:lineRule="auto"/>
      <w:ind w:firstLine="0" w:firstLineChars="0"/>
    </w:pPr>
    <w:rPr>
      <w:rFonts w:hAnsi="Courier New" w:cs="Times New Roman"/>
      <w:sz w:val="20"/>
      <w:szCs w:val="21"/>
    </w:rPr>
  </w:style>
  <w:style w:type="paragraph" w:styleId="32">
    <w:name w:val="toc 8"/>
    <w:basedOn w:val="1"/>
    <w:next w:val="1"/>
    <w:unhideWhenUsed/>
    <w:qFormat/>
    <w:uiPriority w:val="39"/>
    <w:pPr>
      <w:topLinePunct w:val="0"/>
      <w:adjustRightInd/>
      <w:spacing w:line="240" w:lineRule="auto"/>
      <w:ind w:left="2940" w:leftChars="1400" w:firstLine="0" w:firstLineChars="0"/>
    </w:pPr>
    <w:rPr>
      <w:rFonts w:ascii="Calibri" w:hAnsi="Calibri" w:cs="Times New Roman"/>
      <w:kern w:val="2"/>
      <w:sz w:val="21"/>
      <w:szCs w:val="22"/>
    </w:rPr>
  </w:style>
  <w:style w:type="paragraph" w:styleId="33">
    <w:name w:val="Date"/>
    <w:basedOn w:val="1"/>
    <w:next w:val="1"/>
    <w:link w:val="83"/>
    <w:unhideWhenUsed/>
    <w:qFormat/>
    <w:uiPriority w:val="0"/>
    <w:pPr>
      <w:ind w:left="100" w:leftChars="2500"/>
    </w:pPr>
  </w:style>
  <w:style w:type="paragraph" w:styleId="34">
    <w:name w:val="Body Text Indent 2"/>
    <w:basedOn w:val="1"/>
    <w:next w:val="35"/>
    <w:link w:val="84"/>
    <w:unhideWhenUsed/>
    <w:qFormat/>
    <w:uiPriority w:val="0"/>
    <w:pPr>
      <w:spacing w:after="120" w:line="480" w:lineRule="auto"/>
      <w:ind w:left="420" w:leftChars="200"/>
    </w:pPr>
  </w:style>
  <w:style w:type="paragraph" w:customStyle="1" w:styleId="35">
    <w:name w:val="样式 正文文本缩进 2 + 自动设置 行距: 1.5 倍行距"/>
    <w:basedOn w:val="34"/>
    <w:next w:val="1"/>
    <w:unhideWhenUsed/>
    <w:qFormat/>
    <w:uiPriority w:val="0"/>
    <w:pPr>
      <w:spacing w:after="0" w:line="360" w:lineRule="auto"/>
      <w:ind w:left="0" w:leftChars="0"/>
    </w:pPr>
    <w:rPr>
      <w:rFonts w:hint="eastAsia" w:ascii="Times New Roman"/>
      <w:szCs w:val="20"/>
    </w:rPr>
  </w:style>
  <w:style w:type="paragraph" w:styleId="36">
    <w:name w:val="Balloon Text"/>
    <w:basedOn w:val="1"/>
    <w:link w:val="85"/>
    <w:unhideWhenUsed/>
    <w:qFormat/>
    <w:uiPriority w:val="0"/>
    <w:rPr>
      <w:sz w:val="18"/>
      <w:szCs w:val="18"/>
    </w:rPr>
  </w:style>
  <w:style w:type="paragraph" w:styleId="37">
    <w:name w:val="footer"/>
    <w:basedOn w:val="1"/>
    <w:link w:val="86"/>
    <w:unhideWhenUsed/>
    <w:qFormat/>
    <w:uiPriority w:val="0"/>
    <w:pPr>
      <w:tabs>
        <w:tab w:val="center" w:pos="4153"/>
        <w:tab w:val="right" w:pos="8306"/>
      </w:tabs>
      <w:snapToGrid w:val="0"/>
      <w:spacing w:line="240" w:lineRule="auto"/>
      <w:ind w:firstLine="0" w:firstLineChars="0"/>
      <w:jc w:val="center"/>
    </w:pPr>
    <w:rPr>
      <w:rFonts w:eastAsia="Times New Roman"/>
      <w:sz w:val="18"/>
      <w:szCs w:val="18"/>
    </w:rPr>
  </w:style>
  <w:style w:type="paragraph" w:styleId="38">
    <w:name w:val="header"/>
    <w:basedOn w:val="1"/>
    <w:link w:val="87"/>
    <w:unhideWhenUsed/>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39">
    <w:name w:val="toc 1"/>
    <w:basedOn w:val="1"/>
    <w:next w:val="1"/>
    <w:unhideWhenUsed/>
    <w:qFormat/>
    <w:uiPriority w:val="39"/>
    <w:pPr>
      <w:ind w:firstLine="0" w:firstLineChars="0"/>
      <w:jc w:val="center"/>
    </w:pPr>
    <w:rPr>
      <w:rFonts w:ascii="Times New Roman"/>
      <w:b/>
      <w:sz w:val="21"/>
    </w:rPr>
  </w:style>
  <w:style w:type="paragraph" w:styleId="40">
    <w:name w:val="toc 4"/>
    <w:basedOn w:val="1"/>
    <w:next w:val="1"/>
    <w:unhideWhenUsed/>
    <w:qFormat/>
    <w:uiPriority w:val="39"/>
    <w:pPr>
      <w:topLinePunct w:val="0"/>
      <w:adjustRightInd/>
      <w:spacing w:line="240" w:lineRule="auto"/>
      <w:ind w:left="1260" w:leftChars="600" w:firstLine="0" w:firstLineChars="0"/>
    </w:pPr>
    <w:rPr>
      <w:rFonts w:ascii="Calibri" w:hAnsi="Calibri" w:cs="Times New Roman"/>
      <w:kern w:val="2"/>
      <w:sz w:val="21"/>
      <w:szCs w:val="22"/>
    </w:rPr>
  </w:style>
  <w:style w:type="paragraph" w:styleId="41">
    <w:name w:val="index heading"/>
    <w:basedOn w:val="1"/>
    <w:next w:val="42"/>
    <w:qFormat/>
    <w:uiPriority w:val="0"/>
    <w:pPr>
      <w:topLinePunct w:val="0"/>
      <w:adjustRightInd/>
      <w:spacing w:line="240" w:lineRule="auto"/>
      <w:ind w:firstLine="0" w:firstLineChars="0"/>
    </w:pPr>
    <w:rPr>
      <w:rFonts w:ascii="Times New Roman" w:eastAsia="仿宋_GB2312" w:cs="Times New Roman"/>
      <w:kern w:val="2"/>
      <w:sz w:val="28"/>
      <w:szCs w:val="20"/>
    </w:rPr>
  </w:style>
  <w:style w:type="paragraph" w:styleId="42">
    <w:name w:val="index 1"/>
    <w:basedOn w:val="1"/>
    <w:next w:val="1"/>
    <w:unhideWhenUsed/>
    <w:qFormat/>
    <w:uiPriority w:val="0"/>
    <w:pPr>
      <w:topLinePunct w:val="0"/>
      <w:adjustRightInd/>
      <w:spacing w:line="240" w:lineRule="auto"/>
      <w:ind w:firstLine="0" w:firstLineChars="0"/>
    </w:pPr>
    <w:rPr>
      <w:rFonts w:ascii="Times New Roman" w:cs="Times New Roman"/>
      <w:kern w:val="2"/>
      <w:sz w:val="21"/>
    </w:rPr>
  </w:style>
  <w:style w:type="paragraph" w:styleId="43">
    <w:name w:val="List Number 5"/>
    <w:basedOn w:val="1"/>
    <w:qFormat/>
    <w:uiPriority w:val="0"/>
    <w:pPr>
      <w:tabs>
        <w:tab w:val="left" w:pos="2040"/>
      </w:tabs>
      <w:topLinePunct w:val="0"/>
      <w:adjustRightInd/>
      <w:spacing w:line="240" w:lineRule="auto"/>
      <w:ind w:left="840" w:firstLine="0" w:firstLineChars="0"/>
    </w:pPr>
    <w:rPr>
      <w:rFonts w:ascii="Times New Roman" w:cs="Times New Roman"/>
      <w:kern w:val="2"/>
      <w:sz w:val="21"/>
    </w:rPr>
  </w:style>
  <w:style w:type="paragraph" w:styleId="44">
    <w:name w:val="List"/>
    <w:basedOn w:val="1"/>
    <w:qFormat/>
    <w:uiPriority w:val="0"/>
    <w:pPr>
      <w:topLinePunct w:val="0"/>
      <w:adjustRightInd/>
      <w:spacing w:line="240" w:lineRule="auto"/>
      <w:ind w:left="200" w:hanging="200" w:hangingChars="200"/>
    </w:pPr>
    <w:rPr>
      <w:rFonts w:ascii="Times New Roman" w:cs="Times New Roman"/>
      <w:kern w:val="2"/>
      <w:sz w:val="21"/>
      <w:szCs w:val="20"/>
    </w:rPr>
  </w:style>
  <w:style w:type="paragraph" w:styleId="45">
    <w:name w:val="toc 6"/>
    <w:basedOn w:val="1"/>
    <w:next w:val="1"/>
    <w:unhideWhenUsed/>
    <w:qFormat/>
    <w:uiPriority w:val="39"/>
    <w:pPr>
      <w:topLinePunct w:val="0"/>
      <w:adjustRightInd/>
      <w:spacing w:line="240" w:lineRule="auto"/>
      <w:ind w:left="2100" w:leftChars="1000" w:firstLine="0" w:firstLineChars="0"/>
    </w:pPr>
    <w:rPr>
      <w:rFonts w:ascii="Calibri" w:hAnsi="Calibri" w:cs="Times New Roman"/>
      <w:kern w:val="2"/>
      <w:sz w:val="21"/>
      <w:szCs w:val="22"/>
    </w:rPr>
  </w:style>
  <w:style w:type="paragraph" w:styleId="46">
    <w:name w:val="Body Text Indent 3"/>
    <w:basedOn w:val="1"/>
    <w:link w:val="196"/>
    <w:qFormat/>
    <w:uiPriority w:val="0"/>
    <w:pPr>
      <w:topLinePunct w:val="0"/>
      <w:adjustRightInd/>
      <w:spacing w:after="120" w:line="240" w:lineRule="auto"/>
      <w:ind w:left="420" w:leftChars="200" w:firstLine="0" w:firstLineChars="0"/>
    </w:pPr>
    <w:rPr>
      <w:rFonts w:ascii="Calibri" w:hAnsi="Calibri" w:cs="Times New Roman"/>
      <w:sz w:val="16"/>
      <w:szCs w:val="16"/>
    </w:rPr>
  </w:style>
  <w:style w:type="paragraph" w:styleId="47">
    <w:name w:val="index 7"/>
    <w:basedOn w:val="1"/>
    <w:next w:val="1"/>
    <w:qFormat/>
    <w:uiPriority w:val="0"/>
    <w:pPr>
      <w:topLinePunct w:val="0"/>
      <w:adjustRightInd/>
      <w:spacing w:line="240" w:lineRule="auto"/>
      <w:ind w:left="1200" w:leftChars="1200" w:firstLine="0" w:firstLineChars="0"/>
    </w:pPr>
    <w:rPr>
      <w:rFonts w:ascii="Times New Roman" w:cs="Times New Roman"/>
      <w:kern w:val="2"/>
      <w:sz w:val="21"/>
      <w:szCs w:val="20"/>
    </w:rPr>
  </w:style>
  <w:style w:type="paragraph" w:styleId="48">
    <w:name w:val="table of figures"/>
    <w:basedOn w:val="1"/>
    <w:next w:val="1"/>
    <w:qFormat/>
    <w:uiPriority w:val="0"/>
    <w:pPr>
      <w:topLinePunct w:val="0"/>
      <w:adjustRightInd/>
      <w:spacing w:line="240" w:lineRule="auto"/>
      <w:ind w:left="200" w:leftChars="200" w:hanging="200" w:hangingChars="200"/>
    </w:pPr>
    <w:rPr>
      <w:rFonts w:ascii="Times New Roman" w:eastAsia="仿宋_GB2312" w:cs="Times New Roman"/>
      <w:kern w:val="2"/>
      <w:sz w:val="28"/>
      <w:szCs w:val="20"/>
    </w:rPr>
  </w:style>
  <w:style w:type="paragraph" w:styleId="49">
    <w:name w:val="toc 2"/>
    <w:basedOn w:val="1"/>
    <w:next w:val="1"/>
    <w:unhideWhenUsed/>
    <w:qFormat/>
    <w:uiPriority w:val="39"/>
    <w:pPr>
      <w:ind w:left="420" w:leftChars="200"/>
    </w:pPr>
  </w:style>
  <w:style w:type="paragraph" w:styleId="50">
    <w:name w:val="toc 9"/>
    <w:basedOn w:val="1"/>
    <w:next w:val="1"/>
    <w:unhideWhenUsed/>
    <w:qFormat/>
    <w:uiPriority w:val="39"/>
    <w:pPr>
      <w:topLinePunct w:val="0"/>
      <w:adjustRightInd/>
      <w:spacing w:line="240" w:lineRule="auto"/>
      <w:ind w:left="3360" w:leftChars="1600" w:firstLine="0" w:firstLineChars="0"/>
    </w:pPr>
    <w:rPr>
      <w:rFonts w:ascii="Calibri" w:hAnsi="Calibri" w:cs="Times New Roman"/>
      <w:kern w:val="2"/>
      <w:sz w:val="21"/>
      <w:szCs w:val="22"/>
    </w:rPr>
  </w:style>
  <w:style w:type="paragraph" w:styleId="51">
    <w:name w:val="Body Text 2"/>
    <w:basedOn w:val="1"/>
    <w:link w:val="190"/>
    <w:qFormat/>
    <w:uiPriority w:val="0"/>
    <w:pPr>
      <w:topLinePunct w:val="0"/>
      <w:adjustRightInd/>
      <w:spacing w:after="120" w:line="480" w:lineRule="auto"/>
      <w:ind w:firstLine="0" w:firstLineChars="0"/>
    </w:pPr>
    <w:rPr>
      <w:rFonts w:ascii="Calibri" w:hAnsi="Calibri" w:cs="Times New Roman"/>
      <w:sz w:val="20"/>
      <w:szCs w:val="20"/>
    </w:rPr>
  </w:style>
  <w:style w:type="paragraph" w:styleId="52">
    <w:name w:val="List Continue 2"/>
    <w:basedOn w:val="1"/>
    <w:qFormat/>
    <w:uiPriority w:val="0"/>
    <w:pPr>
      <w:topLinePunct w:val="0"/>
      <w:adjustRightInd/>
      <w:spacing w:after="120" w:line="240" w:lineRule="auto"/>
      <w:ind w:left="840" w:leftChars="400" w:firstLine="0" w:firstLineChars="0"/>
    </w:pPr>
    <w:rPr>
      <w:rFonts w:ascii="Times New Roman" w:cs="Times New Roman"/>
      <w:kern w:val="2"/>
      <w:sz w:val="21"/>
      <w:szCs w:val="20"/>
    </w:rPr>
  </w:style>
  <w:style w:type="paragraph" w:styleId="53">
    <w:name w:val="HTML Preformatted"/>
    <w:basedOn w:val="1"/>
    <w:link w:val="14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val="0"/>
      <w:adjustRightInd/>
      <w:spacing w:line="240" w:lineRule="auto"/>
      <w:ind w:firstLine="0" w:firstLineChars="0"/>
      <w:jc w:val="left"/>
    </w:pPr>
    <w:rPr>
      <w:rFonts w:ascii="Arial" w:hAnsi="Arial" w:cs="Times New Roman"/>
    </w:rPr>
  </w:style>
  <w:style w:type="paragraph" w:styleId="54">
    <w:name w:val="Normal (Web)"/>
    <w:basedOn w:val="1"/>
    <w:qFormat/>
    <w:uiPriority w:val="0"/>
    <w:pPr>
      <w:topLinePunct w:val="0"/>
      <w:adjustRightInd/>
      <w:spacing w:line="240" w:lineRule="auto"/>
      <w:ind w:firstLine="0" w:firstLineChars="0"/>
    </w:pPr>
    <w:rPr>
      <w:rFonts w:ascii="Times New Roman" w:cs="Times New Roman"/>
      <w:kern w:val="2"/>
      <w:szCs w:val="20"/>
    </w:rPr>
  </w:style>
  <w:style w:type="paragraph" w:styleId="55">
    <w:name w:val="Title"/>
    <w:basedOn w:val="1"/>
    <w:next w:val="1"/>
    <w:link w:val="88"/>
    <w:qFormat/>
    <w:uiPriority w:val="0"/>
    <w:pPr>
      <w:spacing w:before="240" w:after="60"/>
      <w:jc w:val="center"/>
      <w:outlineLvl w:val="0"/>
    </w:pPr>
    <w:rPr>
      <w:rFonts w:ascii="Cambria" w:hAnsi="Cambria" w:cs="Times New Roman"/>
      <w:b/>
      <w:bCs/>
      <w:sz w:val="32"/>
      <w:szCs w:val="32"/>
    </w:rPr>
  </w:style>
  <w:style w:type="paragraph" w:styleId="56">
    <w:name w:val="annotation subject"/>
    <w:basedOn w:val="21"/>
    <w:next w:val="21"/>
    <w:link w:val="144"/>
    <w:unhideWhenUsed/>
    <w:qFormat/>
    <w:uiPriority w:val="99"/>
    <w:rPr>
      <w:b/>
      <w:bCs/>
    </w:rPr>
  </w:style>
  <w:style w:type="paragraph" w:styleId="57">
    <w:name w:val="Body Text First Indent"/>
    <w:basedOn w:val="6"/>
    <w:link w:val="176"/>
    <w:qFormat/>
    <w:uiPriority w:val="0"/>
    <w:pPr>
      <w:topLinePunct w:val="0"/>
      <w:adjustRightInd/>
      <w:spacing w:after="120" w:line="240" w:lineRule="auto"/>
      <w:ind w:firstLine="420" w:firstLineChars="100"/>
    </w:pPr>
    <w:rPr>
      <w:rFonts w:ascii="Calibri" w:hAnsi="Calibri" w:cs="Times New Roman"/>
      <w:sz w:val="20"/>
      <w:szCs w:val="20"/>
    </w:rPr>
  </w:style>
  <w:style w:type="paragraph" w:styleId="58">
    <w:name w:val="Body Text First Indent 2"/>
    <w:basedOn w:val="25"/>
    <w:next w:val="1"/>
    <w:link w:val="243"/>
    <w:qFormat/>
    <w:uiPriority w:val="0"/>
    <w:pPr>
      <w:ind w:firstLine="420" w:firstLineChars="200"/>
    </w:pPr>
    <w:rPr>
      <w:rFonts w:ascii="Arial" w:hAnsi="Arial"/>
      <w:kern w:val="0"/>
      <w:sz w:val="20"/>
      <w:szCs w:val="20"/>
    </w:rPr>
  </w:style>
  <w:style w:type="table" w:styleId="60">
    <w:name w:val="Table Grid"/>
    <w:basedOn w:val="59"/>
    <w:qFormat/>
    <w:uiPriority w:val="0"/>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61">
    <w:name w:val="Table Grid 5"/>
    <w:basedOn w:val="59"/>
    <w:qFormat/>
    <w:uiPriority w:val="0"/>
    <w:pPr>
      <w:widowControl w:val="0"/>
      <w:adjustRightInd w:val="0"/>
      <w:snapToGrid w:val="0"/>
      <w:spacing w:line="460" w:lineRule="exact"/>
      <w:ind w:firstLine="52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63">
    <w:name w:val="Strong"/>
    <w:basedOn w:val="62"/>
    <w:qFormat/>
    <w:uiPriority w:val="0"/>
    <w:rPr>
      <w:rFonts w:ascii="Times New Roman" w:hAnsi="Times New Roman" w:eastAsia="宋体"/>
      <w:b/>
      <w:bCs/>
      <w:spacing w:val="2"/>
      <w:w w:val="100"/>
      <w:position w:val="2"/>
      <w:sz w:val="21"/>
    </w:rPr>
  </w:style>
  <w:style w:type="character" w:styleId="64">
    <w:name w:val="page number"/>
    <w:basedOn w:val="62"/>
    <w:qFormat/>
    <w:uiPriority w:val="0"/>
  </w:style>
  <w:style w:type="character" w:styleId="65">
    <w:name w:val="FollowedHyperlink"/>
    <w:basedOn w:val="62"/>
    <w:unhideWhenUsed/>
    <w:qFormat/>
    <w:uiPriority w:val="0"/>
    <w:rPr>
      <w:color w:val="800080"/>
      <w:u w:val="single"/>
    </w:rPr>
  </w:style>
  <w:style w:type="character" w:styleId="66">
    <w:name w:val="Emphasis"/>
    <w:basedOn w:val="62"/>
    <w:qFormat/>
    <w:uiPriority w:val="0"/>
    <w:rPr>
      <w:rFonts w:ascii="Times New Roman" w:hAnsi="Times New Roman" w:eastAsia="宋体"/>
      <w:b/>
      <w:iCs/>
      <w:sz w:val="24"/>
    </w:rPr>
  </w:style>
  <w:style w:type="character" w:styleId="67">
    <w:name w:val="HTML Definition"/>
    <w:qFormat/>
    <w:uiPriority w:val="0"/>
    <w:rPr>
      <w:i/>
      <w:iCs/>
    </w:rPr>
  </w:style>
  <w:style w:type="character" w:styleId="68">
    <w:name w:val="Hyperlink"/>
    <w:basedOn w:val="62"/>
    <w:unhideWhenUsed/>
    <w:qFormat/>
    <w:uiPriority w:val="99"/>
    <w:rPr>
      <w:color w:val="0000FF"/>
      <w:u w:val="single"/>
    </w:rPr>
  </w:style>
  <w:style w:type="character" w:styleId="69">
    <w:name w:val="annotation reference"/>
    <w:basedOn w:val="62"/>
    <w:unhideWhenUsed/>
    <w:qFormat/>
    <w:uiPriority w:val="0"/>
    <w:rPr>
      <w:sz w:val="21"/>
      <w:szCs w:val="21"/>
    </w:rPr>
  </w:style>
  <w:style w:type="character" w:styleId="70">
    <w:name w:val="HTML Cite"/>
    <w:qFormat/>
    <w:uiPriority w:val="0"/>
    <w:rPr>
      <w:color w:val="008000"/>
    </w:rPr>
  </w:style>
  <w:style w:type="character" w:customStyle="1" w:styleId="71">
    <w:name w:val="标题 1 Char"/>
    <w:basedOn w:val="62"/>
    <w:link w:val="2"/>
    <w:qFormat/>
    <w:uiPriority w:val="0"/>
    <w:rPr>
      <w:rFonts w:ascii="Times New Roman" w:hAnsi="Times New Roman" w:eastAsia="Times New Roman" w:cs="Times New Roman"/>
      <w:b/>
      <w:kern w:val="44"/>
      <w:sz w:val="32"/>
      <w:szCs w:val="44"/>
    </w:rPr>
  </w:style>
  <w:style w:type="character" w:customStyle="1" w:styleId="72">
    <w:name w:val="标题 2 Char1"/>
    <w:basedOn w:val="62"/>
    <w:link w:val="3"/>
    <w:qFormat/>
    <w:uiPriority w:val="0"/>
    <w:rPr>
      <w:rFonts w:ascii="Times New Roman" w:hAnsi="Times New Roman" w:eastAsia="宋体" w:cs="宋体"/>
      <w:b/>
      <w:bCs/>
      <w:kern w:val="0"/>
      <w:sz w:val="28"/>
      <w:szCs w:val="32"/>
    </w:rPr>
  </w:style>
  <w:style w:type="character" w:customStyle="1" w:styleId="73">
    <w:name w:val="标题 3 Char3"/>
    <w:basedOn w:val="62"/>
    <w:link w:val="4"/>
    <w:qFormat/>
    <w:uiPriority w:val="0"/>
    <w:rPr>
      <w:rFonts w:ascii="Times New Roman" w:hAnsi="Times New Roman" w:eastAsia="Times New Roman" w:cs="Times New Roman"/>
      <w:b/>
      <w:kern w:val="0"/>
      <w:sz w:val="24"/>
      <w:szCs w:val="32"/>
    </w:rPr>
  </w:style>
  <w:style w:type="character" w:customStyle="1" w:styleId="74">
    <w:name w:val="正文文本 Char"/>
    <w:basedOn w:val="62"/>
    <w:link w:val="6"/>
    <w:qFormat/>
    <w:uiPriority w:val="0"/>
    <w:rPr>
      <w:rFonts w:ascii="宋体" w:hAnsi="Times New Roman" w:cs="宋体"/>
      <w:kern w:val="0"/>
      <w:sz w:val="24"/>
      <w:szCs w:val="24"/>
    </w:rPr>
  </w:style>
  <w:style w:type="character" w:customStyle="1" w:styleId="75">
    <w:name w:val="标题 4 Char"/>
    <w:basedOn w:val="62"/>
    <w:link w:val="5"/>
    <w:qFormat/>
    <w:uiPriority w:val="0"/>
    <w:rPr>
      <w:rFonts w:ascii="Arial" w:hAnsi="Arial" w:eastAsia="宋体" w:cs="Times New Roman"/>
      <w:sz w:val="28"/>
      <w:szCs w:val="21"/>
    </w:rPr>
  </w:style>
  <w:style w:type="character" w:customStyle="1" w:styleId="76">
    <w:name w:val="标题 5 Char"/>
    <w:basedOn w:val="62"/>
    <w:link w:val="7"/>
    <w:qFormat/>
    <w:uiPriority w:val="0"/>
    <w:rPr>
      <w:rFonts w:ascii="Arial" w:hAnsi="Arial" w:eastAsia="宋体" w:cs="Times New Roman"/>
      <w:bCs/>
      <w:sz w:val="28"/>
      <w:szCs w:val="28"/>
    </w:rPr>
  </w:style>
  <w:style w:type="character" w:customStyle="1" w:styleId="77">
    <w:name w:val="标题 6 Char"/>
    <w:basedOn w:val="62"/>
    <w:link w:val="8"/>
    <w:qFormat/>
    <w:uiPriority w:val="0"/>
    <w:rPr>
      <w:rFonts w:ascii="Arial" w:hAnsi="Arial" w:eastAsia="宋体" w:cs="Times New Roman"/>
      <w:bCs/>
      <w:sz w:val="28"/>
      <w:szCs w:val="24"/>
    </w:rPr>
  </w:style>
  <w:style w:type="character" w:customStyle="1" w:styleId="78">
    <w:name w:val="标题 7 Char"/>
    <w:basedOn w:val="62"/>
    <w:link w:val="9"/>
    <w:qFormat/>
    <w:uiPriority w:val="0"/>
    <w:rPr>
      <w:rFonts w:ascii="Times New Roman" w:hAnsi="Times New Roman" w:eastAsia="宋体" w:cs="Times New Roman"/>
      <w:bCs/>
      <w:sz w:val="24"/>
      <w:szCs w:val="24"/>
    </w:rPr>
  </w:style>
  <w:style w:type="character" w:customStyle="1" w:styleId="79">
    <w:name w:val="标题 8 Char"/>
    <w:basedOn w:val="62"/>
    <w:link w:val="10"/>
    <w:qFormat/>
    <w:uiPriority w:val="0"/>
    <w:rPr>
      <w:rFonts w:ascii="Arial" w:hAnsi="Arial" w:eastAsia="宋体" w:cs="Times New Roman"/>
      <w:sz w:val="24"/>
      <w:szCs w:val="24"/>
    </w:rPr>
  </w:style>
  <w:style w:type="character" w:customStyle="1" w:styleId="80">
    <w:name w:val="标题 9 Char"/>
    <w:basedOn w:val="62"/>
    <w:link w:val="11"/>
    <w:qFormat/>
    <w:uiPriority w:val="0"/>
    <w:rPr>
      <w:rFonts w:ascii="Arial" w:hAnsi="Arial" w:eastAsia="宋体" w:cs="Times New Roman"/>
      <w:sz w:val="24"/>
      <w:szCs w:val="21"/>
    </w:rPr>
  </w:style>
  <w:style w:type="character" w:customStyle="1" w:styleId="81">
    <w:name w:val="文档结构图 Char"/>
    <w:basedOn w:val="62"/>
    <w:link w:val="19"/>
    <w:qFormat/>
    <w:uiPriority w:val="0"/>
    <w:rPr>
      <w:rFonts w:ascii="宋体" w:hAnsi="Times New Roman" w:cs="宋体"/>
      <w:kern w:val="0"/>
      <w:sz w:val="18"/>
      <w:szCs w:val="18"/>
    </w:rPr>
  </w:style>
  <w:style w:type="character" w:customStyle="1" w:styleId="82">
    <w:name w:val="批注文字 Char2"/>
    <w:basedOn w:val="62"/>
    <w:link w:val="21"/>
    <w:qFormat/>
    <w:uiPriority w:val="0"/>
    <w:rPr>
      <w:rFonts w:ascii="宋体" w:hAnsi="Times New Roman" w:cs="宋体"/>
      <w:sz w:val="24"/>
      <w:szCs w:val="24"/>
    </w:rPr>
  </w:style>
  <w:style w:type="character" w:customStyle="1" w:styleId="83">
    <w:name w:val="日期 Char"/>
    <w:basedOn w:val="62"/>
    <w:link w:val="33"/>
    <w:qFormat/>
    <w:uiPriority w:val="0"/>
    <w:rPr>
      <w:rFonts w:ascii="宋体" w:hAnsi="Times New Roman" w:cs="宋体"/>
      <w:kern w:val="0"/>
      <w:sz w:val="24"/>
      <w:szCs w:val="24"/>
    </w:rPr>
  </w:style>
  <w:style w:type="character" w:customStyle="1" w:styleId="84">
    <w:name w:val="正文文本缩进 2 Char"/>
    <w:basedOn w:val="62"/>
    <w:link w:val="34"/>
    <w:qFormat/>
    <w:uiPriority w:val="0"/>
    <w:rPr>
      <w:rFonts w:ascii="宋体" w:hAnsi="Times New Roman" w:cs="宋体"/>
      <w:kern w:val="0"/>
      <w:sz w:val="24"/>
      <w:szCs w:val="24"/>
    </w:rPr>
  </w:style>
  <w:style w:type="character" w:customStyle="1" w:styleId="85">
    <w:name w:val="批注框文本 Char"/>
    <w:basedOn w:val="62"/>
    <w:link w:val="36"/>
    <w:qFormat/>
    <w:uiPriority w:val="0"/>
    <w:rPr>
      <w:rFonts w:ascii="宋体" w:hAnsi="Times New Roman" w:cs="宋体"/>
      <w:kern w:val="0"/>
      <w:sz w:val="18"/>
      <w:szCs w:val="18"/>
    </w:rPr>
  </w:style>
  <w:style w:type="character" w:customStyle="1" w:styleId="86">
    <w:name w:val="页脚 Char"/>
    <w:basedOn w:val="62"/>
    <w:link w:val="37"/>
    <w:qFormat/>
    <w:uiPriority w:val="0"/>
    <w:rPr>
      <w:rFonts w:ascii="宋体" w:hAnsi="Times New Roman" w:eastAsia="Times New Roman" w:cs="宋体"/>
      <w:kern w:val="0"/>
      <w:sz w:val="18"/>
      <w:szCs w:val="18"/>
    </w:rPr>
  </w:style>
  <w:style w:type="character" w:customStyle="1" w:styleId="87">
    <w:name w:val="页眉 Char"/>
    <w:basedOn w:val="62"/>
    <w:link w:val="38"/>
    <w:qFormat/>
    <w:uiPriority w:val="0"/>
    <w:rPr>
      <w:rFonts w:ascii="宋体" w:hAnsi="Times New Roman" w:cs="宋体"/>
      <w:kern w:val="0"/>
      <w:sz w:val="18"/>
      <w:szCs w:val="18"/>
    </w:rPr>
  </w:style>
  <w:style w:type="character" w:customStyle="1" w:styleId="88">
    <w:name w:val="标题 Char3"/>
    <w:basedOn w:val="62"/>
    <w:link w:val="55"/>
    <w:qFormat/>
    <w:uiPriority w:val="0"/>
    <w:rPr>
      <w:rFonts w:ascii="Cambria" w:hAnsi="Cambria" w:eastAsia="宋体" w:cs="Times New Roman"/>
      <w:b/>
      <w:bCs/>
      <w:kern w:val="0"/>
      <w:sz w:val="32"/>
      <w:szCs w:val="32"/>
    </w:rPr>
  </w:style>
  <w:style w:type="character" w:customStyle="1" w:styleId="89">
    <w:name w:val="标题 1 Char1"/>
    <w:basedOn w:val="62"/>
    <w:qFormat/>
    <w:uiPriority w:val="0"/>
    <w:rPr>
      <w:rFonts w:ascii="宋体" w:eastAsia="宋体" w:cs="宋体"/>
      <w:b/>
      <w:bCs/>
      <w:kern w:val="44"/>
      <w:sz w:val="44"/>
      <w:szCs w:val="44"/>
    </w:rPr>
  </w:style>
  <w:style w:type="character" w:customStyle="1" w:styleId="90">
    <w:name w:val="标题 3 Char1"/>
    <w:basedOn w:val="62"/>
    <w:qFormat/>
    <w:uiPriority w:val="0"/>
    <w:rPr>
      <w:rFonts w:ascii="宋体" w:eastAsia="宋体" w:cs="宋体"/>
      <w:b/>
      <w:bCs/>
      <w:sz w:val="32"/>
      <w:szCs w:val="32"/>
    </w:rPr>
  </w:style>
  <w:style w:type="character" w:customStyle="1" w:styleId="91">
    <w:name w:val="标题 4 Char1"/>
    <w:basedOn w:val="62"/>
    <w:qFormat/>
    <w:uiPriority w:val="0"/>
    <w:rPr>
      <w:rFonts w:ascii="Cambria" w:hAnsi="Cambria" w:eastAsia="宋体" w:cs="Times New Roman"/>
      <w:b/>
      <w:bCs/>
      <w:sz w:val="28"/>
      <w:szCs w:val="28"/>
    </w:rPr>
  </w:style>
  <w:style w:type="character" w:customStyle="1" w:styleId="92">
    <w:name w:val="标题 5 Char1"/>
    <w:basedOn w:val="62"/>
    <w:semiHidden/>
    <w:qFormat/>
    <w:uiPriority w:val="0"/>
    <w:rPr>
      <w:rFonts w:ascii="宋体" w:eastAsia="宋体" w:cs="宋体"/>
      <w:b/>
      <w:bCs/>
      <w:sz w:val="28"/>
      <w:szCs w:val="28"/>
    </w:rPr>
  </w:style>
  <w:style w:type="character" w:customStyle="1" w:styleId="93">
    <w:name w:val="标题 6 Char1"/>
    <w:basedOn w:val="62"/>
    <w:semiHidden/>
    <w:qFormat/>
    <w:uiPriority w:val="0"/>
    <w:rPr>
      <w:rFonts w:ascii="Cambria" w:hAnsi="Cambria" w:eastAsia="宋体" w:cs="Times New Roman"/>
      <w:b/>
      <w:bCs/>
      <w:sz w:val="24"/>
      <w:szCs w:val="24"/>
    </w:rPr>
  </w:style>
  <w:style w:type="character" w:customStyle="1" w:styleId="94">
    <w:name w:val="标题 7 Char1"/>
    <w:basedOn w:val="62"/>
    <w:semiHidden/>
    <w:qFormat/>
    <w:uiPriority w:val="0"/>
    <w:rPr>
      <w:rFonts w:ascii="宋体" w:eastAsia="宋体" w:cs="宋体"/>
      <w:b/>
      <w:bCs/>
      <w:sz w:val="24"/>
      <w:szCs w:val="24"/>
    </w:rPr>
  </w:style>
  <w:style w:type="character" w:customStyle="1" w:styleId="95">
    <w:name w:val="标题 8 Char2"/>
    <w:basedOn w:val="62"/>
    <w:semiHidden/>
    <w:qFormat/>
    <w:uiPriority w:val="0"/>
    <w:rPr>
      <w:rFonts w:ascii="Cambria" w:hAnsi="Cambria" w:eastAsia="宋体" w:cs="Times New Roman"/>
      <w:sz w:val="24"/>
      <w:szCs w:val="24"/>
    </w:rPr>
  </w:style>
  <w:style w:type="character" w:customStyle="1" w:styleId="96">
    <w:name w:val="标题 9 Char2"/>
    <w:basedOn w:val="62"/>
    <w:semiHidden/>
    <w:qFormat/>
    <w:uiPriority w:val="0"/>
    <w:rPr>
      <w:rFonts w:ascii="Cambria" w:hAnsi="Cambria" w:eastAsia="宋体" w:cs="Times New Roman"/>
      <w:sz w:val="21"/>
      <w:szCs w:val="21"/>
    </w:rPr>
  </w:style>
  <w:style w:type="paragraph" w:styleId="97">
    <w:name w:val="No Spacing"/>
    <w:qFormat/>
    <w:uiPriority w:val="99"/>
    <w:pPr>
      <w:widowControl w:val="0"/>
      <w:jc w:val="center"/>
    </w:pPr>
    <w:rPr>
      <w:rFonts w:ascii="Times New Roman" w:hAnsi="Times New Roman" w:eastAsia="宋体" w:cs="Times New Roman"/>
      <w:kern w:val="2"/>
      <w:sz w:val="21"/>
      <w:szCs w:val="24"/>
      <w:lang w:val="en-US" w:eastAsia="zh-CN" w:bidi="ar-SA"/>
    </w:rPr>
  </w:style>
  <w:style w:type="paragraph" w:styleId="98">
    <w:name w:val="List Paragraph"/>
    <w:basedOn w:val="1"/>
    <w:qFormat/>
    <w:uiPriority w:val="34"/>
    <w:pPr>
      <w:spacing w:before="111"/>
      <w:ind w:left="760" w:hanging="600"/>
    </w:pPr>
  </w:style>
  <w:style w:type="paragraph" w:customStyle="1" w:styleId="99">
    <w:name w:val="TOC 标题1"/>
    <w:basedOn w:val="2"/>
    <w:next w:val="1"/>
    <w:unhideWhenUsed/>
    <w:qFormat/>
    <w:uiPriority w:val="39"/>
    <w:pPr>
      <w:widowControl/>
      <w:topLinePunct w:val="0"/>
      <w:adjustRightInd/>
      <w:spacing w:before="480" w:beforeAutospacing="0" w:after="0" w:afterAutospacing="0" w:line="276" w:lineRule="auto"/>
      <w:outlineLvl w:val="9"/>
    </w:pPr>
    <w:rPr>
      <w:rFonts w:ascii="Cambria" w:hAnsi="Cambria" w:eastAsia="宋体"/>
      <w:b w:val="0"/>
      <w:bCs/>
      <w:color w:val="365F91"/>
      <w:kern w:val="0"/>
      <w:sz w:val="28"/>
      <w:szCs w:val="28"/>
    </w:rPr>
  </w:style>
  <w:style w:type="paragraph" w:customStyle="1" w:styleId="100">
    <w:name w:val="标题 11"/>
    <w:basedOn w:val="1"/>
    <w:qFormat/>
    <w:uiPriority w:val="1"/>
    <w:pPr>
      <w:spacing w:before="106"/>
      <w:ind w:left="4314" w:hanging="560"/>
      <w:outlineLvl w:val="0"/>
    </w:pPr>
    <w:rPr>
      <w:b/>
      <w:bCs/>
      <w:sz w:val="32"/>
      <w:szCs w:val="32"/>
    </w:rPr>
  </w:style>
  <w:style w:type="paragraph" w:customStyle="1" w:styleId="101">
    <w:name w:val="标题 21"/>
    <w:basedOn w:val="1"/>
    <w:qFormat/>
    <w:uiPriority w:val="1"/>
    <w:pPr>
      <w:spacing w:before="73"/>
      <w:ind w:left="652" w:hanging="492"/>
      <w:outlineLvl w:val="1"/>
    </w:pPr>
    <w:rPr>
      <w:b/>
      <w:bCs/>
      <w:sz w:val="28"/>
      <w:szCs w:val="28"/>
    </w:rPr>
  </w:style>
  <w:style w:type="paragraph" w:customStyle="1" w:styleId="102">
    <w:name w:val="标题 31"/>
    <w:basedOn w:val="1"/>
    <w:qFormat/>
    <w:uiPriority w:val="1"/>
    <w:pPr>
      <w:spacing w:before="135"/>
      <w:ind w:left="644"/>
      <w:outlineLvl w:val="2"/>
    </w:pPr>
    <w:rPr>
      <w:b/>
      <w:bCs/>
    </w:rPr>
  </w:style>
  <w:style w:type="paragraph" w:customStyle="1" w:styleId="103">
    <w:name w:val="Table Paragraph"/>
    <w:basedOn w:val="1"/>
    <w:qFormat/>
    <w:uiPriority w:val="1"/>
    <w:pPr>
      <w:jc w:val="center"/>
    </w:pPr>
  </w:style>
  <w:style w:type="paragraph" w:customStyle="1" w:styleId="104">
    <w:name w:val="表正文"/>
    <w:basedOn w:val="1"/>
    <w:qFormat/>
    <w:uiPriority w:val="0"/>
    <w:pPr>
      <w:topLinePunct w:val="0"/>
      <w:autoSpaceDE w:val="0"/>
      <w:autoSpaceDN w:val="0"/>
      <w:snapToGrid w:val="0"/>
      <w:spacing w:beforeLines="28" w:line="300" w:lineRule="auto"/>
      <w:ind w:firstLine="0" w:firstLineChars="0"/>
      <w:jc w:val="center"/>
    </w:pPr>
    <w:rPr>
      <w:rFonts w:ascii="Times New Roman" w:cs="Times New Roman"/>
      <w:szCs w:val="20"/>
    </w:rPr>
  </w:style>
  <w:style w:type="character" w:customStyle="1" w:styleId="105">
    <w:name w:val="表名 Char"/>
    <w:link w:val="106"/>
    <w:qFormat/>
    <w:uiPriority w:val="0"/>
    <w:rPr>
      <w:rFonts w:ascii="Times New Roman" w:hAnsi="Times New Roman" w:eastAsia="Times New Roman" w:cs="Times New Roman"/>
      <w:b/>
      <w:kern w:val="0"/>
      <w:szCs w:val="20"/>
    </w:rPr>
  </w:style>
  <w:style w:type="paragraph" w:customStyle="1" w:styleId="106">
    <w:name w:val="表名"/>
    <w:basedOn w:val="1"/>
    <w:next w:val="18"/>
    <w:link w:val="105"/>
    <w:qFormat/>
    <w:uiPriority w:val="0"/>
    <w:pPr>
      <w:topLinePunct w:val="0"/>
      <w:adjustRightInd/>
      <w:spacing w:line="240" w:lineRule="auto"/>
      <w:ind w:firstLine="0" w:firstLineChars="0"/>
      <w:jc w:val="center"/>
    </w:pPr>
    <w:rPr>
      <w:rFonts w:ascii="Times New Roman" w:eastAsia="Times New Roman" w:cs="Times New Roman"/>
      <w:b/>
      <w:sz w:val="20"/>
      <w:szCs w:val="20"/>
    </w:rPr>
  </w:style>
  <w:style w:type="paragraph" w:customStyle="1" w:styleId="107">
    <w:name w:val="表格正文"/>
    <w:basedOn w:val="1"/>
    <w:next w:val="1"/>
    <w:qFormat/>
    <w:uiPriority w:val="0"/>
    <w:pPr>
      <w:topLinePunct w:val="0"/>
      <w:autoSpaceDE w:val="0"/>
      <w:autoSpaceDN w:val="0"/>
      <w:spacing w:after="60" w:line="360" w:lineRule="atLeast"/>
      <w:ind w:firstLine="0" w:firstLineChars="0"/>
      <w:jc w:val="center"/>
    </w:pPr>
    <w:rPr>
      <w:rFonts w:cs="Times New Roman"/>
      <w:sz w:val="21"/>
      <w:szCs w:val="20"/>
    </w:rPr>
  </w:style>
  <w:style w:type="character" w:customStyle="1" w:styleId="108">
    <w:name w:val="表格 Char"/>
    <w:link w:val="109"/>
    <w:qFormat/>
    <w:uiPriority w:val="0"/>
    <w:rPr>
      <w:rFonts w:ascii="Times New Roman" w:hAnsi="Times New Roman" w:eastAsia="宋体"/>
      <w:szCs w:val="24"/>
    </w:rPr>
  </w:style>
  <w:style w:type="paragraph" w:customStyle="1" w:styleId="109">
    <w:name w:val="表格"/>
    <w:basedOn w:val="1"/>
    <w:link w:val="108"/>
    <w:qFormat/>
    <w:uiPriority w:val="0"/>
    <w:pPr>
      <w:tabs>
        <w:tab w:val="left" w:pos="5355"/>
      </w:tabs>
      <w:topLinePunct w:val="0"/>
      <w:adjustRightInd/>
      <w:spacing w:line="240" w:lineRule="auto"/>
      <w:ind w:firstLine="0" w:firstLineChars="0"/>
      <w:jc w:val="center"/>
    </w:pPr>
    <w:rPr>
      <w:rFonts w:ascii="Times New Roman" w:cs="Times New Roman"/>
      <w:sz w:val="20"/>
    </w:rPr>
  </w:style>
  <w:style w:type="character" w:customStyle="1" w:styleId="110">
    <w:name w:val="正文(首缩进) Char"/>
    <w:link w:val="111"/>
    <w:qFormat/>
    <w:uiPriority w:val="0"/>
    <w:rPr>
      <w:rFonts w:ascii="Times New Roman" w:hAnsi="Times New Roman"/>
      <w:sz w:val="24"/>
    </w:rPr>
  </w:style>
  <w:style w:type="paragraph" w:customStyle="1" w:styleId="111">
    <w:name w:val="正文(首缩进)"/>
    <w:basedOn w:val="1"/>
    <w:link w:val="110"/>
    <w:qFormat/>
    <w:uiPriority w:val="0"/>
    <w:pPr>
      <w:topLinePunct w:val="0"/>
      <w:adjustRightInd/>
    </w:pPr>
    <w:rPr>
      <w:rFonts w:ascii="Times New Roman" w:cs="Times New Roman"/>
      <w:szCs w:val="20"/>
    </w:rPr>
  </w:style>
  <w:style w:type="paragraph" w:customStyle="1" w:styleId="112">
    <w:name w:val="表格内容"/>
    <w:basedOn w:val="1"/>
    <w:next w:val="1"/>
    <w:qFormat/>
    <w:uiPriority w:val="0"/>
    <w:pPr>
      <w:framePr w:hSpace="180" w:wrap="around" w:vAnchor="text" w:hAnchor="margin" w:xAlign="center" w:y="690"/>
      <w:topLinePunct w:val="0"/>
      <w:adjustRightInd/>
      <w:spacing w:line="240" w:lineRule="auto"/>
      <w:ind w:firstLine="0" w:firstLineChars="0"/>
      <w:jc w:val="center"/>
    </w:pPr>
    <w:rPr>
      <w:rFonts w:cs="Arial"/>
      <w:sz w:val="21"/>
      <w:szCs w:val="21"/>
    </w:rPr>
  </w:style>
  <w:style w:type="paragraph" w:customStyle="1" w:styleId="113">
    <w:name w:val="无间隔1"/>
    <w:qFormat/>
    <w:uiPriority w:val="0"/>
    <w:pPr>
      <w:widowControl w:val="0"/>
      <w:jc w:val="center"/>
    </w:pPr>
    <w:rPr>
      <w:rFonts w:ascii="Times New Roman" w:hAnsi="Times New Roman" w:eastAsia="宋体" w:cs="Times New Roman"/>
      <w:kern w:val="2"/>
      <w:sz w:val="21"/>
      <w:szCs w:val="24"/>
      <w:lang w:val="en-US" w:eastAsia="zh-CN" w:bidi="ar-SA"/>
    </w:rPr>
  </w:style>
  <w:style w:type="paragraph" w:customStyle="1" w:styleId="114">
    <w:name w:val="正文（川油）"/>
    <w:qFormat/>
    <w:uiPriority w:val="0"/>
    <w:pPr>
      <w:widowControl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115">
    <w:name w:val="表格（左对齐）"/>
    <w:basedOn w:val="1"/>
    <w:next w:val="1"/>
    <w:qFormat/>
    <w:uiPriority w:val="0"/>
    <w:pPr>
      <w:topLinePunct w:val="0"/>
      <w:adjustRightInd/>
      <w:spacing w:line="240" w:lineRule="auto"/>
      <w:ind w:firstLine="0" w:firstLineChars="0"/>
      <w:jc w:val="left"/>
    </w:pPr>
    <w:rPr>
      <w:rFonts w:ascii="Times New Roman" w:cs="Times New Roman"/>
      <w:sz w:val="21"/>
      <w:szCs w:val="20"/>
    </w:rPr>
  </w:style>
  <w:style w:type="character" w:customStyle="1" w:styleId="116">
    <w:name w:val="段落(首缩进) Char Char"/>
    <w:link w:val="117"/>
    <w:qFormat/>
    <w:uiPriority w:val="0"/>
    <w:rPr>
      <w:rFonts w:ascii="Arial" w:hAnsi="Arial" w:cs="Arial"/>
      <w:sz w:val="28"/>
      <w:szCs w:val="28"/>
    </w:rPr>
  </w:style>
  <w:style w:type="paragraph" w:customStyle="1" w:styleId="117">
    <w:name w:val="段落(首缩进)"/>
    <w:basedOn w:val="6"/>
    <w:link w:val="116"/>
    <w:qFormat/>
    <w:uiPriority w:val="0"/>
    <w:pPr>
      <w:topLinePunct w:val="0"/>
      <w:snapToGrid w:val="0"/>
      <w:ind w:firstLine="560"/>
    </w:pPr>
    <w:rPr>
      <w:rFonts w:ascii="Arial" w:hAnsi="Arial" w:cs="Times New Roman"/>
      <w:sz w:val="28"/>
      <w:szCs w:val="28"/>
    </w:rPr>
  </w:style>
  <w:style w:type="character" w:customStyle="1" w:styleId="118">
    <w:name w:val="表内居中 Char"/>
    <w:link w:val="119"/>
    <w:qFormat/>
    <w:uiPriority w:val="0"/>
    <w:rPr>
      <w:sz w:val="24"/>
      <w:szCs w:val="21"/>
    </w:rPr>
  </w:style>
  <w:style w:type="paragraph" w:customStyle="1" w:styleId="119">
    <w:name w:val="表内居中"/>
    <w:basedOn w:val="1"/>
    <w:link w:val="118"/>
    <w:qFormat/>
    <w:uiPriority w:val="0"/>
    <w:pPr>
      <w:topLinePunct w:val="0"/>
      <w:adjustRightInd/>
      <w:spacing w:line="240" w:lineRule="auto"/>
      <w:ind w:firstLine="0" w:firstLineChars="0"/>
      <w:jc w:val="center"/>
    </w:pPr>
    <w:rPr>
      <w:rFonts w:ascii="Calibri" w:hAnsi="Calibri" w:cs="Times New Roman"/>
      <w:szCs w:val="21"/>
    </w:rPr>
  </w:style>
  <w:style w:type="paragraph" w:customStyle="1" w:styleId="120">
    <w:name w:val="CM2"/>
    <w:basedOn w:val="1"/>
    <w:next w:val="1"/>
    <w:qFormat/>
    <w:uiPriority w:val="0"/>
    <w:pPr>
      <w:topLinePunct w:val="0"/>
      <w:autoSpaceDE w:val="0"/>
      <w:autoSpaceDN w:val="0"/>
      <w:spacing w:line="468" w:lineRule="atLeast"/>
      <w:ind w:firstLine="0" w:firstLineChars="0"/>
      <w:jc w:val="left"/>
    </w:pPr>
    <w:rPr>
      <w:rFonts w:ascii="Arial" w:hAnsi="Arial" w:cs="Times New Roman"/>
    </w:rPr>
  </w:style>
  <w:style w:type="paragraph" w:customStyle="1" w:styleId="12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styleId="122">
    <w:name w:val="Placeholder Text"/>
    <w:basedOn w:val="62"/>
    <w:semiHidden/>
    <w:qFormat/>
    <w:uiPriority w:val="99"/>
    <w:rPr>
      <w:color w:val="808080"/>
    </w:rPr>
  </w:style>
  <w:style w:type="character" w:customStyle="1" w:styleId="123">
    <w:name w:val="description"/>
    <w:basedOn w:val="62"/>
    <w:qFormat/>
    <w:uiPriority w:val="0"/>
  </w:style>
  <w:style w:type="paragraph" w:customStyle="1" w:styleId="124">
    <w:name w:val="标题3"/>
    <w:basedOn w:val="4"/>
    <w:link w:val="125"/>
    <w:qFormat/>
    <w:uiPriority w:val="0"/>
    <w:pPr>
      <w:spacing w:before="240"/>
    </w:pPr>
    <w:rPr>
      <w:rFonts w:eastAsia="宋体"/>
    </w:rPr>
  </w:style>
  <w:style w:type="character" w:customStyle="1" w:styleId="125">
    <w:name w:val="标题3 Char"/>
    <w:basedOn w:val="73"/>
    <w:link w:val="124"/>
    <w:qFormat/>
    <w:uiPriority w:val="1"/>
    <w:rPr>
      <w:rFonts w:ascii="Times New Roman" w:hAnsi="Times New Roman" w:eastAsia="宋体" w:cs="Times New Roman"/>
      <w:kern w:val="0"/>
      <w:sz w:val="24"/>
      <w:szCs w:val="32"/>
    </w:rPr>
  </w:style>
  <w:style w:type="table" w:customStyle="1" w:styleId="126">
    <w:name w:val="网格型1"/>
    <w:basedOn w:val="5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7">
    <w:name w:val="TOC 标题11"/>
    <w:next w:val="1"/>
    <w:unhideWhenUsed/>
    <w:qFormat/>
    <w:uiPriority w:val="39"/>
    <w:pPr>
      <w:spacing w:line="360" w:lineRule="auto"/>
      <w:jc w:val="center"/>
    </w:pPr>
    <w:rPr>
      <w:rFonts w:ascii="Times New Roman" w:hAnsi="Times New Roman" w:eastAsia="Times New Roman" w:cs="Times New Roman"/>
      <w:b/>
      <w:bCs/>
      <w:sz w:val="21"/>
      <w:szCs w:val="28"/>
      <w:lang w:val="en-US" w:eastAsia="zh-CN" w:bidi="ar-SA"/>
    </w:rPr>
  </w:style>
  <w:style w:type="character" w:customStyle="1" w:styleId="128">
    <w:name w:val="未处理的提及1"/>
    <w:basedOn w:val="62"/>
    <w:semiHidden/>
    <w:unhideWhenUsed/>
    <w:qFormat/>
    <w:uiPriority w:val="99"/>
    <w:rPr>
      <w:color w:val="605E5C"/>
      <w:shd w:val="clear" w:color="auto" w:fill="E1DFDD"/>
    </w:rPr>
  </w:style>
  <w:style w:type="character" w:customStyle="1" w:styleId="129">
    <w:name w:val="正文文本缩进 3 Char1"/>
    <w:qFormat/>
    <w:uiPriority w:val="0"/>
    <w:rPr>
      <w:kern w:val="2"/>
      <w:sz w:val="16"/>
      <w:szCs w:val="16"/>
    </w:rPr>
  </w:style>
  <w:style w:type="paragraph" w:customStyle="1" w:styleId="130">
    <w:name w:val="样式 样式 样式 左  0 字符 首行缩进:  2 字符 + 首行缩进:  2 字符 + 首行缩进:  2 字符"/>
    <w:basedOn w:val="1"/>
    <w:qFormat/>
    <w:uiPriority w:val="0"/>
    <w:pPr>
      <w:topLinePunct w:val="0"/>
      <w:adjustRightInd/>
      <w:spacing w:line="276" w:lineRule="auto"/>
    </w:pPr>
    <w:rPr>
      <w:rFonts w:ascii="Times New Roman" w:eastAsia="仿宋_GB2312" w:cs="Times New Roman"/>
      <w:kern w:val="2"/>
      <w:sz w:val="28"/>
      <w:szCs w:val="20"/>
    </w:rPr>
  </w:style>
  <w:style w:type="character" w:customStyle="1" w:styleId="131">
    <w:name w:val="引用 Char"/>
    <w:link w:val="132"/>
    <w:qFormat/>
    <w:uiPriority w:val="0"/>
    <w:rPr>
      <w:i/>
      <w:color w:val="000000"/>
      <w:kern w:val="2"/>
      <w:sz w:val="24"/>
    </w:rPr>
  </w:style>
  <w:style w:type="paragraph" w:styleId="132">
    <w:name w:val="Quote"/>
    <w:basedOn w:val="1"/>
    <w:next w:val="1"/>
    <w:link w:val="131"/>
    <w:qFormat/>
    <w:uiPriority w:val="0"/>
    <w:pPr>
      <w:topLinePunct w:val="0"/>
      <w:adjustRightInd/>
      <w:spacing w:line="240" w:lineRule="auto"/>
      <w:ind w:firstLine="0" w:firstLineChars="0"/>
      <w:jc w:val="center"/>
    </w:pPr>
    <w:rPr>
      <w:rFonts w:ascii="Calibri" w:hAnsi="Calibri" w:cs="Times New Roman"/>
      <w:i/>
      <w:color w:val="000000"/>
      <w:kern w:val="2"/>
      <w:szCs w:val="20"/>
    </w:rPr>
  </w:style>
  <w:style w:type="character" w:customStyle="1" w:styleId="133">
    <w:name w:val="引用 字符"/>
    <w:basedOn w:val="62"/>
    <w:qFormat/>
    <w:uiPriority w:val="99"/>
    <w:rPr>
      <w:rFonts w:ascii="宋体" w:hAnsi="Times New Roman" w:cs="宋体"/>
      <w:i/>
      <w:iCs/>
      <w:color w:val="404040"/>
      <w:sz w:val="24"/>
      <w:szCs w:val="24"/>
    </w:rPr>
  </w:style>
  <w:style w:type="paragraph" w:customStyle="1" w:styleId="134">
    <w:name w:val="表标题名"/>
    <w:basedOn w:val="106"/>
    <w:link w:val="135"/>
    <w:qFormat/>
    <w:uiPriority w:val="0"/>
    <w:pPr>
      <w:tabs>
        <w:tab w:val="left" w:pos="1350"/>
      </w:tabs>
      <w:autoSpaceDE w:val="0"/>
      <w:autoSpaceDN w:val="0"/>
      <w:adjustRightInd w:val="0"/>
      <w:snapToGrid w:val="0"/>
    </w:pPr>
    <w:rPr>
      <w:rFonts w:eastAsia="宋体"/>
      <w:b w:val="0"/>
      <w:kern w:val="2"/>
      <w:sz w:val="21"/>
      <w:szCs w:val="24"/>
      <w:shd w:val="clear" w:color="auto" w:fill="FFFFFF"/>
    </w:rPr>
  </w:style>
  <w:style w:type="character" w:customStyle="1" w:styleId="135">
    <w:name w:val="表标题名 Char"/>
    <w:link w:val="134"/>
    <w:qFormat/>
    <w:uiPriority w:val="0"/>
    <w:rPr>
      <w:rFonts w:ascii="Times New Roman" w:hAnsi="Times New Roman" w:eastAsia="宋体" w:cs="Times New Roman"/>
      <w:kern w:val="2"/>
      <w:sz w:val="21"/>
      <w:szCs w:val="24"/>
    </w:rPr>
  </w:style>
  <w:style w:type="paragraph" w:customStyle="1" w:styleId="136">
    <w:name w:val="_Style 2"/>
    <w:basedOn w:val="1"/>
    <w:qFormat/>
    <w:uiPriority w:val="0"/>
    <w:pPr>
      <w:topLinePunct w:val="0"/>
      <w:adjustRightInd/>
      <w:spacing w:line="240" w:lineRule="auto"/>
      <w:ind w:firstLine="420"/>
    </w:pPr>
    <w:rPr>
      <w:rFonts w:ascii="Times New Roman" w:cs="Times New Roman"/>
      <w:kern w:val="2"/>
      <w:sz w:val="21"/>
    </w:rPr>
  </w:style>
  <w:style w:type="character" w:customStyle="1" w:styleId="137">
    <w:name w:val="【表头】 Char"/>
    <w:link w:val="138"/>
    <w:qFormat/>
    <w:uiPriority w:val="0"/>
    <w:rPr>
      <w:rFonts w:ascii="Times New Roman" w:hAnsi="Times New Roman"/>
      <w:color w:val="000000"/>
      <w:kern w:val="2"/>
      <w:sz w:val="21"/>
      <w:szCs w:val="24"/>
      <w:lang w:val="en-US" w:eastAsia="zh-CN" w:bidi="ar-SA"/>
    </w:rPr>
  </w:style>
  <w:style w:type="paragraph" w:customStyle="1" w:styleId="138">
    <w:name w:val="【表头】"/>
    <w:link w:val="137"/>
    <w:qFormat/>
    <w:uiPriority w:val="0"/>
    <w:pPr>
      <w:adjustRightInd w:val="0"/>
      <w:snapToGrid w:val="0"/>
      <w:jc w:val="center"/>
    </w:pPr>
    <w:rPr>
      <w:rFonts w:ascii="Times New Roman" w:hAnsi="Times New Roman" w:eastAsia="宋体" w:cs="Times New Roman"/>
      <w:color w:val="000000"/>
      <w:kern w:val="2"/>
      <w:sz w:val="21"/>
      <w:szCs w:val="24"/>
      <w:lang w:val="en-US" w:eastAsia="zh-CN" w:bidi="ar-SA"/>
    </w:rPr>
  </w:style>
  <w:style w:type="character" w:customStyle="1" w:styleId="139">
    <w:name w:val="【表内字】 Char"/>
    <w:link w:val="140"/>
    <w:qFormat/>
    <w:uiPriority w:val="0"/>
    <w:rPr>
      <w:sz w:val="21"/>
      <w:szCs w:val="24"/>
    </w:rPr>
  </w:style>
  <w:style w:type="paragraph" w:customStyle="1" w:styleId="140">
    <w:name w:val="【表内字】"/>
    <w:basedOn w:val="1"/>
    <w:link w:val="139"/>
    <w:qFormat/>
    <w:uiPriority w:val="0"/>
    <w:pPr>
      <w:topLinePunct w:val="0"/>
      <w:adjustRightInd/>
      <w:spacing w:line="240" w:lineRule="auto"/>
      <w:ind w:firstLine="0" w:firstLineChars="0"/>
      <w:jc w:val="center"/>
    </w:pPr>
    <w:rPr>
      <w:rFonts w:ascii="Calibri" w:hAnsi="Calibri" w:cs="Times New Roman"/>
      <w:sz w:val="21"/>
    </w:rPr>
  </w:style>
  <w:style w:type="character" w:customStyle="1" w:styleId="141">
    <w:name w:val="【正文】 Char"/>
    <w:link w:val="142"/>
    <w:qFormat/>
    <w:uiPriority w:val="0"/>
    <w:rPr>
      <w:kern w:val="2"/>
      <w:sz w:val="24"/>
      <w:szCs w:val="24"/>
    </w:rPr>
  </w:style>
  <w:style w:type="paragraph" w:customStyle="1" w:styleId="142">
    <w:name w:val="【正文】"/>
    <w:basedOn w:val="1"/>
    <w:link w:val="141"/>
    <w:qFormat/>
    <w:uiPriority w:val="0"/>
    <w:pPr>
      <w:widowControl/>
      <w:topLinePunct w:val="0"/>
      <w:adjustRightInd/>
    </w:pPr>
    <w:rPr>
      <w:rFonts w:ascii="Calibri" w:hAnsi="Calibri" w:cs="Times New Roman"/>
      <w:kern w:val="2"/>
    </w:rPr>
  </w:style>
  <w:style w:type="character" w:customStyle="1" w:styleId="143">
    <w:name w:val="正文(首缩进) Char1"/>
    <w:qFormat/>
    <w:uiPriority w:val="0"/>
    <w:rPr>
      <w:rFonts w:eastAsia="宋体"/>
      <w:kern w:val="2"/>
      <w:sz w:val="28"/>
      <w:szCs w:val="28"/>
      <w:lang w:val="en-US" w:eastAsia="zh-CN" w:bidi="ar-SA"/>
    </w:rPr>
  </w:style>
  <w:style w:type="character" w:customStyle="1" w:styleId="144">
    <w:name w:val="批注主题 Char"/>
    <w:basedOn w:val="82"/>
    <w:link w:val="56"/>
    <w:qFormat/>
    <w:uiPriority w:val="99"/>
    <w:rPr>
      <w:rFonts w:ascii="宋体" w:hAnsi="Times New Roman" w:cs="宋体"/>
      <w:b/>
      <w:bCs/>
      <w:sz w:val="24"/>
      <w:szCs w:val="24"/>
    </w:rPr>
  </w:style>
  <w:style w:type="character" w:customStyle="1" w:styleId="145">
    <w:name w:val="font01"/>
    <w:qFormat/>
    <w:uiPriority w:val="0"/>
    <w:rPr>
      <w:rFonts w:hint="eastAsia" w:ascii="宋体" w:hAnsi="宋体" w:eastAsia="宋体" w:cs="宋体"/>
      <w:color w:val="auto"/>
      <w:sz w:val="24"/>
      <w:szCs w:val="24"/>
      <w:u w:val="none"/>
    </w:rPr>
  </w:style>
  <w:style w:type="character" w:customStyle="1" w:styleId="146">
    <w:name w:val="HTML 预设格式 Char"/>
    <w:link w:val="53"/>
    <w:qFormat/>
    <w:uiPriority w:val="0"/>
    <w:rPr>
      <w:rFonts w:ascii="Arial" w:hAnsi="Arial" w:cs="Arial"/>
      <w:sz w:val="24"/>
      <w:szCs w:val="24"/>
    </w:rPr>
  </w:style>
  <w:style w:type="character" w:customStyle="1" w:styleId="147">
    <w:name w:val="HTML 预设格式 字符"/>
    <w:basedOn w:val="62"/>
    <w:qFormat/>
    <w:uiPriority w:val="99"/>
    <w:rPr>
      <w:rFonts w:ascii="Courier New" w:hAnsi="Courier New" w:cs="Courier New"/>
    </w:rPr>
  </w:style>
  <w:style w:type="character" w:customStyle="1" w:styleId="148">
    <w:name w:val="正文首行缩进 2 Char1"/>
    <w:qFormat/>
    <w:uiPriority w:val="0"/>
    <w:rPr>
      <w:rFonts w:ascii="Arial" w:hAnsi="Arial" w:eastAsia="仿宋_GB2312" w:cs="Arial"/>
      <w:kern w:val="2"/>
      <w:sz w:val="21"/>
    </w:rPr>
  </w:style>
  <w:style w:type="character" w:customStyle="1" w:styleId="149">
    <w:name w:val="正文(首缩进) Char Char"/>
    <w:qFormat/>
    <w:uiPriority w:val="0"/>
    <w:rPr>
      <w:rFonts w:eastAsia="仿宋_GB2312"/>
      <w:kern w:val="2"/>
      <w:sz w:val="28"/>
      <w:lang w:val="en-US" w:eastAsia="zh-CN" w:bidi="ar-SA"/>
    </w:rPr>
  </w:style>
  <w:style w:type="character" w:customStyle="1" w:styleId="150">
    <w:name w:val="正文（首行缩进两字） Char Char Char2"/>
    <w:qFormat/>
    <w:uiPriority w:val="0"/>
    <w:rPr>
      <w:rFonts w:eastAsia="宋体"/>
      <w:kern w:val="2"/>
      <w:sz w:val="21"/>
      <w:szCs w:val="24"/>
      <w:lang w:val="en-US" w:eastAsia="zh-CN" w:bidi="ar-SA"/>
    </w:rPr>
  </w:style>
  <w:style w:type="character" w:customStyle="1" w:styleId="151">
    <w:name w:val="h11"/>
    <w:qFormat/>
    <w:uiPriority w:val="0"/>
    <w:rPr>
      <w:rFonts w:eastAsia="宋体"/>
      <w:b/>
      <w:kern w:val="44"/>
      <w:sz w:val="44"/>
      <w:lang w:val="en-US" w:eastAsia="zh-CN"/>
    </w:rPr>
  </w:style>
  <w:style w:type="character" w:customStyle="1" w:styleId="152">
    <w:name w:val="条标题（科宏） Char"/>
    <w:qFormat/>
    <w:uiPriority w:val="0"/>
    <w:rPr>
      <w:rFonts w:ascii="Arial" w:hAnsi="Arial" w:eastAsia="仿宋_GB2312"/>
      <w:sz w:val="28"/>
      <w:lang w:val="en-US" w:eastAsia="zh-CN" w:bidi="ar-SA"/>
    </w:rPr>
  </w:style>
  <w:style w:type="character" w:customStyle="1" w:styleId="153">
    <w:name w:val="样式 标题 1 + 橙色 Char"/>
    <w:qFormat/>
    <w:uiPriority w:val="0"/>
    <w:rPr>
      <w:rFonts w:eastAsia="宋体"/>
      <w:b/>
      <w:bCs/>
      <w:kern w:val="44"/>
      <w:sz w:val="30"/>
      <w:szCs w:val="30"/>
      <w:lang w:val="en-US" w:eastAsia="zh-CN" w:bidi="ar-SA"/>
    </w:rPr>
  </w:style>
  <w:style w:type="character" w:customStyle="1" w:styleId="154">
    <w:name w:val="Char Char10"/>
    <w:qFormat/>
    <w:uiPriority w:val="0"/>
    <w:rPr>
      <w:rFonts w:eastAsia="宋体"/>
      <w:kern w:val="2"/>
      <w:sz w:val="18"/>
      <w:szCs w:val="18"/>
      <w:lang w:val="en-US" w:eastAsia="zh-CN" w:bidi="ar-SA"/>
    </w:rPr>
  </w:style>
  <w:style w:type="character" w:customStyle="1" w:styleId="155">
    <w:name w:val="ourfont31"/>
    <w:qFormat/>
    <w:uiPriority w:val="0"/>
    <w:rPr>
      <w:spacing w:val="20"/>
      <w:sz w:val="21"/>
    </w:rPr>
  </w:style>
  <w:style w:type="character" w:customStyle="1" w:styleId="156">
    <w:name w:val="样式 (西文) Arial (中文) 仿宋_GB2312"/>
    <w:qFormat/>
    <w:uiPriority w:val="0"/>
    <w:rPr>
      <w:rFonts w:ascii="Arial" w:hAnsi="Arial" w:eastAsia="仿宋_GB2312"/>
      <w:sz w:val="28"/>
      <w:szCs w:val="28"/>
    </w:rPr>
  </w:style>
  <w:style w:type="character" w:customStyle="1" w:styleId="157">
    <w:name w:val="正文文本 3 Char1"/>
    <w:qFormat/>
    <w:uiPriority w:val="0"/>
    <w:rPr>
      <w:kern w:val="2"/>
      <w:sz w:val="16"/>
      <w:szCs w:val="16"/>
    </w:rPr>
  </w:style>
  <w:style w:type="character" w:customStyle="1" w:styleId="158">
    <w:name w:val="标题 1 宋体 三号 Char Char Char Char"/>
    <w:link w:val="159"/>
    <w:qFormat/>
    <w:uiPriority w:val="0"/>
    <w:rPr>
      <w:rFonts w:ascii="宋体" w:hAnsi="宋体" w:eastAsia="宋体"/>
      <w:b/>
      <w:kern w:val="44"/>
      <w:sz w:val="32"/>
    </w:rPr>
  </w:style>
  <w:style w:type="paragraph" w:customStyle="1" w:styleId="159">
    <w:name w:val="标题 1 宋体 三号 Char Char"/>
    <w:basedOn w:val="2"/>
    <w:link w:val="158"/>
    <w:qFormat/>
    <w:uiPriority w:val="0"/>
    <w:pPr>
      <w:tabs>
        <w:tab w:val="left" w:pos="425"/>
      </w:tabs>
      <w:topLinePunct w:val="0"/>
      <w:adjustRightInd/>
      <w:spacing w:before="340" w:beforeAutospacing="0" w:after="330" w:afterAutospacing="0"/>
      <w:ind w:left="425" w:hanging="425"/>
      <w:jc w:val="center"/>
    </w:pPr>
    <w:rPr>
      <w:rFonts w:ascii="宋体" w:hAnsi="宋体" w:eastAsia="宋体"/>
      <w:szCs w:val="20"/>
    </w:rPr>
  </w:style>
  <w:style w:type="character" w:customStyle="1" w:styleId="160">
    <w:name w:val="纯文本 Char1"/>
    <w:qFormat/>
    <w:uiPriority w:val="0"/>
    <w:rPr>
      <w:rFonts w:ascii="宋体" w:hAnsi="Courier New" w:eastAsia="宋体" w:cs="Courier New"/>
      <w:kern w:val="2"/>
      <w:sz w:val="21"/>
      <w:szCs w:val="21"/>
      <w:lang w:val="en-US" w:eastAsia="zh-CN" w:bidi="ar-SA"/>
    </w:rPr>
  </w:style>
  <w:style w:type="character" w:customStyle="1" w:styleId="161">
    <w:name w:val="正文缩进 Char"/>
    <w:link w:val="17"/>
    <w:qFormat/>
    <w:uiPriority w:val="0"/>
    <w:rPr>
      <w:rFonts w:eastAsia="宋体"/>
    </w:rPr>
  </w:style>
  <w:style w:type="character" w:customStyle="1" w:styleId="162">
    <w:name w:val="fwriter1"/>
    <w:qFormat/>
    <w:uiPriority w:val="0"/>
    <w:rPr>
      <w:color w:val="A50010"/>
    </w:rPr>
  </w:style>
  <w:style w:type="character" w:customStyle="1" w:styleId="163">
    <w:name w:val="初设正文 Char Char"/>
    <w:link w:val="164"/>
    <w:qFormat/>
    <w:uiPriority w:val="0"/>
    <w:rPr>
      <w:rFonts w:ascii="宋体" w:hAnsi="宋体" w:eastAsia="宋体"/>
      <w:sz w:val="24"/>
      <w:szCs w:val="24"/>
    </w:rPr>
  </w:style>
  <w:style w:type="paragraph" w:customStyle="1" w:styleId="164">
    <w:name w:val="初设正文"/>
    <w:basedOn w:val="1"/>
    <w:link w:val="163"/>
    <w:qFormat/>
    <w:uiPriority w:val="0"/>
    <w:pPr>
      <w:topLinePunct w:val="0"/>
      <w:snapToGrid w:val="0"/>
      <w:spacing w:line="324" w:lineRule="auto"/>
      <w:ind w:left="227" w:right="170"/>
    </w:pPr>
    <w:rPr>
      <w:rFonts w:hAnsi="宋体" w:cs="Times New Roman"/>
    </w:rPr>
  </w:style>
  <w:style w:type="character" w:customStyle="1" w:styleId="165">
    <w:name w:val="Char Char18"/>
    <w:qFormat/>
    <w:uiPriority w:val="0"/>
    <w:rPr>
      <w:rFonts w:ascii="Arial" w:hAnsi="Arial" w:eastAsia="黑体"/>
      <w:b/>
      <w:kern w:val="2"/>
      <w:sz w:val="28"/>
    </w:rPr>
  </w:style>
  <w:style w:type="character" w:customStyle="1" w:styleId="166">
    <w:name w:val="正文（首行缩进两字） Char Char Char1"/>
    <w:qFormat/>
    <w:uiPriority w:val="0"/>
    <w:rPr>
      <w:rFonts w:eastAsia="宋体"/>
      <w:kern w:val="2"/>
      <w:sz w:val="21"/>
      <w:lang w:val="en-US" w:eastAsia="zh-CN" w:bidi="ar-SA"/>
    </w:rPr>
  </w:style>
  <w:style w:type="character" w:customStyle="1" w:styleId="167">
    <w:name w:val="unnamed51"/>
    <w:qFormat/>
    <w:uiPriority w:val="0"/>
    <w:rPr>
      <w:rFonts w:hint="eastAsia" w:ascii="宋体" w:hAnsi="宋体" w:eastAsia="宋体"/>
      <w:color w:val="0066CC"/>
      <w:sz w:val="18"/>
    </w:rPr>
  </w:style>
  <w:style w:type="character" w:customStyle="1" w:styleId="168">
    <w:name w:val="titletext1"/>
    <w:qFormat/>
    <w:uiPriority w:val="0"/>
    <w:rPr>
      <w:color w:val="000000"/>
      <w:sz w:val="21"/>
    </w:rPr>
  </w:style>
  <w:style w:type="character" w:customStyle="1" w:styleId="169">
    <w:name w:val="标题 2 字符1"/>
    <w:qFormat/>
    <w:uiPriority w:val="0"/>
    <w:rPr>
      <w:rFonts w:ascii="Arial" w:hAnsi="Arial" w:eastAsia="黑体" w:cs="Times New Roman"/>
      <w:b/>
      <w:sz w:val="32"/>
      <w:szCs w:val="20"/>
    </w:rPr>
  </w:style>
  <w:style w:type="character" w:customStyle="1" w:styleId="170">
    <w:name w:val="p121"/>
    <w:qFormat/>
    <w:uiPriority w:val="0"/>
    <w:rPr>
      <w:color w:val="000000"/>
      <w:sz w:val="24"/>
      <w:szCs w:val="24"/>
      <w:u w:val="none"/>
    </w:rPr>
  </w:style>
  <w:style w:type="character" w:customStyle="1" w:styleId="171">
    <w:name w:val="正文（科宏） Char Char Char"/>
    <w:qFormat/>
    <w:uiPriority w:val="0"/>
    <w:rPr>
      <w:rFonts w:ascii="Arial" w:hAnsi="Arial" w:eastAsia="仿宋_GB2312"/>
      <w:sz w:val="28"/>
      <w:lang w:val="en-US" w:eastAsia="zh-CN" w:bidi="ar-SA"/>
    </w:rPr>
  </w:style>
  <w:style w:type="character" w:customStyle="1" w:styleId="172">
    <w:name w:val="1.1.1 Char Char"/>
    <w:qFormat/>
    <w:uiPriority w:val="0"/>
    <w:rPr>
      <w:rFonts w:ascii="Arial" w:hAnsi="Arial" w:eastAsia="宋体"/>
      <w:kern w:val="2"/>
      <w:position w:val="-30"/>
      <w:sz w:val="28"/>
      <w:lang w:val="en-US" w:eastAsia="zh-CN"/>
    </w:rPr>
  </w:style>
  <w:style w:type="character" w:customStyle="1" w:styleId="173">
    <w:name w:val="14hei1"/>
    <w:qFormat/>
    <w:uiPriority w:val="0"/>
    <w:rPr>
      <w:color w:val="000000"/>
      <w:sz w:val="16"/>
      <w:u w:val="none"/>
    </w:rPr>
  </w:style>
  <w:style w:type="character" w:customStyle="1" w:styleId="174">
    <w:name w:val="偶的正文 Char Char Char Char Char"/>
    <w:link w:val="175"/>
    <w:qFormat/>
    <w:uiPriority w:val="0"/>
    <w:rPr>
      <w:sz w:val="24"/>
    </w:rPr>
  </w:style>
  <w:style w:type="paragraph" w:customStyle="1" w:styleId="175">
    <w:name w:val="偶的正文 Char Char Char"/>
    <w:basedOn w:val="57"/>
    <w:link w:val="174"/>
    <w:qFormat/>
    <w:uiPriority w:val="0"/>
    <w:pPr>
      <w:spacing w:beforeLines="50" w:afterLines="50" w:line="460" w:lineRule="exact"/>
      <w:ind w:firstLine="480" w:firstLineChars="200"/>
    </w:pPr>
    <w:rPr>
      <w:sz w:val="24"/>
    </w:rPr>
  </w:style>
  <w:style w:type="character" w:customStyle="1" w:styleId="176">
    <w:name w:val="正文首行缩进 Char"/>
    <w:link w:val="57"/>
    <w:qFormat/>
    <w:uiPriority w:val="0"/>
  </w:style>
  <w:style w:type="character" w:customStyle="1" w:styleId="177">
    <w:name w:val="样式 标题 1 + (西文) Arial (中文) 仿宋_GB2312 四号 Char"/>
    <w:qFormat/>
    <w:uiPriority w:val="0"/>
    <w:rPr>
      <w:rFonts w:ascii="Arial" w:hAnsi="Arial" w:eastAsia="仿宋_GB2312" w:cs="Arial"/>
      <w:b/>
      <w:bCs/>
      <w:color w:val="000000"/>
      <w:kern w:val="44"/>
      <w:sz w:val="32"/>
      <w:szCs w:val="44"/>
      <w:lang w:val="en-US" w:eastAsia="zh-CN" w:bidi="ar-SA"/>
    </w:rPr>
  </w:style>
  <w:style w:type="character" w:customStyle="1" w:styleId="178">
    <w:name w:val="列表编号 Char"/>
    <w:link w:val="16"/>
    <w:qFormat/>
    <w:uiPriority w:val="0"/>
    <w:rPr>
      <w:rFonts w:eastAsia="宋体"/>
    </w:rPr>
  </w:style>
  <w:style w:type="character" w:customStyle="1" w:styleId="179">
    <w:name w:val="正文文本缩进 Char1"/>
    <w:qFormat/>
    <w:uiPriority w:val="0"/>
    <w:rPr>
      <w:rFonts w:ascii="Arial" w:hAnsi="Arial" w:eastAsia="仿宋_GB2312" w:cs="Arial"/>
      <w:kern w:val="2"/>
      <w:sz w:val="28"/>
    </w:rPr>
  </w:style>
  <w:style w:type="character" w:customStyle="1" w:styleId="180">
    <w:name w:val="style211"/>
    <w:qFormat/>
    <w:uiPriority w:val="0"/>
    <w:rPr>
      <w:rFonts w:hint="eastAsia" w:ascii="宋体" w:hAnsi="宋体" w:eastAsia="宋体"/>
      <w:sz w:val="18"/>
    </w:rPr>
  </w:style>
  <w:style w:type="character" w:customStyle="1" w:styleId="181">
    <w:name w:val="正文文本 2 Char1"/>
    <w:qFormat/>
    <w:uiPriority w:val="0"/>
    <w:rPr>
      <w:kern w:val="2"/>
      <w:sz w:val="21"/>
    </w:rPr>
  </w:style>
  <w:style w:type="character" w:customStyle="1" w:styleId="182">
    <w:name w:val="表格字体（科宏） Char"/>
    <w:qFormat/>
    <w:uiPriority w:val="0"/>
    <w:rPr>
      <w:rFonts w:ascii="Arial" w:hAnsi="Arial" w:eastAsia="仿宋_GB2312" w:cs="Times New Roman"/>
      <w:kern w:val="0"/>
      <w:sz w:val="24"/>
      <w:szCs w:val="20"/>
    </w:rPr>
  </w:style>
  <w:style w:type="character" w:customStyle="1" w:styleId="183">
    <w:name w:val="h91"/>
    <w:qFormat/>
    <w:uiPriority w:val="0"/>
    <w:rPr>
      <w:color w:val="000000"/>
      <w:sz w:val="21"/>
    </w:rPr>
  </w:style>
  <w:style w:type="character" w:customStyle="1" w:styleId="184">
    <w:name w:val="条标题（科宏） Char Char Char"/>
    <w:qFormat/>
    <w:uiPriority w:val="0"/>
    <w:rPr>
      <w:rFonts w:ascii="Arial" w:hAnsi="Arial" w:eastAsia="仿宋_GB2312"/>
      <w:sz w:val="28"/>
      <w:lang w:val="en-US" w:eastAsia="zh-CN" w:bidi="ar-SA"/>
    </w:rPr>
  </w:style>
  <w:style w:type="character" w:customStyle="1" w:styleId="185">
    <w:name w:val="Char Char1"/>
    <w:qFormat/>
    <w:uiPriority w:val="0"/>
    <w:rPr>
      <w:rFonts w:eastAsia="宋体"/>
      <w:kern w:val="2"/>
      <w:sz w:val="21"/>
      <w:lang w:val="en-US" w:eastAsia="zh-CN" w:bidi="ar-SA"/>
    </w:rPr>
  </w:style>
  <w:style w:type="character" w:customStyle="1" w:styleId="186">
    <w:name w:val="1.1.1.1 Char"/>
    <w:qFormat/>
    <w:uiPriority w:val="0"/>
    <w:rPr>
      <w:rFonts w:ascii="Arial" w:hAnsi="Arial" w:eastAsia="黑体"/>
      <w:b/>
      <w:kern w:val="2"/>
      <w:sz w:val="28"/>
      <w:lang w:val="en-US" w:eastAsia="zh-CN"/>
    </w:rPr>
  </w:style>
  <w:style w:type="character" w:customStyle="1" w:styleId="187">
    <w:name w:val="陕西，正文 Char Char"/>
    <w:qFormat/>
    <w:uiPriority w:val="0"/>
    <w:rPr>
      <w:rFonts w:eastAsia="宋体" w:cs="宋体"/>
      <w:kern w:val="2"/>
      <w:sz w:val="28"/>
      <w:lang w:val="en-US" w:eastAsia="zh-CN" w:bidi="ar-SA"/>
    </w:rPr>
  </w:style>
  <w:style w:type="character" w:customStyle="1" w:styleId="188">
    <w:name w:val="正文文本 3 Char"/>
    <w:link w:val="23"/>
    <w:qFormat/>
    <w:uiPriority w:val="0"/>
    <w:rPr>
      <w:rFonts w:eastAsia="宋体"/>
      <w:sz w:val="16"/>
      <w:szCs w:val="16"/>
    </w:rPr>
  </w:style>
  <w:style w:type="character" w:customStyle="1" w:styleId="189">
    <w:name w:val="标题 3 字符1"/>
    <w:qFormat/>
    <w:uiPriority w:val="0"/>
    <w:rPr>
      <w:rFonts w:ascii="Times New Roman" w:hAnsi="Times New Roman" w:eastAsia="宋体" w:cs="Times New Roman"/>
      <w:b/>
      <w:bCs/>
      <w:sz w:val="32"/>
      <w:szCs w:val="32"/>
    </w:rPr>
  </w:style>
  <w:style w:type="character" w:customStyle="1" w:styleId="190">
    <w:name w:val="正文文本 2 Char"/>
    <w:link w:val="51"/>
    <w:qFormat/>
    <w:uiPriority w:val="0"/>
    <w:rPr>
      <w:rFonts w:eastAsia="宋体"/>
    </w:rPr>
  </w:style>
  <w:style w:type="character" w:customStyle="1" w:styleId="191">
    <w:name w:val="z-窗体顶端 Char"/>
    <w:link w:val="192"/>
    <w:qFormat/>
    <w:uiPriority w:val="0"/>
    <w:rPr>
      <w:rFonts w:ascii="Arial" w:hAnsi="Arial" w:eastAsia="仿宋_GB2312" w:cs="Arial"/>
      <w:vanish/>
      <w:sz w:val="16"/>
      <w:szCs w:val="16"/>
    </w:rPr>
  </w:style>
  <w:style w:type="paragraph" w:customStyle="1" w:styleId="192">
    <w:name w:val="z-窗体顶端1"/>
    <w:basedOn w:val="1"/>
    <w:next w:val="1"/>
    <w:link w:val="191"/>
    <w:qFormat/>
    <w:uiPriority w:val="0"/>
    <w:pPr>
      <w:pBdr>
        <w:bottom w:val="single" w:color="auto" w:sz="6" w:space="1"/>
      </w:pBdr>
      <w:topLinePunct w:val="0"/>
      <w:adjustRightInd/>
      <w:ind w:firstLine="0" w:firstLineChars="0"/>
      <w:jc w:val="center"/>
    </w:pPr>
    <w:rPr>
      <w:rFonts w:ascii="Arial" w:hAnsi="Arial" w:eastAsia="仿宋_GB2312" w:cs="Times New Roman"/>
      <w:vanish/>
      <w:sz w:val="16"/>
      <w:szCs w:val="16"/>
    </w:rPr>
  </w:style>
  <w:style w:type="character" w:customStyle="1" w:styleId="193">
    <w:name w:val="条标题（科宏） Char Char"/>
    <w:qFormat/>
    <w:uiPriority w:val="0"/>
    <w:rPr>
      <w:rFonts w:ascii="Arial" w:hAnsi="Arial" w:eastAsia="仿宋_GB2312"/>
      <w:kern w:val="2"/>
      <w:sz w:val="28"/>
      <w:szCs w:val="36"/>
      <w:lang w:val="en-US" w:eastAsia="zh-CN" w:bidi="ar-SA"/>
    </w:rPr>
  </w:style>
  <w:style w:type="character" w:customStyle="1" w:styleId="194">
    <w:name w:val="space201"/>
    <w:basedOn w:val="62"/>
    <w:qFormat/>
    <w:uiPriority w:val="0"/>
  </w:style>
  <w:style w:type="character" w:customStyle="1" w:styleId="195">
    <w:name w:val="标题 3 Char"/>
    <w:qFormat/>
    <w:uiPriority w:val="0"/>
    <w:rPr>
      <w:rFonts w:ascii="Arial" w:hAnsi="Arial" w:eastAsia="宋体"/>
      <w:bCs/>
      <w:kern w:val="2"/>
      <w:position w:val="-30"/>
      <w:sz w:val="28"/>
      <w:szCs w:val="32"/>
      <w:lang w:val="en-US" w:eastAsia="zh-CN" w:bidi="ar-SA"/>
    </w:rPr>
  </w:style>
  <w:style w:type="character" w:customStyle="1" w:styleId="196">
    <w:name w:val="正文文本缩进 3 Char"/>
    <w:link w:val="46"/>
    <w:qFormat/>
    <w:uiPriority w:val="0"/>
    <w:rPr>
      <w:rFonts w:eastAsia="宋体"/>
      <w:sz w:val="16"/>
      <w:szCs w:val="16"/>
    </w:rPr>
  </w:style>
  <w:style w:type="character" w:customStyle="1" w:styleId="197">
    <w:name w:val="Char Char Char"/>
    <w:link w:val="198"/>
    <w:qFormat/>
    <w:uiPriority w:val="0"/>
    <w:rPr>
      <w:rFonts w:eastAsia="宋体"/>
    </w:rPr>
  </w:style>
  <w:style w:type="paragraph" w:customStyle="1" w:styleId="198">
    <w:name w:val="Char"/>
    <w:basedOn w:val="1"/>
    <w:link w:val="197"/>
    <w:qFormat/>
    <w:uiPriority w:val="0"/>
    <w:pPr>
      <w:topLinePunct w:val="0"/>
      <w:adjustRightInd/>
      <w:spacing w:line="240" w:lineRule="auto"/>
      <w:ind w:firstLine="0" w:firstLineChars="0"/>
    </w:pPr>
    <w:rPr>
      <w:rFonts w:ascii="Calibri" w:hAnsi="Calibri" w:cs="Times New Roman"/>
      <w:sz w:val="20"/>
      <w:szCs w:val="20"/>
    </w:rPr>
  </w:style>
  <w:style w:type="character" w:customStyle="1" w:styleId="199">
    <w:name w:val="表格字体（科宏） Char Char Char"/>
    <w:qFormat/>
    <w:uiPriority w:val="0"/>
    <w:rPr>
      <w:rFonts w:ascii="Arial" w:hAnsi="Arial" w:eastAsia="仿宋_GB2312" w:cs="Times New Roman"/>
      <w:kern w:val="0"/>
      <w:sz w:val="24"/>
      <w:szCs w:val="20"/>
    </w:rPr>
  </w:style>
  <w:style w:type="character" w:customStyle="1" w:styleId="200">
    <w:name w:val="正文缩进 字符"/>
    <w:qFormat/>
    <w:uiPriority w:val="0"/>
    <w:rPr>
      <w:rFonts w:eastAsia="宋体"/>
      <w:kern w:val="2"/>
      <w:sz w:val="21"/>
      <w:lang w:val="en-US" w:eastAsia="zh-CN" w:bidi="ar-SA"/>
    </w:rPr>
  </w:style>
  <w:style w:type="character" w:customStyle="1" w:styleId="201">
    <w:name w:val="正文1234"/>
    <w:qFormat/>
    <w:uiPriority w:val="0"/>
    <w:rPr>
      <w:sz w:val="28"/>
    </w:rPr>
  </w:style>
  <w:style w:type="character" w:customStyle="1" w:styleId="202">
    <w:name w:val="总院 Char Char"/>
    <w:link w:val="203"/>
    <w:qFormat/>
    <w:uiPriority w:val="0"/>
    <w:rPr>
      <w:rFonts w:ascii="宋体" w:hAnsi="宋体" w:eastAsia="宋体"/>
      <w:sz w:val="28"/>
      <w:lang w:val="ru-RU"/>
    </w:rPr>
  </w:style>
  <w:style w:type="paragraph" w:customStyle="1" w:styleId="203">
    <w:name w:val="总院"/>
    <w:basedOn w:val="1"/>
    <w:link w:val="202"/>
    <w:qFormat/>
    <w:uiPriority w:val="0"/>
    <w:pPr>
      <w:topLinePunct w:val="0"/>
      <w:adjustRightInd/>
      <w:snapToGrid w:val="0"/>
      <w:spacing w:line="300" w:lineRule="auto"/>
      <w:ind w:firstLine="560"/>
    </w:pPr>
    <w:rPr>
      <w:rFonts w:hAnsi="宋体" w:cs="Times New Roman"/>
      <w:sz w:val="28"/>
      <w:szCs w:val="20"/>
      <w:lang w:val="ru-RU"/>
    </w:rPr>
  </w:style>
  <w:style w:type="character" w:customStyle="1" w:styleId="204">
    <w:name w:val="标题 4 Char2"/>
    <w:qFormat/>
    <w:uiPriority w:val="0"/>
    <w:rPr>
      <w:rFonts w:ascii="Arial" w:hAnsi="Arial" w:eastAsia="仿宋_GB2312"/>
      <w:kern w:val="2"/>
      <w:sz w:val="28"/>
      <w:szCs w:val="28"/>
      <w:lang w:val="en-US" w:eastAsia="zh-CN" w:bidi="ar-SA"/>
    </w:rPr>
  </w:style>
  <w:style w:type="character" w:customStyle="1" w:styleId="205">
    <w:name w:val="马学海内容 Char Char"/>
    <w:link w:val="206"/>
    <w:qFormat/>
    <w:uiPriority w:val="0"/>
    <w:rPr>
      <w:rFonts w:ascii="新宋体" w:hAnsi="新宋体" w:eastAsia="宋体"/>
      <w:kern w:val="44"/>
      <w:sz w:val="24"/>
      <w:szCs w:val="24"/>
    </w:rPr>
  </w:style>
  <w:style w:type="paragraph" w:customStyle="1" w:styleId="206">
    <w:name w:val="马学海内容"/>
    <w:basedOn w:val="1"/>
    <w:link w:val="205"/>
    <w:qFormat/>
    <w:uiPriority w:val="0"/>
    <w:pPr>
      <w:tabs>
        <w:tab w:val="left" w:pos="5725"/>
        <w:tab w:val="left" w:pos="5880"/>
      </w:tabs>
      <w:topLinePunct w:val="0"/>
      <w:adjustRightInd/>
    </w:pPr>
    <w:rPr>
      <w:rFonts w:ascii="新宋体" w:hAnsi="新宋体" w:cs="Times New Roman"/>
      <w:kern w:val="44"/>
    </w:rPr>
  </w:style>
  <w:style w:type="character" w:customStyle="1" w:styleId="207">
    <w:name w:val="正文缩进 Char2"/>
    <w:qFormat/>
    <w:uiPriority w:val="0"/>
    <w:rPr>
      <w:rFonts w:eastAsia="宋体"/>
      <w:kern w:val="2"/>
      <w:sz w:val="21"/>
      <w:lang w:val="en-US" w:eastAsia="zh-CN" w:bidi="ar-SA"/>
    </w:rPr>
  </w:style>
  <w:style w:type="character" w:customStyle="1" w:styleId="208">
    <w:name w:val="样式 标题 1 + (西文) Arial (中文) 仿宋_GB2312 四号 Char Char"/>
    <w:link w:val="209"/>
    <w:qFormat/>
    <w:uiPriority w:val="0"/>
    <w:rPr>
      <w:rFonts w:ascii="Arial" w:hAnsi="Arial" w:eastAsia="仿宋_GB2312" w:cs="Arial"/>
      <w:b/>
      <w:bCs/>
      <w:color w:val="000000"/>
      <w:kern w:val="44"/>
      <w:sz w:val="32"/>
      <w:szCs w:val="44"/>
    </w:rPr>
  </w:style>
  <w:style w:type="paragraph" w:customStyle="1" w:styleId="209">
    <w:name w:val="样式 标题 1 + (西文) Arial (中文) 仿宋_GB2312 四号"/>
    <w:basedOn w:val="2"/>
    <w:link w:val="208"/>
    <w:qFormat/>
    <w:uiPriority w:val="0"/>
    <w:pPr>
      <w:pageBreakBefore/>
      <w:topLinePunct w:val="0"/>
      <w:adjustRightInd/>
      <w:spacing w:beforeLines="50" w:afterLines="50"/>
      <w:jc w:val="center"/>
    </w:pPr>
    <w:rPr>
      <w:rFonts w:ascii="Arial" w:hAnsi="Arial" w:eastAsia="仿宋_GB2312"/>
      <w:bCs/>
      <w:color w:val="000000"/>
    </w:rPr>
  </w:style>
  <w:style w:type="character" w:customStyle="1" w:styleId="210">
    <w:name w:val="3级标题 Char Char"/>
    <w:link w:val="211"/>
    <w:qFormat/>
    <w:uiPriority w:val="0"/>
    <w:rPr>
      <w:rFonts w:eastAsia="黑体"/>
      <w:sz w:val="24"/>
    </w:rPr>
  </w:style>
  <w:style w:type="paragraph" w:customStyle="1" w:styleId="211">
    <w:name w:val="3级标题"/>
    <w:basedOn w:val="1"/>
    <w:link w:val="210"/>
    <w:qFormat/>
    <w:uiPriority w:val="0"/>
    <w:pPr>
      <w:topLinePunct w:val="0"/>
      <w:adjustRightInd/>
      <w:ind w:firstLine="0" w:firstLineChars="0"/>
    </w:pPr>
    <w:rPr>
      <w:rFonts w:ascii="Calibri" w:hAnsi="Calibri" w:eastAsia="黑体" w:cs="Times New Roman"/>
      <w:szCs w:val="20"/>
    </w:rPr>
  </w:style>
  <w:style w:type="character" w:customStyle="1" w:styleId="212">
    <w:name w:val="标题 1 Char3"/>
    <w:qFormat/>
    <w:uiPriority w:val="0"/>
    <w:rPr>
      <w:rFonts w:eastAsia="宋体"/>
      <w:b/>
      <w:bCs/>
      <w:kern w:val="44"/>
      <w:sz w:val="44"/>
      <w:szCs w:val="44"/>
      <w:lang w:val="en-US" w:eastAsia="zh-CN" w:bidi="ar-SA"/>
    </w:rPr>
  </w:style>
  <w:style w:type="character" w:customStyle="1" w:styleId="213">
    <w:name w:val="马学海4.1.1.1 Char Char"/>
    <w:link w:val="214"/>
    <w:qFormat/>
    <w:uiPriority w:val="0"/>
    <w:rPr>
      <w:rFonts w:ascii="Arial" w:hAnsi="Arial"/>
      <w:b/>
      <w:bCs/>
      <w:sz w:val="24"/>
      <w:szCs w:val="24"/>
    </w:rPr>
  </w:style>
  <w:style w:type="paragraph" w:customStyle="1" w:styleId="214">
    <w:name w:val="马学海4.1.1.1"/>
    <w:basedOn w:val="5"/>
    <w:next w:val="206"/>
    <w:link w:val="213"/>
    <w:qFormat/>
    <w:uiPriority w:val="0"/>
    <w:pPr>
      <w:keepNext/>
      <w:keepLines/>
      <w:widowControl w:val="0"/>
      <w:numPr>
        <w:ilvl w:val="3"/>
        <w:numId w:val="1"/>
      </w:numPr>
      <w:tabs>
        <w:tab w:val="left" w:pos="2585"/>
      </w:tabs>
      <w:adjustRightInd/>
      <w:snapToGrid/>
      <w:spacing w:before="156" w:afterLines="50" w:line="360" w:lineRule="auto"/>
      <w:ind w:left="1133"/>
    </w:pPr>
    <w:rPr>
      <w:b/>
      <w:bCs/>
      <w:kern w:val="0"/>
      <w:sz w:val="24"/>
      <w:szCs w:val="24"/>
    </w:rPr>
  </w:style>
  <w:style w:type="character" w:customStyle="1" w:styleId="215">
    <w:name w:val="表格字体（科宏） Char Char"/>
    <w:link w:val="216"/>
    <w:qFormat/>
    <w:uiPriority w:val="0"/>
    <w:rPr>
      <w:rFonts w:ascii="Arial" w:hAnsi="Arial" w:eastAsia="仿宋_GB2312"/>
      <w:sz w:val="28"/>
    </w:rPr>
  </w:style>
  <w:style w:type="paragraph" w:customStyle="1" w:styleId="216">
    <w:name w:val="表格字体（科宏）"/>
    <w:basedOn w:val="217"/>
    <w:link w:val="215"/>
    <w:qFormat/>
    <w:uiPriority w:val="0"/>
    <w:pPr>
      <w:jc w:val="center"/>
    </w:pPr>
    <w:rPr>
      <w:sz w:val="28"/>
    </w:rPr>
  </w:style>
  <w:style w:type="paragraph" w:customStyle="1" w:styleId="217">
    <w:name w:val="正文（科宏）"/>
    <w:link w:val="218"/>
    <w:qFormat/>
    <w:uiPriority w:val="0"/>
    <w:pPr>
      <w:jc w:val="both"/>
    </w:pPr>
    <w:rPr>
      <w:rFonts w:ascii="Arial" w:hAnsi="Arial" w:eastAsia="仿宋_GB2312" w:cs="Times New Roman"/>
      <w:lang w:val="en-US" w:eastAsia="zh-CN" w:bidi="ar-SA"/>
    </w:rPr>
  </w:style>
  <w:style w:type="character" w:customStyle="1" w:styleId="218">
    <w:name w:val="正文（科宏） Char Char"/>
    <w:link w:val="217"/>
    <w:qFormat/>
    <w:uiPriority w:val="0"/>
    <w:rPr>
      <w:rFonts w:ascii="Arial" w:hAnsi="Arial" w:eastAsia="仿宋_GB2312"/>
      <w:lang w:val="en-US" w:eastAsia="zh-CN" w:bidi="ar-SA"/>
    </w:rPr>
  </w:style>
  <w:style w:type="character" w:customStyle="1" w:styleId="219">
    <w:name w:val="标题 1 宋体 三号 Char Char Char1"/>
    <w:qFormat/>
    <w:uiPriority w:val="0"/>
    <w:rPr>
      <w:rFonts w:ascii="宋体" w:hAnsi="宋体" w:eastAsia="宋体"/>
      <w:b/>
      <w:kern w:val="44"/>
      <w:position w:val="-30"/>
      <w:sz w:val="32"/>
      <w:lang w:val="en-US" w:eastAsia="zh-CN"/>
    </w:rPr>
  </w:style>
  <w:style w:type="character" w:customStyle="1" w:styleId="220">
    <w:name w:val="Char Char2"/>
    <w:qFormat/>
    <w:uiPriority w:val="0"/>
    <w:rPr>
      <w:kern w:val="2"/>
      <w:sz w:val="21"/>
      <w:szCs w:val="18"/>
    </w:rPr>
  </w:style>
  <w:style w:type="character" w:customStyle="1" w:styleId="221">
    <w:name w:val="正文文本 Char1"/>
    <w:qFormat/>
    <w:uiPriority w:val="0"/>
    <w:rPr>
      <w:kern w:val="2"/>
      <w:sz w:val="21"/>
    </w:rPr>
  </w:style>
  <w:style w:type="character" w:customStyle="1" w:styleId="222">
    <w:name w:val="Char Char17"/>
    <w:qFormat/>
    <w:uiPriority w:val="0"/>
    <w:rPr>
      <w:rFonts w:ascii="Times New Roman" w:hAnsi="Times New Roman"/>
      <w:b/>
      <w:kern w:val="2"/>
      <w:sz w:val="24"/>
    </w:rPr>
  </w:style>
  <w:style w:type="character" w:customStyle="1" w:styleId="223">
    <w:name w:val="样式5"/>
    <w:qFormat/>
    <w:uiPriority w:val="0"/>
    <w:rPr>
      <w:b/>
      <w:sz w:val="32"/>
    </w:rPr>
  </w:style>
  <w:style w:type="character" w:customStyle="1" w:styleId="224">
    <w:name w:val="HTML 预设格式 Char1"/>
    <w:qFormat/>
    <w:uiPriority w:val="0"/>
    <w:rPr>
      <w:rFonts w:ascii="Courier New" w:hAnsi="Courier New" w:cs="Courier New"/>
      <w:kern w:val="2"/>
    </w:rPr>
  </w:style>
  <w:style w:type="character" w:customStyle="1" w:styleId="225">
    <w:name w:val="text2"/>
    <w:basedOn w:val="62"/>
    <w:qFormat/>
    <w:uiPriority w:val="0"/>
  </w:style>
  <w:style w:type="character" w:customStyle="1" w:styleId="226">
    <w:name w:val="款正文（科宏） Char Char"/>
    <w:link w:val="227"/>
    <w:qFormat/>
    <w:uiPriority w:val="0"/>
    <w:rPr>
      <w:rFonts w:ascii="Arial" w:hAnsi="Arial" w:eastAsia="仿宋_GB2312"/>
      <w:sz w:val="28"/>
      <w:lang w:val="en-US" w:eastAsia="zh-CN" w:bidi="ar-SA"/>
    </w:rPr>
  </w:style>
  <w:style w:type="paragraph" w:customStyle="1" w:styleId="227">
    <w:name w:val="款正文（科宏）"/>
    <w:next w:val="217"/>
    <w:link w:val="226"/>
    <w:qFormat/>
    <w:uiPriority w:val="0"/>
    <w:pPr>
      <w:widowControl w:val="0"/>
      <w:tabs>
        <w:tab w:val="left" w:pos="927"/>
      </w:tabs>
      <w:spacing w:line="360" w:lineRule="auto"/>
      <w:ind w:firstLine="567"/>
      <w:jc w:val="both"/>
    </w:pPr>
    <w:rPr>
      <w:rFonts w:ascii="Arial" w:hAnsi="Arial" w:eastAsia="仿宋_GB2312" w:cs="Times New Roman"/>
      <w:sz w:val="28"/>
      <w:lang w:val="en-US" w:eastAsia="zh-CN" w:bidi="ar-SA"/>
    </w:rPr>
  </w:style>
  <w:style w:type="character" w:customStyle="1" w:styleId="228">
    <w:name w:val="我的图表标题 Char Char"/>
    <w:link w:val="229"/>
    <w:qFormat/>
    <w:uiPriority w:val="0"/>
    <w:rPr>
      <w:rFonts w:ascii="Arial" w:hAnsi="Arial" w:eastAsia="仿宋_GB2312" w:cs="Arial"/>
      <w:bCs/>
      <w:sz w:val="28"/>
      <w:szCs w:val="28"/>
    </w:rPr>
  </w:style>
  <w:style w:type="paragraph" w:customStyle="1" w:styleId="229">
    <w:name w:val="我的图表标题"/>
    <w:basedOn w:val="25"/>
    <w:link w:val="228"/>
    <w:qFormat/>
    <w:uiPriority w:val="0"/>
    <w:pPr>
      <w:spacing w:after="0" w:line="360" w:lineRule="auto"/>
      <w:ind w:left="0" w:leftChars="0"/>
    </w:pPr>
    <w:rPr>
      <w:rFonts w:ascii="Arial" w:hAnsi="Arial" w:eastAsia="仿宋_GB2312"/>
      <w:bCs/>
      <w:kern w:val="0"/>
      <w:sz w:val="28"/>
      <w:szCs w:val="28"/>
    </w:rPr>
  </w:style>
  <w:style w:type="character" w:customStyle="1" w:styleId="230">
    <w:name w:val="正文文本缩进 Char"/>
    <w:basedOn w:val="62"/>
    <w:link w:val="25"/>
    <w:qFormat/>
    <w:uiPriority w:val="0"/>
    <w:rPr>
      <w:rFonts w:ascii="Times New Roman" w:hAnsi="Times New Roman" w:eastAsia="宋体" w:cs="Times New Roman"/>
      <w:kern w:val="2"/>
      <w:sz w:val="21"/>
      <w:szCs w:val="24"/>
    </w:rPr>
  </w:style>
  <w:style w:type="character" w:customStyle="1" w:styleId="231">
    <w:name w:val="(页眉)科宏 Char Char"/>
    <w:qFormat/>
    <w:uiPriority w:val="0"/>
    <w:rPr>
      <w:rFonts w:ascii="Arial" w:hAnsi="Arial" w:eastAsia="仿宋_GB2312"/>
      <w:sz w:val="21"/>
    </w:rPr>
  </w:style>
  <w:style w:type="character" w:customStyle="1" w:styleId="232">
    <w:name w:val="1.1 Char1"/>
    <w:qFormat/>
    <w:uiPriority w:val="0"/>
    <w:rPr>
      <w:rFonts w:ascii="Arial" w:hAnsi="Arial" w:eastAsia="宋体"/>
      <w:b/>
      <w:bCs/>
      <w:kern w:val="2"/>
      <w:sz w:val="28"/>
      <w:szCs w:val="28"/>
      <w:lang w:val="en-US" w:eastAsia="zh-CN" w:bidi="ar-SA"/>
    </w:rPr>
  </w:style>
  <w:style w:type="character" w:customStyle="1" w:styleId="233">
    <w:name w:val="条标题（科宏） Char Char Char Char"/>
    <w:link w:val="234"/>
    <w:qFormat/>
    <w:uiPriority w:val="0"/>
    <w:rPr>
      <w:rFonts w:ascii="Arial" w:hAnsi="Arial" w:eastAsia="仿宋_GB2312"/>
      <w:sz w:val="28"/>
      <w:lang w:val="en-US" w:eastAsia="zh-CN" w:bidi="ar-SA"/>
    </w:rPr>
  </w:style>
  <w:style w:type="paragraph" w:customStyle="1" w:styleId="234">
    <w:name w:val="条标题（科宏）"/>
    <w:next w:val="1"/>
    <w:link w:val="233"/>
    <w:qFormat/>
    <w:uiPriority w:val="0"/>
    <w:pPr>
      <w:widowControl w:val="0"/>
      <w:spacing w:line="360" w:lineRule="auto"/>
      <w:jc w:val="both"/>
      <w:outlineLvl w:val="2"/>
    </w:pPr>
    <w:rPr>
      <w:rFonts w:ascii="Arial" w:hAnsi="Arial" w:eastAsia="仿宋_GB2312" w:cs="Times New Roman"/>
      <w:sz w:val="28"/>
      <w:lang w:val="en-US" w:eastAsia="zh-CN" w:bidi="ar-SA"/>
    </w:rPr>
  </w:style>
  <w:style w:type="character" w:customStyle="1" w:styleId="235">
    <w:name w:val="偶的正文 Char Char"/>
    <w:link w:val="236"/>
    <w:qFormat/>
    <w:uiPriority w:val="0"/>
    <w:rPr>
      <w:rFonts w:ascii="仿宋_GB2312" w:eastAsia="仿宋_GB2312" w:cs="Arial"/>
      <w:sz w:val="28"/>
      <w:szCs w:val="28"/>
    </w:rPr>
  </w:style>
  <w:style w:type="paragraph" w:customStyle="1" w:styleId="236">
    <w:name w:val="偶的正文"/>
    <w:basedOn w:val="57"/>
    <w:link w:val="235"/>
    <w:qFormat/>
    <w:uiPriority w:val="0"/>
    <w:pPr>
      <w:spacing w:after="0" w:line="360" w:lineRule="auto"/>
      <w:ind w:firstLine="560" w:firstLineChars="200"/>
    </w:pPr>
    <w:rPr>
      <w:rFonts w:ascii="仿宋_GB2312" w:eastAsia="仿宋_GB2312"/>
      <w:sz w:val="28"/>
      <w:szCs w:val="28"/>
    </w:rPr>
  </w:style>
  <w:style w:type="character" w:customStyle="1" w:styleId="237">
    <w:name w:val="文本一 Char Char"/>
    <w:link w:val="238"/>
    <w:qFormat/>
    <w:uiPriority w:val="0"/>
    <w:rPr>
      <w:rFonts w:eastAsia="仿宋_GB2312"/>
      <w:sz w:val="24"/>
    </w:rPr>
  </w:style>
  <w:style w:type="paragraph" w:customStyle="1" w:styleId="238">
    <w:name w:val="文本一"/>
    <w:basedOn w:val="6"/>
    <w:link w:val="237"/>
    <w:qFormat/>
    <w:uiPriority w:val="0"/>
    <w:pPr>
      <w:topLinePunct w:val="0"/>
      <w:adjustRightInd/>
    </w:pPr>
    <w:rPr>
      <w:rFonts w:ascii="Calibri" w:hAnsi="Calibri" w:eastAsia="仿宋_GB2312" w:cs="Times New Roman"/>
      <w:szCs w:val="20"/>
    </w:rPr>
  </w:style>
  <w:style w:type="character" w:customStyle="1" w:styleId="239">
    <w:name w:val="无节款 Char Char"/>
    <w:qFormat/>
    <w:uiPriority w:val="0"/>
    <w:rPr>
      <w:rFonts w:ascii="Arial" w:hAnsi="Arial"/>
      <w:b/>
      <w:spacing w:val="-4"/>
      <w:kern w:val="20"/>
      <w:sz w:val="18"/>
    </w:rPr>
  </w:style>
  <w:style w:type="character" w:customStyle="1" w:styleId="240">
    <w:name w:val="标题 Char2"/>
    <w:qFormat/>
    <w:uiPriority w:val="0"/>
    <w:rPr>
      <w:rFonts w:ascii="Cambria" w:hAnsi="Cambria" w:cs="Times New Roman"/>
      <w:b/>
      <w:bCs/>
      <w:kern w:val="2"/>
      <w:sz w:val="32"/>
      <w:szCs w:val="32"/>
    </w:rPr>
  </w:style>
  <w:style w:type="character" w:customStyle="1" w:styleId="241">
    <w:name w:val="款正文（科宏） Char"/>
    <w:qFormat/>
    <w:uiPriority w:val="0"/>
    <w:rPr>
      <w:rFonts w:ascii="Arial" w:hAnsi="Arial" w:eastAsia="仿宋_GB2312"/>
      <w:sz w:val="28"/>
      <w:lang w:val="en-US" w:eastAsia="zh-CN" w:bidi="ar-SA"/>
    </w:rPr>
  </w:style>
  <w:style w:type="character" w:customStyle="1" w:styleId="242">
    <w:name w:val="样式 标题 4 + (符号) 宋体 小四 非加粗 两端对齐 Char Char"/>
    <w:qFormat/>
    <w:uiPriority w:val="0"/>
    <w:rPr>
      <w:rFonts w:eastAsia="宋体"/>
      <w:kern w:val="2"/>
      <w:sz w:val="21"/>
      <w:lang w:val="en-US" w:eastAsia="zh-CN"/>
    </w:rPr>
  </w:style>
  <w:style w:type="character" w:customStyle="1" w:styleId="243">
    <w:name w:val="正文首行缩进 2 Char"/>
    <w:link w:val="58"/>
    <w:qFormat/>
    <w:uiPriority w:val="0"/>
    <w:rPr>
      <w:rFonts w:ascii="Arial" w:hAnsi="Arial" w:eastAsia="宋体" w:cs="Arial"/>
    </w:rPr>
  </w:style>
  <w:style w:type="character" w:customStyle="1" w:styleId="244">
    <w:name w:val="style21"/>
    <w:qFormat/>
    <w:uiPriority w:val="0"/>
    <w:rPr>
      <w:sz w:val="40"/>
    </w:rPr>
  </w:style>
  <w:style w:type="character" w:customStyle="1" w:styleId="245">
    <w:name w:val="1.1 Char Char"/>
    <w:qFormat/>
    <w:uiPriority w:val="0"/>
    <w:rPr>
      <w:rFonts w:ascii="Arial" w:hAnsi="Arial" w:eastAsia="黑体"/>
      <w:b/>
      <w:kern w:val="2"/>
      <w:sz w:val="32"/>
      <w:lang w:val="en-US" w:eastAsia="zh-CN"/>
    </w:rPr>
  </w:style>
  <w:style w:type="character" w:customStyle="1" w:styleId="246">
    <w:name w:val="标题 2 Char Char Char"/>
    <w:qFormat/>
    <w:uiPriority w:val="0"/>
    <w:rPr>
      <w:rFonts w:ascii="黑体" w:hAnsi="宋体" w:eastAsia="黑体"/>
      <w:b/>
      <w:bCs/>
      <w:kern w:val="2"/>
      <w:sz w:val="32"/>
      <w:szCs w:val="32"/>
      <w:lang w:val="en-US" w:eastAsia="zh-CN" w:bidi="ar-SA"/>
    </w:rPr>
  </w:style>
  <w:style w:type="character" w:customStyle="1" w:styleId="247">
    <w:name w:val="xl26 Char Char"/>
    <w:link w:val="248"/>
    <w:qFormat/>
    <w:uiPriority w:val="0"/>
    <w:rPr>
      <w:rFonts w:ascii="Arial Narrow" w:hAnsi="Arial Narrow" w:eastAsia="Arial Narrow"/>
      <w:sz w:val="24"/>
      <w:szCs w:val="24"/>
    </w:rPr>
  </w:style>
  <w:style w:type="paragraph" w:customStyle="1" w:styleId="248">
    <w:name w:val="xl26"/>
    <w:basedOn w:val="1"/>
    <w:link w:val="247"/>
    <w:qFormat/>
    <w:uiPriority w:val="0"/>
    <w:pPr>
      <w:widowControl/>
      <w:topLinePunct w:val="0"/>
      <w:adjustRightInd/>
      <w:spacing w:before="100" w:beforeAutospacing="1" w:after="100" w:afterAutospacing="1" w:line="240" w:lineRule="auto"/>
      <w:ind w:firstLine="0" w:firstLineChars="0"/>
      <w:jc w:val="center"/>
    </w:pPr>
    <w:rPr>
      <w:rFonts w:ascii="Arial Narrow" w:hAnsi="Arial Narrow" w:eastAsia="Arial Narrow" w:cs="Times New Roman"/>
    </w:rPr>
  </w:style>
  <w:style w:type="character" w:customStyle="1" w:styleId="249">
    <w:name w:val="样式 标题 1 + 两端对齐 行距: 多倍行距 1.4 字行 Char Char"/>
    <w:link w:val="250"/>
    <w:qFormat/>
    <w:uiPriority w:val="0"/>
    <w:rPr>
      <w:rFonts w:ascii="宋体" w:hAnsi="宋体" w:eastAsia="黑体"/>
      <w:b/>
      <w:kern w:val="44"/>
      <w:position w:val="-30"/>
      <w:sz w:val="28"/>
    </w:rPr>
  </w:style>
  <w:style w:type="paragraph" w:customStyle="1" w:styleId="250">
    <w:name w:val="样式 标题 1 + 两端对齐 行距: 多倍行距 1.4 字行"/>
    <w:basedOn w:val="2"/>
    <w:link w:val="249"/>
    <w:qFormat/>
    <w:uiPriority w:val="0"/>
    <w:pPr>
      <w:topLinePunct w:val="0"/>
      <w:snapToGrid w:val="0"/>
      <w:spacing w:before="120" w:beforeAutospacing="0" w:after="120" w:afterAutospacing="0"/>
      <w:ind w:left="240" w:right="240"/>
      <w:jc w:val="center"/>
      <w:textAlignment w:val="baseline"/>
    </w:pPr>
    <w:rPr>
      <w:rFonts w:ascii="宋体" w:hAnsi="宋体" w:eastAsia="黑体"/>
      <w:position w:val="-30"/>
      <w:sz w:val="28"/>
      <w:szCs w:val="20"/>
    </w:rPr>
  </w:style>
  <w:style w:type="character" w:customStyle="1" w:styleId="251">
    <w:name w:val="正文（科宏） Char"/>
    <w:qFormat/>
    <w:uiPriority w:val="0"/>
    <w:rPr>
      <w:rFonts w:ascii="Arial" w:hAnsi="Arial" w:eastAsia="仿宋_GB2312"/>
      <w:sz w:val="28"/>
      <w:lang w:val="en-US" w:eastAsia="zh-CN" w:bidi="ar-SA"/>
    </w:rPr>
  </w:style>
  <w:style w:type="character" w:customStyle="1" w:styleId="252">
    <w:name w:val="标题 1 字符1"/>
    <w:qFormat/>
    <w:uiPriority w:val="0"/>
    <w:rPr>
      <w:rFonts w:ascii="Times New Roman" w:hAnsi="Times New Roman" w:eastAsia="宋体" w:cs="Times New Roman"/>
      <w:b/>
      <w:bCs/>
      <w:kern w:val="44"/>
      <w:sz w:val="44"/>
      <w:szCs w:val="44"/>
    </w:rPr>
  </w:style>
  <w:style w:type="character" w:customStyle="1" w:styleId="253">
    <w:name w:val="章2 Char"/>
    <w:link w:val="254"/>
    <w:qFormat/>
    <w:uiPriority w:val="0"/>
    <w:rPr>
      <w:rFonts w:ascii="Arial" w:hAnsi="Arial"/>
      <w:b/>
      <w:bCs/>
      <w:sz w:val="24"/>
      <w:szCs w:val="21"/>
      <w:lang w:val="en-US" w:eastAsia="zh-CN" w:bidi="ar-SA"/>
    </w:rPr>
  </w:style>
  <w:style w:type="paragraph" w:customStyle="1" w:styleId="254">
    <w:name w:val="章2"/>
    <w:link w:val="253"/>
    <w:qFormat/>
    <w:uiPriority w:val="0"/>
    <w:pPr>
      <w:spacing w:before="50" w:after="50" w:line="360" w:lineRule="auto"/>
      <w:jc w:val="center"/>
      <w:outlineLvl w:val="0"/>
    </w:pPr>
    <w:rPr>
      <w:rFonts w:ascii="Arial" w:hAnsi="Arial" w:eastAsia="宋体" w:cs="Times New Roman"/>
      <w:b/>
      <w:bCs/>
      <w:sz w:val="24"/>
      <w:szCs w:val="21"/>
      <w:lang w:val="en-US" w:eastAsia="zh-CN" w:bidi="ar-SA"/>
    </w:rPr>
  </w:style>
  <w:style w:type="character" w:customStyle="1" w:styleId="255">
    <w:name w:val="标题 3 Char2"/>
    <w:qFormat/>
    <w:uiPriority w:val="0"/>
    <w:rPr>
      <w:rFonts w:eastAsia="宋体"/>
      <w:b/>
      <w:kern w:val="2"/>
      <w:sz w:val="32"/>
      <w:lang w:val="en-US" w:eastAsia="zh-CN"/>
    </w:rPr>
  </w:style>
  <w:style w:type="character" w:customStyle="1" w:styleId="256">
    <w:name w:val="3级标题 Char"/>
    <w:qFormat/>
    <w:uiPriority w:val="0"/>
    <w:rPr>
      <w:rFonts w:eastAsia="黑体"/>
      <w:kern w:val="2"/>
      <w:sz w:val="24"/>
      <w:szCs w:val="24"/>
      <w:lang w:val="en-US" w:eastAsia="zh-CN" w:bidi="ar-SA"/>
    </w:rPr>
  </w:style>
  <w:style w:type="character" w:customStyle="1" w:styleId="257">
    <w:name w:val="t13l14green1"/>
    <w:qFormat/>
    <w:uiPriority w:val="0"/>
    <w:rPr>
      <w:color w:val="008484"/>
      <w:sz w:val="21"/>
    </w:rPr>
  </w:style>
  <w:style w:type="character" w:customStyle="1" w:styleId="258">
    <w:name w:val="款正文（科宏） Char Char Char"/>
    <w:qFormat/>
    <w:uiPriority w:val="0"/>
    <w:rPr>
      <w:rFonts w:ascii="Arial" w:hAnsi="Arial" w:eastAsia="仿宋_GB2312"/>
      <w:sz w:val="28"/>
      <w:lang w:val="en-US" w:eastAsia="zh-CN" w:bidi="ar-SA"/>
    </w:rPr>
  </w:style>
  <w:style w:type="character" w:customStyle="1" w:styleId="259">
    <w:name w:val="标题 Char1"/>
    <w:qFormat/>
    <w:uiPriority w:val="0"/>
    <w:rPr>
      <w:rFonts w:ascii="Cambria" w:hAnsi="Cambria"/>
      <w:b/>
      <w:kern w:val="2"/>
      <w:sz w:val="32"/>
    </w:rPr>
  </w:style>
  <w:style w:type="character" w:customStyle="1" w:styleId="260">
    <w:name w:val="样式 标题 4 + (符号) 宋体 小四 非加粗 两端对齐 Char Char Char Char Char"/>
    <w:link w:val="261"/>
    <w:qFormat/>
    <w:uiPriority w:val="0"/>
    <w:rPr>
      <w:rFonts w:eastAsia="宋体"/>
    </w:rPr>
  </w:style>
  <w:style w:type="paragraph" w:customStyle="1" w:styleId="261">
    <w:name w:val="样式 标题 4 + (符号) 宋体 小四 非加粗 两端对齐 Char Char Char"/>
    <w:basedOn w:val="1"/>
    <w:link w:val="260"/>
    <w:qFormat/>
    <w:uiPriority w:val="0"/>
    <w:pPr>
      <w:tabs>
        <w:tab w:val="left" w:pos="425"/>
      </w:tabs>
      <w:topLinePunct w:val="0"/>
      <w:adjustRightInd/>
      <w:spacing w:line="240" w:lineRule="auto"/>
      <w:ind w:left="360" w:hanging="360" w:firstLineChars="0"/>
    </w:pPr>
    <w:rPr>
      <w:rFonts w:ascii="Calibri" w:hAnsi="Calibri" w:cs="Times New Roman"/>
      <w:sz w:val="20"/>
      <w:szCs w:val="20"/>
    </w:rPr>
  </w:style>
  <w:style w:type="character" w:customStyle="1" w:styleId="262">
    <w:name w:val="章标题（科宏） Char"/>
    <w:link w:val="263"/>
    <w:qFormat/>
    <w:uiPriority w:val="0"/>
    <w:rPr>
      <w:rFonts w:ascii="Arial" w:hAnsi="Arial" w:eastAsia="仿宋_GB2312"/>
      <w:b/>
      <w:sz w:val="32"/>
      <w:lang w:val="en-US" w:eastAsia="zh-CN" w:bidi="ar-SA"/>
    </w:rPr>
  </w:style>
  <w:style w:type="paragraph" w:customStyle="1" w:styleId="263">
    <w:name w:val="章标题（科宏）"/>
    <w:next w:val="217"/>
    <w:link w:val="262"/>
    <w:qFormat/>
    <w:uiPriority w:val="0"/>
    <w:pPr>
      <w:pageBreakBefore/>
      <w:widowControl w:val="0"/>
      <w:numPr>
        <w:ilvl w:val="0"/>
        <w:numId w:val="1"/>
      </w:numPr>
      <w:spacing w:beforeLines="50" w:afterLines="50" w:line="360" w:lineRule="auto"/>
      <w:jc w:val="center"/>
      <w:outlineLvl w:val="0"/>
    </w:pPr>
    <w:rPr>
      <w:rFonts w:ascii="Arial" w:hAnsi="Arial" w:eastAsia="仿宋_GB2312" w:cs="Times New Roman"/>
      <w:b/>
      <w:sz w:val="32"/>
      <w:lang w:val="en-US" w:eastAsia="zh-CN" w:bidi="ar-SA"/>
    </w:rPr>
  </w:style>
  <w:style w:type="character" w:customStyle="1" w:styleId="264">
    <w:name w:val="正文文本缩进 字符"/>
    <w:qFormat/>
    <w:uiPriority w:val="0"/>
    <w:rPr>
      <w:rFonts w:ascii="Arial" w:hAnsi="Arial" w:eastAsia="仿宋_GB2312" w:cs="Arial"/>
      <w:kern w:val="2"/>
      <w:sz w:val="28"/>
      <w:lang w:val="en-US" w:eastAsia="zh-CN" w:bidi="ar-SA"/>
    </w:rPr>
  </w:style>
  <w:style w:type="character" w:customStyle="1" w:styleId="265">
    <w:name w:val="z-窗体底端 Char"/>
    <w:link w:val="266"/>
    <w:qFormat/>
    <w:uiPriority w:val="0"/>
    <w:rPr>
      <w:rFonts w:ascii="Arial" w:hAnsi="Arial" w:eastAsia="仿宋_GB2312" w:cs="Arial"/>
      <w:vanish/>
      <w:sz w:val="16"/>
      <w:szCs w:val="16"/>
    </w:rPr>
  </w:style>
  <w:style w:type="paragraph" w:customStyle="1" w:styleId="266">
    <w:name w:val="z-窗体底端1"/>
    <w:basedOn w:val="1"/>
    <w:next w:val="1"/>
    <w:link w:val="265"/>
    <w:qFormat/>
    <w:uiPriority w:val="0"/>
    <w:pPr>
      <w:pBdr>
        <w:top w:val="single" w:color="auto" w:sz="6" w:space="1"/>
      </w:pBdr>
      <w:topLinePunct w:val="0"/>
      <w:adjustRightInd/>
      <w:ind w:firstLine="0" w:firstLineChars="0"/>
      <w:jc w:val="center"/>
    </w:pPr>
    <w:rPr>
      <w:rFonts w:ascii="Arial" w:hAnsi="Arial" w:eastAsia="仿宋_GB2312" w:cs="Times New Roman"/>
      <w:vanish/>
      <w:sz w:val="16"/>
      <w:szCs w:val="16"/>
    </w:rPr>
  </w:style>
  <w:style w:type="character" w:customStyle="1" w:styleId="267">
    <w:name w:val="Char Char22"/>
    <w:qFormat/>
    <w:uiPriority w:val="0"/>
    <w:rPr>
      <w:rFonts w:eastAsia="宋体"/>
      <w:kern w:val="2"/>
      <w:sz w:val="21"/>
      <w:lang w:val="en-US" w:eastAsia="zh-CN"/>
    </w:rPr>
  </w:style>
  <w:style w:type="character" w:customStyle="1" w:styleId="268">
    <w:name w:val="Char Char27"/>
    <w:qFormat/>
    <w:uiPriority w:val="0"/>
    <w:rPr>
      <w:rFonts w:eastAsia="宋体"/>
      <w:b/>
      <w:bCs/>
      <w:kern w:val="2"/>
      <w:sz w:val="32"/>
      <w:szCs w:val="32"/>
      <w:lang w:val="en-US" w:eastAsia="zh-CN" w:bidi="ar-SA"/>
    </w:rPr>
  </w:style>
  <w:style w:type="character" w:customStyle="1" w:styleId="269">
    <w:name w:val="(页眉)科宏 Char"/>
    <w:link w:val="270"/>
    <w:qFormat/>
    <w:uiPriority w:val="0"/>
    <w:rPr>
      <w:rFonts w:ascii="Arial" w:hAnsi="Arial" w:eastAsia="仿宋_GB2312"/>
      <w:lang w:val="en-US" w:eastAsia="zh-CN" w:bidi="ar-SA"/>
    </w:rPr>
  </w:style>
  <w:style w:type="paragraph" w:customStyle="1" w:styleId="270">
    <w:name w:val="(页眉)科宏"/>
    <w:link w:val="269"/>
    <w:qFormat/>
    <w:uiPriority w:val="0"/>
    <w:rPr>
      <w:rFonts w:ascii="Arial" w:hAnsi="Arial" w:eastAsia="仿宋_GB2312" w:cs="Times New Roman"/>
      <w:lang w:val="en-US" w:eastAsia="zh-CN" w:bidi="ar-SA"/>
    </w:rPr>
  </w:style>
  <w:style w:type="character" w:customStyle="1" w:styleId="271">
    <w:name w:val="textcontents"/>
    <w:basedOn w:val="62"/>
    <w:qFormat/>
    <w:uiPriority w:val="0"/>
  </w:style>
  <w:style w:type="character" w:customStyle="1" w:styleId="272">
    <w:name w:val="纯文本 Char Char"/>
    <w:qFormat/>
    <w:uiPriority w:val="0"/>
    <w:rPr>
      <w:rFonts w:ascii="宋体" w:hAnsi="Courier New" w:eastAsia="仿宋_GB2312"/>
      <w:kern w:val="2"/>
      <w:sz w:val="28"/>
      <w:lang w:val="en-US" w:eastAsia="zh-CN" w:bidi="he-IL"/>
    </w:rPr>
  </w:style>
  <w:style w:type="character" w:customStyle="1" w:styleId="273">
    <w:name w:val="Char Char7"/>
    <w:qFormat/>
    <w:uiPriority w:val="0"/>
    <w:rPr>
      <w:rFonts w:ascii="Arial" w:hAnsi="Arial" w:eastAsia="仿宋_GB2312"/>
      <w:kern w:val="2"/>
      <w:sz w:val="28"/>
    </w:rPr>
  </w:style>
  <w:style w:type="character" w:customStyle="1" w:styleId="274">
    <w:name w:val="样式 标题 31.1.1标题03Level 3 HeadH3level_3PIM 3h333rd level... Char Char"/>
    <w:link w:val="275"/>
    <w:qFormat/>
    <w:uiPriority w:val="0"/>
    <w:rPr>
      <w:rFonts w:ascii="宋体" w:hAnsi="宋体" w:eastAsia="宋体"/>
      <w:sz w:val="24"/>
    </w:rPr>
  </w:style>
  <w:style w:type="paragraph" w:customStyle="1" w:styleId="275">
    <w:name w:val="样式 标题 31.1.1标题03Level 3 HeadH3level_3PIM 3h333rd level..."/>
    <w:basedOn w:val="4"/>
    <w:link w:val="274"/>
    <w:qFormat/>
    <w:uiPriority w:val="0"/>
    <w:pPr>
      <w:topLinePunct w:val="0"/>
      <w:jc w:val="left"/>
      <w:textAlignment w:val="baseline"/>
    </w:pPr>
    <w:rPr>
      <w:rFonts w:ascii="宋体" w:hAnsi="宋体" w:eastAsia="宋体"/>
      <w:b w:val="0"/>
      <w:szCs w:val="20"/>
    </w:rPr>
  </w:style>
  <w:style w:type="character" w:customStyle="1" w:styleId="276">
    <w:name w:val="标题 2 Char"/>
    <w:qFormat/>
    <w:uiPriority w:val="0"/>
    <w:rPr>
      <w:rFonts w:ascii="Arial" w:hAnsi="Arial" w:eastAsia="黑体"/>
      <w:b/>
      <w:kern w:val="2"/>
      <w:sz w:val="32"/>
      <w:lang w:val="en-US" w:eastAsia="zh-CN" w:bidi="ar-SA"/>
    </w:rPr>
  </w:style>
  <w:style w:type="character" w:customStyle="1" w:styleId="277">
    <w:name w:val="纯文本 Char"/>
    <w:link w:val="31"/>
    <w:qFormat/>
    <w:uiPriority w:val="0"/>
    <w:rPr>
      <w:rFonts w:ascii="宋体" w:hAnsi="Courier New" w:eastAsia="宋体" w:cs="Courier New"/>
      <w:szCs w:val="21"/>
    </w:rPr>
  </w:style>
  <w:style w:type="character" w:customStyle="1" w:styleId="278">
    <w:name w:val="Char Char16"/>
    <w:qFormat/>
    <w:uiPriority w:val="0"/>
    <w:rPr>
      <w:rFonts w:ascii="Arial" w:hAnsi="Arial" w:eastAsia="仿宋_GB2312"/>
      <w:b/>
      <w:kern w:val="2"/>
      <w:sz w:val="30"/>
      <w:lang w:val="en-US" w:eastAsia="zh-CN"/>
    </w:rPr>
  </w:style>
  <w:style w:type="character" w:customStyle="1" w:styleId="279">
    <w:name w:val="Char Char21"/>
    <w:qFormat/>
    <w:uiPriority w:val="0"/>
    <w:rPr>
      <w:rFonts w:eastAsia="宋体"/>
      <w:kern w:val="2"/>
      <w:sz w:val="21"/>
      <w:szCs w:val="18"/>
      <w:lang w:val="en-US" w:eastAsia="zh-CN" w:bidi="ar-SA"/>
    </w:rPr>
  </w:style>
  <w:style w:type="paragraph" w:customStyle="1" w:styleId="280">
    <w:name w:val="xl61"/>
    <w:basedOn w:val="1"/>
    <w:qFormat/>
    <w:uiPriority w:val="0"/>
    <w:pPr>
      <w:widowControl/>
      <w:pBdr>
        <w:top w:val="single" w:color="auto" w:sz="4" w:space="0"/>
        <w:lef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color w:val="FF0000"/>
      <w:sz w:val="20"/>
      <w:szCs w:val="20"/>
    </w:rPr>
  </w:style>
  <w:style w:type="paragraph" w:customStyle="1" w:styleId="281">
    <w:name w:val="表格文字"/>
    <w:basedOn w:val="1"/>
    <w:qFormat/>
    <w:uiPriority w:val="0"/>
    <w:pPr>
      <w:topLinePunct w:val="0"/>
      <w:snapToGrid w:val="0"/>
      <w:spacing w:line="240" w:lineRule="auto"/>
      <w:ind w:firstLine="0" w:firstLineChars="0"/>
      <w:jc w:val="center"/>
    </w:pPr>
    <w:rPr>
      <w:rFonts w:ascii="Arial" w:hAnsi="Arial" w:eastAsia="仿宋_GB2312" w:cs="Arial"/>
      <w:color w:val="000000"/>
      <w:spacing w:val="-20"/>
      <w:kern w:val="2"/>
      <w:szCs w:val="20"/>
    </w:rPr>
  </w:style>
  <w:style w:type="paragraph" w:customStyle="1" w:styleId="282">
    <w:name w:val="小标题"/>
    <w:basedOn w:val="1"/>
    <w:qFormat/>
    <w:uiPriority w:val="0"/>
    <w:pPr>
      <w:topLinePunct w:val="0"/>
      <w:adjustRightInd/>
      <w:spacing w:line="240" w:lineRule="auto"/>
      <w:ind w:firstLine="0" w:firstLineChars="0"/>
    </w:pPr>
    <w:rPr>
      <w:rFonts w:hint="eastAsia" w:hAnsi="宋体" w:cs="Times New Roman"/>
      <w:kern w:val="2"/>
      <w:sz w:val="28"/>
      <w:szCs w:val="20"/>
    </w:rPr>
  </w:style>
  <w:style w:type="paragraph" w:customStyle="1" w:styleId="283">
    <w:name w:val="xl74"/>
    <w:basedOn w:val="1"/>
    <w:qFormat/>
    <w:uiPriority w:val="0"/>
    <w:pPr>
      <w:widowControl/>
      <w:pBdr>
        <w:top w:val="single" w:color="auto" w:sz="4" w:space="0"/>
        <w:left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ascii="Times New Roman" w:eastAsia="Arial Narrow" w:cs="Times New Roman"/>
      <w:sz w:val="20"/>
      <w:szCs w:val="20"/>
    </w:rPr>
  </w:style>
  <w:style w:type="paragraph" w:customStyle="1" w:styleId="284">
    <w:name w:val="小表左"/>
    <w:basedOn w:val="1"/>
    <w:qFormat/>
    <w:uiPriority w:val="0"/>
    <w:pPr>
      <w:keepNext/>
      <w:topLinePunct w:val="0"/>
      <w:adjustRightInd/>
      <w:snapToGrid w:val="0"/>
      <w:spacing w:line="240" w:lineRule="atLeast"/>
      <w:ind w:left="63" w:leftChars="30" w:firstLine="0" w:firstLineChars="0"/>
      <w:jc w:val="center"/>
    </w:pPr>
    <w:rPr>
      <w:rFonts w:hint="eastAsia" w:hAnsi="宋体" w:cs="Times New Roman"/>
      <w:kern w:val="2"/>
      <w:sz w:val="21"/>
      <w:szCs w:val="20"/>
    </w:rPr>
  </w:style>
  <w:style w:type="paragraph" w:customStyle="1" w:styleId="285">
    <w:name w:val="MY 表格文字"/>
    <w:next w:val="1"/>
    <w:qFormat/>
    <w:uiPriority w:val="0"/>
    <w:pPr>
      <w:adjustRightInd w:val="0"/>
      <w:snapToGrid w:val="0"/>
      <w:jc w:val="center"/>
    </w:pPr>
    <w:rPr>
      <w:rFonts w:ascii="宋体" w:hAnsi="Times New Roman" w:eastAsia="宋体" w:cs="Times New Roman"/>
      <w:kern w:val="2"/>
      <w:sz w:val="21"/>
      <w:szCs w:val="21"/>
      <w:lang w:val="en-US" w:eastAsia="zh-CN" w:bidi="ar-SA"/>
    </w:rPr>
  </w:style>
  <w:style w:type="paragraph" w:customStyle="1" w:styleId="286">
    <w:name w:val="正文段落"/>
    <w:basedOn w:val="1"/>
    <w:qFormat/>
    <w:uiPriority w:val="0"/>
    <w:pPr>
      <w:topLinePunct w:val="0"/>
      <w:adjustRightInd/>
      <w:spacing w:line="288" w:lineRule="auto"/>
    </w:pPr>
    <w:rPr>
      <w:rFonts w:ascii="Times New Roman" w:cs="Times New Roman"/>
      <w:kern w:val="2"/>
      <w:szCs w:val="20"/>
    </w:rPr>
  </w:style>
  <w:style w:type="paragraph" w:customStyle="1" w:styleId="287">
    <w:name w:val="节内编号2"/>
    <w:qFormat/>
    <w:uiPriority w:val="0"/>
    <w:pPr>
      <w:adjustRightInd w:val="0"/>
      <w:snapToGrid w:val="0"/>
      <w:spacing w:line="360" w:lineRule="auto"/>
      <w:ind w:right="100" w:rightChars="100"/>
      <w:jc w:val="both"/>
    </w:pPr>
    <w:rPr>
      <w:rFonts w:ascii="Times New Roman" w:hAnsi="Times New Roman" w:eastAsia="宋体" w:cs="Times New Roman"/>
      <w:color w:val="000000"/>
      <w:sz w:val="24"/>
      <w:lang w:val="en-US" w:eastAsia="zh-CN" w:bidi="ar-SA"/>
    </w:rPr>
  </w:style>
  <w:style w:type="paragraph" w:customStyle="1" w:styleId="288">
    <w:name w:val="Char Char Char Char Char Char Char Char Char1 Char Char Char Char"/>
    <w:basedOn w:val="1"/>
    <w:qFormat/>
    <w:uiPriority w:val="0"/>
    <w:pPr>
      <w:topLinePunct w:val="0"/>
      <w:adjustRightInd/>
      <w:spacing w:line="240" w:lineRule="auto"/>
      <w:ind w:firstLine="0" w:firstLineChars="0"/>
    </w:pPr>
    <w:rPr>
      <w:rFonts w:ascii="Times New Roman" w:eastAsia="仿宋_GB2312" w:cs="Times New Roman"/>
      <w:kern w:val="2"/>
      <w:sz w:val="28"/>
      <w:szCs w:val="20"/>
    </w:rPr>
  </w:style>
  <w:style w:type="character" w:customStyle="1" w:styleId="289">
    <w:name w:val="正文文本首行缩进 2 字符1"/>
    <w:basedOn w:val="230"/>
    <w:semiHidden/>
    <w:qFormat/>
    <w:uiPriority w:val="99"/>
    <w:rPr>
      <w:rFonts w:ascii="Times New Roman" w:hAnsi="Times New Roman" w:eastAsia="宋体" w:cs="Times New Roman"/>
      <w:kern w:val="2"/>
      <w:sz w:val="21"/>
      <w:szCs w:val="24"/>
    </w:rPr>
  </w:style>
  <w:style w:type="paragraph" w:customStyle="1" w:styleId="290">
    <w:name w:val="xl80"/>
    <w:basedOn w:val="1"/>
    <w:qFormat/>
    <w:uiPriority w:val="0"/>
    <w:pPr>
      <w:widowControl/>
      <w:pBdr>
        <w:top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ascii="Arial Narrow" w:hAnsi="Arial Narrow" w:eastAsia="Arial Narrow" w:cs="Times New Roman"/>
      <w:sz w:val="20"/>
      <w:szCs w:val="20"/>
    </w:rPr>
  </w:style>
  <w:style w:type="paragraph" w:customStyle="1" w:styleId="291">
    <w:name w:val="备注"/>
    <w:basedOn w:val="1"/>
    <w:qFormat/>
    <w:uiPriority w:val="0"/>
    <w:pPr>
      <w:keepNext/>
      <w:topLinePunct w:val="0"/>
      <w:adjustRightInd/>
      <w:snapToGrid w:val="0"/>
      <w:spacing w:line="240" w:lineRule="atLeast"/>
      <w:ind w:firstLine="420"/>
    </w:pPr>
    <w:rPr>
      <w:rFonts w:cs="Times New Roman"/>
      <w:kern w:val="2"/>
      <w:sz w:val="21"/>
      <w:szCs w:val="20"/>
    </w:rPr>
  </w:style>
  <w:style w:type="paragraph" w:customStyle="1" w:styleId="292">
    <w:name w:val="样式 标题 4  +段后：0磅"/>
    <w:basedOn w:val="261"/>
    <w:next w:val="5"/>
    <w:qFormat/>
    <w:uiPriority w:val="0"/>
    <w:pPr>
      <w:tabs>
        <w:tab w:val="left" w:pos="2240"/>
        <w:tab w:val="clear" w:pos="425"/>
      </w:tabs>
      <w:spacing w:line="480" w:lineRule="auto"/>
      <w:ind w:left="2240" w:hanging="420"/>
    </w:pPr>
  </w:style>
  <w:style w:type="paragraph" w:customStyle="1" w:styleId="293">
    <w:name w:val="正文－ST4"/>
    <w:basedOn w:val="1"/>
    <w:qFormat/>
    <w:uiPriority w:val="0"/>
    <w:pPr>
      <w:topLinePunct w:val="0"/>
      <w:snapToGrid w:val="0"/>
      <w:ind w:left="240" w:leftChars="100" w:right="-57" w:firstLine="480"/>
    </w:pPr>
    <w:rPr>
      <w:rFonts w:hAnsi="宋体" w:cs="Times New Roman"/>
      <w:color w:val="000000"/>
      <w:szCs w:val="20"/>
    </w:rPr>
  </w:style>
  <w:style w:type="paragraph" w:customStyle="1" w:styleId="294">
    <w:name w:val="目录1"/>
    <w:basedOn w:val="1"/>
    <w:next w:val="49"/>
    <w:qFormat/>
    <w:uiPriority w:val="0"/>
    <w:pPr>
      <w:topLinePunct w:val="0"/>
      <w:adjustRightInd/>
      <w:spacing w:line="300" w:lineRule="auto"/>
      <w:ind w:firstLine="0" w:firstLineChars="0"/>
    </w:pPr>
    <w:rPr>
      <w:rFonts w:ascii="Times New Roman" w:cs="Times New Roman"/>
      <w:b/>
      <w:kern w:val="2"/>
      <w:sz w:val="28"/>
      <w:szCs w:val="20"/>
    </w:rPr>
  </w:style>
  <w:style w:type="paragraph" w:customStyle="1" w:styleId="295">
    <w:name w:val="标题：样式 标题 2 + 左侧:  0 厘米 首行缩进:  0 厘米"/>
    <w:basedOn w:val="3"/>
    <w:qFormat/>
    <w:uiPriority w:val="0"/>
    <w:pPr>
      <w:tabs>
        <w:tab w:val="left" w:pos="1320"/>
      </w:tabs>
      <w:topLinePunct w:val="0"/>
      <w:adjustRightInd/>
      <w:spacing w:before="260" w:after="260" w:line="413" w:lineRule="auto"/>
      <w:ind w:left="1320" w:hanging="420"/>
      <w:jc w:val="center"/>
    </w:pPr>
    <w:rPr>
      <w:rFonts w:ascii="华文中宋" w:hAnsi="华文中宋" w:eastAsia="华文中宋" w:cs="Times New Roman"/>
      <w:b w:val="0"/>
      <w:bCs w:val="0"/>
      <w:kern w:val="2"/>
      <w:sz w:val="36"/>
      <w:szCs w:val="20"/>
    </w:rPr>
  </w:style>
  <w:style w:type="paragraph" w:customStyle="1" w:styleId="296">
    <w:name w:val="样式 标题 2 + 段前: 0.3 行"/>
    <w:basedOn w:val="3"/>
    <w:next w:val="1"/>
    <w:qFormat/>
    <w:uiPriority w:val="0"/>
    <w:pPr>
      <w:widowControl/>
      <w:topLinePunct w:val="0"/>
      <w:spacing w:beforeLines="10" w:afterLines="10"/>
    </w:pPr>
    <w:rPr>
      <w:rFonts w:ascii="Arial Narrow" w:hAnsi="Arial Narrow" w:cs="Times New Roman"/>
      <w:b w:val="0"/>
      <w:bCs w:val="0"/>
      <w:color w:val="3366FF"/>
      <w:kern w:val="2"/>
      <w:szCs w:val="20"/>
    </w:rPr>
  </w:style>
  <w:style w:type="paragraph" w:customStyle="1" w:styleId="297">
    <w:name w:val="xl58"/>
    <w:basedOn w:val="1"/>
    <w:qFormat/>
    <w:uiPriority w:val="0"/>
    <w:pPr>
      <w:widowControl/>
      <w:pBdr>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Cs w:val="20"/>
    </w:rPr>
  </w:style>
  <w:style w:type="character" w:customStyle="1" w:styleId="298">
    <w:name w:val="正文文本 3 字符1"/>
    <w:basedOn w:val="62"/>
    <w:semiHidden/>
    <w:qFormat/>
    <w:uiPriority w:val="99"/>
    <w:rPr>
      <w:rFonts w:ascii="宋体" w:hAnsi="Times New Roman" w:cs="宋体"/>
      <w:sz w:val="16"/>
      <w:szCs w:val="16"/>
    </w:rPr>
  </w:style>
  <w:style w:type="character" w:customStyle="1" w:styleId="299">
    <w:name w:val="z-窗体顶端 字符1"/>
    <w:basedOn w:val="62"/>
    <w:semiHidden/>
    <w:qFormat/>
    <w:uiPriority w:val="99"/>
    <w:rPr>
      <w:rFonts w:ascii="Arial" w:hAnsi="Arial" w:cs="Arial"/>
      <w:vanish/>
      <w:sz w:val="16"/>
      <w:szCs w:val="16"/>
    </w:rPr>
  </w:style>
  <w:style w:type="paragraph" w:customStyle="1" w:styleId="300">
    <w:name w:val="xl53"/>
    <w:basedOn w:val="1"/>
    <w:qFormat/>
    <w:uiPriority w:val="0"/>
    <w:pPr>
      <w:widowControl/>
      <w:pBdr>
        <w:top w:val="single" w:color="auto" w:sz="4" w:space="0"/>
        <w:left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301">
    <w:name w:val="标题 2（用）"/>
    <w:basedOn w:val="3"/>
    <w:qFormat/>
    <w:uiPriority w:val="0"/>
    <w:pPr>
      <w:tabs>
        <w:tab w:val="center" w:pos="4918"/>
        <w:tab w:val="left" w:pos="6375"/>
      </w:tabs>
      <w:topLinePunct w:val="0"/>
      <w:snapToGrid w:val="0"/>
      <w:spacing w:beforeLines="50" w:afterLines="27" w:line="336" w:lineRule="auto"/>
      <w:ind w:left="57" w:leftChars="50" w:right="210" w:rightChars="100" w:firstLine="104" w:firstLineChars="37"/>
      <w:jc w:val="center"/>
    </w:pPr>
    <w:rPr>
      <w:rFonts w:ascii="黑体" w:hAnsi="宋体" w:eastAsia="黑体" w:cs="Arial"/>
      <w:bCs w:val="0"/>
      <w:color w:val="000000"/>
      <w:kern w:val="2"/>
      <w:szCs w:val="28"/>
    </w:rPr>
  </w:style>
  <w:style w:type="paragraph" w:customStyle="1" w:styleId="302">
    <w:name w:val="10"/>
    <w:basedOn w:val="1"/>
    <w:next w:val="31"/>
    <w:qFormat/>
    <w:uiPriority w:val="0"/>
    <w:pPr>
      <w:topLinePunct w:val="0"/>
      <w:adjustRightInd/>
      <w:spacing w:line="240" w:lineRule="auto"/>
      <w:ind w:firstLine="0" w:firstLineChars="0"/>
    </w:pPr>
    <w:rPr>
      <w:rFonts w:hAnsi="Courier New" w:cs="Times New Roman"/>
      <w:kern w:val="2"/>
      <w:sz w:val="28"/>
      <w:szCs w:val="20"/>
    </w:rPr>
  </w:style>
  <w:style w:type="character" w:customStyle="1" w:styleId="303">
    <w:name w:val="正文文本缩进 3 字符1"/>
    <w:basedOn w:val="62"/>
    <w:semiHidden/>
    <w:qFormat/>
    <w:uiPriority w:val="99"/>
    <w:rPr>
      <w:rFonts w:ascii="宋体" w:hAnsi="Times New Roman" w:cs="宋体"/>
      <w:sz w:val="16"/>
      <w:szCs w:val="16"/>
    </w:rPr>
  </w:style>
  <w:style w:type="paragraph" w:customStyle="1" w:styleId="304">
    <w:name w:val="Char Char Char Char Char Char Char Char Char Char"/>
    <w:basedOn w:val="1"/>
    <w:qFormat/>
    <w:uiPriority w:val="0"/>
    <w:pPr>
      <w:widowControl/>
      <w:topLinePunct w:val="0"/>
      <w:adjustRightInd/>
      <w:ind w:firstLine="0" w:firstLineChars="0"/>
      <w:jc w:val="left"/>
    </w:pPr>
    <w:rPr>
      <w:rFonts w:ascii="Times New Roman" w:eastAsia="黑体" w:cs="Times New Roman"/>
      <w:szCs w:val="20"/>
    </w:rPr>
  </w:style>
  <w:style w:type="paragraph" w:customStyle="1" w:styleId="305">
    <w:name w:val="xl48"/>
    <w:basedOn w:val="1"/>
    <w:qFormat/>
    <w:uiPriority w:val="0"/>
    <w:pPr>
      <w:widowControl/>
      <w:pBdr>
        <w:lef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306">
    <w:name w:val="Char Char Char1 Char Char Char Char Char Char Char Char Char Char"/>
    <w:basedOn w:val="1"/>
    <w:qFormat/>
    <w:uiPriority w:val="0"/>
    <w:pPr>
      <w:widowControl/>
      <w:topLinePunct w:val="0"/>
      <w:adjustRightInd/>
      <w:spacing w:line="540" w:lineRule="exact"/>
      <w:jc w:val="left"/>
    </w:pPr>
    <w:rPr>
      <w:rFonts w:hAnsi="宋体"/>
      <w:szCs w:val="21"/>
    </w:rPr>
  </w:style>
  <w:style w:type="paragraph" w:customStyle="1" w:styleId="307">
    <w:name w:val="TOC 标题2"/>
    <w:basedOn w:val="2"/>
    <w:next w:val="1"/>
    <w:qFormat/>
    <w:uiPriority w:val="39"/>
    <w:pPr>
      <w:widowControl/>
      <w:topLinePunct w:val="0"/>
      <w:adjustRightInd/>
      <w:spacing w:before="480" w:beforeAutospacing="0" w:after="0" w:afterAutospacing="0" w:line="276" w:lineRule="auto"/>
      <w:outlineLvl w:val="9"/>
    </w:pPr>
    <w:rPr>
      <w:rFonts w:ascii="Cambria" w:hAnsi="Cambria" w:eastAsia="宋体"/>
      <w:color w:val="365F91"/>
      <w:kern w:val="0"/>
      <w:sz w:val="28"/>
      <w:szCs w:val="20"/>
    </w:rPr>
  </w:style>
  <w:style w:type="character" w:customStyle="1" w:styleId="308">
    <w:name w:val="纯文本 字符1"/>
    <w:basedOn w:val="62"/>
    <w:semiHidden/>
    <w:qFormat/>
    <w:uiPriority w:val="99"/>
    <w:rPr>
      <w:rFonts w:ascii="宋体" w:hAnsi="Courier New" w:cs="Courier New"/>
      <w:sz w:val="24"/>
      <w:szCs w:val="24"/>
    </w:rPr>
  </w:style>
  <w:style w:type="paragraph" w:customStyle="1" w:styleId="309">
    <w:name w:val="xl33"/>
    <w:basedOn w:val="1"/>
    <w:qFormat/>
    <w:uiPriority w:val="0"/>
    <w:pPr>
      <w:widowControl/>
      <w:pBdr>
        <w:top w:val="single" w:color="auto" w:sz="4" w:space="0"/>
        <w:left w:val="single" w:color="auto" w:sz="8" w:space="0"/>
        <w:bottom w:val="single" w:color="auto" w:sz="4" w:space="0"/>
        <w:right w:val="single" w:color="auto" w:sz="4" w:space="0"/>
      </w:pBdr>
      <w:topLinePunct w:val="0"/>
      <w:adjustRightInd/>
      <w:spacing w:before="100" w:beforeAutospacing="1" w:after="100" w:afterAutospacing="1" w:line="240" w:lineRule="auto"/>
      <w:ind w:firstLine="0" w:firstLineChars="0"/>
      <w:jc w:val="left"/>
    </w:pPr>
    <w:rPr>
      <w:rFonts w:hAnsi="宋体" w:cs="Times New Roman"/>
    </w:rPr>
  </w:style>
  <w:style w:type="paragraph" w:customStyle="1" w:styleId="310">
    <w:name w:val="xl45"/>
    <w:basedOn w:val="1"/>
    <w:qFormat/>
    <w:uiPriority w:val="0"/>
    <w:pPr>
      <w:widowControl/>
      <w:pBdr>
        <w:lef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character" w:customStyle="1" w:styleId="311">
    <w:name w:val="正文文本首行缩进 字符1"/>
    <w:basedOn w:val="74"/>
    <w:semiHidden/>
    <w:qFormat/>
    <w:uiPriority w:val="99"/>
    <w:rPr>
      <w:rFonts w:ascii="宋体" w:hAnsi="Times New Roman" w:cs="宋体"/>
      <w:kern w:val="0"/>
      <w:sz w:val="24"/>
      <w:szCs w:val="24"/>
    </w:rPr>
  </w:style>
  <w:style w:type="paragraph" w:customStyle="1" w:styleId="312">
    <w:name w:val="孙立刚01"/>
    <w:basedOn w:val="39"/>
    <w:qFormat/>
    <w:uiPriority w:val="0"/>
    <w:pPr>
      <w:tabs>
        <w:tab w:val="right" w:leader="dot" w:pos="8296"/>
      </w:tabs>
      <w:topLinePunct w:val="0"/>
      <w:adjustRightInd/>
      <w:spacing w:before="120" w:after="80"/>
      <w:jc w:val="left"/>
    </w:pPr>
    <w:rPr>
      <w:rFonts w:ascii="黑体" w:eastAsia="黑体" w:cs="Times New Roman"/>
      <w:b w:val="0"/>
      <w:caps/>
      <w:kern w:val="2"/>
      <w:szCs w:val="20"/>
    </w:rPr>
  </w:style>
  <w:style w:type="paragraph" w:customStyle="1" w:styleId="313">
    <w:name w:val="表文字"/>
    <w:basedOn w:val="17"/>
    <w:link w:val="618"/>
    <w:qFormat/>
    <w:uiPriority w:val="0"/>
    <w:pPr>
      <w:widowControl/>
      <w:spacing w:line="380" w:lineRule="exact"/>
      <w:ind w:firstLine="0" w:firstLineChars="0"/>
      <w:jc w:val="center"/>
    </w:pPr>
    <w:rPr>
      <w:snapToGrid w:val="0"/>
      <w:sz w:val="24"/>
      <w:szCs w:val="21"/>
    </w:rPr>
  </w:style>
  <w:style w:type="paragraph" w:customStyle="1" w:styleId="314">
    <w:name w:val="11"/>
    <w:basedOn w:val="1"/>
    <w:next w:val="31"/>
    <w:qFormat/>
    <w:uiPriority w:val="0"/>
    <w:pPr>
      <w:topLinePunct w:val="0"/>
      <w:snapToGrid w:val="0"/>
      <w:spacing w:line="580" w:lineRule="exact"/>
      <w:ind w:firstLine="510" w:firstLineChars="0"/>
    </w:pPr>
    <w:rPr>
      <w:rFonts w:hAnsi="Courier New" w:cs="Times New Roman"/>
      <w:kern w:val="2"/>
      <w:sz w:val="28"/>
      <w:szCs w:val="20"/>
    </w:rPr>
  </w:style>
  <w:style w:type="paragraph" w:customStyle="1" w:styleId="315">
    <w:name w:val="_Style 17"/>
    <w:basedOn w:val="1"/>
    <w:qFormat/>
    <w:uiPriority w:val="0"/>
    <w:pPr>
      <w:topLinePunct w:val="0"/>
      <w:adjustRightInd/>
      <w:spacing w:line="240" w:lineRule="auto"/>
      <w:ind w:firstLine="0" w:firstLineChars="0"/>
    </w:pPr>
    <w:rPr>
      <w:rFonts w:ascii="Times New Roman" w:cs="Times New Roman"/>
      <w:kern w:val="2"/>
      <w:sz w:val="21"/>
      <w:szCs w:val="20"/>
    </w:rPr>
  </w:style>
  <w:style w:type="character" w:customStyle="1" w:styleId="316">
    <w:name w:val="标题 字符1"/>
    <w:basedOn w:val="62"/>
    <w:qFormat/>
    <w:uiPriority w:val="10"/>
    <w:rPr>
      <w:rFonts w:ascii="Cambria" w:hAnsi="Cambria" w:eastAsia="宋体" w:cs="Times New Roman"/>
      <w:b/>
      <w:bCs/>
      <w:sz w:val="32"/>
      <w:szCs w:val="32"/>
    </w:rPr>
  </w:style>
  <w:style w:type="paragraph" w:customStyle="1" w:styleId="317">
    <w:name w:val="样式 标题 1h11st levelSection Headl1 + 宋体 三号"/>
    <w:basedOn w:val="2"/>
    <w:qFormat/>
    <w:uiPriority w:val="0"/>
    <w:pPr>
      <w:tabs>
        <w:tab w:val="left" w:pos="3751"/>
      </w:tabs>
      <w:topLinePunct w:val="0"/>
      <w:adjustRightInd/>
      <w:spacing w:before="340" w:beforeAutospacing="0" w:after="330" w:afterAutospacing="0"/>
      <w:ind w:left="3751" w:firstLine="29"/>
      <w:jc w:val="center"/>
    </w:pPr>
    <w:rPr>
      <w:rFonts w:ascii="宋体" w:hAnsi="宋体" w:eastAsia="宋体"/>
      <w:szCs w:val="20"/>
    </w:rPr>
  </w:style>
  <w:style w:type="paragraph" w:customStyle="1" w:styleId="318">
    <w:name w:val="Char Char Char1 Char"/>
    <w:basedOn w:val="1"/>
    <w:qFormat/>
    <w:uiPriority w:val="0"/>
    <w:pPr>
      <w:topLinePunct w:val="0"/>
      <w:adjustRightInd/>
      <w:spacing w:line="240" w:lineRule="auto"/>
      <w:ind w:firstLine="0" w:firstLineChars="0"/>
    </w:pPr>
    <w:rPr>
      <w:rFonts w:ascii="Times New Roman" w:cs="Times New Roman"/>
      <w:kern w:val="2"/>
      <w:sz w:val="21"/>
    </w:rPr>
  </w:style>
  <w:style w:type="paragraph" w:customStyle="1" w:styleId="319">
    <w:name w:val="LS2"/>
    <w:basedOn w:val="1"/>
    <w:qFormat/>
    <w:uiPriority w:val="0"/>
    <w:pPr>
      <w:topLinePunct w:val="0"/>
      <w:adjustRightInd/>
      <w:snapToGrid w:val="0"/>
      <w:spacing w:line="336" w:lineRule="auto"/>
      <w:ind w:firstLine="0" w:firstLineChars="0"/>
      <w:jc w:val="center"/>
    </w:pPr>
    <w:rPr>
      <w:rFonts w:cs="Times New Roman"/>
      <w:color w:val="000000"/>
      <w:kern w:val="2"/>
      <w:szCs w:val="20"/>
    </w:rPr>
  </w:style>
  <w:style w:type="paragraph" w:customStyle="1" w:styleId="320">
    <w:name w:val="Char1 Char Char Char Char Char Char"/>
    <w:basedOn w:val="1"/>
    <w:qFormat/>
    <w:uiPriority w:val="0"/>
    <w:pPr>
      <w:topLinePunct w:val="0"/>
      <w:adjustRightInd/>
      <w:spacing w:line="240" w:lineRule="auto"/>
      <w:ind w:firstLine="0" w:firstLineChars="0"/>
    </w:pPr>
    <w:rPr>
      <w:rFonts w:ascii="Times New Roman" w:cs="Times New Roman"/>
      <w:kern w:val="2"/>
      <w:sz w:val="21"/>
    </w:rPr>
  </w:style>
  <w:style w:type="paragraph" w:customStyle="1" w:styleId="321">
    <w:name w:val="内容"/>
    <w:basedOn w:val="1"/>
    <w:qFormat/>
    <w:uiPriority w:val="0"/>
    <w:pPr>
      <w:tabs>
        <w:tab w:val="left" w:pos="5725"/>
      </w:tabs>
      <w:topLinePunct w:val="0"/>
      <w:snapToGrid w:val="0"/>
      <w:ind w:left="280" w:leftChars="100" w:right="280" w:rightChars="100" w:firstLine="560"/>
    </w:pPr>
    <w:rPr>
      <w:rFonts w:ascii="Times New Roman" w:cs="Arial"/>
      <w:kern w:val="2"/>
      <w:sz w:val="28"/>
      <w:szCs w:val="20"/>
    </w:rPr>
  </w:style>
  <w:style w:type="paragraph" w:customStyle="1" w:styleId="322">
    <w:name w:val="表中"/>
    <w:basedOn w:val="1"/>
    <w:qFormat/>
    <w:uiPriority w:val="0"/>
    <w:pPr>
      <w:keepNext/>
      <w:topLinePunct w:val="0"/>
      <w:adjustRightInd/>
      <w:snapToGrid w:val="0"/>
      <w:spacing w:line="200" w:lineRule="atLeast"/>
      <w:ind w:firstLine="0" w:firstLineChars="0"/>
      <w:jc w:val="center"/>
    </w:pPr>
    <w:rPr>
      <w:rFonts w:hAnsi="宋体" w:cs="Times New Roman"/>
      <w:kern w:val="2"/>
      <w:szCs w:val="20"/>
    </w:rPr>
  </w:style>
  <w:style w:type="paragraph" w:customStyle="1" w:styleId="323">
    <w:name w:val="xl63"/>
    <w:basedOn w:val="1"/>
    <w:qFormat/>
    <w:uiPriority w:val="0"/>
    <w:pPr>
      <w:widowControl/>
      <w:pBdr>
        <w:left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color w:val="FF0000"/>
      <w:sz w:val="20"/>
      <w:szCs w:val="20"/>
    </w:rPr>
  </w:style>
  <w:style w:type="paragraph" w:customStyle="1" w:styleId="324">
    <w:name w:val="表头1"/>
    <w:link w:val="565"/>
    <w:qFormat/>
    <w:uiPriority w:val="0"/>
    <w:pPr>
      <w:tabs>
        <w:tab w:val="left" w:pos="284"/>
        <w:tab w:val="center" w:pos="4253"/>
        <w:tab w:val="left" w:pos="7938"/>
      </w:tabs>
      <w:spacing w:before="240" w:after="240"/>
    </w:pPr>
    <w:rPr>
      <w:rFonts w:ascii="黑体" w:hAnsi="Times New Roman" w:eastAsia="黑体" w:cs="Times New Roman"/>
      <w:sz w:val="24"/>
      <w:lang w:val="en-US" w:eastAsia="zh-CN" w:bidi="ar-SA"/>
    </w:rPr>
  </w:style>
  <w:style w:type="character" w:customStyle="1" w:styleId="325">
    <w:name w:val="正文文本 2 字符1"/>
    <w:basedOn w:val="62"/>
    <w:semiHidden/>
    <w:qFormat/>
    <w:uiPriority w:val="99"/>
    <w:rPr>
      <w:rFonts w:ascii="宋体" w:hAnsi="Times New Roman" w:cs="宋体"/>
      <w:sz w:val="24"/>
      <w:szCs w:val="24"/>
    </w:rPr>
  </w:style>
  <w:style w:type="paragraph" w:customStyle="1" w:styleId="326">
    <w:name w:val="5"/>
    <w:basedOn w:val="1"/>
    <w:next w:val="28"/>
    <w:qFormat/>
    <w:uiPriority w:val="0"/>
    <w:pPr>
      <w:tabs>
        <w:tab w:val="left" w:pos="120"/>
      </w:tabs>
      <w:topLinePunct w:val="0"/>
      <w:ind w:left="280" w:leftChars="100" w:right="100" w:rightChars="100" w:firstLine="560"/>
      <w:jc w:val="left"/>
      <w:textAlignment w:val="baseline"/>
    </w:pPr>
    <w:rPr>
      <w:rFonts w:hAnsi="宋体" w:cs="Times New Roman"/>
      <w:color w:val="000000"/>
      <w:sz w:val="28"/>
      <w:szCs w:val="20"/>
    </w:rPr>
  </w:style>
  <w:style w:type="paragraph" w:customStyle="1" w:styleId="327">
    <w:name w:val="一级子标题：样式 标题 3 + 四号"/>
    <w:basedOn w:val="4"/>
    <w:qFormat/>
    <w:uiPriority w:val="0"/>
    <w:pPr>
      <w:topLinePunct w:val="0"/>
      <w:adjustRightInd/>
      <w:spacing w:before="260" w:after="260" w:line="413" w:lineRule="auto"/>
    </w:pPr>
    <w:rPr>
      <w:rFonts w:ascii="Arial" w:hAnsi="Arial" w:eastAsia="宋体"/>
      <w:kern w:val="2"/>
      <w:sz w:val="28"/>
      <w:szCs w:val="20"/>
    </w:rPr>
  </w:style>
  <w:style w:type="paragraph" w:customStyle="1" w:styleId="328">
    <w:name w:val="正文文本缩进1"/>
    <w:basedOn w:val="1"/>
    <w:qFormat/>
    <w:uiPriority w:val="0"/>
    <w:pPr>
      <w:topLinePunct w:val="0"/>
      <w:spacing w:line="360" w:lineRule="atLeast"/>
      <w:ind w:left="280" w:firstLine="560" w:firstLineChars="0"/>
      <w:jc w:val="left"/>
      <w:textAlignment w:val="baseline"/>
    </w:pPr>
    <w:rPr>
      <w:rFonts w:ascii="Times New Roman" w:cs="Times New Roman"/>
    </w:rPr>
  </w:style>
  <w:style w:type="paragraph" w:customStyle="1" w:styleId="329">
    <w:name w:val="列表段落1"/>
    <w:basedOn w:val="1"/>
    <w:qFormat/>
    <w:uiPriority w:val="34"/>
    <w:pPr>
      <w:topLinePunct w:val="0"/>
      <w:adjustRightInd/>
      <w:spacing w:line="240" w:lineRule="auto"/>
      <w:ind w:firstLine="420"/>
    </w:pPr>
    <w:rPr>
      <w:rFonts w:ascii="Times New Roman" w:cs="Times New Roman"/>
      <w:kern w:val="2"/>
      <w:sz w:val="21"/>
      <w:szCs w:val="20"/>
    </w:rPr>
  </w:style>
  <w:style w:type="paragraph" w:customStyle="1" w:styleId="330">
    <w:name w:val="表内文字 Char Char"/>
    <w:qFormat/>
    <w:uiPriority w:val="0"/>
    <w:rPr>
      <w:rFonts w:ascii="Times New Roman" w:hAnsi="Times New Roman" w:eastAsia="宋体" w:cs="Times New Roman"/>
      <w:kern w:val="2"/>
      <w:sz w:val="21"/>
      <w:lang w:val="en-US" w:eastAsia="zh-CN" w:bidi="ar-SA"/>
    </w:rPr>
  </w:style>
  <w:style w:type="paragraph" w:customStyle="1" w:styleId="331">
    <w:name w:val="样式 标题 3 + 段后: 0 磅 行距: 1.5 倍行距1"/>
    <w:basedOn w:val="1"/>
    <w:qFormat/>
    <w:uiPriority w:val="0"/>
    <w:pPr>
      <w:tabs>
        <w:tab w:val="left" w:pos="709"/>
      </w:tabs>
      <w:topLinePunct w:val="0"/>
      <w:adjustRightInd/>
      <w:spacing w:line="240" w:lineRule="auto"/>
      <w:ind w:left="709" w:hanging="709" w:firstLineChars="0"/>
    </w:pPr>
    <w:rPr>
      <w:rFonts w:ascii="Times New Roman" w:cs="Times New Roman"/>
      <w:kern w:val="2"/>
      <w:szCs w:val="20"/>
    </w:rPr>
  </w:style>
  <w:style w:type="paragraph" w:customStyle="1" w:styleId="332">
    <w:name w:val="È±Ê¡ÎÄ±¾"/>
    <w:basedOn w:val="1"/>
    <w:qFormat/>
    <w:uiPriority w:val="0"/>
    <w:pPr>
      <w:widowControl/>
      <w:overflowPunct w:val="0"/>
      <w:topLinePunct w:val="0"/>
      <w:autoSpaceDE w:val="0"/>
      <w:autoSpaceDN w:val="0"/>
      <w:spacing w:line="240" w:lineRule="auto"/>
      <w:ind w:firstLine="0" w:firstLineChars="0"/>
      <w:jc w:val="left"/>
      <w:textAlignment w:val="baseline"/>
    </w:pPr>
    <w:rPr>
      <w:rFonts w:ascii="Times New Roman" w:cs="Times New Roman"/>
      <w:szCs w:val="20"/>
    </w:rPr>
  </w:style>
  <w:style w:type="paragraph" w:customStyle="1" w:styleId="333">
    <w:name w:val="样式 样式 样式 标题 21.11.1标题 2Major HeadingL2ËÑÇ¢ˆmÍ 2RSKH2hseHeading ....1"/>
    <w:basedOn w:val="1"/>
    <w:qFormat/>
    <w:uiPriority w:val="0"/>
    <w:pPr>
      <w:keepNext/>
      <w:keepLines/>
      <w:topLinePunct w:val="0"/>
      <w:spacing w:beforeLines="50"/>
      <w:ind w:firstLine="0" w:firstLineChars="0"/>
      <w:jc w:val="center"/>
      <w:textAlignment w:val="baseline"/>
      <w:outlineLvl w:val="1"/>
    </w:pPr>
    <w:rPr>
      <w:rFonts w:ascii="仿宋_GB2312" w:eastAsia="仿宋_GB2312" w:cs="Times New Roman"/>
      <w:sz w:val="28"/>
      <w:szCs w:val="20"/>
    </w:rPr>
  </w:style>
  <w:style w:type="paragraph" w:customStyle="1" w:styleId="334">
    <w:name w:val="Char Char Char Char Char Char Char Char Char1 Char Char Char Char1"/>
    <w:basedOn w:val="1"/>
    <w:qFormat/>
    <w:uiPriority w:val="0"/>
    <w:pPr>
      <w:topLinePunct w:val="0"/>
      <w:adjustRightInd/>
      <w:spacing w:line="240" w:lineRule="auto"/>
      <w:ind w:firstLine="0" w:firstLineChars="0"/>
    </w:pPr>
    <w:rPr>
      <w:rFonts w:ascii="Times New Roman" w:eastAsia="仿宋_GB2312" w:cs="Times New Roman"/>
      <w:kern w:val="2"/>
      <w:sz w:val="28"/>
      <w:szCs w:val="20"/>
    </w:rPr>
  </w:style>
  <w:style w:type="paragraph" w:customStyle="1" w:styleId="335">
    <w:name w:val="样式15"/>
    <w:basedOn w:val="336"/>
    <w:qFormat/>
    <w:uiPriority w:val="0"/>
  </w:style>
  <w:style w:type="paragraph" w:customStyle="1" w:styleId="336">
    <w:name w:val="节标题（科宏）"/>
    <w:next w:val="1"/>
    <w:qFormat/>
    <w:uiPriority w:val="0"/>
    <w:pPr>
      <w:widowControl w:val="0"/>
      <w:spacing w:beforeLines="50" w:afterLines="50" w:line="360" w:lineRule="auto"/>
      <w:ind w:left="1320" w:hanging="420"/>
      <w:jc w:val="center"/>
      <w:outlineLvl w:val="1"/>
    </w:pPr>
    <w:rPr>
      <w:rFonts w:ascii="Arial" w:hAnsi="Arial" w:eastAsia="仿宋_GB2312" w:cs="Times New Roman"/>
      <w:b/>
      <w:sz w:val="30"/>
      <w:lang w:val="en-US" w:eastAsia="zh-CN" w:bidi="ar-SA"/>
    </w:rPr>
  </w:style>
  <w:style w:type="paragraph" w:customStyle="1" w:styleId="337">
    <w:name w:val="简单回函地址"/>
    <w:basedOn w:val="1"/>
    <w:qFormat/>
    <w:uiPriority w:val="0"/>
    <w:pPr>
      <w:topLinePunct w:val="0"/>
      <w:adjustRightInd/>
      <w:spacing w:line="240" w:lineRule="auto"/>
      <w:ind w:firstLine="0" w:firstLineChars="0"/>
    </w:pPr>
    <w:rPr>
      <w:rFonts w:ascii="Times New Roman" w:eastAsia="仿宋_GB2312" w:cs="Times New Roman"/>
      <w:kern w:val="2"/>
      <w:szCs w:val="20"/>
    </w:rPr>
  </w:style>
  <w:style w:type="paragraph" w:customStyle="1" w:styleId="338">
    <w:name w:val="xl65"/>
    <w:basedOn w:val="1"/>
    <w:qFormat/>
    <w:uiPriority w:val="0"/>
    <w:pPr>
      <w:widowControl/>
      <w:pBdr>
        <w:top w:val="single" w:color="auto" w:sz="4" w:space="0"/>
        <w:left w:val="single" w:color="auto" w:sz="4" w:space="0"/>
        <w:bottom w:val="single" w:color="auto" w:sz="4" w:space="0"/>
      </w:pBdr>
      <w:topLinePunct w:val="0"/>
      <w:adjustRightInd/>
      <w:spacing w:before="100" w:beforeAutospacing="1" w:after="100" w:afterAutospacing="1" w:line="240" w:lineRule="auto"/>
      <w:ind w:firstLine="0" w:firstLineChars="0"/>
      <w:jc w:val="center"/>
    </w:pPr>
    <w:rPr>
      <w:rFonts w:hAnsi="宋体" w:cs="Times New Roman"/>
      <w:sz w:val="20"/>
      <w:szCs w:val="20"/>
    </w:rPr>
  </w:style>
  <w:style w:type="paragraph" w:customStyle="1" w:styleId="339">
    <w:name w:val="a"/>
    <w:basedOn w:val="1"/>
    <w:qFormat/>
    <w:uiPriority w:val="0"/>
    <w:pPr>
      <w:widowControl/>
      <w:topLinePunct w:val="0"/>
      <w:adjustRightInd/>
      <w:spacing w:line="240" w:lineRule="auto"/>
      <w:ind w:firstLine="0" w:firstLineChars="0"/>
      <w:jc w:val="center"/>
    </w:pPr>
    <w:rPr>
      <w:rFonts w:ascii="Times New Roman" w:cs="Times New Roman"/>
      <w:szCs w:val="20"/>
    </w:rPr>
  </w:style>
  <w:style w:type="paragraph" w:customStyle="1" w:styleId="340">
    <w:name w:val="xl76"/>
    <w:basedOn w:val="1"/>
    <w:qFormat/>
    <w:uiPriority w:val="0"/>
    <w:pPr>
      <w:widowControl/>
      <w:pBdr>
        <w:top w:val="single" w:color="auto" w:sz="4" w:space="0"/>
        <w:left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ascii="Arial Narrow" w:hAnsi="Arial Narrow" w:eastAsia="Arial Narrow" w:cs="Times New Roman"/>
      <w:sz w:val="20"/>
      <w:szCs w:val="20"/>
    </w:rPr>
  </w:style>
  <w:style w:type="paragraph" w:customStyle="1" w:styleId="341">
    <w:name w:val="样式1"/>
    <w:basedOn w:val="1"/>
    <w:link w:val="578"/>
    <w:qFormat/>
    <w:uiPriority w:val="0"/>
    <w:pPr>
      <w:topLinePunct w:val="0"/>
      <w:adjustRightInd/>
      <w:spacing w:line="240" w:lineRule="auto"/>
      <w:ind w:firstLine="0" w:firstLineChars="0"/>
    </w:pPr>
    <w:rPr>
      <w:rFonts w:ascii="Times New Roman" w:cs="Times New Roman"/>
      <w:kern w:val="2"/>
      <w:sz w:val="28"/>
    </w:rPr>
  </w:style>
  <w:style w:type="paragraph" w:customStyle="1" w:styleId="342">
    <w:name w:val="图表正文"/>
    <w:basedOn w:val="1"/>
    <w:qFormat/>
    <w:uiPriority w:val="0"/>
    <w:pPr>
      <w:topLinePunct w:val="0"/>
      <w:adjustRightInd/>
      <w:spacing w:line="0" w:lineRule="atLeast"/>
      <w:ind w:firstLine="0" w:firstLineChars="0"/>
      <w:jc w:val="center"/>
      <w:textAlignment w:val="center"/>
    </w:pPr>
    <w:rPr>
      <w:rFonts w:ascii="Times New Roman" w:cs="Times New Roman"/>
      <w:kern w:val="2"/>
      <w:sz w:val="21"/>
      <w:szCs w:val="20"/>
    </w:rPr>
  </w:style>
  <w:style w:type="paragraph" w:customStyle="1" w:styleId="343">
    <w:name w:val="总院表格"/>
    <w:basedOn w:val="281"/>
    <w:next w:val="203"/>
    <w:qFormat/>
    <w:uiPriority w:val="0"/>
    <w:pPr>
      <w:spacing w:beforeLines="15" w:afterLines="10" w:line="336" w:lineRule="auto"/>
      <w:ind w:left="63" w:leftChars="-45" w:right="-7" w:rightChars="-7" w:firstLine="12"/>
      <w:jc w:val="both"/>
      <w:textAlignment w:val="baseline"/>
    </w:pPr>
    <w:rPr>
      <w:rFonts w:ascii="宋体" w:hAnsi="宋体" w:eastAsia="宋体" w:cs="Times New Roman"/>
      <w:spacing w:val="0"/>
    </w:rPr>
  </w:style>
  <w:style w:type="paragraph" w:customStyle="1" w:styleId="344">
    <w:name w:val="科宏表格文字"/>
    <w:basedOn w:val="1"/>
    <w:qFormat/>
    <w:uiPriority w:val="0"/>
    <w:pPr>
      <w:topLinePunct w:val="0"/>
      <w:adjustRightInd/>
      <w:ind w:firstLine="0" w:firstLineChars="0"/>
      <w:jc w:val="center"/>
    </w:pPr>
    <w:rPr>
      <w:rFonts w:ascii="Arial" w:hAnsi="Arial" w:eastAsia="仿宋_GB2312" w:cs="Times New Roman"/>
      <w:color w:val="FF0000"/>
      <w:kern w:val="2"/>
      <w:szCs w:val="20"/>
    </w:rPr>
  </w:style>
  <w:style w:type="paragraph" w:customStyle="1" w:styleId="345">
    <w:name w:val="font10"/>
    <w:basedOn w:val="1"/>
    <w:qFormat/>
    <w:uiPriority w:val="0"/>
    <w:pPr>
      <w:widowControl/>
      <w:topLinePunct w:val="0"/>
      <w:adjustRightInd/>
      <w:spacing w:before="100" w:beforeAutospacing="1" w:after="100" w:afterAutospacing="1" w:line="240" w:lineRule="auto"/>
      <w:ind w:firstLine="0" w:firstLineChars="0"/>
      <w:jc w:val="left"/>
    </w:pPr>
    <w:rPr>
      <w:rFonts w:hint="eastAsia" w:hAnsi="宋体" w:cs="Times New Roman"/>
      <w:sz w:val="20"/>
      <w:szCs w:val="20"/>
    </w:rPr>
  </w:style>
  <w:style w:type="character" w:customStyle="1" w:styleId="346">
    <w:name w:val="z-窗体底端 字符1"/>
    <w:basedOn w:val="62"/>
    <w:semiHidden/>
    <w:qFormat/>
    <w:uiPriority w:val="99"/>
    <w:rPr>
      <w:rFonts w:ascii="Arial" w:hAnsi="Arial" w:cs="Arial"/>
      <w:vanish/>
      <w:sz w:val="16"/>
      <w:szCs w:val="16"/>
    </w:rPr>
  </w:style>
  <w:style w:type="paragraph" w:customStyle="1" w:styleId="347">
    <w:name w:val="xl68"/>
    <w:basedOn w:val="1"/>
    <w:qFormat/>
    <w:uiPriority w:val="0"/>
    <w:pPr>
      <w:widowControl/>
      <w:pBdr>
        <w:top w:val="single" w:color="auto" w:sz="4" w:space="0"/>
        <w:left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ascii="Times New Roman" w:cs="Times New Roman"/>
      <w:sz w:val="20"/>
      <w:szCs w:val="20"/>
    </w:rPr>
  </w:style>
  <w:style w:type="paragraph" w:customStyle="1" w:styleId="348">
    <w:name w:val="xl64"/>
    <w:basedOn w:val="1"/>
    <w:qFormat/>
    <w:uiPriority w:val="0"/>
    <w:pPr>
      <w:widowControl/>
      <w:pBdr>
        <w:bottom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color w:val="FF0000"/>
      <w:sz w:val="20"/>
      <w:szCs w:val="20"/>
    </w:rPr>
  </w:style>
  <w:style w:type="paragraph" w:customStyle="1" w:styleId="349">
    <w:name w:val="我的表格文字"/>
    <w:basedOn w:val="1"/>
    <w:qFormat/>
    <w:uiPriority w:val="0"/>
    <w:pPr>
      <w:shd w:val="clear" w:color="auto" w:fill="FFFFFF"/>
      <w:topLinePunct w:val="0"/>
      <w:adjustRightInd/>
      <w:spacing w:line="240" w:lineRule="auto"/>
      <w:ind w:firstLine="0" w:firstLineChars="0"/>
      <w:jc w:val="center"/>
    </w:pPr>
    <w:rPr>
      <w:rFonts w:ascii="Times New Roman" w:cs="Times New Roman"/>
      <w:kern w:val="2"/>
      <w:sz w:val="21"/>
      <w:szCs w:val="21"/>
    </w:rPr>
  </w:style>
  <w:style w:type="paragraph" w:customStyle="1" w:styleId="350">
    <w:name w:val="样式4"/>
    <w:basedOn w:val="351"/>
    <w:link w:val="654"/>
    <w:qFormat/>
    <w:uiPriority w:val="0"/>
    <w:pPr>
      <w:tabs>
        <w:tab w:val="left" w:pos="425"/>
      </w:tabs>
    </w:pPr>
  </w:style>
  <w:style w:type="paragraph" w:customStyle="1" w:styleId="351">
    <w:name w:val="样式 标题 4 宋体"/>
    <w:basedOn w:val="261"/>
    <w:qFormat/>
    <w:uiPriority w:val="0"/>
    <w:pPr>
      <w:spacing w:beforeLines="50" w:line="360" w:lineRule="auto"/>
      <w:ind w:left="0" w:firstLine="0"/>
      <w:jc w:val="center"/>
      <w:outlineLvl w:val="3"/>
    </w:pPr>
    <w:rPr>
      <w:rFonts w:ascii="宋体" w:hAnsi="宋体"/>
      <w:sz w:val="24"/>
    </w:rPr>
  </w:style>
  <w:style w:type="paragraph" w:customStyle="1" w:styleId="352">
    <w:name w:val="地告正文"/>
    <w:basedOn w:val="1"/>
    <w:qFormat/>
    <w:uiPriority w:val="0"/>
    <w:pPr>
      <w:topLinePunct w:val="0"/>
      <w:snapToGrid w:val="0"/>
      <w:spacing w:line="620" w:lineRule="atLeast"/>
    </w:pPr>
    <w:rPr>
      <w:rFonts w:ascii="Times New Roman" w:cs="Times New Roman"/>
      <w:kern w:val="2"/>
      <w:sz w:val="28"/>
      <w:szCs w:val="21"/>
    </w:rPr>
  </w:style>
  <w:style w:type="paragraph" w:customStyle="1" w:styleId="353">
    <w:name w:val="style10"/>
    <w:basedOn w:val="1"/>
    <w:qFormat/>
    <w:uiPriority w:val="0"/>
    <w:pPr>
      <w:widowControl/>
      <w:topLinePunct w:val="0"/>
      <w:adjustRightInd/>
      <w:spacing w:before="100" w:beforeAutospacing="1" w:after="100" w:afterAutospacing="1" w:line="288" w:lineRule="atLeast"/>
      <w:ind w:firstLine="0" w:firstLineChars="0"/>
      <w:jc w:val="left"/>
    </w:pPr>
    <w:rPr>
      <w:rFonts w:hAnsi="宋体"/>
      <w:sz w:val="40"/>
      <w:szCs w:val="40"/>
    </w:rPr>
  </w:style>
  <w:style w:type="paragraph" w:customStyle="1" w:styleId="354">
    <w:name w:val="xl34"/>
    <w:basedOn w:val="1"/>
    <w:qFormat/>
    <w:uiPriority w:val="0"/>
    <w:pPr>
      <w:widowControl/>
      <w:pBdr>
        <w:top w:val="single" w:color="auto" w:sz="4" w:space="0"/>
        <w:left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pPr>
    <w:rPr>
      <w:rFonts w:hAnsi="宋体" w:cs="Times New Roman"/>
      <w:sz w:val="20"/>
      <w:szCs w:val="20"/>
    </w:rPr>
  </w:style>
  <w:style w:type="paragraph" w:customStyle="1" w:styleId="355">
    <w:name w:val="正文-ST-4"/>
    <w:basedOn w:val="1"/>
    <w:qFormat/>
    <w:uiPriority w:val="0"/>
    <w:pPr>
      <w:widowControl/>
      <w:topLinePunct w:val="0"/>
      <w:adjustRightInd/>
      <w:ind w:firstLine="567" w:firstLineChars="0"/>
    </w:pPr>
    <w:rPr>
      <w:rFonts w:ascii="Times New Roman" w:cs="Times New Roman"/>
      <w:sz w:val="28"/>
      <w:szCs w:val="20"/>
    </w:rPr>
  </w:style>
  <w:style w:type="paragraph" w:customStyle="1" w:styleId="356">
    <w:name w:val="附件"/>
    <w:basedOn w:val="1"/>
    <w:next w:val="1"/>
    <w:qFormat/>
    <w:uiPriority w:val="0"/>
    <w:pPr>
      <w:topLinePunct w:val="0"/>
      <w:snapToGrid w:val="0"/>
      <w:spacing w:line="300" w:lineRule="auto"/>
      <w:ind w:firstLine="527" w:firstLineChars="0"/>
    </w:pPr>
    <w:rPr>
      <w:rFonts w:ascii="Times New Roman" w:cs="Times New Roman"/>
      <w:kern w:val="2"/>
      <w:sz w:val="28"/>
      <w:szCs w:val="20"/>
    </w:rPr>
  </w:style>
  <w:style w:type="paragraph" w:customStyle="1" w:styleId="357">
    <w:name w:val="(页眉)天科"/>
    <w:qFormat/>
    <w:uiPriority w:val="0"/>
    <w:rPr>
      <w:rFonts w:ascii="Arial" w:hAnsi="Arial" w:eastAsia="仿宋_GB2312" w:cs="Times New Roman"/>
      <w:sz w:val="21"/>
      <w:lang w:val="en-US" w:eastAsia="zh-CN" w:bidi="ar-SA"/>
    </w:rPr>
  </w:style>
  <w:style w:type="paragraph" w:customStyle="1" w:styleId="358">
    <w:name w:val="xl69"/>
    <w:basedOn w:val="1"/>
    <w:qFormat/>
    <w:uiPriority w:val="0"/>
    <w:pPr>
      <w:widowControl/>
      <w:pBdr>
        <w:top w:val="single" w:color="auto" w:sz="4" w:space="0"/>
        <w:left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359">
    <w:name w:val="小表右"/>
    <w:basedOn w:val="1"/>
    <w:qFormat/>
    <w:uiPriority w:val="0"/>
    <w:pPr>
      <w:keepNext/>
      <w:topLinePunct w:val="0"/>
      <w:adjustRightInd/>
      <w:snapToGrid w:val="0"/>
      <w:spacing w:line="240" w:lineRule="atLeast"/>
      <w:ind w:right="30" w:rightChars="30" w:firstLine="0" w:firstLineChars="0"/>
      <w:jc w:val="right"/>
    </w:pPr>
    <w:rPr>
      <w:rFonts w:hint="eastAsia" w:hAnsi="宋体" w:cs="Times New Roman"/>
      <w:kern w:val="2"/>
      <w:sz w:val="21"/>
      <w:szCs w:val="20"/>
    </w:rPr>
  </w:style>
  <w:style w:type="paragraph" w:customStyle="1" w:styleId="360">
    <w:name w:val="页脚(科宏)"/>
    <w:qFormat/>
    <w:uiPriority w:val="0"/>
    <w:pPr>
      <w:jc w:val="center"/>
    </w:pPr>
    <w:rPr>
      <w:rFonts w:ascii="Arial" w:hAnsi="Arial" w:eastAsia="仿宋_GB2312" w:cs="Times New Roman"/>
      <w:sz w:val="21"/>
      <w:lang w:val="en-US" w:eastAsia="zh-CN" w:bidi="ar-SA"/>
    </w:rPr>
  </w:style>
  <w:style w:type="paragraph" w:customStyle="1" w:styleId="361">
    <w:name w:val="xl56"/>
    <w:basedOn w:val="1"/>
    <w:qFormat/>
    <w:uiPriority w:val="0"/>
    <w:pPr>
      <w:widowControl/>
      <w:pBdr>
        <w:top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Cs w:val="20"/>
    </w:rPr>
  </w:style>
  <w:style w:type="paragraph" w:customStyle="1" w:styleId="362">
    <w:name w:val="图"/>
    <w:basedOn w:val="17"/>
    <w:next w:val="1"/>
    <w:qFormat/>
    <w:uiPriority w:val="0"/>
    <w:pPr>
      <w:adjustRightInd w:val="0"/>
      <w:snapToGrid w:val="0"/>
      <w:ind w:firstLine="480"/>
      <w:jc w:val="center"/>
    </w:pPr>
    <w:rPr>
      <w:rFonts w:ascii="Arial" w:hAnsi="Arial"/>
      <w:color w:val="000000"/>
      <w:sz w:val="24"/>
    </w:rPr>
  </w:style>
  <w:style w:type="paragraph" w:customStyle="1" w:styleId="363">
    <w:name w:val="样式 标题 2标题21.1标题 21.1sect 1.2H2H21R2h2Level 2 Topic Head..."/>
    <w:basedOn w:val="3"/>
    <w:qFormat/>
    <w:uiPriority w:val="0"/>
    <w:pPr>
      <w:keepLines w:val="0"/>
      <w:tabs>
        <w:tab w:val="left" w:pos="840"/>
      </w:tabs>
      <w:topLinePunct w:val="0"/>
      <w:snapToGrid w:val="0"/>
      <w:spacing w:beforeLines="50" w:afterLines="50"/>
      <w:ind w:left="840" w:hanging="420"/>
    </w:pPr>
    <w:rPr>
      <w:rFonts w:cs="Times New Roman"/>
      <w:bCs w:val="0"/>
      <w:color w:val="000000"/>
      <w:kern w:val="2"/>
      <w:sz w:val="24"/>
      <w:szCs w:val="20"/>
    </w:rPr>
  </w:style>
  <w:style w:type="paragraph" w:customStyle="1" w:styleId="364">
    <w:name w:val="xl79"/>
    <w:basedOn w:val="1"/>
    <w:qFormat/>
    <w:uiPriority w:val="0"/>
    <w:pPr>
      <w:widowControl/>
      <w:pBdr>
        <w:top w:val="single" w:color="auto" w:sz="4" w:space="0"/>
        <w:left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ascii="Arial Narrow" w:hAnsi="Arial Narrow" w:eastAsia="Arial Narrow" w:cs="Times New Roman"/>
      <w:sz w:val="20"/>
      <w:szCs w:val="20"/>
    </w:rPr>
  </w:style>
  <w:style w:type="paragraph" w:customStyle="1" w:styleId="365">
    <w:name w:val="Char Char Char Char Char Char Char Char Char Char1"/>
    <w:basedOn w:val="1"/>
    <w:qFormat/>
    <w:uiPriority w:val="0"/>
    <w:pPr>
      <w:widowControl/>
      <w:topLinePunct w:val="0"/>
      <w:adjustRightInd/>
      <w:ind w:firstLine="0" w:firstLineChars="0"/>
      <w:jc w:val="left"/>
    </w:pPr>
    <w:rPr>
      <w:rFonts w:ascii="Times New Roman" w:eastAsia="黑体" w:cs="Times New Roman"/>
      <w:szCs w:val="20"/>
    </w:rPr>
  </w:style>
  <w:style w:type="paragraph" w:customStyle="1" w:styleId="366">
    <w:name w:val="xl50"/>
    <w:basedOn w:val="1"/>
    <w:qFormat/>
    <w:uiPriority w:val="0"/>
    <w:pPr>
      <w:widowControl/>
      <w:pBdr>
        <w:top w:val="single" w:color="auto" w:sz="4" w:space="0"/>
        <w:left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367">
    <w:name w:val="xl49"/>
    <w:basedOn w:val="1"/>
    <w:qFormat/>
    <w:uiPriority w:val="0"/>
    <w:pPr>
      <w:widowControl/>
      <w:pBdr>
        <w:left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Cs w:val="20"/>
    </w:rPr>
  </w:style>
  <w:style w:type="paragraph" w:customStyle="1" w:styleId="368">
    <w:name w:val="页脚(利能)"/>
    <w:qFormat/>
    <w:uiPriority w:val="0"/>
    <w:pPr>
      <w:jc w:val="center"/>
    </w:pPr>
    <w:rPr>
      <w:rFonts w:ascii="Arial" w:hAnsi="Arial" w:eastAsia="仿宋_GB2312" w:cs="Times New Roman"/>
      <w:sz w:val="21"/>
      <w:lang w:val="en-US" w:eastAsia="zh-CN" w:bidi="ar-SA"/>
    </w:rPr>
  </w:style>
  <w:style w:type="paragraph" w:customStyle="1" w:styleId="369">
    <w:name w:val="样式 仿宋_GB2312 小四 居中 行距: 固定值 20 磅"/>
    <w:basedOn w:val="1"/>
    <w:qFormat/>
    <w:uiPriority w:val="0"/>
    <w:pPr>
      <w:topLinePunct w:val="0"/>
      <w:adjustRightInd/>
      <w:spacing w:line="400" w:lineRule="exact"/>
      <w:ind w:firstLine="0" w:firstLineChars="0"/>
      <w:jc w:val="center"/>
    </w:pPr>
    <w:rPr>
      <w:rFonts w:ascii="Arial" w:hAnsi="Arial" w:eastAsia="仿宋_GB2312" w:cs="Times New Roman"/>
      <w:kern w:val="2"/>
      <w:szCs w:val="20"/>
    </w:rPr>
  </w:style>
  <w:style w:type="paragraph" w:customStyle="1" w:styleId="370">
    <w:name w:val="6"/>
    <w:basedOn w:val="1"/>
    <w:next w:val="25"/>
    <w:qFormat/>
    <w:uiPriority w:val="0"/>
    <w:pPr>
      <w:widowControl/>
      <w:topLinePunct w:val="0"/>
      <w:ind w:firstLine="735" w:firstLineChars="0"/>
      <w:jc w:val="left"/>
      <w:textAlignment w:val="baseline"/>
    </w:pPr>
    <w:rPr>
      <w:rFonts w:ascii="Times New Roman" w:cs="Times New Roman"/>
      <w:sz w:val="28"/>
      <w:szCs w:val="20"/>
    </w:rPr>
  </w:style>
  <w:style w:type="paragraph" w:customStyle="1" w:styleId="371">
    <w:name w:val="样式2"/>
    <w:basedOn w:val="1"/>
    <w:link w:val="610"/>
    <w:qFormat/>
    <w:uiPriority w:val="0"/>
    <w:pPr>
      <w:topLinePunct w:val="0"/>
      <w:snapToGrid w:val="0"/>
      <w:ind w:left="280" w:right="280" w:firstLine="560" w:firstLineChars="0"/>
      <w:jc w:val="left"/>
      <w:textAlignment w:val="baseline"/>
    </w:pPr>
    <w:rPr>
      <w:rFonts w:ascii="Times New Roman" w:cs="Times New Roman"/>
      <w:color w:val="000000"/>
      <w:sz w:val="28"/>
      <w:szCs w:val="20"/>
    </w:rPr>
  </w:style>
  <w:style w:type="paragraph" w:customStyle="1" w:styleId="372">
    <w:name w:val="xl44"/>
    <w:basedOn w:val="1"/>
    <w:qFormat/>
    <w:uiPriority w:val="0"/>
    <w:pPr>
      <w:widowControl/>
      <w:pBdr>
        <w:top w:val="single" w:color="auto" w:sz="4" w:space="0"/>
        <w:left w:val="single" w:color="auto" w:sz="4" w:space="0"/>
        <w:bottom w:val="single" w:color="auto" w:sz="4" w:space="0"/>
        <w:right w:val="single" w:color="auto" w:sz="4" w:space="0"/>
      </w:pBdr>
      <w:shd w:val="clear" w:color="auto" w:fill="C0C0C0"/>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373">
    <w:name w:val="正文1"/>
    <w:basedOn w:val="1"/>
    <w:next w:val="17"/>
    <w:qFormat/>
    <w:uiPriority w:val="0"/>
    <w:pPr>
      <w:topLinePunct w:val="0"/>
      <w:adjustRightInd/>
      <w:spacing w:line="240" w:lineRule="auto"/>
      <w:ind w:firstLine="0" w:firstLineChars="0"/>
      <w:jc w:val="center"/>
    </w:pPr>
    <w:rPr>
      <w:rFonts w:ascii="Times New Roman" w:cs="Times New Roman"/>
      <w:kern w:val="2"/>
      <w:sz w:val="21"/>
      <w:szCs w:val="20"/>
    </w:rPr>
  </w:style>
  <w:style w:type="paragraph" w:customStyle="1" w:styleId="374">
    <w:name w:val="8"/>
    <w:basedOn w:val="1"/>
    <w:next w:val="25"/>
    <w:qFormat/>
    <w:uiPriority w:val="0"/>
    <w:pPr>
      <w:topLinePunct w:val="0"/>
      <w:ind w:left="280" w:firstLine="560" w:firstLineChars="0"/>
      <w:jc w:val="left"/>
      <w:textAlignment w:val="baseline"/>
    </w:pPr>
    <w:rPr>
      <w:rFonts w:ascii="Times New Roman" w:cs="Times New Roman"/>
      <w:sz w:val="28"/>
      <w:szCs w:val="20"/>
    </w:rPr>
  </w:style>
  <w:style w:type="paragraph" w:customStyle="1" w:styleId="375">
    <w:name w:val="总院b2"/>
    <w:basedOn w:val="3"/>
    <w:next w:val="203"/>
    <w:qFormat/>
    <w:uiPriority w:val="0"/>
    <w:pPr>
      <w:topLinePunct w:val="0"/>
      <w:adjustRightInd/>
      <w:snapToGrid w:val="0"/>
      <w:spacing w:before="120" w:after="120" w:line="300" w:lineRule="auto"/>
    </w:pPr>
    <w:rPr>
      <w:rFonts w:ascii="宋体" w:hAnsi="宋体" w:eastAsia="黑体" w:cs="Times New Roman"/>
      <w:bCs w:val="0"/>
      <w:kern w:val="2"/>
      <w:szCs w:val="20"/>
      <w:lang w:val="ru-RU"/>
    </w:rPr>
  </w:style>
  <w:style w:type="paragraph" w:customStyle="1" w:styleId="376">
    <w:name w:val="标题 22"/>
    <w:basedOn w:val="1"/>
    <w:next w:val="1"/>
    <w:qFormat/>
    <w:uiPriority w:val="0"/>
    <w:pPr>
      <w:keepNext/>
      <w:keepLines/>
      <w:topLinePunct w:val="0"/>
      <w:adjustRightInd/>
      <w:spacing w:before="260" w:after="260" w:line="413" w:lineRule="auto"/>
      <w:ind w:firstLine="0" w:firstLineChars="0"/>
      <w:outlineLvl w:val="1"/>
    </w:pPr>
    <w:rPr>
      <w:rFonts w:hint="eastAsia" w:ascii="Cambria" w:hAnsi="Cambria" w:cs="Times New Roman"/>
      <w:b/>
      <w:kern w:val="2"/>
      <w:sz w:val="32"/>
      <w:szCs w:val="20"/>
    </w:rPr>
  </w:style>
  <w:style w:type="paragraph" w:customStyle="1" w:styleId="377">
    <w:name w:val="font9"/>
    <w:basedOn w:val="1"/>
    <w:qFormat/>
    <w:uiPriority w:val="0"/>
    <w:pPr>
      <w:widowControl/>
      <w:topLinePunct w:val="0"/>
      <w:adjustRightInd/>
      <w:spacing w:before="100" w:beforeAutospacing="1" w:after="100" w:afterAutospacing="1" w:line="240" w:lineRule="auto"/>
      <w:ind w:firstLine="0" w:firstLineChars="0"/>
      <w:jc w:val="left"/>
    </w:pPr>
    <w:rPr>
      <w:rFonts w:ascii="Times New Roman" w:eastAsia="Arial Narrow" w:cs="Times New Roman"/>
      <w:sz w:val="28"/>
      <w:szCs w:val="28"/>
    </w:rPr>
  </w:style>
  <w:style w:type="paragraph" w:customStyle="1" w:styleId="378">
    <w:name w:val="正文文字（首行缩进2字）"/>
    <w:basedOn w:val="1"/>
    <w:qFormat/>
    <w:uiPriority w:val="0"/>
    <w:pPr>
      <w:topLinePunct w:val="0"/>
      <w:adjustRightInd/>
    </w:pPr>
    <w:rPr>
      <w:rFonts w:ascii="Arial" w:hAnsi="Arial" w:cs="Times New Roman"/>
      <w:kern w:val="2"/>
      <w:position w:val="-30"/>
      <w:sz w:val="28"/>
      <w:szCs w:val="20"/>
    </w:rPr>
  </w:style>
  <w:style w:type="paragraph" w:customStyle="1" w:styleId="379">
    <w:name w:val="科宏表头和图号"/>
    <w:basedOn w:val="1"/>
    <w:next w:val="1"/>
    <w:qFormat/>
    <w:uiPriority w:val="0"/>
    <w:pPr>
      <w:topLinePunct w:val="0"/>
      <w:adjustRightInd/>
      <w:spacing w:line="240" w:lineRule="auto"/>
      <w:ind w:firstLine="0" w:firstLineChars="0"/>
      <w:jc w:val="center"/>
    </w:pPr>
    <w:rPr>
      <w:rFonts w:ascii="Arial" w:hAnsi="Arial" w:eastAsia="仿宋_GB2312" w:cs="Times New Roman"/>
      <w:b/>
      <w:kern w:val="2"/>
      <w:szCs w:val="20"/>
    </w:rPr>
  </w:style>
  <w:style w:type="paragraph" w:customStyle="1" w:styleId="380">
    <w:name w:val="xl35"/>
    <w:basedOn w:val="1"/>
    <w:qFormat/>
    <w:uiPriority w:val="0"/>
    <w:pPr>
      <w:widowControl/>
      <w:pBdr>
        <w:top w:val="single" w:color="auto" w:sz="4" w:space="0"/>
        <w:left w:val="single" w:color="auto" w:sz="4" w:space="0"/>
        <w:bottom w:val="single" w:color="auto" w:sz="4" w:space="0"/>
        <w:right w:val="single" w:color="auto" w:sz="4" w:space="0"/>
      </w:pBdr>
      <w:shd w:val="clear" w:color="auto" w:fill="FFFF00"/>
      <w:topLinePunct w:val="0"/>
      <w:adjustRightInd/>
      <w:spacing w:before="100" w:beforeAutospacing="1" w:after="100" w:afterAutospacing="1" w:line="240" w:lineRule="auto"/>
      <w:ind w:firstLine="0" w:firstLineChars="0"/>
      <w:jc w:val="center"/>
    </w:pPr>
    <w:rPr>
      <w:rFonts w:hAnsi="宋体" w:cs="Times New Roman"/>
      <w:sz w:val="20"/>
      <w:szCs w:val="20"/>
    </w:rPr>
  </w:style>
  <w:style w:type="paragraph" w:customStyle="1" w:styleId="381">
    <w:name w:val="标题2"/>
    <w:basedOn w:val="17"/>
    <w:next w:val="4"/>
    <w:qFormat/>
    <w:uiPriority w:val="0"/>
    <w:pPr>
      <w:adjustRightInd w:val="0"/>
      <w:snapToGrid w:val="0"/>
      <w:spacing w:line="360" w:lineRule="auto"/>
      <w:ind w:firstLine="560"/>
    </w:pPr>
    <w:rPr>
      <w:rFonts w:ascii="宋体" w:hAnsi="宋体"/>
      <w:snapToGrid w:val="0"/>
      <w:sz w:val="28"/>
    </w:rPr>
  </w:style>
  <w:style w:type="paragraph" w:customStyle="1" w:styleId="382">
    <w:name w:val="xl78"/>
    <w:basedOn w:val="1"/>
    <w:qFormat/>
    <w:uiPriority w:val="0"/>
    <w:pPr>
      <w:widowControl/>
      <w:pBdr>
        <w:top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ascii="Arial Narrow" w:hAnsi="Arial Narrow" w:eastAsia="Arial Narrow" w:cs="Times New Roman"/>
      <w:sz w:val="20"/>
      <w:szCs w:val="20"/>
    </w:rPr>
  </w:style>
  <w:style w:type="paragraph" w:customStyle="1" w:styleId="383">
    <w:name w:val="Char Char Char Char Char Char Char"/>
    <w:basedOn w:val="1"/>
    <w:qFormat/>
    <w:uiPriority w:val="0"/>
    <w:pPr>
      <w:topLinePunct w:val="0"/>
      <w:adjustRightInd/>
      <w:spacing w:before="300" w:after="300" w:line="560" w:lineRule="exact"/>
      <w:ind w:firstLine="0" w:firstLineChars="0"/>
    </w:pPr>
    <w:rPr>
      <w:rFonts w:ascii="Times New Roman" w:eastAsia="黑体" w:cs="Times New Roman"/>
      <w:kern w:val="2"/>
      <w:sz w:val="36"/>
      <w:szCs w:val="36"/>
    </w:rPr>
  </w:style>
  <w:style w:type="paragraph" w:customStyle="1" w:styleId="384">
    <w:name w:val="表格标题"/>
    <w:basedOn w:val="17"/>
    <w:qFormat/>
    <w:uiPriority w:val="0"/>
    <w:pPr>
      <w:adjustRightInd w:val="0"/>
      <w:snapToGrid w:val="0"/>
      <w:ind w:right="945" w:rightChars="450" w:firstLine="560"/>
    </w:pPr>
    <w:rPr>
      <w:rFonts w:ascii="Arial" w:hAnsi="Arial" w:cs="Arial"/>
      <w:sz w:val="28"/>
    </w:rPr>
  </w:style>
  <w:style w:type="paragraph" w:customStyle="1" w:styleId="385">
    <w:name w:val="样式16"/>
    <w:basedOn w:val="263"/>
    <w:qFormat/>
    <w:uiPriority w:val="0"/>
  </w:style>
  <w:style w:type="paragraph" w:customStyle="1" w:styleId="386">
    <w:name w:val="xl73"/>
    <w:basedOn w:val="1"/>
    <w:qFormat/>
    <w:uiPriority w:val="0"/>
    <w:pPr>
      <w:widowControl/>
      <w:pBdr>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387">
    <w:name w:val="样式 标题 2 + 行距: 多倍行距 1.4 字行"/>
    <w:basedOn w:val="3"/>
    <w:qFormat/>
    <w:uiPriority w:val="0"/>
    <w:pPr>
      <w:topLinePunct w:val="0"/>
      <w:snapToGrid w:val="0"/>
      <w:spacing w:before="0" w:afterLines="50"/>
      <w:ind w:left="100" w:right="100"/>
      <w:jc w:val="center"/>
      <w:textAlignment w:val="baseline"/>
    </w:pPr>
    <w:rPr>
      <w:rFonts w:ascii="宋体" w:hAnsi="宋体" w:cs="Times New Roman"/>
      <w:b w:val="0"/>
      <w:bCs w:val="0"/>
      <w:szCs w:val="20"/>
    </w:rPr>
  </w:style>
  <w:style w:type="paragraph" w:customStyle="1" w:styleId="388">
    <w:name w:val="正文（利能）"/>
    <w:qFormat/>
    <w:uiPriority w:val="0"/>
    <w:pPr>
      <w:jc w:val="both"/>
    </w:pPr>
    <w:rPr>
      <w:rFonts w:ascii="Arial" w:hAnsi="Arial" w:eastAsia="仿宋_GB2312" w:cs="Times New Roman"/>
      <w:sz w:val="21"/>
      <w:lang w:val="en-US" w:eastAsia="zh-CN" w:bidi="ar-SA"/>
    </w:rPr>
  </w:style>
  <w:style w:type="paragraph" w:customStyle="1" w:styleId="389">
    <w:name w:val="我的样式（表格内容）"/>
    <w:basedOn w:val="1"/>
    <w:next w:val="1"/>
    <w:qFormat/>
    <w:uiPriority w:val="0"/>
    <w:pPr>
      <w:topLinePunct w:val="0"/>
      <w:adjustRightInd/>
      <w:ind w:firstLine="0" w:firstLineChars="0"/>
      <w:jc w:val="center"/>
    </w:pPr>
    <w:rPr>
      <w:rFonts w:ascii="Times New Roman" w:cs="Times New Roman"/>
      <w:kern w:val="2"/>
      <w:sz w:val="21"/>
      <w:szCs w:val="20"/>
    </w:rPr>
  </w:style>
  <w:style w:type="paragraph" w:customStyle="1" w:styleId="390">
    <w:name w:val="xl77"/>
    <w:basedOn w:val="1"/>
    <w:qFormat/>
    <w:uiPriority w:val="0"/>
    <w:pPr>
      <w:widowControl/>
      <w:pBdr>
        <w:top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ascii="Arial Narrow" w:hAnsi="Arial Narrow" w:eastAsia="Arial Narrow" w:cs="Times New Roman"/>
      <w:sz w:val="20"/>
      <w:szCs w:val="20"/>
    </w:rPr>
  </w:style>
  <w:style w:type="paragraph" w:customStyle="1" w:styleId="391">
    <w:name w:val="正文（首行缩进两字）"/>
    <w:basedOn w:val="1"/>
    <w:qFormat/>
    <w:uiPriority w:val="0"/>
    <w:pPr>
      <w:topLinePunct w:val="0"/>
      <w:autoSpaceDE w:val="0"/>
      <w:autoSpaceDN w:val="0"/>
      <w:snapToGrid w:val="0"/>
      <w:ind w:firstLine="560"/>
    </w:pPr>
    <w:rPr>
      <w:rFonts w:ascii="Arial" w:hAnsi="Arial" w:eastAsia="仿宋_GB2312" w:cs="Arial"/>
      <w:bCs/>
      <w:color w:val="000000"/>
      <w:kern w:val="11"/>
      <w:sz w:val="28"/>
      <w:szCs w:val="28"/>
    </w:rPr>
  </w:style>
  <w:style w:type="paragraph" w:customStyle="1" w:styleId="392">
    <w:name w:val="样式 标题 4 + 段后：0磅 行距1.5倍行距 宋体"/>
    <w:basedOn w:val="393"/>
    <w:qFormat/>
    <w:uiPriority w:val="0"/>
    <w:pPr>
      <w:keepNext/>
      <w:keepLines/>
      <w:tabs>
        <w:tab w:val="left" w:pos="840"/>
        <w:tab w:val="left" w:pos="1400"/>
        <w:tab w:val="left" w:pos="3420"/>
      </w:tabs>
      <w:spacing w:before="260" w:after="260" w:line="413" w:lineRule="auto"/>
      <w:ind w:left="3420"/>
      <w:jc w:val="center"/>
      <w:outlineLvl w:val="1"/>
    </w:pPr>
    <w:rPr>
      <w:b/>
      <w:sz w:val="24"/>
      <w:szCs w:val="20"/>
    </w:rPr>
  </w:style>
  <w:style w:type="paragraph" w:customStyle="1" w:styleId="393">
    <w:name w:val="样式 标题 2 + 宋体 居中"/>
    <w:basedOn w:val="1"/>
    <w:qFormat/>
    <w:uiPriority w:val="0"/>
    <w:pPr>
      <w:tabs>
        <w:tab w:val="left" w:pos="840"/>
      </w:tabs>
      <w:topLinePunct w:val="0"/>
      <w:adjustRightInd/>
      <w:spacing w:line="240" w:lineRule="auto"/>
      <w:ind w:left="840" w:hanging="420" w:firstLineChars="0"/>
    </w:pPr>
    <w:rPr>
      <w:rFonts w:ascii="Times New Roman" w:cs="Times New Roman"/>
      <w:kern w:val="2"/>
      <w:sz w:val="21"/>
      <w:szCs w:val="21"/>
    </w:rPr>
  </w:style>
  <w:style w:type="paragraph" w:customStyle="1" w:styleId="394">
    <w:name w:val="Char Char Char1"/>
    <w:basedOn w:val="1"/>
    <w:qFormat/>
    <w:uiPriority w:val="0"/>
    <w:pPr>
      <w:topLinePunct w:val="0"/>
      <w:adjustRightInd/>
      <w:ind w:firstLine="0" w:firstLineChars="0"/>
    </w:pPr>
    <w:rPr>
      <w:rFonts w:ascii="Times New Roman" w:cs="Times New Roman"/>
      <w:kern w:val="2"/>
    </w:rPr>
  </w:style>
  <w:style w:type="paragraph" w:customStyle="1" w:styleId="395">
    <w:name w:val="xl67"/>
    <w:basedOn w:val="1"/>
    <w:qFormat/>
    <w:uiPriority w:val="0"/>
    <w:pPr>
      <w:widowControl/>
      <w:pBdr>
        <w:top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pPr>
    <w:rPr>
      <w:rFonts w:hAnsi="宋体" w:cs="Times New Roman"/>
      <w:sz w:val="20"/>
      <w:szCs w:val="20"/>
    </w:rPr>
  </w:style>
  <w:style w:type="paragraph" w:customStyle="1" w:styleId="396">
    <w:name w:val="总院b1"/>
    <w:basedOn w:val="2"/>
    <w:next w:val="375"/>
    <w:qFormat/>
    <w:uiPriority w:val="0"/>
    <w:pPr>
      <w:topLinePunct w:val="0"/>
      <w:adjustRightInd/>
      <w:snapToGrid w:val="0"/>
      <w:spacing w:before="0" w:beforeAutospacing="0" w:after="240" w:afterAutospacing="0" w:line="300" w:lineRule="auto"/>
    </w:pPr>
    <w:rPr>
      <w:rFonts w:ascii="黑体" w:hAnsi="Arial Narrow" w:eastAsia="黑体"/>
      <w:b w:val="0"/>
      <w:sz w:val="28"/>
      <w:szCs w:val="20"/>
    </w:rPr>
  </w:style>
  <w:style w:type="paragraph" w:customStyle="1" w:styleId="397">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FF00"/>
      <w:topLinePunct w:val="0"/>
      <w:adjustRightInd/>
      <w:spacing w:before="100" w:beforeAutospacing="1" w:after="100" w:afterAutospacing="1" w:line="240" w:lineRule="auto"/>
      <w:ind w:firstLine="0" w:firstLineChars="0"/>
      <w:jc w:val="center"/>
    </w:pPr>
    <w:rPr>
      <w:rFonts w:hAnsi="宋体" w:cs="Times New Roman"/>
      <w:sz w:val="20"/>
      <w:szCs w:val="20"/>
    </w:rPr>
  </w:style>
  <w:style w:type="paragraph" w:customStyle="1" w:styleId="398">
    <w:name w:val="INE Normal"/>
    <w:basedOn w:val="1"/>
    <w:qFormat/>
    <w:uiPriority w:val="0"/>
    <w:pPr>
      <w:widowControl/>
      <w:tabs>
        <w:tab w:val="left" w:pos="6445"/>
      </w:tabs>
      <w:topLinePunct w:val="0"/>
      <w:adjustRightInd/>
      <w:spacing w:line="240" w:lineRule="auto"/>
      <w:ind w:left="1077" w:firstLine="0" w:firstLineChars="0"/>
    </w:pPr>
    <w:rPr>
      <w:rFonts w:ascii="Arial" w:hAnsi="Arial" w:cs="Times New Roman"/>
      <w:sz w:val="22"/>
      <w:szCs w:val="20"/>
    </w:rPr>
  </w:style>
  <w:style w:type="paragraph" w:customStyle="1" w:styleId="399">
    <w:name w:val="样式 AA正文首行缩进 2 + 首行缩进:  2 字符 Char Char Char Char Char Char Char Char Char"/>
    <w:basedOn w:val="1"/>
    <w:qFormat/>
    <w:uiPriority w:val="0"/>
    <w:pPr>
      <w:topLinePunct w:val="0"/>
      <w:adjustRightInd/>
      <w:spacing w:after="120" w:line="240" w:lineRule="auto"/>
      <w:ind w:firstLine="560"/>
    </w:pPr>
    <w:rPr>
      <w:rFonts w:ascii="Times New Roman" w:eastAsia="仿宋_GB2312" w:cs="Times New Roman"/>
      <w:kern w:val="28"/>
      <w:sz w:val="28"/>
      <w:szCs w:val="20"/>
    </w:rPr>
  </w:style>
  <w:style w:type="paragraph" w:customStyle="1" w:styleId="400">
    <w:name w:val="12"/>
    <w:basedOn w:val="1"/>
    <w:next w:val="31"/>
    <w:qFormat/>
    <w:uiPriority w:val="0"/>
    <w:pPr>
      <w:topLinePunct w:val="0"/>
      <w:snapToGrid w:val="0"/>
      <w:spacing w:line="580" w:lineRule="exact"/>
      <w:ind w:firstLine="510" w:firstLineChars="0"/>
    </w:pPr>
    <w:rPr>
      <w:rFonts w:hAnsi="Courier New" w:cs="Times New Roman"/>
      <w:kern w:val="2"/>
      <w:sz w:val="28"/>
      <w:szCs w:val="20"/>
    </w:rPr>
  </w:style>
  <w:style w:type="paragraph" w:customStyle="1" w:styleId="401">
    <w:name w:val="缩进正文"/>
    <w:basedOn w:val="25"/>
    <w:qFormat/>
    <w:uiPriority w:val="0"/>
    <w:pPr>
      <w:adjustRightInd w:val="0"/>
      <w:snapToGrid w:val="0"/>
      <w:spacing w:after="0" w:line="300" w:lineRule="auto"/>
      <w:ind w:left="0" w:leftChars="0" w:firstLine="200"/>
    </w:pPr>
    <w:rPr>
      <w:rFonts w:ascii="宋体"/>
      <w:sz w:val="28"/>
      <w:szCs w:val="20"/>
    </w:rPr>
  </w:style>
  <w:style w:type="paragraph" w:customStyle="1" w:styleId="402">
    <w:name w:val="样式 样式 标题 3 + 段前: 自动 段后: 自动 + 段前: 0.5 行 段后: 0.5 行"/>
    <w:basedOn w:val="1"/>
    <w:qFormat/>
    <w:uiPriority w:val="0"/>
    <w:pPr>
      <w:keepNext/>
      <w:keepLines/>
      <w:topLinePunct w:val="0"/>
      <w:adjustRightInd/>
      <w:spacing w:beforeLines="50" w:afterLines="50" w:line="240" w:lineRule="auto"/>
      <w:ind w:firstLine="0" w:firstLineChars="0"/>
      <w:outlineLvl w:val="2"/>
    </w:pPr>
    <w:rPr>
      <w:rFonts w:ascii="Times New Roman" w:cs="Times New Roman"/>
      <w:b/>
      <w:kern w:val="2"/>
      <w:szCs w:val="20"/>
    </w:rPr>
  </w:style>
  <w:style w:type="paragraph" w:customStyle="1" w:styleId="403">
    <w:name w:val="font11"/>
    <w:basedOn w:val="1"/>
    <w:qFormat/>
    <w:uiPriority w:val="0"/>
    <w:pPr>
      <w:widowControl/>
      <w:topLinePunct w:val="0"/>
      <w:adjustRightInd/>
      <w:spacing w:before="100" w:beforeAutospacing="1" w:after="100" w:afterAutospacing="1" w:line="240" w:lineRule="auto"/>
      <w:ind w:firstLine="0" w:firstLineChars="0"/>
      <w:jc w:val="left"/>
    </w:pPr>
    <w:rPr>
      <w:rFonts w:hint="eastAsia" w:hAnsi="宋体" w:cs="Times New Roman"/>
      <w:color w:val="000000"/>
      <w:sz w:val="16"/>
      <w:szCs w:val="20"/>
    </w:rPr>
  </w:style>
  <w:style w:type="paragraph" w:customStyle="1" w:styleId="404">
    <w:name w:val="2"/>
    <w:basedOn w:val="1"/>
    <w:next w:val="28"/>
    <w:qFormat/>
    <w:uiPriority w:val="0"/>
    <w:pPr>
      <w:topLinePunct w:val="0"/>
      <w:snapToGrid w:val="0"/>
      <w:spacing w:line="600" w:lineRule="exact"/>
      <w:ind w:left="329" w:right="284" w:firstLine="515" w:firstLineChars="0"/>
    </w:pPr>
    <w:rPr>
      <w:rFonts w:ascii="Arial" w:hAnsi="Arial" w:eastAsia="仿宋_GB2312" w:cs="Times New Roman"/>
      <w:kern w:val="2"/>
      <w:sz w:val="28"/>
      <w:szCs w:val="20"/>
    </w:rPr>
  </w:style>
  <w:style w:type="paragraph" w:customStyle="1" w:styleId="405">
    <w:name w:val="内容1"/>
    <w:basedOn w:val="1"/>
    <w:qFormat/>
    <w:uiPriority w:val="0"/>
    <w:pPr>
      <w:topLinePunct w:val="0"/>
      <w:adjustRightInd/>
      <w:spacing w:line="240" w:lineRule="auto"/>
      <w:ind w:left="100" w:leftChars="100" w:right="100" w:rightChars="100"/>
    </w:pPr>
    <w:rPr>
      <w:rFonts w:ascii="Times New Roman" w:eastAsia="仿宋_GB2312" w:cs="Times New Roman"/>
      <w:kern w:val="2"/>
      <w:sz w:val="28"/>
      <w:szCs w:val="20"/>
    </w:rPr>
  </w:style>
  <w:style w:type="paragraph" w:customStyle="1" w:styleId="406">
    <w:name w:val="样式 行距: 1.5 倍行距"/>
    <w:basedOn w:val="1"/>
    <w:qFormat/>
    <w:uiPriority w:val="0"/>
    <w:pPr>
      <w:topLinePunct w:val="0"/>
      <w:adjustRightInd/>
      <w:spacing w:line="240" w:lineRule="auto"/>
      <w:ind w:firstLine="560"/>
    </w:pPr>
    <w:rPr>
      <w:rFonts w:ascii="Arial" w:hAnsi="Arial" w:eastAsia="仿宋_GB2312"/>
      <w:kern w:val="2"/>
      <w:sz w:val="28"/>
      <w:szCs w:val="28"/>
    </w:rPr>
  </w:style>
  <w:style w:type="paragraph" w:customStyle="1" w:styleId="407">
    <w:name w:val="xl30"/>
    <w:basedOn w:val="1"/>
    <w:qFormat/>
    <w:uiPriority w:val="0"/>
    <w:pPr>
      <w:widowControl/>
      <w:pBdr>
        <w:left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rPr>
  </w:style>
  <w:style w:type="paragraph" w:customStyle="1" w:styleId="408">
    <w:name w:val="表头2"/>
    <w:basedOn w:val="1"/>
    <w:qFormat/>
    <w:uiPriority w:val="0"/>
    <w:pPr>
      <w:widowControl/>
      <w:tabs>
        <w:tab w:val="left" w:pos="284"/>
        <w:tab w:val="center" w:pos="6237"/>
      </w:tabs>
      <w:topLinePunct w:val="0"/>
      <w:adjustRightInd/>
      <w:spacing w:before="240" w:after="240" w:line="240" w:lineRule="auto"/>
      <w:ind w:firstLine="0" w:firstLineChars="0"/>
      <w:jc w:val="center"/>
    </w:pPr>
    <w:rPr>
      <w:rFonts w:ascii="黑体" w:eastAsia="黑体" w:cs="Times New Roman"/>
      <w:szCs w:val="20"/>
    </w:rPr>
  </w:style>
  <w:style w:type="paragraph" w:customStyle="1" w:styleId="409">
    <w:name w:val="9"/>
    <w:basedOn w:val="1"/>
    <w:next w:val="17"/>
    <w:qFormat/>
    <w:uiPriority w:val="0"/>
    <w:pPr>
      <w:topLinePunct w:val="0"/>
      <w:adjustRightInd/>
      <w:spacing w:line="240" w:lineRule="auto"/>
      <w:ind w:firstLine="420" w:firstLineChars="0"/>
    </w:pPr>
    <w:rPr>
      <w:rFonts w:ascii="Times New Roman" w:cs="Times New Roman"/>
      <w:kern w:val="2"/>
      <w:sz w:val="21"/>
      <w:szCs w:val="20"/>
    </w:rPr>
  </w:style>
  <w:style w:type="paragraph" w:customStyle="1" w:styleId="410">
    <w:name w:val="xl22"/>
    <w:basedOn w:val="1"/>
    <w:qFormat/>
    <w:uiPriority w:val="0"/>
    <w:pPr>
      <w:widowControl/>
      <w:topLinePunct w:val="0"/>
      <w:adjustRightInd/>
      <w:spacing w:before="100" w:beforeAutospacing="1" w:after="100" w:afterAutospacing="1" w:line="240" w:lineRule="auto"/>
      <w:ind w:firstLine="0" w:firstLineChars="0"/>
      <w:jc w:val="center"/>
    </w:pPr>
    <w:rPr>
      <w:rFonts w:cs="Times New Roman"/>
      <w:szCs w:val="20"/>
    </w:rPr>
  </w:style>
  <w:style w:type="paragraph" w:customStyle="1" w:styleId="411">
    <w:name w:val="样式14"/>
    <w:basedOn w:val="336"/>
    <w:qFormat/>
    <w:uiPriority w:val="0"/>
  </w:style>
  <w:style w:type="paragraph" w:customStyle="1" w:styleId="412">
    <w:name w:val="TESTO"/>
    <w:basedOn w:val="1"/>
    <w:qFormat/>
    <w:uiPriority w:val="0"/>
    <w:pPr>
      <w:widowControl/>
      <w:tabs>
        <w:tab w:val="left" w:pos="1418"/>
        <w:tab w:val="left" w:pos="1701"/>
        <w:tab w:val="left" w:pos="2424"/>
        <w:tab w:val="left" w:pos="3024"/>
        <w:tab w:val="left" w:pos="3624"/>
        <w:tab w:val="left" w:pos="4224"/>
        <w:tab w:val="left" w:pos="4824"/>
        <w:tab w:val="left" w:pos="5424"/>
        <w:tab w:val="left" w:pos="6024"/>
        <w:tab w:val="left" w:pos="6624"/>
        <w:tab w:val="left" w:pos="7224"/>
      </w:tabs>
      <w:overflowPunct w:val="0"/>
      <w:topLinePunct w:val="0"/>
      <w:autoSpaceDE w:val="0"/>
      <w:autoSpaceDN w:val="0"/>
      <w:spacing w:line="240" w:lineRule="atLeast"/>
      <w:ind w:left="1247" w:right="851" w:hanging="851" w:firstLineChars="0"/>
      <w:textAlignment w:val="baseline"/>
    </w:pPr>
    <w:rPr>
      <w:rFonts w:ascii="Arial" w:hAnsi="Arial" w:cs="Times New Roman"/>
      <w:sz w:val="22"/>
      <w:szCs w:val="20"/>
      <w:lang w:val="en-GB"/>
    </w:rPr>
  </w:style>
  <w:style w:type="paragraph" w:customStyle="1" w:styleId="413">
    <w:name w:val="Char2 Char Char Char Char Char Char"/>
    <w:basedOn w:val="1"/>
    <w:qFormat/>
    <w:uiPriority w:val="0"/>
    <w:pPr>
      <w:topLinePunct w:val="0"/>
      <w:adjustRightInd/>
      <w:spacing w:line="240" w:lineRule="auto"/>
      <w:ind w:firstLine="0" w:firstLineChars="0"/>
    </w:pPr>
    <w:rPr>
      <w:rFonts w:ascii="Times New Roman" w:cs="Times New Roman"/>
      <w:kern w:val="2"/>
      <w:sz w:val="21"/>
      <w:szCs w:val="20"/>
    </w:rPr>
  </w:style>
  <w:style w:type="paragraph" w:customStyle="1" w:styleId="414">
    <w:name w:val="xl25"/>
    <w:basedOn w:val="1"/>
    <w:qFormat/>
    <w:uiPriority w:val="0"/>
    <w:pPr>
      <w:widowControl/>
      <w:pBdr>
        <w:top w:val="single" w:color="auto" w:sz="4" w:space="0"/>
        <w:left w:val="single" w:color="auto" w:sz="4" w:space="0"/>
      </w:pBdr>
      <w:topLinePunct w:val="0"/>
      <w:adjustRightInd/>
      <w:spacing w:before="100" w:beforeAutospacing="1" w:after="100" w:afterAutospacing="1" w:line="240" w:lineRule="auto"/>
      <w:ind w:firstLine="0" w:firstLineChars="0"/>
      <w:jc w:val="center"/>
    </w:pPr>
    <w:rPr>
      <w:rFonts w:hAnsi="宋体" w:cs="Times New Roman"/>
      <w:sz w:val="20"/>
      <w:szCs w:val="20"/>
    </w:rPr>
  </w:style>
  <w:style w:type="paragraph" w:customStyle="1" w:styleId="415">
    <w:name w:val="Char Char Char Char"/>
    <w:basedOn w:val="1"/>
    <w:qFormat/>
    <w:uiPriority w:val="0"/>
    <w:pPr>
      <w:topLinePunct w:val="0"/>
      <w:adjustRightInd/>
      <w:spacing w:line="240" w:lineRule="auto"/>
      <w:ind w:firstLine="0" w:firstLineChars="0"/>
    </w:pPr>
    <w:rPr>
      <w:rFonts w:ascii="Times New Roman" w:cs="Times New Roman"/>
      <w:kern w:val="2"/>
      <w:sz w:val="21"/>
    </w:rPr>
  </w:style>
  <w:style w:type="paragraph" w:customStyle="1" w:styleId="416">
    <w:name w:val="a0"/>
    <w:basedOn w:val="1"/>
    <w:qFormat/>
    <w:uiPriority w:val="0"/>
    <w:pPr>
      <w:widowControl/>
      <w:topLinePunct w:val="0"/>
      <w:autoSpaceDE w:val="0"/>
      <w:autoSpaceDN w:val="0"/>
      <w:adjustRightInd/>
      <w:spacing w:line="480" w:lineRule="atLeast"/>
      <w:ind w:firstLine="0" w:firstLineChars="0"/>
    </w:pPr>
    <w:rPr>
      <w:rFonts w:ascii="Times New Roman" w:cs="Times New Roman"/>
      <w:spacing w:val="-12"/>
      <w:sz w:val="21"/>
      <w:szCs w:val="20"/>
    </w:rPr>
  </w:style>
  <w:style w:type="paragraph" w:customStyle="1" w:styleId="417">
    <w:name w:val="报告正文"/>
    <w:basedOn w:val="1"/>
    <w:qFormat/>
    <w:uiPriority w:val="0"/>
    <w:pPr>
      <w:topLinePunct w:val="0"/>
      <w:snapToGrid w:val="0"/>
      <w:spacing w:line="300" w:lineRule="auto"/>
      <w:ind w:firstLine="0" w:firstLineChars="0"/>
    </w:pPr>
    <w:rPr>
      <w:rFonts w:cs="Times New Roman"/>
      <w:kern w:val="2"/>
      <w:sz w:val="28"/>
      <w:szCs w:val="20"/>
    </w:rPr>
  </w:style>
  <w:style w:type="paragraph" w:customStyle="1" w:styleId="418">
    <w:name w:val="Char2 Char Char Char Char Char Char1"/>
    <w:basedOn w:val="1"/>
    <w:qFormat/>
    <w:uiPriority w:val="0"/>
    <w:pPr>
      <w:topLinePunct w:val="0"/>
      <w:adjustRightInd/>
      <w:spacing w:line="240" w:lineRule="auto"/>
      <w:ind w:firstLine="0" w:firstLineChars="0"/>
    </w:pPr>
    <w:rPr>
      <w:rFonts w:ascii="Times New Roman" w:cs="Times New Roman"/>
      <w:kern w:val="2"/>
      <w:sz w:val="21"/>
      <w:szCs w:val="20"/>
    </w:rPr>
  </w:style>
  <w:style w:type="paragraph" w:customStyle="1" w:styleId="419">
    <w:name w:val="xl71"/>
    <w:basedOn w:val="1"/>
    <w:qFormat/>
    <w:uiPriority w:val="0"/>
    <w:pPr>
      <w:widowControl/>
      <w:pBdr>
        <w:left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420">
    <w:name w:val="ohz正文"/>
    <w:basedOn w:val="1"/>
    <w:qFormat/>
    <w:uiPriority w:val="0"/>
    <w:pPr>
      <w:topLinePunct w:val="0"/>
      <w:adjustRightInd/>
    </w:pPr>
    <w:rPr>
      <w:rFonts w:ascii="Times New Roman" w:cs="Times New Roman"/>
      <w:kern w:val="2"/>
      <w:szCs w:val="22"/>
    </w:rPr>
  </w:style>
  <w:style w:type="paragraph" w:customStyle="1" w:styleId="421">
    <w:name w:val="xl70"/>
    <w:basedOn w:val="1"/>
    <w:qFormat/>
    <w:uiPriority w:val="0"/>
    <w:pPr>
      <w:widowControl/>
      <w:pBdr>
        <w:left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422">
    <w:name w:val="1.1"/>
    <w:basedOn w:val="3"/>
    <w:qFormat/>
    <w:uiPriority w:val="0"/>
    <w:pPr>
      <w:topLinePunct w:val="0"/>
      <w:adjustRightInd/>
      <w:spacing w:before="0"/>
      <w:jc w:val="center"/>
    </w:pPr>
    <w:rPr>
      <w:rFonts w:ascii="Arial" w:hAnsi="Arial" w:eastAsia="仿宋_GB2312" w:cs="Times New Roman"/>
      <w:bCs w:val="0"/>
      <w:sz w:val="30"/>
      <w:szCs w:val="20"/>
    </w:rPr>
  </w:style>
  <w:style w:type="paragraph" w:customStyle="1" w:styleId="423">
    <w:name w:val="样式 正文首缩 + 首行缩进:  2 字符"/>
    <w:basedOn w:val="1"/>
    <w:qFormat/>
    <w:uiPriority w:val="0"/>
    <w:pPr>
      <w:topLinePunct w:val="0"/>
      <w:ind w:firstLine="560"/>
    </w:pPr>
    <w:rPr>
      <w:rFonts w:ascii="Arial" w:hAnsi="Arial" w:eastAsia="仿宋_GB2312" w:cs="Times New Roman"/>
      <w:kern w:val="2"/>
      <w:sz w:val="28"/>
      <w:szCs w:val="20"/>
    </w:rPr>
  </w:style>
  <w:style w:type="paragraph" w:customStyle="1" w:styleId="424">
    <w:name w:val="a1"/>
    <w:basedOn w:val="1"/>
    <w:qFormat/>
    <w:uiPriority w:val="0"/>
    <w:pPr>
      <w:widowControl/>
      <w:topLinePunct w:val="0"/>
      <w:adjustRightInd/>
      <w:snapToGrid w:val="0"/>
      <w:spacing w:line="240" w:lineRule="auto"/>
      <w:ind w:firstLine="0" w:firstLineChars="0"/>
      <w:jc w:val="center"/>
    </w:pPr>
    <w:rPr>
      <w:rFonts w:ascii="Times New Roman" w:cs="Times New Roman"/>
      <w:spacing w:val="-16"/>
      <w:sz w:val="21"/>
      <w:szCs w:val="20"/>
    </w:rPr>
  </w:style>
  <w:style w:type="paragraph" w:customStyle="1" w:styleId="425">
    <w:name w:val="批注"/>
    <w:basedOn w:val="1"/>
    <w:qFormat/>
    <w:uiPriority w:val="0"/>
    <w:pPr>
      <w:topLinePunct w:val="0"/>
      <w:adjustRightInd/>
      <w:spacing w:line="300" w:lineRule="auto"/>
    </w:pPr>
    <w:rPr>
      <w:rFonts w:ascii="Times New Roman" w:cs="Times New Roman"/>
      <w:kern w:val="2"/>
      <w:szCs w:val="20"/>
    </w:rPr>
  </w:style>
  <w:style w:type="paragraph" w:customStyle="1" w:styleId="426">
    <w:name w:val="xl36"/>
    <w:basedOn w:val="1"/>
    <w:qFormat/>
    <w:uiPriority w:val="0"/>
    <w:pPr>
      <w:widowControl/>
      <w:pBdr>
        <w:top w:val="single" w:color="auto" w:sz="4" w:space="0"/>
        <w:left w:val="single" w:color="auto" w:sz="4" w:space="0"/>
        <w:bottom w:val="single" w:color="auto" w:sz="4" w:space="0"/>
        <w:right w:val="single" w:color="auto" w:sz="4" w:space="0"/>
      </w:pBdr>
      <w:shd w:val="clear" w:color="auto" w:fill="FFFF00"/>
      <w:topLinePunct w:val="0"/>
      <w:adjustRightInd/>
      <w:spacing w:before="100" w:beforeAutospacing="1" w:after="100" w:afterAutospacing="1" w:line="240" w:lineRule="auto"/>
      <w:ind w:firstLine="0" w:firstLineChars="0"/>
      <w:jc w:val="center"/>
    </w:pPr>
    <w:rPr>
      <w:rFonts w:hAnsi="宋体" w:cs="Times New Roman"/>
      <w:color w:val="3333CC"/>
      <w:sz w:val="20"/>
      <w:szCs w:val="20"/>
    </w:rPr>
  </w:style>
  <w:style w:type="paragraph" w:customStyle="1" w:styleId="427">
    <w:name w:val="Char Char Char Char2"/>
    <w:basedOn w:val="1"/>
    <w:qFormat/>
    <w:uiPriority w:val="0"/>
    <w:pPr>
      <w:topLinePunct w:val="0"/>
      <w:adjustRightInd/>
      <w:spacing w:line="240" w:lineRule="auto"/>
      <w:ind w:firstLine="0" w:firstLineChars="0"/>
    </w:pPr>
    <w:rPr>
      <w:rFonts w:ascii="Times New Roman" w:cs="Times New Roman"/>
      <w:kern w:val="2"/>
      <w:sz w:val="21"/>
      <w:szCs w:val="20"/>
    </w:rPr>
  </w:style>
  <w:style w:type="paragraph" w:customStyle="1" w:styleId="428">
    <w:name w:val="xl42"/>
    <w:basedOn w:val="1"/>
    <w:qFormat/>
    <w:uiPriority w:val="0"/>
    <w:pPr>
      <w:widowControl/>
      <w:pBdr>
        <w:top w:val="single" w:color="auto" w:sz="4" w:space="0"/>
        <w:left w:val="single" w:color="auto" w:sz="4" w:space="0"/>
        <w:bottom w:val="single" w:color="auto" w:sz="4" w:space="0"/>
        <w:right w:val="single" w:color="auto" w:sz="4" w:space="0"/>
      </w:pBdr>
      <w:shd w:val="clear" w:color="auto" w:fill="C0C0C0"/>
      <w:topLinePunct w:val="0"/>
      <w:adjustRightInd/>
      <w:spacing w:before="100" w:beforeAutospacing="1" w:after="100" w:afterAutospacing="1" w:line="240" w:lineRule="auto"/>
      <w:ind w:firstLine="0" w:firstLineChars="0"/>
      <w:jc w:val="center"/>
      <w:textAlignment w:val="center"/>
    </w:pPr>
    <w:rPr>
      <w:rFonts w:hAnsi="宋体" w:cs="Times New Roman"/>
      <w:color w:val="3333CC"/>
      <w:sz w:val="20"/>
      <w:szCs w:val="20"/>
    </w:rPr>
  </w:style>
  <w:style w:type="paragraph" w:customStyle="1" w:styleId="429">
    <w:name w:val="篇号"/>
    <w:basedOn w:val="1"/>
    <w:qFormat/>
    <w:uiPriority w:val="0"/>
    <w:pPr>
      <w:tabs>
        <w:tab w:val="left" w:pos="1729"/>
        <w:tab w:val="left" w:pos="1882"/>
      </w:tabs>
      <w:topLinePunct w:val="0"/>
      <w:snapToGrid w:val="0"/>
      <w:spacing w:line="300" w:lineRule="auto"/>
      <w:ind w:firstLine="567" w:firstLineChars="0"/>
      <w:jc w:val="center"/>
    </w:pPr>
    <w:rPr>
      <w:rFonts w:ascii="Times New Roman" w:eastAsia="黑体" w:cs="Times New Roman"/>
      <w:kern w:val="2"/>
      <w:sz w:val="32"/>
      <w:szCs w:val="20"/>
    </w:rPr>
  </w:style>
  <w:style w:type="paragraph" w:customStyle="1" w:styleId="430">
    <w:name w:val="font8"/>
    <w:basedOn w:val="1"/>
    <w:qFormat/>
    <w:uiPriority w:val="0"/>
    <w:pPr>
      <w:widowControl/>
      <w:topLinePunct w:val="0"/>
      <w:adjustRightInd/>
      <w:spacing w:before="100" w:beforeAutospacing="1" w:after="100" w:afterAutospacing="1" w:line="240" w:lineRule="auto"/>
      <w:ind w:firstLine="0" w:firstLineChars="0"/>
      <w:jc w:val="left"/>
    </w:pPr>
    <w:rPr>
      <w:rFonts w:ascii="Times New Roman" w:cs="Times New Roman"/>
      <w:color w:val="FF0000"/>
      <w:sz w:val="20"/>
      <w:szCs w:val="20"/>
    </w:rPr>
  </w:style>
  <w:style w:type="paragraph" w:customStyle="1" w:styleId="431">
    <w:name w:val="样式 行距: 1.5 倍行距 左  0.8 字符 首行缩进:  2 字符"/>
    <w:basedOn w:val="1"/>
    <w:qFormat/>
    <w:uiPriority w:val="0"/>
    <w:pPr>
      <w:topLinePunct w:val="0"/>
      <w:snapToGrid w:val="0"/>
      <w:ind w:firstLine="560"/>
    </w:pPr>
    <w:rPr>
      <w:rFonts w:ascii="Times New Roman" w:eastAsia="仿宋_GB2312" w:cs="Times New Roman"/>
      <w:snapToGrid w:val="0"/>
      <w:sz w:val="28"/>
      <w:szCs w:val="20"/>
    </w:rPr>
  </w:style>
  <w:style w:type="paragraph" w:customStyle="1" w:styleId="432">
    <w:name w:val="样式 标题 3 + 非加粗"/>
    <w:basedOn w:val="4"/>
    <w:qFormat/>
    <w:uiPriority w:val="0"/>
    <w:pPr>
      <w:keepNext w:val="0"/>
      <w:keepLines w:val="0"/>
      <w:tabs>
        <w:tab w:val="left" w:pos="1470"/>
      </w:tabs>
      <w:topLinePunct w:val="0"/>
      <w:adjustRightInd/>
    </w:pPr>
    <w:rPr>
      <w:rFonts w:ascii="仿宋_GB2312" w:hAnsi="Arial" w:eastAsia="仿宋_GB2312"/>
      <w:b w:val="0"/>
      <w:kern w:val="2"/>
      <w:sz w:val="28"/>
      <w:szCs w:val="28"/>
    </w:rPr>
  </w:style>
  <w:style w:type="paragraph" w:customStyle="1" w:styleId="433">
    <w:name w:val="xl60"/>
    <w:basedOn w:val="1"/>
    <w:qFormat/>
    <w:uiPriority w:val="0"/>
    <w:pPr>
      <w:widowControl/>
      <w:pBdr>
        <w:bottom w:val="single" w:color="auto" w:sz="4" w:space="0"/>
      </w:pBdr>
      <w:topLinePunct w:val="0"/>
      <w:adjustRightInd/>
      <w:spacing w:before="100" w:beforeAutospacing="1" w:after="100" w:afterAutospacing="1" w:line="240" w:lineRule="auto"/>
      <w:ind w:firstLine="0" w:firstLineChars="0"/>
      <w:jc w:val="center"/>
    </w:pPr>
    <w:rPr>
      <w:rFonts w:hAnsi="宋体" w:cs="Times New Roman"/>
      <w:color w:val="FF0000"/>
      <w:sz w:val="20"/>
      <w:szCs w:val="20"/>
    </w:rPr>
  </w:style>
  <w:style w:type="paragraph" w:customStyle="1" w:styleId="434">
    <w:name w:val="陕西，正文"/>
    <w:basedOn w:val="1"/>
    <w:qFormat/>
    <w:uiPriority w:val="0"/>
    <w:pPr>
      <w:topLinePunct w:val="0"/>
      <w:adjustRightInd/>
      <w:ind w:firstLine="560"/>
    </w:pPr>
    <w:rPr>
      <w:rFonts w:ascii="Times New Roman"/>
      <w:kern w:val="2"/>
      <w:sz w:val="28"/>
      <w:szCs w:val="20"/>
    </w:rPr>
  </w:style>
  <w:style w:type="paragraph" w:customStyle="1" w:styleId="435">
    <w:name w:val="标准"/>
    <w:basedOn w:val="1"/>
    <w:qFormat/>
    <w:uiPriority w:val="0"/>
    <w:pPr>
      <w:topLinePunct w:val="0"/>
      <w:spacing w:before="120" w:line="336" w:lineRule="auto"/>
      <w:ind w:firstLine="0" w:firstLineChars="0"/>
      <w:jc w:val="center"/>
      <w:textAlignment w:val="baseline"/>
    </w:pPr>
    <w:rPr>
      <w:rFonts w:ascii="黑体" w:eastAsia="黑体" w:cs="Times New Roman"/>
      <w:kern w:val="2"/>
      <w:sz w:val="21"/>
      <w:szCs w:val="20"/>
    </w:rPr>
  </w:style>
  <w:style w:type="paragraph" w:customStyle="1" w:styleId="436">
    <w:name w:val="样式3"/>
    <w:basedOn w:val="392"/>
    <w:qFormat/>
    <w:uiPriority w:val="0"/>
    <w:rPr>
      <w:b w:val="0"/>
      <w:sz w:val="28"/>
    </w:rPr>
  </w:style>
  <w:style w:type="paragraph" w:customStyle="1" w:styleId="437">
    <w:name w:val="样式12"/>
    <w:basedOn w:val="2"/>
    <w:qFormat/>
    <w:uiPriority w:val="0"/>
    <w:pPr>
      <w:keepLines w:val="0"/>
      <w:tabs>
        <w:tab w:val="left" w:pos="425"/>
      </w:tabs>
      <w:topLinePunct w:val="0"/>
      <w:adjustRightInd/>
      <w:spacing w:before="0" w:beforeAutospacing="0" w:after="0" w:afterAutospacing="0" w:line="240" w:lineRule="auto"/>
      <w:ind w:left="425" w:hanging="425"/>
      <w:jc w:val="both"/>
    </w:pPr>
    <w:rPr>
      <w:rFonts w:ascii="黑体" w:hAnsi="楷体_GB2312" w:eastAsia="黑体"/>
      <w:kern w:val="0"/>
      <w:sz w:val="28"/>
      <w:szCs w:val="20"/>
    </w:rPr>
  </w:style>
  <w:style w:type="paragraph" w:customStyle="1" w:styleId="438">
    <w:name w:val="_Style 12"/>
    <w:basedOn w:val="1"/>
    <w:qFormat/>
    <w:uiPriority w:val="0"/>
    <w:pPr>
      <w:topLinePunct w:val="0"/>
      <w:adjustRightInd/>
      <w:spacing w:line="240" w:lineRule="auto"/>
      <w:ind w:firstLine="0" w:firstLineChars="0"/>
    </w:pPr>
    <w:rPr>
      <w:rFonts w:ascii="Times New Roman" w:cs="Times New Roman"/>
      <w:kern w:val="2"/>
      <w:sz w:val="21"/>
      <w:szCs w:val="20"/>
    </w:rPr>
  </w:style>
  <w:style w:type="paragraph" w:customStyle="1" w:styleId="439">
    <w:name w:val="表格字体（利能）"/>
    <w:basedOn w:val="388"/>
    <w:qFormat/>
    <w:uiPriority w:val="0"/>
    <w:pPr>
      <w:jc w:val="center"/>
    </w:pPr>
  </w:style>
  <w:style w:type="paragraph" w:customStyle="1" w:styleId="440">
    <w:name w:val="xl46"/>
    <w:basedOn w:val="1"/>
    <w:qFormat/>
    <w:uiPriority w:val="0"/>
    <w:pPr>
      <w:widowControl/>
      <w:pBdr>
        <w:top w:val="single" w:color="auto" w:sz="4" w:space="0"/>
        <w:left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441">
    <w:name w:val="font6"/>
    <w:basedOn w:val="1"/>
    <w:qFormat/>
    <w:uiPriority w:val="0"/>
    <w:pPr>
      <w:widowControl/>
      <w:topLinePunct w:val="0"/>
      <w:adjustRightInd/>
      <w:spacing w:before="100" w:beforeAutospacing="1" w:after="100" w:afterAutospacing="1" w:line="240" w:lineRule="auto"/>
      <w:ind w:firstLine="0" w:firstLineChars="0"/>
      <w:jc w:val="left"/>
    </w:pPr>
    <w:rPr>
      <w:rFonts w:ascii="Times New Roman" w:eastAsia="Arial Narrow" w:cs="Times New Roman"/>
    </w:rPr>
  </w:style>
  <w:style w:type="paragraph" w:customStyle="1" w:styleId="442">
    <w:name w:val="CM114"/>
    <w:basedOn w:val="1"/>
    <w:next w:val="1"/>
    <w:qFormat/>
    <w:uiPriority w:val="0"/>
    <w:pPr>
      <w:topLinePunct w:val="0"/>
      <w:autoSpaceDE w:val="0"/>
      <w:autoSpaceDN w:val="0"/>
      <w:spacing w:after="170" w:line="240" w:lineRule="auto"/>
      <w:ind w:firstLine="0" w:firstLineChars="0"/>
      <w:jc w:val="left"/>
    </w:pPr>
    <w:rPr>
      <w:rFonts w:cs="Times New Roman"/>
    </w:rPr>
  </w:style>
  <w:style w:type="paragraph" w:customStyle="1" w:styleId="443">
    <w:name w:val="xl62"/>
    <w:basedOn w:val="1"/>
    <w:qFormat/>
    <w:uiPriority w:val="0"/>
    <w:pPr>
      <w:widowControl/>
      <w:pBdr>
        <w:top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color w:val="FF0000"/>
      <w:sz w:val="20"/>
      <w:szCs w:val="20"/>
    </w:rPr>
  </w:style>
  <w:style w:type="paragraph" w:customStyle="1" w:styleId="444">
    <w:name w:val="正文-FS-L"/>
    <w:qFormat/>
    <w:uiPriority w:val="0"/>
    <w:pPr>
      <w:spacing w:line="360" w:lineRule="auto"/>
      <w:ind w:firstLine="567"/>
      <w:jc w:val="both"/>
    </w:pPr>
    <w:rPr>
      <w:rFonts w:ascii="Times New Roman" w:hAnsi="Times New Roman" w:eastAsia="仿宋_GB2312" w:cs="Times New Roman"/>
      <w:sz w:val="28"/>
      <w:lang w:val="en-US" w:eastAsia="zh-CN" w:bidi="ar-SA"/>
    </w:rPr>
  </w:style>
  <w:style w:type="paragraph" w:customStyle="1" w:styleId="445">
    <w:name w:val="样式 表格字体（利能） + 小四"/>
    <w:basedOn w:val="446"/>
    <w:qFormat/>
    <w:uiPriority w:val="0"/>
    <w:rPr>
      <w:sz w:val="24"/>
    </w:rPr>
  </w:style>
  <w:style w:type="paragraph" w:customStyle="1" w:styleId="446">
    <w:name w:val="表格字体（）"/>
    <w:basedOn w:val="1"/>
    <w:qFormat/>
    <w:uiPriority w:val="0"/>
    <w:pPr>
      <w:widowControl/>
      <w:topLinePunct w:val="0"/>
      <w:adjustRightInd/>
      <w:spacing w:line="240" w:lineRule="auto"/>
      <w:ind w:firstLine="0" w:firstLineChars="0"/>
      <w:jc w:val="center"/>
    </w:pPr>
    <w:rPr>
      <w:rFonts w:ascii="Arial" w:hAnsi="Arial" w:eastAsia="仿宋_GB2312" w:cs="Times New Roman"/>
      <w:sz w:val="21"/>
      <w:szCs w:val="20"/>
    </w:rPr>
  </w:style>
  <w:style w:type="paragraph" w:customStyle="1" w:styleId="447">
    <w:name w:val="xl40"/>
    <w:basedOn w:val="1"/>
    <w:qFormat/>
    <w:uiPriority w:val="0"/>
    <w:pPr>
      <w:widowControl/>
      <w:pBdr>
        <w:top w:val="single" w:color="auto" w:sz="4" w:space="0"/>
        <w:left w:val="single" w:color="auto" w:sz="4" w:space="0"/>
        <w:bottom w:val="single" w:color="auto" w:sz="4" w:space="0"/>
        <w:right w:val="single" w:color="auto" w:sz="4" w:space="0"/>
      </w:pBdr>
      <w:shd w:val="clear" w:color="auto" w:fill="C0C0C0"/>
      <w:topLinePunct w:val="0"/>
      <w:adjustRightInd/>
      <w:spacing w:before="100" w:beforeAutospacing="1" w:after="100" w:afterAutospacing="1" w:line="240" w:lineRule="auto"/>
      <w:ind w:firstLine="0" w:firstLineChars="0"/>
      <w:jc w:val="center"/>
    </w:pPr>
    <w:rPr>
      <w:rFonts w:hAnsi="宋体" w:cs="Times New Roman"/>
      <w:color w:val="FF0000"/>
      <w:sz w:val="20"/>
      <w:szCs w:val="20"/>
    </w:rPr>
  </w:style>
  <w:style w:type="paragraph" w:customStyle="1" w:styleId="448">
    <w:name w:val="表格文字（科宏）"/>
    <w:basedOn w:val="217"/>
    <w:qFormat/>
    <w:uiPriority w:val="0"/>
    <w:pPr>
      <w:jc w:val="center"/>
    </w:pPr>
  </w:style>
  <w:style w:type="paragraph" w:customStyle="1" w:styleId="449">
    <w:name w:val="Char3"/>
    <w:basedOn w:val="1"/>
    <w:qFormat/>
    <w:uiPriority w:val="0"/>
    <w:pPr>
      <w:topLinePunct w:val="0"/>
      <w:adjustRightInd/>
      <w:spacing w:line="240" w:lineRule="auto"/>
      <w:ind w:firstLine="0" w:firstLineChars="0"/>
    </w:pPr>
    <w:rPr>
      <w:rFonts w:ascii="Times New Roman" w:cs="Times New Roman"/>
      <w:kern w:val="2"/>
      <w:sz w:val="21"/>
      <w:szCs w:val="20"/>
    </w:rPr>
  </w:style>
  <w:style w:type="paragraph" w:customStyle="1" w:styleId="450">
    <w:name w:val="表字"/>
    <w:basedOn w:val="1"/>
    <w:qFormat/>
    <w:uiPriority w:val="0"/>
    <w:pPr>
      <w:topLinePunct w:val="0"/>
      <w:adjustRightInd/>
      <w:snapToGrid w:val="0"/>
      <w:spacing w:line="360" w:lineRule="exact"/>
      <w:ind w:firstLine="0" w:firstLineChars="0"/>
    </w:pPr>
    <w:rPr>
      <w:rFonts w:ascii="Times New Roman" w:cs="Times New Roman"/>
      <w:kern w:val="2"/>
      <w:sz w:val="21"/>
      <w:szCs w:val="20"/>
    </w:rPr>
  </w:style>
  <w:style w:type="paragraph" w:customStyle="1" w:styleId="451">
    <w:name w:val="标题 1 宋体 三号"/>
    <w:basedOn w:val="2"/>
    <w:qFormat/>
    <w:uiPriority w:val="0"/>
    <w:pPr>
      <w:tabs>
        <w:tab w:val="left" w:pos="425"/>
      </w:tabs>
      <w:topLinePunct w:val="0"/>
      <w:adjustRightInd/>
      <w:spacing w:before="340" w:beforeAutospacing="0" w:after="330" w:afterAutospacing="0"/>
      <w:ind w:left="425" w:hanging="425"/>
      <w:jc w:val="center"/>
    </w:pPr>
    <w:rPr>
      <w:rFonts w:ascii="宋体" w:hAnsi="宋体" w:eastAsia="宋体"/>
      <w:szCs w:val="20"/>
    </w:rPr>
  </w:style>
  <w:style w:type="paragraph" w:customStyle="1" w:styleId="452">
    <w:name w:val="样式 标题 4 + (符号) 宋体 小四 非加粗 两端对齐"/>
    <w:basedOn w:val="1"/>
    <w:qFormat/>
    <w:uiPriority w:val="0"/>
    <w:pPr>
      <w:tabs>
        <w:tab w:val="left" w:pos="425"/>
      </w:tabs>
      <w:topLinePunct w:val="0"/>
      <w:adjustRightInd/>
      <w:spacing w:line="240" w:lineRule="auto"/>
      <w:ind w:left="360" w:hanging="360" w:firstLineChars="0"/>
    </w:pPr>
    <w:rPr>
      <w:rFonts w:ascii="Times New Roman" w:cs="Times New Roman"/>
      <w:kern w:val="2"/>
      <w:sz w:val="21"/>
      <w:szCs w:val="20"/>
    </w:rPr>
  </w:style>
  <w:style w:type="paragraph" w:customStyle="1" w:styleId="453">
    <w:name w:val="方框"/>
    <w:basedOn w:val="1"/>
    <w:qFormat/>
    <w:uiPriority w:val="0"/>
    <w:pPr>
      <w:widowControl/>
      <w:topLinePunct w:val="0"/>
      <w:adjustRightInd/>
      <w:spacing w:line="0" w:lineRule="atLeast"/>
      <w:ind w:firstLine="0" w:firstLineChars="0"/>
    </w:pPr>
    <w:rPr>
      <w:rFonts w:cs="Times New Roman"/>
      <w:szCs w:val="20"/>
    </w:rPr>
  </w:style>
  <w:style w:type="paragraph" w:customStyle="1" w:styleId="454">
    <w:name w:val="节名"/>
    <w:basedOn w:val="1"/>
    <w:qFormat/>
    <w:uiPriority w:val="0"/>
    <w:pPr>
      <w:topLinePunct w:val="0"/>
      <w:snapToGrid w:val="0"/>
      <w:spacing w:line="300" w:lineRule="auto"/>
      <w:ind w:firstLine="0" w:firstLineChars="0"/>
      <w:jc w:val="center"/>
    </w:pPr>
    <w:rPr>
      <w:rFonts w:ascii="Times New Roman" w:cs="Times New Roman"/>
      <w:kern w:val="2"/>
      <w:szCs w:val="20"/>
    </w:rPr>
  </w:style>
  <w:style w:type="paragraph" w:customStyle="1" w:styleId="455">
    <w:name w:val="京唐秦正文2"/>
    <w:basedOn w:val="1"/>
    <w:next w:val="1"/>
    <w:qFormat/>
    <w:uiPriority w:val="0"/>
    <w:pPr>
      <w:tabs>
        <w:tab w:val="left" w:pos="700"/>
      </w:tabs>
      <w:topLinePunct w:val="0"/>
      <w:adjustRightInd/>
      <w:snapToGrid w:val="0"/>
      <w:spacing w:beforeLines="50"/>
      <w:ind w:firstLine="424"/>
      <w:jc w:val="left"/>
    </w:pPr>
    <w:rPr>
      <w:rFonts w:ascii="Times New Roman" w:cs="Times New Roman"/>
      <w:szCs w:val="20"/>
      <w:lang w:eastAsia="en-US"/>
    </w:rPr>
  </w:style>
  <w:style w:type="paragraph" w:customStyle="1" w:styleId="456">
    <w:name w:val="ourfont3"/>
    <w:basedOn w:val="1"/>
    <w:qFormat/>
    <w:uiPriority w:val="0"/>
    <w:pPr>
      <w:widowControl/>
      <w:topLinePunct w:val="0"/>
      <w:adjustRightInd/>
      <w:spacing w:before="100" w:beforeAutospacing="1" w:after="100" w:afterAutospacing="1" w:line="340" w:lineRule="atLeast"/>
      <w:ind w:firstLine="0" w:firstLineChars="0"/>
      <w:jc w:val="left"/>
    </w:pPr>
    <w:rPr>
      <w:rFonts w:hAnsi="宋体" w:cs="Times New Roman"/>
      <w:spacing w:val="20"/>
      <w:sz w:val="21"/>
      <w:szCs w:val="20"/>
    </w:rPr>
  </w:style>
  <w:style w:type="paragraph" w:customStyle="1" w:styleId="457">
    <w:name w:val="xl47"/>
    <w:basedOn w:val="1"/>
    <w:qFormat/>
    <w:uiPriority w:val="0"/>
    <w:pPr>
      <w:widowControl/>
      <w:pBdr>
        <w:top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458">
    <w:name w:val="xl52"/>
    <w:basedOn w:val="1"/>
    <w:qFormat/>
    <w:uiPriority w:val="0"/>
    <w:pPr>
      <w:widowControl/>
      <w:pBdr>
        <w:top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459">
    <w:name w:val="xl28"/>
    <w:basedOn w:val="1"/>
    <w:qFormat/>
    <w:uiPriority w:val="0"/>
    <w:pPr>
      <w:widowControl/>
      <w:pBdr>
        <w:left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ascii="Arial" w:hAnsi="Arial" w:cs="Arial"/>
    </w:rPr>
  </w:style>
  <w:style w:type="paragraph" w:customStyle="1" w:styleId="460">
    <w:name w:val="总院3"/>
    <w:basedOn w:val="203"/>
    <w:qFormat/>
    <w:uiPriority w:val="0"/>
    <w:pPr>
      <w:ind w:firstLine="0" w:firstLineChars="0"/>
    </w:pPr>
  </w:style>
  <w:style w:type="paragraph" w:customStyle="1" w:styleId="461">
    <w:name w:val="xl29"/>
    <w:basedOn w:val="1"/>
    <w:qFormat/>
    <w:uiPriority w:val="0"/>
    <w:pPr>
      <w:widowControl/>
      <w:pBdr>
        <w:left w:val="single" w:color="auto" w:sz="4" w:space="0"/>
        <w:right w:val="single" w:color="auto" w:sz="4" w:space="0"/>
      </w:pBdr>
      <w:topLinePunct w:val="0"/>
      <w:adjustRightInd/>
      <w:spacing w:before="100" w:beforeAutospacing="1" w:after="100" w:afterAutospacing="1" w:line="240" w:lineRule="auto"/>
      <w:ind w:firstLine="0" w:firstLineChars="0"/>
      <w:jc w:val="center"/>
    </w:pPr>
    <w:rPr>
      <w:rFonts w:hAnsi="宋体" w:cs="Times New Roman"/>
      <w:color w:val="FF0000"/>
      <w:sz w:val="20"/>
      <w:szCs w:val="20"/>
    </w:rPr>
  </w:style>
  <w:style w:type="paragraph" w:customStyle="1" w:styleId="462">
    <w:name w:val="样式 标题 2 + 宋体 小四 行距: 1.5 倍行距"/>
    <w:basedOn w:val="1"/>
    <w:qFormat/>
    <w:uiPriority w:val="0"/>
    <w:pPr>
      <w:tabs>
        <w:tab w:val="left" w:pos="0"/>
      </w:tabs>
      <w:topLinePunct w:val="0"/>
      <w:adjustRightInd/>
      <w:spacing w:line="240" w:lineRule="auto"/>
      <w:ind w:firstLine="0" w:firstLineChars="0"/>
    </w:pPr>
    <w:rPr>
      <w:rFonts w:ascii="Times New Roman" w:cs="Times New Roman"/>
      <w:kern w:val="2"/>
      <w:sz w:val="21"/>
      <w:szCs w:val="20"/>
    </w:rPr>
  </w:style>
  <w:style w:type="paragraph" w:customStyle="1" w:styleId="463">
    <w:name w:val="007"/>
    <w:basedOn w:val="1"/>
    <w:qFormat/>
    <w:uiPriority w:val="0"/>
    <w:pPr>
      <w:topLinePunct w:val="0"/>
      <w:adjustRightInd/>
      <w:spacing w:line="240" w:lineRule="auto"/>
      <w:ind w:firstLine="0" w:firstLineChars="0"/>
    </w:pPr>
    <w:rPr>
      <w:rFonts w:ascii="Times New Roman" w:cs="Times New Roman"/>
      <w:kern w:val="2"/>
      <w:sz w:val="21"/>
    </w:rPr>
  </w:style>
  <w:style w:type="paragraph" w:customStyle="1" w:styleId="464">
    <w:name w:val="样式 小四"/>
    <w:basedOn w:val="1"/>
    <w:qFormat/>
    <w:uiPriority w:val="0"/>
    <w:pPr>
      <w:topLinePunct w:val="0"/>
      <w:adjustRightInd/>
      <w:spacing w:line="240" w:lineRule="auto"/>
      <w:ind w:left="13" w:leftChars="13" w:firstLine="0" w:firstLineChars="0"/>
    </w:pPr>
    <w:rPr>
      <w:rFonts w:ascii="Times New Roman" w:cs="Times New Roman"/>
      <w:kern w:val="2"/>
      <w:szCs w:val="20"/>
    </w:rPr>
  </w:style>
  <w:style w:type="paragraph" w:customStyle="1" w:styleId="465">
    <w:name w:val="Char1 Char Char Char1"/>
    <w:basedOn w:val="1"/>
    <w:qFormat/>
    <w:uiPriority w:val="0"/>
    <w:pPr>
      <w:widowControl/>
      <w:topLinePunct w:val="0"/>
      <w:adjustRightInd/>
      <w:spacing w:after="160" w:line="240" w:lineRule="exact"/>
      <w:ind w:firstLine="0" w:firstLineChars="0"/>
      <w:jc w:val="left"/>
    </w:pPr>
    <w:rPr>
      <w:rFonts w:ascii="Verdana" w:hAnsi="Verdana" w:cs="Times New Roman"/>
      <w:snapToGrid w:val="0"/>
      <w:sz w:val="20"/>
      <w:szCs w:val="20"/>
      <w:lang w:eastAsia="en-US"/>
    </w:rPr>
  </w:style>
  <w:style w:type="paragraph" w:customStyle="1" w:styleId="466">
    <w:name w:val="1正文"/>
    <w:basedOn w:val="1"/>
    <w:qFormat/>
    <w:uiPriority w:val="0"/>
    <w:pPr>
      <w:topLinePunct w:val="0"/>
      <w:ind w:left="-38" w:leftChars="-38" w:firstLine="482" w:firstLineChars="0"/>
      <w:textAlignment w:val="baseline"/>
    </w:pPr>
    <w:rPr>
      <w:rFonts w:hAnsi="宋体" w:cs="Times New Roman"/>
      <w:szCs w:val="20"/>
    </w:rPr>
  </w:style>
  <w:style w:type="paragraph" w:customStyle="1" w:styleId="467">
    <w:name w:val="C 正文  1"/>
    <w:basedOn w:val="1"/>
    <w:qFormat/>
    <w:uiPriority w:val="0"/>
    <w:pPr>
      <w:topLinePunct w:val="0"/>
      <w:adjustRightInd/>
      <w:ind w:firstLine="560"/>
    </w:pPr>
    <w:rPr>
      <w:rFonts w:ascii="Arial" w:hAnsi="Arial" w:eastAsia="仿宋_GB2312"/>
      <w:kern w:val="2"/>
      <w:sz w:val="28"/>
      <w:szCs w:val="20"/>
    </w:rPr>
  </w:style>
  <w:style w:type="paragraph" w:customStyle="1" w:styleId="468">
    <w:name w:val="图表名"/>
    <w:basedOn w:val="1"/>
    <w:next w:val="1"/>
    <w:qFormat/>
    <w:uiPriority w:val="0"/>
    <w:pPr>
      <w:topLinePunct w:val="0"/>
      <w:snapToGrid w:val="0"/>
      <w:spacing w:line="240" w:lineRule="auto"/>
      <w:ind w:right="-38" w:rightChars="-38" w:firstLine="0" w:firstLineChars="0"/>
      <w:jc w:val="center"/>
    </w:pPr>
    <w:rPr>
      <w:rFonts w:ascii="黑体" w:hAnsi="宋体" w:eastAsia="黑体" w:cs="Times New Roman"/>
      <w:kern w:val="2"/>
      <w:szCs w:val="20"/>
    </w:rPr>
  </w:style>
  <w:style w:type="paragraph" w:customStyle="1" w:styleId="469">
    <w:name w:val="xl72"/>
    <w:basedOn w:val="1"/>
    <w:qFormat/>
    <w:uiPriority w:val="0"/>
    <w:pPr>
      <w:widowControl/>
      <w:pBdr>
        <w:top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470">
    <w:name w:val="xl66"/>
    <w:basedOn w:val="1"/>
    <w:qFormat/>
    <w:uiPriority w:val="0"/>
    <w:pPr>
      <w:widowControl/>
      <w:pBdr>
        <w:top w:val="single" w:color="auto" w:sz="4" w:space="0"/>
        <w:bottom w:val="single" w:color="auto" w:sz="4" w:space="0"/>
      </w:pBdr>
      <w:topLinePunct w:val="0"/>
      <w:adjustRightInd/>
      <w:spacing w:before="100" w:beforeAutospacing="1" w:after="100" w:afterAutospacing="1" w:line="240" w:lineRule="auto"/>
      <w:ind w:firstLine="0" w:firstLineChars="0"/>
      <w:jc w:val="center"/>
    </w:pPr>
    <w:rPr>
      <w:rFonts w:hAnsi="宋体" w:cs="Times New Roman"/>
      <w:sz w:val="20"/>
      <w:szCs w:val="20"/>
    </w:rPr>
  </w:style>
  <w:style w:type="paragraph" w:customStyle="1" w:styleId="471">
    <w:name w:val="4"/>
    <w:basedOn w:val="1"/>
    <w:next w:val="28"/>
    <w:qFormat/>
    <w:uiPriority w:val="0"/>
    <w:pPr>
      <w:topLinePunct w:val="0"/>
      <w:snapToGrid w:val="0"/>
      <w:spacing w:line="600" w:lineRule="exact"/>
      <w:ind w:left="329" w:right="284" w:firstLine="515" w:firstLineChars="0"/>
    </w:pPr>
    <w:rPr>
      <w:rFonts w:ascii="Arial" w:hAnsi="Arial" w:eastAsia="仿宋_GB2312" w:cs="Times New Roman"/>
      <w:kern w:val="2"/>
      <w:sz w:val="28"/>
      <w:szCs w:val="20"/>
    </w:rPr>
  </w:style>
  <w:style w:type="paragraph" w:customStyle="1" w:styleId="472">
    <w:name w:val="分类0"/>
    <w:basedOn w:val="1"/>
    <w:qFormat/>
    <w:uiPriority w:val="0"/>
    <w:pPr>
      <w:topLinePunct w:val="0"/>
      <w:adjustRightInd/>
      <w:spacing w:line="240" w:lineRule="auto"/>
      <w:ind w:firstLine="0" w:firstLineChars="0"/>
      <w:outlineLvl w:val="0"/>
    </w:pPr>
    <w:rPr>
      <w:rFonts w:eastAsia="仿宋_GB2312" w:cs="Times New Roman"/>
      <w:kern w:val="2"/>
      <w:sz w:val="28"/>
      <w:szCs w:val="20"/>
    </w:rPr>
  </w:style>
  <w:style w:type="paragraph" w:customStyle="1" w:styleId="473">
    <w:name w:val="表左"/>
    <w:basedOn w:val="1"/>
    <w:qFormat/>
    <w:uiPriority w:val="0"/>
    <w:pPr>
      <w:keepNext/>
      <w:topLinePunct w:val="0"/>
      <w:adjustRightInd/>
      <w:spacing w:line="240" w:lineRule="atLeast"/>
      <w:ind w:right="30" w:rightChars="30" w:firstLine="0" w:firstLineChars="0"/>
      <w:jc w:val="center"/>
    </w:pPr>
    <w:rPr>
      <w:rFonts w:hAnsi="宋体" w:cs="Times New Roman"/>
      <w:kern w:val="2"/>
      <w:szCs w:val="20"/>
    </w:rPr>
  </w:style>
  <w:style w:type="paragraph" w:customStyle="1" w:styleId="474">
    <w:name w:val="样式 标题 3 + 段后: 0 磅 行距: 1.5 倍行距"/>
    <w:basedOn w:val="1"/>
    <w:qFormat/>
    <w:uiPriority w:val="0"/>
    <w:pPr>
      <w:tabs>
        <w:tab w:val="left" w:pos="709"/>
      </w:tabs>
      <w:topLinePunct w:val="0"/>
      <w:adjustRightInd/>
      <w:spacing w:line="240" w:lineRule="auto"/>
      <w:ind w:left="709" w:hanging="709" w:firstLineChars="0"/>
    </w:pPr>
    <w:rPr>
      <w:rFonts w:ascii="Times New Roman" w:cs="Times New Roman"/>
      <w:kern w:val="2"/>
      <w:sz w:val="21"/>
      <w:szCs w:val="20"/>
    </w:rPr>
  </w:style>
  <w:style w:type="paragraph" w:customStyle="1" w:styleId="475">
    <w:name w:val="xl59"/>
    <w:basedOn w:val="1"/>
    <w:qFormat/>
    <w:uiPriority w:val="0"/>
    <w:pPr>
      <w:widowControl/>
      <w:pBdr>
        <w:bottom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Cs w:val="20"/>
    </w:rPr>
  </w:style>
  <w:style w:type="paragraph" w:customStyle="1" w:styleId="476">
    <w:name w:val="样式 样式 行距: 1.5 倍行距 + 首行缩进:  2 字符"/>
    <w:basedOn w:val="406"/>
    <w:qFormat/>
    <w:uiPriority w:val="0"/>
    <w:pPr>
      <w:spacing w:line="360" w:lineRule="auto"/>
      <w:ind w:right="-79" w:rightChars="-33" w:firstLine="539" w:firstLineChars="0"/>
    </w:pPr>
    <w:rPr>
      <w:rFonts w:cs="Arial"/>
      <w:sz w:val="24"/>
      <w:szCs w:val="24"/>
    </w:rPr>
  </w:style>
  <w:style w:type="paragraph" w:customStyle="1" w:styleId="477">
    <w:name w:val="xl37"/>
    <w:basedOn w:val="1"/>
    <w:qFormat/>
    <w:uiPriority w:val="0"/>
    <w:pPr>
      <w:widowControl/>
      <w:pBdr>
        <w:top w:val="single" w:color="auto" w:sz="4" w:space="0"/>
        <w:left w:val="single" w:color="auto" w:sz="4" w:space="0"/>
        <w:bottom w:val="single" w:color="auto" w:sz="4" w:space="0"/>
        <w:right w:val="single" w:color="auto" w:sz="4" w:space="0"/>
      </w:pBdr>
      <w:shd w:val="clear" w:color="auto" w:fill="FFFF00"/>
      <w:topLinePunct w:val="0"/>
      <w:adjustRightInd/>
      <w:spacing w:before="100" w:beforeAutospacing="1" w:after="100" w:afterAutospacing="1" w:line="240" w:lineRule="auto"/>
      <w:ind w:firstLine="0" w:firstLineChars="0"/>
      <w:jc w:val="center"/>
    </w:pPr>
    <w:rPr>
      <w:rFonts w:hAnsi="宋体" w:cs="Times New Roman"/>
      <w:color w:val="FF0000"/>
      <w:sz w:val="20"/>
      <w:szCs w:val="20"/>
    </w:rPr>
  </w:style>
  <w:style w:type="paragraph" w:customStyle="1" w:styleId="478">
    <w:name w:val="Char Char Char1 Char Char Char Char Char Char Char Char Char Char Char Char Char"/>
    <w:basedOn w:val="5"/>
    <w:qFormat/>
    <w:uiPriority w:val="0"/>
    <w:pPr>
      <w:keepNext/>
      <w:keepLines/>
      <w:tabs>
        <w:tab w:val="left" w:pos="2585"/>
      </w:tabs>
      <w:adjustRightInd/>
      <w:snapToGrid/>
      <w:spacing w:beforeLines="0" w:after="120" w:line="360" w:lineRule="auto"/>
      <w:ind w:left="1133" w:hanging="420"/>
    </w:pPr>
    <w:rPr>
      <w:rFonts w:ascii="Times New Roman" w:hAnsi="Times New Roman" w:eastAsia="仿宋_GB2312" w:cs="宋体"/>
      <w:bCs/>
      <w:kern w:val="0"/>
      <w:szCs w:val="28"/>
    </w:rPr>
  </w:style>
  <w:style w:type="paragraph" w:customStyle="1" w:styleId="479">
    <w:name w:val="content"/>
    <w:basedOn w:val="1"/>
    <w:qFormat/>
    <w:uiPriority w:val="0"/>
    <w:pPr>
      <w:widowControl/>
      <w:topLinePunct w:val="0"/>
      <w:adjustRightInd/>
      <w:spacing w:line="240" w:lineRule="auto"/>
      <w:ind w:firstLine="0" w:firstLineChars="0"/>
    </w:pPr>
    <w:rPr>
      <w:rFonts w:ascii="Times New Roman" w:cs="Times New Roman"/>
      <w:szCs w:val="18"/>
    </w:rPr>
  </w:style>
  <w:style w:type="paragraph" w:customStyle="1" w:styleId="480">
    <w:name w:val="xl27"/>
    <w:basedOn w:val="1"/>
    <w:qFormat/>
    <w:uiPriority w:val="0"/>
    <w:pPr>
      <w:widowControl/>
      <w:pBdr>
        <w:left w:val="single" w:color="auto" w:sz="4" w:space="0"/>
        <w:bottom w:val="single" w:color="auto" w:sz="4" w:space="0"/>
      </w:pBdr>
      <w:topLinePunct w:val="0"/>
      <w:adjustRightInd/>
      <w:spacing w:before="100" w:beforeAutospacing="1" w:after="100" w:afterAutospacing="1" w:line="240" w:lineRule="auto"/>
      <w:ind w:firstLine="0" w:firstLineChars="0"/>
      <w:jc w:val="center"/>
    </w:pPr>
    <w:rPr>
      <w:rFonts w:hAnsi="宋体" w:cs="Times New Roman"/>
      <w:sz w:val="20"/>
      <w:szCs w:val="20"/>
    </w:rPr>
  </w:style>
  <w:style w:type="paragraph" w:customStyle="1" w:styleId="481">
    <w:name w:val="样式 标题 2 + 宋体 居中1"/>
    <w:basedOn w:val="3"/>
    <w:qFormat/>
    <w:uiPriority w:val="0"/>
    <w:pPr>
      <w:tabs>
        <w:tab w:val="left" w:pos="0"/>
      </w:tabs>
      <w:topLinePunct w:val="0"/>
      <w:adjustRightInd/>
      <w:spacing w:beforeLines="50" w:afterLines="50" w:line="240" w:lineRule="auto"/>
      <w:jc w:val="center"/>
    </w:pPr>
    <w:rPr>
      <w:rFonts w:ascii="仿宋_GB2312" w:hAnsi="宋体" w:eastAsia="仿宋_GB2312" w:cs="Arial"/>
      <w:kern w:val="2"/>
      <w:szCs w:val="20"/>
    </w:rPr>
  </w:style>
  <w:style w:type="paragraph" w:customStyle="1" w:styleId="482">
    <w:name w:val="表格内部"/>
    <w:basedOn w:val="1"/>
    <w:qFormat/>
    <w:uiPriority w:val="0"/>
    <w:pPr>
      <w:topLinePunct w:val="0"/>
      <w:snapToGrid w:val="0"/>
      <w:spacing w:line="300" w:lineRule="auto"/>
      <w:ind w:firstLine="0" w:firstLineChars="0"/>
      <w:jc w:val="center"/>
    </w:pPr>
    <w:rPr>
      <w:rFonts w:ascii="Arial" w:hAnsi="Arial" w:eastAsia="仿宋_GB2312" w:cs="Times New Roman"/>
      <w:kern w:val="2"/>
      <w:sz w:val="21"/>
      <w:szCs w:val="20"/>
    </w:rPr>
  </w:style>
  <w:style w:type="paragraph" w:customStyle="1" w:styleId="483">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FFFF00"/>
      <w:topLinePunct w:val="0"/>
      <w:adjustRightInd/>
      <w:spacing w:before="100" w:beforeAutospacing="1" w:after="100" w:afterAutospacing="1" w:line="240" w:lineRule="auto"/>
      <w:ind w:firstLine="0" w:firstLineChars="0"/>
      <w:jc w:val="center"/>
    </w:pPr>
    <w:rPr>
      <w:rFonts w:hAnsi="宋体" w:cs="Times New Roman"/>
      <w:sz w:val="20"/>
      <w:szCs w:val="20"/>
    </w:rPr>
  </w:style>
  <w:style w:type="paragraph" w:customStyle="1" w:styleId="484">
    <w:name w:val="默认段落字体 Para Char"/>
    <w:basedOn w:val="1"/>
    <w:qFormat/>
    <w:uiPriority w:val="0"/>
    <w:pPr>
      <w:topLinePunct w:val="0"/>
      <w:adjustRightInd/>
      <w:ind w:firstLine="0" w:firstLineChars="0"/>
    </w:pPr>
    <w:rPr>
      <w:rFonts w:ascii="Times New Roman" w:cs="Times New Roman"/>
      <w:kern w:val="2"/>
    </w:rPr>
  </w:style>
  <w:style w:type="paragraph" w:customStyle="1" w:styleId="485">
    <w:name w:val="样式 (中文) 楷体_GB2312 四号 行距: 1.5 倍行距"/>
    <w:basedOn w:val="1"/>
    <w:qFormat/>
    <w:uiPriority w:val="0"/>
    <w:pPr>
      <w:topLinePunct w:val="0"/>
      <w:adjustRightInd/>
      <w:spacing w:line="560" w:lineRule="exact"/>
      <w:ind w:firstLine="560"/>
    </w:pPr>
    <w:rPr>
      <w:rFonts w:ascii="Times New Roman" w:eastAsia="仿宋_GB2312" w:cs="Times New Roman"/>
      <w:kern w:val="28"/>
      <w:sz w:val="28"/>
      <w:szCs w:val="20"/>
    </w:rPr>
  </w:style>
  <w:style w:type="paragraph" w:customStyle="1" w:styleId="486">
    <w:name w:val="7"/>
    <w:basedOn w:val="1"/>
    <w:next w:val="1"/>
    <w:qFormat/>
    <w:uiPriority w:val="0"/>
    <w:pPr>
      <w:topLinePunct w:val="0"/>
      <w:adjustRightInd/>
      <w:snapToGrid w:val="0"/>
      <w:ind w:firstLine="493" w:firstLineChars="0"/>
    </w:pPr>
    <w:rPr>
      <w:rFonts w:cs="Times New Roman"/>
      <w:kern w:val="2"/>
      <w:szCs w:val="20"/>
    </w:rPr>
  </w:style>
  <w:style w:type="paragraph" w:customStyle="1" w:styleId="487">
    <w:name w:val="xl55"/>
    <w:basedOn w:val="1"/>
    <w:qFormat/>
    <w:uiPriority w:val="0"/>
    <w:pPr>
      <w:widowControl/>
      <w:pBdr>
        <w:top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488">
    <w:name w:val="节内编号1"/>
    <w:basedOn w:val="1"/>
    <w:qFormat/>
    <w:uiPriority w:val="0"/>
    <w:pPr>
      <w:topLinePunct w:val="0"/>
      <w:snapToGrid w:val="0"/>
      <w:spacing w:line="336" w:lineRule="auto"/>
      <w:ind w:right="100" w:rightChars="100" w:firstLine="672" w:firstLineChars="300"/>
    </w:pPr>
    <w:rPr>
      <w:rFonts w:hAnsi="宋体" w:cs="Times New Roman"/>
      <w:color w:val="000000"/>
      <w:spacing w:val="-8"/>
      <w:kern w:val="2"/>
      <w:szCs w:val="20"/>
    </w:rPr>
  </w:style>
  <w:style w:type="paragraph" w:customStyle="1" w:styleId="489">
    <w:name w:val="表正文2"/>
    <w:basedOn w:val="1"/>
    <w:qFormat/>
    <w:uiPriority w:val="0"/>
    <w:pPr>
      <w:topLinePunct w:val="0"/>
      <w:snapToGrid w:val="0"/>
      <w:spacing w:line="240" w:lineRule="auto"/>
      <w:ind w:right="-106" w:firstLine="0" w:firstLineChars="0"/>
      <w:jc w:val="center"/>
    </w:pPr>
    <w:rPr>
      <w:rFonts w:hAnsi="宋体" w:cs="Times New Roman"/>
      <w:kern w:val="2"/>
      <w:sz w:val="21"/>
      <w:szCs w:val="20"/>
    </w:rPr>
  </w:style>
  <w:style w:type="paragraph" w:customStyle="1" w:styleId="490">
    <w:name w:val="30151"/>
    <w:basedOn w:val="1"/>
    <w:qFormat/>
    <w:uiPriority w:val="0"/>
    <w:pPr>
      <w:widowControl/>
      <w:tabs>
        <w:tab w:val="left" w:pos="1260"/>
      </w:tabs>
      <w:topLinePunct w:val="0"/>
      <w:adjustRightInd/>
      <w:spacing w:line="240" w:lineRule="auto"/>
      <w:ind w:left="1260" w:hanging="420" w:firstLineChars="0"/>
    </w:pPr>
    <w:rPr>
      <w:rFonts w:ascii="Times New Roman" w:cs="Times New Roman"/>
      <w:szCs w:val="20"/>
    </w:rPr>
  </w:style>
  <w:style w:type="paragraph" w:customStyle="1" w:styleId="491">
    <w:name w:val="14"/>
    <w:basedOn w:val="1"/>
    <w:next w:val="51"/>
    <w:qFormat/>
    <w:uiPriority w:val="0"/>
    <w:pPr>
      <w:topLinePunct w:val="0"/>
      <w:adjustRightInd/>
      <w:spacing w:after="120" w:line="480" w:lineRule="auto"/>
      <w:ind w:firstLine="0" w:firstLineChars="0"/>
    </w:pPr>
    <w:rPr>
      <w:rFonts w:ascii="Times New Roman" w:cs="Times New Roman"/>
      <w:kern w:val="2"/>
      <w:sz w:val="21"/>
      <w:szCs w:val="20"/>
    </w:rPr>
  </w:style>
  <w:style w:type="paragraph" w:customStyle="1" w:styleId="492">
    <w:name w:val="xl81"/>
    <w:basedOn w:val="1"/>
    <w:qFormat/>
    <w:uiPriority w:val="0"/>
    <w:pPr>
      <w:widowControl/>
      <w:pBdr>
        <w:top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ascii="Arial Narrow" w:hAnsi="Arial Narrow" w:eastAsia="Arial Narrow" w:cs="Times New Roman"/>
      <w:sz w:val="20"/>
      <w:szCs w:val="20"/>
    </w:rPr>
  </w:style>
  <w:style w:type="paragraph" w:customStyle="1" w:styleId="493">
    <w:name w:val="xl43"/>
    <w:basedOn w:val="1"/>
    <w:qFormat/>
    <w:uiPriority w:val="0"/>
    <w:pPr>
      <w:widowControl/>
      <w:pBdr>
        <w:top w:val="single" w:color="auto" w:sz="4" w:space="0"/>
        <w:left w:val="single" w:color="auto" w:sz="4" w:space="0"/>
        <w:bottom w:val="single" w:color="auto" w:sz="4" w:space="0"/>
        <w:right w:val="single" w:color="auto" w:sz="4" w:space="0"/>
      </w:pBdr>
      <w:shd w:val="clear" w:color="auto" w:fill="C0C0C0"/>
      <w:topLinePunct w:val="0"/>
      <w:adjustRightInd/>
      <w:spacing w:before="100" w:beforeAutospacing="1" w:after="100" w:afterAutospacing="1" w:line="240" w:lineRule="auto"/>
      <w:ind w:firstLine="0" w:firstLineChars="0"/>
      <w:jc w:val="center"/>
      <w:textAlignment w:val="center"/>
    </w:pPr>
    <w:rPr>
      <w:rFonts w:hAnsi="宋体" w:cs="Times New Roman"/>
      <w:color w:val="FF0000"/>
      <w:sz w:val="20"/>
      <w:szCs w:val="20"/>
    </w:rPr>
  </w:style>
  <w:style w:type="paragraph" w:customStyle="1" w:styleId="494">
    <w:name w:val="Char Char Char Char1"/>
    <w:basedOn w:val="1"/>
    <w:qFormat/>
    <w:uiPriority w:val="0"/>
    <w:pPr>
      <w:topLinePunct w:val="0"/>
      <w:adjustRightInd/>
      <w:spacing w:line="240" w:lineRule="auto"/>
      <w:ind w:firstLine="0" w:firstLineChars="0"/>
    </w:pPr>
    <w:rPr>
      <w:rFonts w:ascii="Times New Roman" w:cs="Times New Roman"/>
      <w:kern w:val="2"/>
      <w:sz w:val="21"/>
      <w:szCs w:val="20"/>
    </w:rPr>
  </w:style>
  <w:style w:type="paragraph" w:customStyle="1" w:styleId="495">
    <w:name w:val="xl32"/>
    <w:basedOn w:val="1"/>
    <w:qFormat/>
    <w:uiPriority w:val="0"/>
    <w:pPr>
      <w:widowControl/>
      <w:pBdr>
        <w:top w:val="single" w:color="auto" w:sz="4" w:space="0"/>
        <w:left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pPr>
    <w:rPr>
      <w:rFonts w:hAnsi="宋体" w:cs="Times New Roman"/>
      <w:sz w:val="20"/>
      <w:szCs w:val="20"/>
    </w:rPr>
  </w:style>
  <w:style w:type="paragraph" w:customStyle="1" w:styleId="496">
    <w:name w:val="pp"/>
    <w:basedOn w:val="1"/>
    <w:qFormat/>
    <w:uiPriority w:val="0"/>
    <w:pPr>
      <w:topLinePunct w:val="0"/>
      <w:ind w:left="51" w:leftChars="51" w:right="142"/>
      <w:jc w:val="left"/>
      <w:textAlignment w:val="baseline"/>
    </w:pPr>
    <w:rPr>
      <w:rFonts w:ascii="Times New Roman" w:cs="Times New Roman"/>
      <w:szCs w:val="20"/>
    </w:rPr>
  </w:style>
  <w:style w:type="paragraph" w:customStyle="1" w:styleId="497">
    <w:name w:val="八角正文"/>
    <w:basedOn w:val="1"/>
    <w:qFormat/>
    <w:uiPriority w:val="0"/>
    <w:pPr>
      <w:tabs>
        <w:tab w:val="left" w:pos="0"/>
      </w:tabs>
      <w:topLinePunct w:val="0"/>
      <w:spacing w:line="500" w:lineRule="exact"/>
      <w:ind w:firstLine="0" w:firstLineChars="0"/>
    </w:pPr>
    <w:rPr>
      <w:rFonts w:ascii="Times New Roman" w:cs="Times New Roman"/>
      <w:color w:val="000000"/>
      <w:sz w:val="28"/>
      <w:szCs w:val="20"/>
    </w:rPr>
  </w:style>
  <w:style w:type="paragraph" w:customStyle="1" w:styleId="498">
    <w:name w:val="1"/>
    <w:basedOn w:val="1"/>
    <w:next w:val="17"/>
    <w:qFormat/>
    <w:uiPriority w:val="0"/>
    <w:pPr>
      <w:topLinePunct w:val="0"/>
      <w:adjustRightInd/>
      <w:spacing w:line="240" w:lineRule="auto"/>
      <w:ind w:firstLine="420"/>
    </w:pPr>
    <w:rPr>
      <w:rFonts w:ascii="Times New Roman" w:cs="Times New Roman"/>
      <w:kern w:val="2"/>
      <w:sz w:val="21"/>
      <w:szCs w:val="20"/>
    </w:rPr>
  </w:style>
  <w:style w:type="paragraph" w:customStyle="1" w:styleId="499">
    <w:name w:val="1.1.1.1标题 4 宋体"/>
    <w:basedOn w:val="5"/>
    <w:qFormat/>
    <w:uiPriority w:val="0"/>
    <w:pPr>
      <w:keepNext/>
      <w:keepLines/>
      <w:widowControl w:val="0"/>
      <w:tabs>
        <w:tab w:val="left" w:pos="2585"/>
      </w:tabs>
      <w:adjustRightInd/>
      <w:snapToGrid/>
      <w:spacing w:beforeLines="0" w:after="290" w:line="372" w:lineRule="auto"/>
      <w:ind w:left="1133" w:hanging="420"/>
      <w:jc w:val="both"/>
    </w:pPr>
    <w:rPr>
      <w:rFonts w:eastAsia="黑体"/>
      <w:b/>
      <w:szCs w:val="20"/>
    </w:rPr>
  </w:style>
  <w:style w:type="paragraph" w:customStyle="1" w:styleId="500">
    <w:name w:val="样式13"/>
    <w:basedOn w:val="336"/>
    <w:qFormat/>
    <w:uiPriority w:val="0"/>
  </w:style>
  <w:style w:type="paragraph" w:customStyle="1" w:styleId="501">
    <w:name w:val="ZW"/>
    <w:basedOn w:val="1"/>
    <w:qFormat/>
    <w:uiPriority w:val="0"/>
    <w:pPr>
      <w:topLinePunct w:val="0"/>
      <w:spacing w:beforeLines="50"/>
      <w:ind w:firstLine="480"/>
    </w:pPr>
    <w:rPr>
      <w:rFonts w:ascii="Times New Roman" w:cs="Times New Roman"/>
    </w:rPr>
  </w:style>
  <w:style w:type="paragraph" w:customStyle="1" w:styleId="502">
    <w:name w:val="13"/>
    <w:basedOn w:val="1"/>
    <w:next w:val="17"/>
    <w:qFormat/>
    <w:uiPriority w:val="0"/>
    <w:pPr>
      <w:topLinePunct w:val="0"/>
      <w:adjustRightInd/>
      <w:spacing w:line="240" w:lineRule="auto"/>
      <w:ind w:firstLine="420" w:firstLineChars="0"/>
    </w:pPr>
    <w:rPr>
      <w:rFonts w:ascii="Times New Roman" w:cs="Times New Roman"/>
      <w:kern w:val="2"/>
      <w:sz w:val="28"/>
      <w:szCs w:val="20"/>
    </w:rPr>
  </w:style>
  <w:style w:type="paragraph" w:customStyle="1" w:styleId="503">
    <w:name w:val="(页眉)利能"/>
    <w:qFormat/>
    <w:uiPriority w:val="0"/>
    <w:rPr>
      <w:rFonts w:ascii="Arial" w:hAnsi="Arial" w:eastAsia="仿宋_GB2312" w:cs="Times New Roman"/>
      <w:sz w:val="21"/>
      <w:lang w:val="en-US" w:eastAsia="zh-CN" w:bidi="ar-SA"/>
    </w:rPr>
  </w:style>
  <w:style w:type="paragraph" w:customStyle="1" w:styleId="504">
    <w:name w:val="xl54"/>
    <w:basedOn w:val="1"/>
    <w:qFormat/>
    <w:uiPriority w:val="0"/>
    <w:pPr>
      <w:widowControl/>
      <w:pBdr>
        <w:top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505">
    <w:name w:val="标题1：样式 标题 1 + 居中"/>
    <w:basedOn w:val="2"/>
    <w:qFormat/>
    <w:uiPriority w:val="0"/>
    <w:pPr>
      <w:pBdr>
        <w:top w:val="single" w:color="auto" w:sz="12" w:space="1"/>
        <w:left w:val="single" w:color="auto" w:sz="12" w:space="4"/>
        <w:bottom w:val="single" w:color="auto" w:sz="12" w:space="1"/>
        <w:right w:val="single" w:color="auto" w:sz="12" w:space="4"/>
      </w:pBdr>
      <w:tabs>
        <w:tab w:val="left" w:pos="900"/>
      </w:tabs>
      <w:topLinePunct w:val="0"/>
      <w:adjustRightInd/>
      <w:spacing w:before="340" w:beforeAutospacing="0" w:after="330" w:afterAutospacing="0" w:line="576" w:lineRule="auto"/>
      <w:ind w:left="900" w:hanging="420"/>
      <w:jc w:val="center"/>
    </w:pPr>
    <w:rPr>
      <w:rFonts w:hAnsi="楷体_GB2312" w:eastAsia="宋体"/>
      <w:sz w:val="44"/>
      <w:szCs w:val="20"/>
    </w:rPr>
  </w:style>
  <w:style w:type="paragraph" w:customStyle="1" w:styleId="506">
    <w:name w:val="样式 四号 左侧:  1.98 厘米"/>
    <w:basedOn w:val="1"/>
    <w:qFormat/>
    <w:uiPriority w:val="0"/>
    <w:pPr>
      <w:topLinePunct w:val="0"/>
      <w:snapToGrid w:val="0"/>
      <w:spacing w:line="240" w:lineRule="auto"/>
      <w:ind w:firstLine="0" w:firstLineChars="0"/>
    </w:pPr>
    <w:rPr>
      <w:rFonts w:ascii="Times New Roman" w:cs="Times New Roman"/>
      <w:kern w:val="2"/>
    </w:rPr>
  </w:style>
  <w:style w:type="paragraph" w:customStyle="1" w:styleId="507">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08">
    <w:name w:val="font5"/>
    <w:basedOn w:val="1"/>
    <w:qFormat/>
    <w:uiPriority w:val="0"/>
    <w:pPr>
      <w:widowControl/>
      <w:topLinePunct w:val="0"/>
      <w:adjustRightInd/>
      <w:spacing w:before="100" w:beforeAutospacing="1" w:after="100" w:afterAutospacing="1" w:line="240" w:lineRule="auto"/>
      <w:ind w:firstLine="0" w:firstLineChars="0"/>
      <w:jc w:val="left"/>
    </w:pPr>
    <w:rPr>
      <w:rFonts w:hint="eastAsia" w:hAnsi="宋体" w:cs="Times New Roman"/>
      <w:sz w:val="18"/>
      <w:szCs w:val="20"/>
    </w:rPr>
  </w:style>
  <w:style w:type="paragraph" w:customStyle="1" w:styleId="509">
    <w:name w:val="Char Char Char Char Char Char Char Char Char Char Char Char Char Char Char Char Char Char Char Char"/>
    <w:basedOn w:val="1"/>
    <w:qFormat/>
    <w:uiPriority w:val="0"/>
    <w:pPr>
      <w:topLinePunct w:val="0"/>
      <w:adjustRightInd/>
      <w:spacing w:line="240" w:lineRule="auto"/>
      <w:ind w:firstLine="0" w:firstLineChars="0"/>
    </w:pPr>
    <w:rPr>
      <w:rFonts w:ascii="Times New Roman" w:cs="Times New Roman"/>
      <w:kern w:val="2"/>
      <w:sz w:val="21"/>
    </w:rPr>
  </w:style>
  <w:style w:type="paragraph" w:customStyle="1" w:styleId="510">
    <w:name w:val="报告标1"/>
    <w:basedOn w:val="1"/>
    <w:next w:val="1"/>
    <w:qFormat/>
    <w:uiPriority w:val="0"/>
    <w:pPr>
      <w:topLinePunct w:val="0"/>
      <w:snapToGrid w:val="0"/>
      <w:spacing w:line="300" w:lineRule="auto"/>
      <w:ind w:firstLine="0" w:firstLineChars="0"/>
    </w:pPr>
    <w:rPr>
      <w:rFonts w:hint="eastAsia" w:ascii="黑体" w:eastAsia="黑体" w:cs="Times New Roman"/>
      <w:kern w:val="2"/>
      <w:sz w:val="28"/>
      <w:szCs w:val="20"/>
    </w:rPr>
  </w:style>
  <w:style w:type="paragraph" w:customStyle="1" w:styleId="511">
    <w:name w:val="xl31"/>
    <w:basedOn w:val="1"/>
    <w:qFormat/>
    <w:uiPriority w:val="0"/>
    <w:pPr>
      <w:widowControl/>
      <w:pBdr>
        <w:top w:val="single" w:color="auto" w:sz="4" w:space="0"/>
        <w:lef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512">
    <w:name w:val="小表中"/>
    <w:basedOn w:val="1"/>
    <w:qFormat/>
    <w:uiPriority w:val="0"/>
    <w:pPr>
      <w:keepNext/>
      <w:topLinePunct w:val="0"/>
      <w:adjustRightInd/>
      <w:snapToGrid w:val="0"/>
      <w:spacing w:line="240" w:lineRule="atLeast"/>
      <w:ind w:firstLine="0" w:firstLineChars="0"/>
      <w:jc w:val="center"/>
    </w:pPr>
    <w:rPr>
      <w:rFonts w:hint="eastAsia" w:hAnsi="宋体" w:cs="Times New Roman"/>
      <w:kern w:val="2"/>
      <w:sz w:val="21"/>
      <w:szCs w:val="20"/>
    </w:rPr>
  </w:style>
  <w:style w:type="paragraph" w:customStyle="1" w:styleId="513">
    <w:name w:val="xl41"/>
    <w:basedOn w:val="1"/>
    <w:qFormat/>
    <w:uiPriority w:val="0"/>
    <w:pPr>
      <w:widowControl/>
      <w:pBdr>
        <w:top w:val="single" w:color="auto" w:sz="4" w:space="0"/>
        <w:left w:val="single" w:color="auto" w:sz="4" w:space="0"/>
        <w:bottom w:val="single" w:color="auto" w:sz="4" w:space="0"/>
        <w:right w:val="single" w:color="auto" w:sz="4" w:space="0"/>
      </w:pBdr>
      <w:shd w:val="clear" w:color="auto" w:fill="C0C0C0"/>
      <w:topLinePunct w:val="0"/>
      <w:adjustRightInd/>
      <w:spacing w:before="100" w:beforeAutospacing="1" w:after="100" w:afterAutospacing="1" w:line="240" w:lineRule="auto"/>
      <w:ind w:firstLine="0" w:firstLineChars="0"/>
      <w:jc w:val="center"/>
    </w:pPr>
    <w:rPr>
      <w:rFonts w:hAnsi="宋体" w:cs="Times New Roman"/>
      <w:sz w:val="20"/>
      <w:szCs w:val="20"/>
    </w:rPr>
  </w:style>
  <w:style w:type="paragraph" w:customStyle="1" w:styleId="514">
    <w:name w:val="xl75"/>
    <w:basedOn w:val="1"/>
    <w:qFormat/>
    <w:uiPriority w:val="0"/>
    <w:pPr>
      <w:widowControl/>
      <w:pBdr>
        <w:top w:val="single" w:color="auto" w:sz="4" w:space="0"/>
        <w:left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ascii="Times New Roman" w:eastAsia="Arial Narrow" w:cs="Times New Roman"/>
      <w:sz w:val="20"/>
      <w:szCs w:val="20"/>
    </w:rPr>
  </w:style>
  <w:style w:type="paragraph" w:customStyle="1" w:styleId="515">
    <w:name w:val="xl24"/>
    <w:basedOn w:val="1"/>
    <w:qFormat/>
    <w:uiPriority w:val="0"/>
    <w:pPr>
      <w:widowControl/>
      <w:pBdr>
        <w:top w:val="single" w:color="auto" w:sz="4" w:space="0"/>
        <w:left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pPr>
    <w:rPr>
      <w:rFonts w:hAnsi="宋体" w:cs="Times New Roman"/>
      <w:szCs w:val="20"/>
    </w:rPr>
  </w:style>
  <w:style w:type="paragraph" w:customStyle="1" w:styleId="516">
    <w:name w:val="CM4"/>
    <w:basedOn w:val="1"/>
    <w:next w:val="1"/>
    <w:qFormat/>
    <w:uiPriority w:val="0"/>
    <w:pPr>
      <w:topLinePunct w:val="0"/>
      <w:autoSpaceDE w:val="0"/>
      <w:autoSpaceDN w:val="0"/>
      <w:spacing w:line="468" w:lineRule="atLeast"/>
      <w:ind w:firstLine="0" w:firstLineChars="0"/>
      <w:jc w:val="left"/>
    </w:pPr>
    <w:rPr>
      <w:rFonts w:eastAsia="仿宋_GB2312" w:cs="Times New Roman"/>
      <w:szCs w:val="20"/>
    </w:rPr>
  </w:style>
  <w:style w:type="paragraph" w:customStyle="1" w:styleId="517">
    <w:name w:val="xl51"/>
    <w:basedOn w:val="1"/>
    <w:qFormat/>
    <w:uiPriority w:val="0"/>
    <w:pPr>
      <w:widowControl/>
      <w:pBdr>
        <w:top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Cs w:val="20"/>
    </w:rPr>
  </w:style>
  <w:style w:type="paragraph" w:customStyle="1" w:styleId="518">
    <w:name w:val="Char1"/>
    <w:basedOn w:val="1"/>
    <w:qFormat/>
    <w:uiPriority w:val="0"/>
    <w:pPr>
      <w:topLinePunct w:val="0"/>
      <w:adjustRightInd/>
      <w:spacing w:line="240" w:lineRule="auto"/>
      <w:ind w:firstLine="0" w:firstLineChars="0"/>
    </w:pPr>
    <w:rPr>
      <w:rFonts w:ascii="Arial" w:hAnsi="Arial" w:cs="Times New Roman"/>
      <w:kern w:val="2"/>
      <w:sz w:val="21"/>
      <w:szCs w:val="20"/>
    </w:rPr>
  </w:style>
  <w:style w:type="paragraph" w:customStyle="1" w:styleId="519">
    <w:name w:val="Char2"/>
    <w:basedOn w:val="1"/>
    <w:qFormat/>
    <w:uiPriority w:val="0"/>
    <w:pPr>
      <w:topLinePunct w:val="0"/>
      <w:adjustRightInd/>
      <w:spacing w:line="240" w:lineRule="auto"/>
      <w:ind w:firstLine="0" w:firstLineChars="0"/>
    </w:pPr>
    <w:rPr>
      <w:rFonts w:ascii="Times New Roman" w:cs="Times New Roman"/>
      <w:kern w:val="2"/>
      <w:sz w:val="21"/>
      <w:szCs w:val="20"/>
    </w:rPr>
  </w:style>
  <w:style w:type="paragraph" w:customStyle="1" w:styleId="520">
    <w:name w:val="标题4"/>
    <w:basedOn w:val="5"/>
    <w:next w:val="5"/>
    <w:qFormat/>
    <w:uiPriority w:val="0"/>
    <w:pPr>
      <w:widowControl w:val="0"/>
      <w:tabs>
        <w:tab w:val="left" w:pos="2585"/>
      </w:tabs>
      <w:adjustRightInd/>
      <w:snapToGrid/>
      <w:spacing w:beforeLines="0" w:line="360" w:lineRule="auto"/>
      <w:ind w:left="101" w:leftChars="48" w:firstLine="658" w:firstLineChars="235"/>
      <w:jc w:val="both"/>
      <w:outlineLvl w:val="9"/>
    </w:pPr>
    <w:rPr>
      <w:rFonts w:eastAsia="仿宋_GB2312" w:cs="Arial"/>
      <w:bCs/>
      <w:color w:val="000000"/>
      <w:kern w:val="28"/>
      <w:szCs w:val="28"/>
    </w:rPr>
  </w:style>
  <w:style w:type="paragraph" w:customStyle="1" w:styleId="521">
    <w:name w:val="正文文字缩进 2 Char Char"/>
    <w:basedOn w:val="1"/>
    <w:qFormat/>
    <w:uiPriority w:val="0"/>
    <w:pPr>
      <w:topLinePunct w:val="0"/>
      <w:snapToGrid w:val="0"/>
      <w:spacing w:before="156" w:after="78" w:line="240" w:lineRule="auto"/>
      <w:ind w:left="105" w:firstLine="482"/>
      <w:jc w:val="center"/>
    </w:pPr>
    <w:rPr>
      <w:rFonts w:ascii="Arial" w:hAnsi="Arial" w:eastAsia="仿宋_GB2312" w:cs="Arial"/>
      <w:b/>
      <w:kern w:val="2"/>
    </w:rPr>
  </w:style>
  <w:style w:type="paragraph" w:customStyle="1" w:styleId="522">
    <w:name w:val="样式 宋体 小四 段前: 7.8 磅 行距: 1.5 倍行距"/>
    <w:basedOn w:val="1"/>
    <w:qFormat/>
    <w:uiPriority w:val="0"/>
    <w:pPr>
      <w:topLinePunct w:val="0"/>
      <w:adjustRightInd/>
      <w:spacing w:before="100" w:beforeAutospacing="1" w:after="100" w:afterAutospacing="1"/>
    </w:pPr>
    <w:rPr>
      <w:rFonts w:cs="Times New Roman"/>
      <w:kern w:val="2"/>
      <w:szCs w:val="20"/>
    </w:rPr>
  </w:style>
  <w:style w:type="paragraph" w:customStyle="1" w:styleId="523">
    <w:name w:val="font7"/>
    <w:basedOn w:val="1"/>
    <w:qFormat/>
    <w:uiPriority w:val="0"/>
    <w:pPr>
      <w:widowControl/>
      <w:topLinePunct w:val="0"/>
      <w:adjustRightInd/>
      <w:spacing w:before="100" w:beforeAutospacing="1" w:after="100" w:afterAutospacing="1" w:line="240" w:lineRule="auto"/>
      <w:ind w:firstLine="0" w:firstLineChars="0"/>
      <w:jc w:val="left"/>
    </w:pPr>
    <w:rPr>
      <w:rFonts w:hint="eastAsia" w:hAnsi="宋体" w:cs="Times New Roman"/>
      <w:sz w:val="20"/>
      <w:szCs w:val="20"/>
    </w:rPr>
  </w:style>
  <w:style w:type="paragraph" w:customStyle="1" w:styleId="524">
    <w:name w:val="标题1（用）"/>
    <w:basedOn w:val="1"/>
    <w:qFormat/>
    <w:uiPriority w:val="0"/>
    <w:pPr>
      <w:keepNext/>
      <w:keepLines/>
      <w:topLinePunct w:val="0"/>
      <w:snapToGrid w:val="0"/>
      <w:spacing w:beforeLines="50" w:afterLines="27"/>
      <w:ind w:firstLine="0" w:firstLineChars="0"/>
      <w:jc w:val="center"/>
      <w:outlineLvl w:val="0"/>
    </w:pPr>
    <w:rPr>
      <w:rFonts w:ascii="Times New Roman" w:eastAsia="黑体" w:cs="Times New Roman"/>
      <w:b/>
      <w:kern w:val="44"/>
      <w:sz w:val="28"/>
      <w:szCs w:val="20"/>
    </w:rPr>
  </w:style>
  <w:style w:type="paragraph" w:customStyle="1" w:styleId="525">
    <w:name w:val="CM113"/>
    <w:basedOn w:val="121"/>
    <w:next w:val="121"/>
    <w:qFormat/>
    <w:uiPriority w:val="0"/>
    <w:pPr>
      <w:spacing w:after="303"/>
    </w:pPr>
    <w:rPr>
      <w:rFonts w:hAnsi="Times New Roman" w:cs="Times New Roman"/>
      <w:color w:val="auto"/>
      <w:szCs w:val="20"/>
    </w:rPr>
  </w:style>
  <w:style w:type="paragraph" w:customStyle="1" w:styleId="526">
    <w:name w:val="font0"/>
    <w:basedOn w:val="1"/>
    <w:qFormat/>
    <w:uiPriority w:val="0"/>
    <w:pPr>
      <w:widowControl/>
      <w:topLinePunct w:val="0"/>
      <w:adjustRightInd/>
      <w:spacing w:before="100" w:beforeAutospacing="1" w:after="100" w:afterAutospacing="1" w:line="240" w:lineRule="auto"/>
      <w:ind w:firstLine="0" w:firstLineChars="0"/>
      <w:jc w:val="left"/>
    </w:pPr>
    <w:rPr>
      <w:rFonts w:hAnsi="宋体" w:cs="Times New Roman"/>
      <w:szCs w:val="20"/>
    </w:rPr>
  </w:style>
  <w:style w:type="paragraph" w:customStyle="1" w:styleId="527">
    <w:name w:val="xl57"/>
    <w:basedOn w:val="1"/>
    <w:qFormat/>
    <w:uiPriority w:val="0"/>
    <w:pPr>
      <w:widowControl/>
      <w:pBdr>
        <w:lef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Cs w:val="20"/>
    </w:rPr>
  </w:style>
  <w:style w:type="paragraph" w:customStyle="1" w:styleId="528">
    <w:name w:val="Char Char Char Char1 Char"/>
    <w:basedOn w:val="1"/>
    <w:qFormat/>
    <w:uiPriority w:val="0"/>
    <w:pPr>
      <w:topLinePunct w:val="0"/>
      <w:adjustRightInd/>
      <w:spacing w:line="240" w:lineRule="auto"/>
      <w:ind w:firstLine="0" w:firstLineChars="0"/>
    </w:pPr>
    <w:rPr>
      <w:rFonts w:ascii="Times New Roman" w:cs="Times New Roman"/>
      <w:kern w:val="2"/>
      <w:sz w:val="21"/>
    </w:rPr>
  </w:style>
  <w:style w:type="paragraph" w:customStyle="1" w:styleId="529">
    <w:name w:val="样式 小四 居中 左侧:  1.98 厘米 右侧:  0.05 厘米"/>
    <w:basedOn w:val="1"/>
    <w:qFormat/>
    <w:uiPriority w:val="0"/>
    <w:pPr>
      <w:topLinePunct w:val="0"/>
      <w:adjustRightInd/>
      <w:spacing w:line="240" w:lineRule="auto"/>
      <w:ind w:firstLine="0" w:firstLineChars="0"/>
      <w:jc w:val="center"/>
    </w:pPr>
    <w:rPr>
      <w:rFonts w:ascii="Times New Roman" w:cs="Times New Roman"/>
      <w:kern w:val="2"/>
      <w:szCs w:val="20"/>
    </w:rPr>
  </w:style>
  <w:style w:type="paragraph" w:customStyle="1" w:styleId="530">
    <w:name w:val="Char Char Char Char1 Char Char Char Char"/>
    <w:basedOn w:val="1"/>
    <w:qFormat/>
    <w:uiPriority w:val="0"/>
    <w:pPr>
      <w:topLinePunct w:val="0"/>
      <w:adjustRightInd/>
      <w:spacing w:line="240" w:lineRule="auto"/>
      <w:ind w:firstLine="0" w:firstLineChars="0"/>
    </w:pPr>
    <w:rPr>
      <w:rFonts w:ascii="Times New Roman" w:cs="Times New Roman"/>
      <w:kern w:val="2"/>
      <w:sz w:val="21"/>
      <w:szCs w:val="20"/>
    </w:rPr>
  </w:style>
  <w:style w:type="paragraph" w:customStyle="1" w:styleId="531">
    <w:name w:val="正文文字缩进 2"/>
    <w:basedOn w:val="1"/>
    <w:qFormat/>
    <w:uiPriority w:val="0"/>
    <w:pPr>
      <w:widowControl/>
      <w:overflowPunct w:val="0"/>
      <w:topLinePunct w:val="0"/>
      <w:autoSpaceDE w:val="0"/>
      <w:autoSpaceDN w:val="0"/>
      <w:spacing w:after="120" w:line="480" w:lineRule="auto"/>
      <w:ind w:left="420" w:leftChars="200" w:firstLine="0" w:firstLineChars="0"/>
      <w:jc w:val="left"/>
      <w:textAlignment w:val="baseline"/>
    </w:pPr>
    <w:rPr>
      <w:rFonts w:ascii="Times New Roman" w:cs="Times New Roman"/>
      <w:szCs w:val="20"/>
    </w:rPr>
  </w:style>
  <w:style w:type="paragraph" w:customStyle="1" w:styleId="532">
    <w:name w:val="Char5"/>
    <w:basedOn w:val="1"/>
    <w:qFormat/>
    <w:uiPriority w:val="0"/>
    <w:pPr>
      <w:topLinePunct w:val="0"/>
      <w:adjustRightInd/>
      <w:spacing w:line="240" w:lineRule="auto"/>
      <w:ind w:firstLine="0" w:firstLineChars="0"/>
    </w:pPr>
    <w:rPr>
      <w:rFonts w:ascii="Times New Roman" w:cs="Times New Roman"/>
      <w:kern w:val="2"/>
      <w:sz w:val="21"/>
    </w:rPr>
  </w:style>
  <w:style w:type="character" w:customStyle="1" w:styleId="533">
    <w:name w:val="W正文 Char"/>
    <w:link w:val="534"/>
    <w:qFormat/>
    <w:uiPriority w:val="0"/>
    <w:rPr>
      <w:sz w:val="24"/>
    </w:rPr>
  </w:style>
  <w:style w:type="paragraph" w:customStyle="1" w:styleId="534">
    <w:name w:val="W正文"/>
    <w:basedOn w:val="1"/>
    <w:link w:val="533"/>
    <w:qFormat/>
    <w:uiPriority w:val="0"/>
    <w:pPr>
      <w:topLinePunct w:val="0"/>
      <w:snapToGrid w:val="0"/>
      <w:spacing w:line="460" w:lineRule="exact"/>
    </w:pPr>
    <w:rPr>
      <w:rFonts w:ascii="Calibri" w:hAnsi="Calibri" w:cs="Times New Roman"/>
      <w:szCs w:val="20"/>
    </w:rPr>
  </w:style>
  <w:style w:type="paragraph" w:customStyle="1" w:styleId="535">
    <w:name w:val="LRY正文"/>
    <w:basedOn w:val="341"/>
    <w:qFormat/>
    <w:uiPriority w:val="0"/>
    <w:pPr>
      <w:spacing w:line="360" w:lineRule="auto"/>
      <w:ind w:firstLine="480" w:firstLineChars="200"/>
      <w:outlineLvl w:val="0"/>
    </w:pPr>
    <w:rPr>
      <w:rFonts w:hAnsi="宋体"/>
      <w:bCs/>
      <w:sz w:val="24"/>
    </w:rPr>
  </w:style>
  <w:style w:type="character" w:customStyle="1" w:styleId="536">
    <w:name w:val="【正文】 Char Char"/>
    <w:qFormat/>
    <w:uiPriority w:val="0"/>
    <w:rPr>
      <w:sz w:val="24"/>
      <w:lang w:bidi="ar-SA"/>
    </w:rPr>
  </w:style>
  <w:style w:type="character" w:customStyle="1" w:styleId="537">
    <w:name w:val="批注文字 Char"/>
    <w:qFormat/>
    <w:uiPriority w:val="0"/>
    <w:rPr>
      <w:rFonts w:eastAsia="宋体"/>
      <w:kern w:val="2"/>
      <w:sz w:val="21"/>
      <w:szCs w:val="24"/>
      <w:lang w:val="en-US" w:eastAsia="zh-CN" w:bidi="ar-SA"/>
    </w:rPr>
  </w:style>
  <w:style w:type="character" w:customStyle="1" w:styleId="538">
    <w:name w:val="批注文字 Char1"/>
    <w:qFormat/>
    <w:uiPriority w:val="0"/>
    <w:rPr>
      <w:kern w:val="2"/>
      <w:sz w:val="21"/>
    </w:rPr>
  </w:style>
  <w:style w:type="paragraph" w:customStyle="1" w:styleId="539">
    <w:name w:val="Char Char Char Char Char Char Char Char"/>
    <w:basedOn w:val="1"/>
    <w:qFormat/>
    <w:uiPriority w:val="0"/>
    <w:pPr>
      <w:widowControl/>
      <w:topLinePunct w:val="0"/>
      <w:adjustRightInd/>
      <w:spacing w:after="160" w:line="240" w:lineRule="exact"/>
      <w:ind w:firstLine="357" w:firstLineChars="0"/>
      <w:jc w:val="left"/>
    </w:pPr>
    <w:rPr>
      <w:rFonts w:ascii="Verdana" w:hAnsi="Verdana" w:cs="Times New Roman"/>
      <w:sz w:val="20"/>
      <w:szCs w:val="20"/>
      <w:lang w:eastAsia="en-US"/>
    </w:rPr>
  </w:style>
  <w:style w:type="paragraph" w:customStyle="1" w:styleId="540">
    <w:name w:val="四级"/>
    <w:basedOn w:val="1"/>
    <w:qFormat/>
    <w:uiPriority w:val="0"/>
    <w:pPr>
      <w:widowControl/>
      <w:topLinePunct w:val="0"/>
      <w:adjustRightInd/>
      <w:ind w:firstLine="0" w:firstLineChars="0"/>
      <w:jc w:val="left"/>
      <w:outlineLvl w:val="3"/>
    </w:pPr>
    <w:rPr>
      <w:rFonts w:ascii="Times New Roman" w:cs="Times New Roman"/>
      <w:b/>
      <w:szCs w:val="22"/>
    </w:rPr>
  </w:style>
  <w:style w:type="paragraph" w:customStyle="1" w:styleId="541">
    <w:name w:val="表格头"/>
    <w:basedOn w:val="31"/>
    <w:qFormat/>
    <w:uiPriority w:val="0"/>
    <w:pPr>
      <w:widowControl/>
      <w:jc w:val="center"/>
    </w:pPr>
    <w:rPr>
      <w:rFonts w:ascii="Times New Roman" w:hAnsi="Times New Roman"/>
      <w:sz w:val="21"/>
      <w:szCs w:val="24"/>
    </w:rPr>
  </w:style>
  <w:style w:type="paragraph" w:customStyle="1" w:styleId="542">
    <w:name w:val="表内容"/>
    <w:basedOn w:val="1"/>
    <w:qFormat/>
    <w:uiPriority w:val="0"/>
    <w:pPr>
      <w:widowControl/>
      <w:topLinePunct w:val="0"/>
      <w:autoSpaceDE w:val="0"/>
      <w:autoSpaceDN w:val="0"/>
      <w:spacing w:line="240" w:lineRule="auto"/>
      <w:ind w:firstLine="0" w:firstLineChars="0"/>
      <w:jc w:val="center"/>
    </w:pPr>
    <w:rPr>
      <w:rFonts w:ascii="Times New Roman" w:cs="Times New Roman"/>
      <w:snapToGrid w:val="0"/>
      <w:sz w:val="21"/>
      <w:szCs w:val="18"/>
    </w:rPr>
  </w:style>
  <w:style w:type="paragraph" w:customStyle="1" w:styleId="543">
    <w:name w:val="图框"/>
    <w:basedOn w:val="1"/>
    <w:qFormat/>
    <w:uiPriority w:val="0"/>
    <w:pPr>
      <w:widowControl/>
      <w:topLinePunct w:val="0"/>
      <w:adjustRightInd/>
      <w:spacing w:line="240" w:lineRule="auto"/>
      <w:ind w:firstLine="0" w:firstLineChars="0"/>
      <w:jc w:val="center"/>
    </w:pPr>
    <w:rPr>
      <w:rFonts w:ascii="Times New Roman" w:cs="Times New Roman"/>
      <w:b/>
      <w:sz w:val="21"/>
      <w:szCs w:val="21"/>
    </w:rPr>
  </w:style>
  <w:style w:type="paragraph" w:customStyle="1" w:styleId="544">
    <w:name w:val="C小四正文"/>
    <w:basedOn w:val="1"/>
    <w:next w:val="1"/>
    <w:link w:val="545"/>
    <w:qFormat/>
    <w:uiPriority w:val="0"/>
    <w:pPr>
      <w:topLinePunct w:val="0"/>
      <w:adjustRightInd/>
    </w:pPr>
    <w:rPr>
      <w:rFonts w:ascii="Times New Roman" w:cs="Times New Roman"/>
      <w:kern w:val="2"/>
    </w:rPr>
  </w:style>
  <w:style w:type="character" w:customStyle="1" w:styleId="545">
    <w:name w:val="C小四正文 Char"/>
    <w:basedOn w:val="62"/>
    <w:link w:val="544"/>
    <w:qFormat/>
    <w:uiPriority w:val="0"/>
    <w:rPr>
      <w:rFonts w:ascii="Times New Roman" w:hAnsi="Times New Roman" w:eastAsia="宋体" w:cs="Times New Roman"/>
      <w:kern w:val="2"/>
      <w:sz w:val="24"/>
      <w:szCs w:val="24"/>
    </w:rPr>
  </w:style>
  <w:style w:type="table" w:customStyle="1" w:styleId="546">
    <w:name w:val="表格样式 1刘文"/>
    <w:basedOn w:val="59"/>
    <w:qFormat/>
    <w:uiPriority w:val="0"/>
    <w:pPr>
      <w:jc w:val="center"/>
    </w:pPr>
    <w:tblPr>
      <w:tblBorders>
        <w:top w:val="single" w:color="auto" w:sz="12" w:space="0"/>
        <w:bottom w:val="single" w:color="auto" w:sz="12" w:space="0"/>
        <w:insideH w:val="single" w:color="auto" w:sz="4" w:space="0"/>
        <w:insideV w:val="single" w:color="auto" w:sz="4" w:space="0"/>
      </w:tblBorders>
      <w:tblCellMar>
        <w:left w:w="28" w:type="dxa"/>
        <w:right w:w="28" w:type="dxa"/>
      </w:tblCellMar>
    </w:tblPr>
    <w:tcPr>
      <w:vAlign w:val="center"/>
    </w:tcPr>
  </w:style>
  <w:style w:type="paragraph" w:customStyle="1" w:styleId="547">
    <w:name w:val="【正文.】"/>
    <w:basedOn w:val="1"/>
    <w:qFormat/>
    <w:uiPriority w:val="0"/>
    <w:pPr>
      <w:topLinePunct w:val="0"/>
      <w:snapToGrid w:val="0"/>
    </w:pPr>
    <w:rPr>
      <w:rFonts w:ascii="Times New Roman" w:cs="Times New Roman"/>
      <w:snapToGrid w:val="0"/>
    </w:rPr>
  </w:style>
  <w:style w:type="paragraph" w:customStyle="1" w:styleId="548">
    <w:name w:val="【图名】"/>
    <w:basedOn w:val="1"/>
    <w:qFormat/>
    <w:uiPriority w:val="0"/>
    <w:pPr>
      <w:topLinePunct w:val="0"/>
      <w:snapToGrid w:val="0"/>
      <w:spacing w:afterLines="50" w:line="240" w:lineRule="auto"/>
      <w:ind w:firstLine="0" w:firstLineChars="0"/>
      <w:jc w:val="center"/>
    </w:pPr>
    <w:rPr>
      <w:rFonts w:ascii="Times New Roman" w:cs="Times New Roman"/>
      <w:b/>
      <w:kern w:val="2"/>
      <w:sz w:val="21"/>
    </w:rPr>
  </w:style>
  <w:style w:type="paragraph" w:customStyle="1" w:styleId="549">
    <w:name w:val="【表名】"/>
    <w:basedOn w:val="1"/>
    <w:qFormat/>
    <w:uiPriority w:val="0"/>
    <w:pPr>
      <w:widowControl/>
      <w:topLinePunct w:val="0"/>
      <w:snapToGrid w:val="0"/>
      <w:spacing w:beforeLines="50" w:line="240" w:lineRule="auto"/>
      <w:ind w:firstLine="0" w:firstLineChars="0"/>
      <w:jc w:val="center"/>
    </w:pPr>
    <w:rPr>
      <w:rFonts w:ascii="Times New Roman" w:cs="Arial"/>
      <w:b/>
      <w:sz w:val="21"/>
      <w:szCs w:val="21"/>
      <w:lang w:bidi="en-US"/>
    </w:rPr>
  </w:style>
  <w:style w:type="character" w:customStyle="1" w:styleId="550">
    <w:name w:val="注释标题 Char"/>
    <w:link w:val="15"/>
    <w:qFormat/>
    <w:uiPriority w:val="0"/>
    <w:rPr>
      <w:szCs w:val="24"/>
    </w:rPr>
  </w:style>
  <w:style w:type="character" w:customStyle="1" w:styleId="551">
    <w:name w:val="注释标题 字符"/>
    <w:basedOn w:val="62"/>
    <w:semiHidden/>
    <w:qFormat/>
    <w:uiPriority w:val="99"/>
    <w:rPr>
      <w:rFonts w:ascii="宋体" w:hAnsi="Times New Roman" w:cs="宋体"/>
      <w:sz w:val="24"/>
      <w:szCs w:val="24"/>
    </w:rPr>
  </w:style>
  <w:style w:type="character" w:customStyle="1" w:styleId="552">
    <w:name w:val="SSEC正文 20150323 Char"/>
    <w:link w:val="553"/>
    <w:qFormat/>
    <w:uiPriority w:val="0"/>
    <w:rPr>
      <w:rFonts w:ascii="宋体" w:hAnsi="宋体"/>
      <w:kern w:val="2"/>
      <w:sz w:val="24"/>
      <w:szCs w:val="24"/>
      <w:lang w:val="en-US" w:eastAsia="zh-CN" w:bidi="ar-SA"/>
    </w:rPr>
  </w:style>
  <w:style w:type="paragraph" w:customStyle="1" w:styleId="553">
    <w:name w:val="SSEC正文 20150323"/>
    <w:link w:val="552"/>
    <w:qFormat/>
    <w:uiPriority w:val="0"/>
    <w:pPr>
      <w:adjustRightInd w:val="0"/>
      <w:snapToGrid w:val="0"/>
      <w:spacing w:line="331" w:lineRule="auto"/>
      <w:ind w:firstLine="200" w:firstLineChars="200"/>
      <w:jc w:val="both"/>
    </w:pPr>
    <w:rPr>
      <w:rFonts w:ascii="宋体" w:hAnsi="宋体" w:eastAsia="宋体" w:cs="Times New Roman"/>
      <w:kern w:val="2"/>
      <w:sz w:val="24"/>
      <w:szCs w:val="24"/>
      <w:lang w:val="en-US" w:eastAsia="zh-CN" w:bidi="ar-SA"/>
    </w:rPr>
  </w:style>
  <w:style w:type="paragraph" w:customStyle="1" w:styleId="554">
    <w:name w:val="0正文"/>
    <w:basedOn w:val="54"/>
    <w:link w:val="570"/>
    <w:qFormat/>
    <w:uiPriority w:val="0"/>
    <w:pPr>
      <w:widowControl/>
      <w:spacing w:line="360" w:lineRule="auto"/>
      <w:ind w:firstLine="200" w:firstLineChars="200"/>
    </w:pPr>
    <w:rPr>
      <w:sz w:val="21"/>
    </w:rPr>
  </w:style>
  <w:style w:type="paragraph" w:customStyle="1" w:styleId="555">
    <w:name w:val="1、L表名、图名"/>
    <w:basedOn w:val="1"/>
    <w:qFormat/>
    <w:uiPriority w:val="0"/>
    <w:pPr>
      <w:topLinePunct w:val="0"/>
      <w:snapToGrid w:val="0"/>
      <w:spacing w:line="240" w:lineRule="auto"/>
      <w:ind w:firstLine="0" w:firstLineChars="0"/>
      <w:jc w:val="center"/>
    </w:pPr>
    <w:rPr>
      <w:rFonts w:ascii="Times New Roman" w:cs="Times New Roman"/>
      <w:bCs/>
      <w:kern w:val="2"/>
      <w:sz w:val="21"/>
      <w:szCs w:val="18"/>
    </w:rPr>
  </w:style>
  <w:style w:type="character" w:customStyle="1" w:styleId="556">
    <w:name w:val="SSEC表字居中 20150323 Char"/>
    <w:link w:val="557"/>
    <w:qFormat/>
    <w:uiPriority w:val="0"/>
    <w:rPr>
      <w:rFonts w:ascii="宋体" w:hAnsi="宋体"/>
      <w:kern w:val="2"/>
      <w:sz w:val="21"/>
      <w:szCs w:val="21"/>
      <w:lang w:val="en-US" w:eastAsia="zh-CN" w:bidi="ar-SA"/>
    </w:rPr>
  </w:style>
  <w:style w:type="paragraph" w:customStyle="1" w:styleId="557">
    <w:name w:val="SSEC表字居中 20150323"/>
    <w:link w:val="556"/>
    <w:qFormat/>
    <w:uiPriority w:val="0"/>
    <w:pPr>
      <w:adjustRightInd w:val="0"/>
      <w:snapToGrid w:val="0"/>
      <w:jc w:val="center"/>
    </w:pPr>
    <w:rPr>
      <w:rFonts w:ascii="宋体" w:hAnsi="宋体" w:eastAsia="宋体" w:cs="Times New Roman"/>
      <w:kern w:val="2"/>
      <w:sz w:val="21"/>
      <w:szCs w:val="21"/>
      <w:lang w:val="en-US" w:eastAsia="zh-CN" w:bidi="ar-SA"/>
    </w:rPr>
  </w:style>
  <w:style w:type="character" w:customStyle="1" w:styleId="558">
    <w:name w:val="SSEC 表字居中 字符"/>
    <w:link w:val="559"/>
    <w:qFormat/>
    <w:uiPriority w:val="0"/>
    <w:rPr>
      <w:rFonts w:ascii="宋体"/>
      <w:kern w:val="2"/>
      <w:sz w:val="21"/>
      <w:szCs w:val="21"/>
      <w:lang w:val="en-US" w:eastAsia="zh-CN" w:bidi="ar-SA"/>
    </w:rPr>
  </w:style>
  <w:style w:type="paragraph" w:customStyle="1" w:styleId="559">
    <w:name w:val="SSEC 表字居中"/>
    <w:link w:val="558"/>
    <w:qFormat/>
    <w:uiPriority w:val="0"/>
    <w:pPr>
      <w:widowControl w:val="0"/>
      <w:adjustRightInd w:val="0"/>
      <w:snapToGrid w:val="0"/>
      <w:jc w:val="center"/>
      <w:textAlignment w:val="center"/>
    </w:pPr>
    <w:rPr>
      <w:rFonts w:ascii="宋体" w:hAnsi="Calibri" w:eastAsia="宋体" w:cs="Times New Roman"/>
      <w:kern w:val="2"/>
      <w:sz w:val="21"/>
      <w:szCs w:val="21"/>
      <w:lang w:val="en-US" w:eastAsia="zh-CN" w:bidi="ar-SA"/>
    </w:rPr>
  </w:style>
  <w:style w:type="character" w:customStyle="1" w:styleId="560">
    <w:name w:val="标题 Char"/>
    <w:qFormat/>
    <w:uiPriority w:val="0"/>
    <w:rPr>
      <w:rFonts w:ascii="Arial" w:hAnsi="Arial" w:cs="Arial"/>
      <w:b/>
      <w:bCs/>
      <w:sz w:val="32"/>
      <w:szCs w:val="32"/>
    </w:rPr>
  </w:style>
  <w:style w:type="character" w:customStyle="1" w:styleId="561">
    <w:name w:val="题注 Char"/>
    <w:link w:val="18"/>
    <w:qFormat/>
    <w:uiPriority w:val="0"/>
    <w:rPr>
      <w:rFonts w:ascii="Cambria" w:hAnsi="Cambria" w:eastAsia="黑体" w:cs="Times New Roman"/>
    </w:rPr>
  </w:style>
  <w:style w:type="character" w:customStyle="1" w:styleId="562">
    <w:name w:val="SSEC 2级序号 字符"/>
    <w:link w:val="563"/>
    <w:qFormat/>
    <w:uiPriority w:val="0"/>
    <w:rPr>
      <w:rFonts w:ascii="宋体" w:hAnsi="宋体"/>
      <w:kern w:val="2"/>
      <w:sz w:val="24"/>
      <w:szCs w:val="24"/>
    </w:rPr>
  </w:style>
  <w:style w:type="paragraph" w:customStyle="1" w:styleId="563">
    <w:name w:val="SSEC 2级序号"/>
    <w:basedOn w:val="564"/>
    <w:link w:val="562"/>
    <w:qFormat/>
    <w:uiPriority w:val="0"/>
    <w:pPr>
      <w:numPr>
        <w:numId w:val="0"/>
      </w:numPr>
    </w:pPr>
  </w:style>
  <w:style w:type="paragraph" w:customStyle="1" w:styleId="564">
    <w:name w:val="SSEC 1级序号"/>
    <w:link w:val="571"/>
    <w:qFormat/>
    <w:uiPriority w:val="0"/>
    <w:pPr>
      <w:widowControl w:val="0"/>
      <w:numPr>
        <w:ilvl w:val="0"/>
        <w:numId w:val="2"/>
      </w:numPr>
      <w:adjustRightInd w:val="0"/>
      <w:snapToGrid w:val="0"/>
      <w:spacing w:line="331" w:lineRule="auto"/>
      <w:jc w:val="both"/>
    </w:pPr>
    <w:rPr>
      <w:rFonts w:ascii="宋体" w:hAnsi="宋体" w:eastAsia="宋体" w:cs="Times New Roman"/>
      <w:kern w:val="2"/>
      <w:sz w:val="24"/>
      <w:szCs w:val="24"/>
      <w:lang w:val="en-US" w:eastAsia="zh-CN" w:bidi="ar-SA"/>
    </w:rPr>
  </w:style>
  <w:style w:type="character" w:customStyle="1" w:styleId="565">
    <w:name w:val="表头1 Char"/>
    <w:link w:val="324"/>
    <w:qFormat/>
    <w:uiPriority w:val="0"/>
    <w:rPr>
      <w:rFonts w:ascii="黑体" w:hAnsi="Times New Roman" w:eastAsia="黑体"/>
      <w:sz w:val="24"/>
      <w:lang w:bidi="ar-SA"/>
    </w:rPr>
  </w:style>
  <w:style w:type="character" w:customStyle="1" w:styleId="566">
    <w:name w:val="SSEC 3级序号 字符"/>
    <w:link w:val="567"/>
    <w:qFormat/>
    <w:uiPriority w:val="0"/>
    <w:rPr>
      <w:rFonts w:ascii="宋体" w:hAnsi="宋体"/>
      <w:kern w:val="2"/>
      <w:sz w:val="24"/>
      <w:szCs w:val="24"/>
    </w:rPr>
  </w:style>
  <w:style w:type="paragraph" w:customStyle="1" w:styleId="567">
    <w:name w:val="SSEC 3级序号"/>
    <w:basedOn w:val="564"/>
    <w:link w:val="566"/>
    <w:qFormat/>
    <w:uiPriority w:val="0"/>
    <w:pPr>
      <w:numPr>
        <w:numId w:val="0"/>
      </w:numPr>
      <w:ind w:firstLine="476"/>
    </w:pPr>
  </w:style>
  <w:style w:type="character" w:customStyle="1" w:styleId="568">
    <w:name w:val="题注 Char2"/>
    <w:qFormat/>
    <w:uiPriority w:val="0"/>
    <w:rPr>
      <w:rFonts w:ascii="Arial" w:hAnsi="Arial" w:eastAsia="黑体" w:cs="Arial"/>
      <w:kern w:val="2"/>
    </w:rPr>
  </w:style>
  <w:style w:type="paragraph" w:customStyle="1" w:styleId="569">
    <w:name w:val="表格体"/>
    <w:basedOn w:val="97"/>
    <w:qFormat/>
    <w:uiPriority w:val="0"/>
    <w:pPr>
      <w:widowControl/>
    </w:pPr>
    <w:rPr>
      <w:szCs w:val="22"/>
    </w:rPr>
  </w:style>
  <w:style w:type="character" w:customStyle="1" w:styleId="570">
    <w:name w:val="0正文 Char"/>
    <w:link w:val="554"/>
    <w:qFormat/>
    <w:uiPriority w:val="0"/>
    <w:rPr>
      <w:rFonts w:ascii="Times New Roman" w:hAnsi="Times New Roman"/>
      <w:kern w:val="2"/>
      <w:sz w:val="21"/>
    </w:rPr>
  </w:style>
  <w:style w:type="character" w:customStyle="1" w:styleId="571">
    <w:name w:val="SSEC 1级序号 字符"/>
    <w:link w:val="564"/>
    <w:qFormat/>
    <w:uiPriority w:val="0"/>
    <w:rPr>
      <w:rFonts w:ascii="宋体" w:hAnsi="宋体"/>
      <w:kern w:val="2"/>
      <w:sz w:val="24"/>
      <w:szCs w:val="24"/>
      <w:lang w:bidi="ar-SA"/>
    </w:rPr>
  </w:style>
  <w:style w:type="character" w:customStyle="1" w:styleId="572">
    <w:name w:val="SSEC 正文 字符"/>
    <w:link w:val="573"/>
    <w:qFormat/>
    <w:uiPriority w:val="0"/>
    <w:rPr>
      <w:rFonts w:ascii="宋体" w:hAnsi="宋体"/>
      <w:kern w:val="2"/>
      <w:sz w:val="24"/>
      <w:szCs w:val="24"/>
      <w:lang w:val="en-US" w:eastAsia="zh-CN" w:bidi="ar-SA"/>
    </w:rPr>
  </w:style>
  <w:style w:type="paragraph" w:customStyle="1" w:styleId="573">
    <w:name w:val="SSEC 正文"/>
    <w:link w:val="572"/>
    <w:qFormat/>
    <w:uiPriority w:val="0"/>
    <w:pPr>
      <w:widowControl w:val="0"/>
      <w:adjustRightInd w:val="0"/>
      <w:snapToGrid w:val="0"/>
      <w:spacing w:line="331" w:lineRule="auto"/>
      <w:ind w:firstLine="200" w:firstLineChars="200"/>
      <w:jc w:val="both"/>
    </w:pPr>
    <w:rPr>
      <w:rFonts w:ascii="宋体" w:hAnsi="宋体" w:eastAsia="宋体" w:cs="Times New Roman"/>
      <w:kern w:val="2"/>
      <w:sz w:val="24"/>
      <w:szCs w:val="24"/>
      <w:lang w:val="en-US" w:eastAsia="zh-CN" w:bidi="ar-SA"/>
    </w:rPr>
  </w:style>
  <w:style w:type="character" w:customStyle="1" w:styleId="574">
    <w:name w:val="SSEC 4级序号 字符"/>
    <w:link w:val="575"/>
    <w:qFormat/>
    <w:uiPriority w:val="0"/>
    <w:rPr>
      <w:rFonts w:ascii="宋体" w:hAnsi="宋体"/>
      <w:kern w:val="2"/>
      <w:sz w:val="24"/>
      <w:szCs w:val="24"/>
    </w:rPr>
  </w:style>
  <w:style w:type="paragraph" w:customStyle="1" w:styleId="575">
    <w:name w:val="SSEC 4级序号"/>
    <w:basedOn w:val="564"/>
    <w:link w:val="574"/>
    <w:qFormat/>
    <w:uiPriority w:val="0"/>
    <w:pPr>
      <w:numPr>
        <w:numId w:val="0"/>
      </w:numPr>
      <w:ind w:firstLine="476"/>
    </w:pPr>
  </w:style>
  <w:style w:type="character" w:customStyle="1" w:styleId="576">
    <w:name w:val="SSEC表字居左 20150323 Char"/>
    <w:link w:val="577"/>
    <w:qFormat/>
    <w:uiPriority w:val="0"/>
    <w:rPr>
      <w:rFonts w:ascii="宋体" w:hAnsi="宋体"/>
      <w:kern w:val="2"/>
      <w:sz w:val="21"/>
      <w:szCs w:val="21"/>
      <w:lang w:val="en-US" w:eastAsia="zh-CN" w:bidi="ar-SA"/>
    </w:rPr>
  </w:style>
  <w:style w:type="paragraph" w:customStyle="1" w:styleId="577">
    <w:name w:val="SSEC表字居左 20150323"/>
    <w:link w:val="576"/>
    <w:qFormat/>
    <w:uiPriority w:val="0"/>
    <w:rPr>
      <w:rFonts w:ascii="宋体" w:hAnsi="宋体" w:eastAsia="宋体" w:cs="Times New Roman"/>
      <w:kern w:val="2"/>
      <w:sz w:val="21"/>
      <w:szCs w:val="21"/>
      <w:lang w:val="en-US" w:eastAsia="zh-CN" w:bidi="ar-SA"/>
    </w:rPr>
  </w:style>
  <w:style w:type="character" w:customStyle="1" w:styleId="578">
    <w:name w:val="样式1 Char"/>
    <w:link w:val="341"/>
    <w:qFormat/>
    <w:uiPriority w:val="0"/>
    <w:rPr>
      <w:rFonts w:ascii="Times New Roman" w:hAnsi="Times New Roman"/>
      <w:kern w:val="2"/>
      <w:sz w:val="28"/>
      <w:szCs w:val="24"/>
    </w:rPr>
  </w:style>
  <w:style w:type="table" w:customStyle="1" w:styleId="579">
    <w:name w:val="Table Normal"/>
    <w:unhideWhenUsed/>
    <w:qFormat/>
    <w:uiPriority w:val="0"/>
    <w:tblPr>
      <w:tblCellMar>
        <w:top w:w="0" w:type="dxa"/>
        <w:left w:w="0" w:type="dxa"/>
        <w:bottom w:w="0" w:type="dxa"/>
        <w:right w:w="0" w:type="dxa"/>
      </w:tblCellMar>
    </w:tblPr>
  </w:style>
  <w:style w:type="table" w:customStyle="1" w:styleId="580">
    <w:name w:val="网格型2"/>
    <w:basedOn w:val="5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81">
    <w:name w:val="样式 样式 首行缩进:  2 字符 + 首行缩进:  2 字符"/>
    <w:basedOn w:val="1"/>
    <w:next w:val="39"/>
    <w:qFormat/>
    <w:uiPriority w:val="0"/>
    <w:pPr>
      <w:topLinePunct w:val="0"/>
      <w:adjustRightInd/>
      <w:snapToGrid w:val="0"/>
      <w:ind w:firstLine="560"/>
    </w:pPr>
    <w:rPr>
      <w:rFonts w:ascii="Times New Roman" w:cs="Times New Roman"/>
      <w:kern w:val="2"/>
      <w:sz w:val="28"/>
    </w:rPr>
  </w:style>
  <w:style w:type="character" w:customStyle="1" w:styleId="582">
    <w:name w:val="样式 Char4 Char Char Char + Times New Roman Char"/>
    <w:link w:val="583"/>
    <w:qFormat/>
    <w:uiPriority w:val="0"/>
    <w:rPr>
      <w:rFonts w:cs="宋体"/>
      <w:kern w:val="2"/>
      <w:sz w:val="24"/>
      <w:szCs w:val="26"/>
    </w:rPr>
  </w:style>
  <w:style w:type="paragraph" w:customStyle="1" w:styleId="583">
    <w:name w:val="样式 Char4 Char Char Char + Times New Roman"/>
    <w:basedOn w:val="584"/>
    <w:link w:val="582"/>
    <w:qFormat/>
    <w:uiPriority w:val="0"/>
    <w:rPr>
      <w:rFonts w:ascii="Calibri" w:hAnsi="Calibri"/>
    </w:rPr>
  </w:style>
  <w:style w:type="paragraph" w:customStyle="1" w:styleId="584">
    <w:name w:val="Char4 Char Char Char"/>
    <w:basedOn w:val="1"/>
    <w:qFormat/>
    <w:uiPriority w:val="0"/>
    <w:pPr>
      <w:topLinePunct w:val="0"/>
      <w:snapToGrid w:val="0"/>
      <w:spacing w:line="400" w:lineRule="exact"/>
    </w:pPr>
    <w:rPr>
      <w:rFonts w:hAnsi="宋体"/>
      <w:kern w:val="2"/>
      <w:szCs w:val="26"/>
    </w:rPr>
  </w:style>
  <w:style w:type="character" w:customStyle="1" w:styleId="585">
    <w:name w:val="标准样式 Char Char"/>
    <w:qFormat/>
    <w:uiPriority w:val="0"/>
    <w:rPr>
      <w:rFonts w:eastAsia="宋体"/>
      <w:kern w:val="2"/>
      <w:sz w:val="28"/>
      <w:lang w:val="en-US" w:eastAsia="zh-CN" w:bidi="ar-SA"/>
    </w:rPr>
  </w:style>
  <w:style w:type="character" w:customStyle="1" w:styleId="586">
    <w:name w:val="样式105 Char"/>
    <w:link w:val="587"/>
    <w:qFormat/>
    <w:uiPriority w:val="0"/>
    <w:rPr>
      <w:rFonts w:ascii="宋体" w:hAnsi="宋体" w:cs="宋体"/>
      <w:sz w:val="26"/>
      <w:szCs w:val="26"/>
    </w:rPr>
  </w:style>
  <w:style w:type="paragraph" w:customStyle="1" w:styleId="587">
    <w:name w:val="样式105"/>
    <w:basedOn w:val="341"/>
    <w:link w:val="586"/>
    <w:qFormat/>
    <w:uiPriority w:val="0"/>
    <w:pPr>
      <w:widowControl/>
      <w:adjustRightInd w:val="0"/>
      <w:snapToGrid w:val="0"/>
      <w:spacing w:line="460" w:lineRule="exact"/>
      <w:ind w:firstLine="520" w:firstLineChars="200"/>
      <w:jc w:val="left"/>
    </w:pPr>
    <w:rPr>
      <w:rFonts w:ascii="宋体" w:hAnsi="宋体" w:cs="宋体"/>
      <w:kern w:val="0"/>
      <w:sz w:val="26"/>
      <w:szCs w:val="26"/>
    </w:rPr>
  </w:style>
  <w:style w:type="character" w:customStyle="1" w:styleId="588">
    <w:name w:val="fontstyle11"/>
    <w:qFormat/>
    <w:uiPriority w:val="0"/>
    <w:rPr>
      <w:rFonts w:hint="default" w:ascii="Times New Roman" w:hAnsi="Times New Roman" w:cs="Times New Roman"/>
      <w:color w:val="000000"/>
      <w:sz w:val="22"/>
      <w:szCs w:val="22"/>
    </w:rPr>
  </w:style>
  <w:style w:type="character" w:customStyle="1" w:styleId="589">
    <w:name w:val="标准样式 Char1"/>
    <w:link w:val="590"/>
    <w:qFormat/>
    <w:uiPriority w:val="0"/>
    <w:rPr>
      <w:rFonts w:ascii="宋体"/>
      <w:sz w:val="28"/>
    </w:rPr>
  </w:style>
  <w:style w:type="paragraph" w:customStyle="1" w:styleId="590">
    <w:name w:val="标准样式"/>
    <w:link w:val="589"/>
    <w:qFormat/>
    <w:uiPriority w:val="0"/>
    <w:pPr>
      <w:widowControl w:val="0"/>
      <w:spacing w:line="600" w:lineRule="exact"/>
      <w:ind w:firstLine="567"/>
      <w:jc w:val="both"/>
    </w:pPr>
    <w:rPr>
      <w:rFonts w:ascii="宋体" w:hAnsi="Calibri" w:eastAsia="宋体" w:cs="Times New Roman"/>
      <w:sz w:val="28"/>
      <w:lang w:val="en-US" w:eastAsia="zh-CN" w:bidi="ar-SA"/>
    </w:rPr>
  </w:style>
  <w:style w:type="character" w:customStyle="1" w:styleId="591">
    <w:name w:val="页码1"/>
    <w:basedOn w:val="62"/>
    <w:qFormat/>
    <w:uiPriority w:val="0"/>
  </w:style>
  <w:style w:type="character" w:customStyle="1" w:styleId="592">
    <w:name w:val="三级标题 Char"/>
    <w:qFormat/>
    <w:uiPriority w:val="0"/>
    <w:rPr>
      <w:rFonts w:eastAsia="宋体"/>
      <w:b/>
      <w:kern w:val="2"/>
      <w:sz w:val="26"/>
      <w:szCs w:val="26"/>
      <w:lang w:val="en-US" w:eastAsia="zh-CN" w:bidi="ar-SA"/>
    </w:rPr>
  </w:style>
  <w:style w:type="character" w:customStyle="1" w:styleId="593">
    <w:name w:val="apple-style-span"/>
    <w:basedOn w:val="62"/>
    <w:qFormat/>
    <w:uiPriority w:val="0"/>
  </w:style>
  <w:style w:type="character" w:customStyle="1" w:styleId="594">
    <w:name w:val="正文（首行缩进2字） Char"/>
    <w:link w:val="595"/>
    <w:qFormat/>
    <w:uiPriority w:val="0"/>
    <w:rPr>
      <w:kern w:val="2"/>
      <w:sz w:val="28"/>
      <w:szCs w:val="30"/>
    </w:rPr>
  </w:style>
  <w:style w:type="paragraph" w:customStyle="1" w:styleId="595">
    <w:name w:val="正文（首行缩进2字）"/>
    <w:basedOn w:val="1"/>
    <w:link w:val="594"/>
    <w:qFormat/>
    <w:uiPriority w:val="0"/>
    <w:pPr>
      <w:topLinePunct w:val="0"/>
      <w:adjustRightInd/>
      <w:spacing w:line="500" w:lineRule="exact"/>
      <w:ind w:firstLine="560"/>
    </w:pPr>
    <w:rPr>
      <w:rFonts w:ascii="Calibri" w:hAnsi="Calibri" w:cs="Times New Roman"/>
      <w:kern w:val="2"/>
      <w:sz w:val="28"/>
      <w:szCs w:val="30"/>
    </w:rPr>
  </w:style>
  <w:style w:type="paragraph" w:customStyle="1" w:styleId="596">
    <w:name w:val="引用1"/>
    <w:basedOn w:val="1"/>
    <w:next w:val="1"/>
    <w:qFormat/>
    <w:uiPriority w:val="0"/>
    <w:pPr>
      <w:topLinePunct w:val="0"/>
      <w:adjustRightInd/>
      <w:spacing w:line="240" w:lineRule="auto"/>
    </w:pPr>
    <w:rPr>
      <w:rFonts w:ascii="Times New Roman" w:cs="Times New Roman"/>
      <w:iCs/>
      <w:color w:val="000000"/>
      <w:kern w:val="2"/>
      <w:sz w:val="22"/>
    </w:rPr>
  </w:style>
  <w:style w:type="character" w:customStyle="1" w:styleId="597">
    <w:name w:val="样式 标题 1 + 段后: 1.5 行 Char"/>
    <w:qFormat/>
    <w:uiPriority w:val="0"/>
    <w:rPr>
      <w:rFonts w:ascii="宋体" w:hAnsi="宋体" w:eastAsia="宋体" w:cs="宋体"/>
      <w:b/>
      <w:bCs/>
      <w:kern w:val="44"/>
      <w:sz w:val="32"/>
      <w:szCs w:val="44"/>
      <w:lang w:val="en-US" w:eastAsia="zh-CN" w:bidi="ar-SA"/>
    </w:rPr>
  </w:style>
  <w:style w:type="character" w:customStyle="1" w:styleId="598">
    <w:name w:val="style81"/>
    <w:qFormat/>
    <w:uiPriority w:val="0"/>
    <w:rPr>
      <w:sz w:val="20"/>
      <w:szCs w:val="20"/>
    </w:rPr>
  </w:style>
  <w:style w:type="character" w:customStyle="1" w:styleId="599">
    <w:name w:val="表头排版 Char"/>
    <w:link w:val="600"/>
    <w:qFormat/>
    <w:uiPriority w:val="0"/>
    <w:rPr>
      <w:kern w:val="2"/>
      <w:sz w:val="26"/>
      <w:szCs w:val="21"/>
    </w:rPr>
  </w:style>
  <w:style w:type="paragraph" w:customStyle="1" w:styleId="600">
    <w:name w:val="表头排版"/>
    <w:basedOn w:val="1"/>
    <w:link w:val="599"/>
    <w:qFormat/>
    <w:uiPriority w:val="0"/>
    <w:pPr>
      <w:topLinePunct w:val="0"/>
      <w:adjustRightInd/>
      <w:spacing w:line="480" w:lineRule="exact"/>
      <w:jc w:val="right"/>
    </w:pPr>
    <w:rPr>
      <w:rFonts w:ascii="Calibri" w:hAnsi="Calibri" w:cs="Times New Roman"/>
      <w:kern w:val="2"/>
      <w:sz w:val="26"/>
      <w:szCs w:val="21"/>
    </w:rPr>
  </w:style>
  <w:style w:type="character" w:customStyle="1" w:styleId="601">
    <w:name w:val="fontstyle21"/>
    <w:qFormat/>
    <w:uiPriority w:val="0"/>
    <w:rPr>
      <w:rFonts w:hint="eastAsia" w:ascii="Times New Roman" w:hAnsi="Times New Roman" w:eastAsia="Times New Roman"/>
      <w:color w:val="000000"/>
      <w:sz w:val="24"/>
      <w:szCs w:val="24"/>
    </w:rPr>
  </w:style>
  <w:style w:type="character" w:customStyle="1" w:styleId="602">
    <w:name w:val="style61"/>
    <w:qFormat/>
    <w:uiPriority w:val="0"/>
    <w:rPr>
      <w:color w:val="333333"/>
      <w:sz w:val="21"/>
      <w:szCs w:val="21"/>
    </w:rPr>
  </w:style>
  <w:style w:type="character" w:customStyle="1" w:styleId="603">
    <w:name w:val="f91"/>
    <w:qFormat/>
    <w:uiPriority w:val="0"/>
    <w:rPr>
      <w:rFonts w:hint="default"/>
      <w:sz w:val="18"/>
      <w:szCs w:val="18"/>
    </w:rPr>
  </w:style>
  <w:style w:type="character" w:customStyle="1" w:styleId="604">
    <w:name w:val="标题1"/>
    <w:basedOn w:val="62"/>
    <w:semiHidden/>
    <w:qFormat/>
    <w:uiPriority w:val="0"/>
  </w:style>
  <w:style w:type="character" w:customStyle="1" w:styleId="605">
    <w:name w:val="样式2 Char Char"/>
    <w:qFormat/>
    <w:uiPriority w:val="0"/>
    <w:rPr>
      <w:rFonts w:ascii="黑体" w:hAnsi="宋体" w:eastAsia="黑体"/>
      <w:b/>
      <w:kern w:val="2"/>
      <w:sz w:val="28"/>
      <w:szCs w:val="28"/>
      <w:lang w:val="en-US" w:eastAsia="zh-CN" w:bidi="ar-SA"/>
    </w:rPr>
  </w:style>
  <w:style w:type="character" w:customStyle="1" w:styleId="606">
    <w:name w:val="样式92 Char"/>
    <w:link w:val="607"/>
    <w:qFormat/>
    <w:uiPriority w:val="0"/>
    <w:rPr>
      <w:rFonts w:cs="宋体"/>
      <w:sz w:val="26"/>
      <w:szCs w:val="26"/>
    </w:rPr>
  </w:style>
  <w:style w:type="paragraph" w:customStyle="1" w:styleId="607">
    <w:name w:val="样式92"/>
    <w:basedOn w:val="1"/>
    <w:link w:val="606"/>
    <w:qFormat/>
    <w:uiPriority w:val="0"/>
    <w:pPr>
      <w:widowControl/>
      <w:topLinePunct w:val="0"/>
      <w:snapToGrid w:val="0"/>
      <w:spacing w:line="460" w:lineRule="exact"/>
      <w:ind w:firstLine="567" w:firstLineChars="218"/>
      <w:jc w:val="left"/>
    </w:pPr>
    <w:rPr>
      <w:rFonts w:ascii="Calibri" w:hAnsi="Calibri"/>
      <w:sz w:val="26"/>
      <w:szCs w:val="26"/>
    </w:rPr>
  </w:style>
  <w:style w:type="character" w:customStyle="1" w:styleId="608">
    <w:name w:val="txtbreak"/>
    <w:basedOn w:val="62"/>
    <w:qFormat/>
    <w:uiPriority w:val="0"/>
  </w:style>
  <w:style w:type="character" w:customStyle="1" w:styleId="609">
    <w:name w:val="UserStyle_0"/>
    <w:qFormat/>
    <w:uiPriority w:val="0"/>
    <w:rPr>
      <w:rFonts w:ascii="宋体" w:hAnsi="宋体" w:eastAsia="宋体"/>
      <w:color w:val="000000"/>
      <w:sz w:val="24"/>
      <w:szCs w:val="24"/>
      <w:vertAlign w:val="superscript"/>
    </w:rPr>
  </w:style>
  <w:style w:type="character" w:customStyle="1" w:styleId="610">
    <w:name w:val="样式2 Char"/>
    <w:link w:val="371"/>
    <w:qFormat/>
    <w:uiPriority w:val="0"/>
    <w:rPr>
      <w:rFonts w:ascii="Times New Roman" w:hAnsi="Times New Roman"/>
      <w:color w:val="000000"/>
      <w:sz w:val="28"/>
    </w:rPr>
  </w:style>
  <w:style w:type="paragraph" w:customStyle="1" w:styleId="611">
    <w:name w:val="样式 标题 2标题节标题 2 Char Char + 段前: 2 行"/>
    <w:basedOn w:val="3"/>
    <w:next w:val="1"/>
    <w:qFormat/>
    <w:uiPriority w:val="0"/>
    <w:pPr>
      <w:topLinePunct w:val="0"/>
      <w:snapToGrid w:val="0"/>
      <w:spacing w:beforeLines="50" w:line="460" w:lineRule="exact"/>
      <w:ind w:firstLine="200" w:firstLineChars="200"/>
    </w:pPr>
    <w:rPr>
      <w:rFonts w:hAnsi="Arial" w:eastAsia="黑体" w:cs="Times New Roman"/>
      <w:bCs w:val="0"/>
      <w:kern w:val="2"/>
      <w:sz w:val="26"/>
      <w:szCs w:val="20"/>
    </w:rPr>
  </w:style>
  <w:style w:type="character" w:customStyle="1" w:styleId="612">
    <w:name w:val="排版正文 Char"/>
    <w:qFormat/>
    <w:uiPriority w:val="0"/>
    <w:rPr>
      <w:szCs w:val="24"/>
    </w:rPr>
  </w:style>
  <w:style w:type="character" w:customStyle="1" w:styleId="613">
    <w:name w:val="表头 Char1"/>
    <w:qFormat/>
    <w:uiPriority w:val="0"/>
    <w:rPr>
      <w:rFonts w:eastAsia="宋体"/>
      <w:spacing w:val="2"/>
      <w:kern w:val="2"/>
      <w:sz w:val="26"/>
      <w:szCs w:val="26"/>
      <w:lang w:val="en-US" w:eastAsia="zh-CN" w:bidi="ar-SA"/>
    </w:rPr>
  </w:style>
  <w:style w:type="character" w:customStyle="1" w:styleId="614">
    <w:name w:val="t141"/>
    <w:qFormat/>
    <w:uiPriority w:val="0"/>
    <w:rPr>
      <w:rFonts w:hint="default" w:ascii="汉仪书宋二简" w:hAnsi="汉仪书宋二简"/>
      <w:sz w:val="21"/>
      <w:szCs w:val="21"/>
    </w:rPr>
  </w:style>
  <w:style w:type="character" w:customStyle="1" w:styleId="615">
    <w:name w:val="标准样式1 Char"/>
    <w:link w:val="616"/>
    <w:qFormat/>
    <w:uiPriority w:val="0"/>
    <w:rPr>
      <w:rFonts w:ascii="宋体" w:hAnsi="宋体"/>
      <w:bCs/>
      <w:kern w:val="2"/>
      <w:sz w:val="28"/>
      <w:szCs w:val="24"/>
    </w:rPr>
  </w:style>
  <w:style w:type="paragraph" w:customStyle="1" w:styleId="616">
    <w:name w:val="标准样式1"/>
    <w:basedOn w:val="1"/>
    <w:link w:val="615"/>
    <w:qFormat/>
    <w:uiPriority w:val="0"/>
    <w:pPr>
      <w:topLinePunct w:val="0"/>
      <w:adjustRightInd/>
      <w:spacing w:line="600" w:lineRule="exact"/>
      <w:ind w:firstLine="150" w:firstLineChars="150"/>
    </w:pPr>
    <w:rPr>
      <w:rFonts w:hAnsi="宋体" w:cs="Times New Roman"/>
      <w:bCs/>
      <w:kern w:val="2"/>
      <w:sz w:val="28"/>
    </w:rPr>
  </w:style>
  <w:style w:type="character" w:customStyle="1" w:styleId="617">
    <w:name w:val="title10"/>
    <w:basedOn w:val="62"/>
    <w:qFormat/>
    <w:uiPriority w:val="0"/>
  </w:style>
  <w:style w:type="character" w:customStyle="1" w:styleId="618">
    <w:name w:val="表文字 Char"/>
    <w:link w:val="313"/>
    <w:qFormat/>
    <w:uiPriority w:val="0"/>
    <w:rPr>
      <w:snapToGrid w:val="0"/>
      <w:sz w:val="24"/>
      <w:szCs w:val="21"/>
    </w:rPr>
  </w:style>
  <w:style w:type="character" w:customStyle="1" w:styleId="619">
    <w:name w:val="环评证文 Char"/>
    <w:link w:val="620"/>
    <w:qFormat/>
    <w:uiPriority w:val="0"/>
    <w:rPr>
      <w:rFonts w:ascii="宋体" w:hAnsi="宋体"/>
      <w:color w:val="000000"/>
      <w:kern w:val="2"/>
      <w:sz w:val="24"/>
      <w:szCs w:val="24"/>
    </w:rPr>
  </w:style>
  <w:style w:type="paragraph" w:customStyle="1" w:styleId="620">
    <w:name w:val="环评证文"/>
    <w:basedOn w:val="1"/>
    <w:link w:val="619"/>
    <w:qFormat/>
    <w:uiPriority w:val="0"/>
    <w:pPr>
      <w:topLinePunct w:val="0"/>
      <w:adjustRightInd/>
      <w:spacing w:line="440" w:lineRule="exact"/>
      <w:ind w:firstLine="480"/>
    </w:pPr>
    <w:rPr>
      <w:rFonts w:hAnsi="宋体" w:cs="Times New Roman"/>
      <w:color w:val="000000"/>
      <w:kern w:val="2"/>
    </w:rPr>
  </w:style>
  <w:style w:type="character" w:customStyle="1" w:styleId="621">
    <w:name w:val="环评正文 Char"/>
    <w:link w:val="622"/>
    <w:qFormat/>
    <w:uiPriority w:val="0"/>
    <w:rPr>
      <w:rFonts w:ascii="宋体" w:hAnsi="宋体"/>
      <w:color w:val="000000"/>
      <w:kern w:val="2"/>
      <w:sz w:val="24"/>
      <w:szCs w:val="24"/>
    </w:rPr>
  </w:style>
  <w:style w:type="paragraph" w:customStyle="1" w:styleId="622">
    <w:name w:val="环评正文"/>
    <w:basedOn w:val="1"/>
    <w:link w:val="621"/>
    <w:qFormat/>
    <w:uiPriority w:val="0"/>
    <w:pPr>
      <w:topLinePunct w:val="0"/>
      <w:snapToGrid w:val="0"/>
      <w:spacing w:line="440" w:lineRule="exact"/>
    </w:pPr>
    <w:rPr>
      <w:rFonts w:hAnsi="宋体" w:cs="Times New Roman"/>
      <w:color w:val="000000"/>
      <w:kern w:val="2"/>
    </w:rPr>
  </w:style>
  <w:style w:type="character" w:customStyle="1" w:styleId="623">
    <w:name w:val="样式5 Char Char"/>
    <w:qFormat/>
    <w:uiPriority w:val="0"/>
    <w:rPr>
      <w:rFonts w:eastAsia="宋体"/>
      <w:color w:val="FF0000"/>
      <w:kern w:val="2"/>
      <w:sz w:val="24"/>
      <w:lang w:val="en-US" w:eastAsia="zh-CN" w:bidi="ar-SA"/>
    </w:rPr>
  </w:style>
  <w:style w:type="character" w:customStyle="1" w:styleId="624">
    <w:name w:val="NormalCharacter"/>
    <w:semiHidden/>
    <w:qFormat/>
    <w:uiPriority w:val="0"/>
  </w:style>
  <w:style w:type="character" w:customStyle="1" w:styleId="625">
    <w:name w:val="表内字 Char Char"/>
    <w:link w:val="626"/>
    <w:qFormat/>
    <w:uiPriority w:val="0"/>
    <w:rPr>
      <w:rFonts w:ascii="Tahoma" w:hAnsi="Tahoma"/>
      <w:sz w:val="21"/>
      <w:szCs w:val="21"/>
    </w:rPr>
  </w:style>
  <w:style w:type="paragraph" w:customStyle="1" w:styleId="626">
    <w:name w:val="表内字"/>
    <w:basedOn w:val="44"/>
    <w:link w:val="625"/>
    <w:qFormat/>
    <w:uiPriority w:val="0"/>
    <w:pPr>
      <w:autoSpaceDE w:val="0"/>
      <w:autoSpaceDN w:val="0"/>
      <w:adjustRightInd w:val="0"/>
      <w:snapToGrid w:val="0"/>
      <w:ind w:left="0" w:firstLine="0" w:firstLineChars="0"/>
      <w:jc w:val="center"/>
    </w:pPr>
    <w:rPr>
      <w:rFonts w:ascii="Tahoma" w:hAnsi="Tahoma"/>
      <w:kern w:val="0"/>
      <w:szCs w:val="21"/>
    </w:rPr>
  </w:style>
  <w:style w:type="character" w:customStyle="1" w:styleId="627">
    <w:name w:val="fontstyle01"/>
    <w:qFormat/>
    <w:uiPriority w:val="0"/>
    <w:rPr>
      <w:rFonts w:hint="eastAsia" w:ascii="宋体" w:hAnsi="宋体" w:eastAsia="宋体"/>
      <w:color w:val="000000"/>
      <w:sz w:val="24"/>
      <w:szCs w:val="24"/>
    </w:rPr>
  </w:style>
  <w:style w:type="character" w:customStyle="1" w:styleId="628">
    <w:name w:val="表号 Char"/>
    <w:link w:val="629"/>
    <w:semiHidden/>
    <w:qFormat/>
    <w:uiPriority w:val="0"/>
    <w:rPr>
      <w:sz w:val="24"/>
      <w:szCs w:val="24"/>
    </w:rPr>
  </w:style>
  <w:style w:type="paragraph" w:customStyle="1" w:styleId="629">
    <w:name w:val="表号"/>
    <w:link w:val="628"/>
    <w:semiHidden/>
    <w:qFormat/>
    <w:uiPriority w:val="0"/>
    <w:pPr>
      <w:adjustRightInd w:val="0"/>
      <w:snapToGrid w:val="0"/>
      <w:jc w:val="both"/>
      <w:outlineLvl w:val="4"/>
    </w:pPr>
    <w:rPr>
      <w:rFonts w:ascii="Calibri" w:hAnsi="Calibri" w:eastAsia="宋体" w:cs="Times New Roman"/>
      <w:sz w:val="24"/>
      <w:szCs w:val="24"/>
      <w:lang w:val="en-US" w:eastAsia="zh-CN" w:bidi="ar-SA"/>
    </w:rPr>
  </w:style>
  <w:style w:type="character" w:customStyle="1" w:styleId="630">
    <w:name w:val="标准样式 Char"/>
    <w:qFormat/>
    <w:uiPriority w:val="0"/>
    <w:rPr>
      <w:rFonts w:ascii="宋体" w:eastAsia="宋体"/>
      <w:sz w:val="28"/>
      <w:szCs w:val="28"/>
      <w:lang w:val="en-US" w:eastAsia="zh-CN" w:bidi="ar-SA"/>
    </w:rPr>
  </w:style>
  <w:style w:type="character" w:customStyle="1" w:styleId="631">
    <w:name w:val="样式115 Char"/>
    <w:link w:val="632"/>
    <w:qFormat/>
    <w:uiPriority w:val="0"/>
    <w:rPr>
      <w:rFonts w:cs="宋体"/>
      <w:sz w:val="26"/>
      <w:szCs w:val="26"/>
    </w:rPr>
  </w:style>
  <w:style w:type="paragraph" w:customStyle="1" w:styleId="632">
    <w:name w:val="样式115"/>
    <w:basedOn w:val="1"/>
    <w:link w:val="631"/>
    <w:qFormat/>
    <w:uiPriority w:val="0"/>
    <w:pPr>
      <w:widowControl/>
      <w:topLinePunct w:val="0"/>
      <w:snapToGrid w:val="0"/>
      <w:spacing w:line="460" w:lineRule="exact"/>
      <w:ind w:firstLine="567" w:firstLineChars="218"/>
      <w:jc w:val="left"/>
    </w:pPr>
    <w:rPr>
      <w:rFonts w:ascii="Calibri" w:hAnsi="Calibri"/>
      <w:sz w:val="26"/>
      <w:szCs w:val="26"/>
    </w:rPr>
  </w:style>
  <w:style w:type="character" w:customStyle="1" w:styleId="633">
    <w:name w:val="样式 13 磅 行距: 固定值 23 磅 Char"/>
    <w:qFormat/>
    <w:uiPriority w:val="0"/>
    <w:rPr>
      <w:rFonts w:eastAsia="宋体" w:cs="宋体"/>
      <w:kern w:val="2"/>
      <w:sz w:val="26"/>
      <w:lang w:val="en-US" w:eastAsia="zh-CN" w:bidi="ar-SA"/>
    </w:rPr>
  </w:style>
  <w:style w:type="character" w:customStyle="1" w:styleId="634">
    <w:name w:val="样式 表头 + 小四 Char"/>
    <w:link w:val="635"/>
    <w:qFormat/>
    <w:uiPriority w:val="0"/>
    <w:rPr>
      <w:b/>
      <w:bCs/>
      <w:spacing w:val="2"/>
      <w:kern w:val="2"/>
      <w:sz w:val="24"/>
      <w:szCs w:val="24"/>
    </w:rPr>
  </w:style>
  <w:style w:type="paragraph" w:customStyle="1" w:styleId="635">
    <w:name w:val="样式 表头 + 小四"/>
    <w:link w:val="634"/>
    <w:qFormat/>
    <w:uiPriority w:val="0"/>
    <w:pPr>
      <w:tabs>
        <w:tab w:val="left" w:pos="2040"/>
      </w:tabs>
      <w:spacing w:beforeLines="50" w:afterLines="50"/>
      <w:ind w:firstLine="420"/>
      <w:jc w:val="center"/>
    </w:pPr>
    <w:rPr>
      <w:rFonts w:ascii="Calibri" w:hAnsi="Calibri" w:eastAsia="宋体" w:cs="Times New Roman"/>
      <w:b/>
      <w:bCs/>
      <w:spacing w:val="2"/>
      <w:kern w:val="2"/>
      <w:lang w:val="en-US" w:eastAsia="zh-CN" w:bidi="ar-SA"/>
    </w:rPr>
  </w:style>
  <w:style w:type="character" w:customStyle="1" w:styleId="636">
    <w:name w:val="样式18 Char Char"/>
    <w:qFormat/>
    <w:uiPriority w:val="0"/>
    <w:rPr>
      <w:sz w:val="26"/>
      <w:szCs w:val="26"/>
    </w:rPr>
  </w:style>
  <w:style w:type="character" w:customStyle="1" w:styleId="637">
    <w:name w:val="样式 四号"/>
    <w:qFormat/>
    <w:uiPriority w:val="0"/>
    <w:rPr>
      <w:rFonts w:eastAsia="仿宋_GB2312"/>
      <w:sz w:val="28"/>
    </w:rPr>
  </w:style>
  <w:style w:type="character" w:customStyle="1" w:styleId="638">
    <w:name w:val="txt1"/>
    <w:qFormat/>
    <w:uiPriority w:val="0"/>
    <w:rPr>
      <w:spacing w:val="60"/>
      <w:sz w:val="14"/>
      <w:szCs w:val="14"/>
    </w:rPr>
  </w:style>
  <w:style w:type="character" w:customStyle="1" w:styleId="639">
    <w:name w:val="fontstyle31"/>
    <w:qFormat/>
    <w:uiPriority w:val="0"/>
    <w:rPr>
      <w:rFonts w:hint="default" w:ascii="Times New Roman" w:hAnsi="Times New Roman" w:cs="Times New Roman"/>
      <w:b/>
      <w:bCs/>
      <w:color w:val="000000"/>
      <w:sz w:val="24"/>
      <w:szCs w:val="24"/>
    </w:rPr>
  </w:style>
  <w:style w:type="character" w:customStyle="1" w:styleId="640">
    <w:name w:val="表头 Char"/>
    <w:qFormat/>
    <w:uiPriority w:val="0"/>
    <w:rPr>
      <w:rFonts w:eastAsia="宋体"/>
      <w:spacing w:val="2"/>
      <w:kern w:val="2"/>
      <w:sz w:val="26"/>
      <w:szCs w:val="26"/>
      <w:lang w:val="en-US" w:eastAsia="zh-CN" w:bidi="ar-SA"/>
    </w:rPr>
  </w:style>
  <w:style w:type="character" w:customStyle="1" w:styleId="641">
    <w:name w:val="câ-¹"/>
    <w:basedOn w:val="62"/>
    <w:qFormat/>
    <w:uiPriority w:val="0"/>
  </w:style>
  <w:style w:type="character" w:customStyle="1" w:styleId="642">
    <w:name w:val="样式 13 磅 行距: 固定值 23 磅 Char1"/>
    <w:qFormat/>
    <w:uiPriority w:val="0"/>
    <w:rPr>
      <w:rFonts w:eastAsia="宋体" w:cs="宋体"/>
      <w:kern w:val="2"/>
      <w:sz w:val="26"/>
      <w:lang w:val="en-US" w:eastAsia="zh-CN" w:bidi="ar-SA"/>
    </w:rPr>
  </w:style>
  <w:style w:type="character" w:customStyle="1" w:styleId="643">
    <w:name w:val="标题11"/>
    <w:basedOn w:val="62"/>
    <w:qFormat/>
    <w:uiPriority w:val="0"/>
  </w:style>
  <w:style w:type="character" w:customStyle="1" w:styleId="644">
    <w:name w:val="样式5 Char"/>
    <w:qFormat/>
    <w:uiPriority w:val="0"/>
    <w:rPr>
      <w:rFonts w:eastAsia="宋体"/>
      <w:kern w:val="2"/>
      <w:sz w:val="24"/>
      <w:lang w:val="en-US" w:eastAsia="zh-CN" w:bidi="ar-SA"/>
    </w:rPr>
  </w:style>
  <w:style w:type="character" w:customStyle="1" w:styleId="645">
    <w:name w:val="环评证文 Char Char Char"/>
    <w:qFormat/>
    <w:uiPriority w:val="0"/>
    <w:rPr>
      <w:rFonts w:ascii="宋体" w:hAnsi="宋体" w:eastAsia="宋体"/>
      <w:color w:val="000000"/>
      <w:kern w:val="2"/>
      <w:sz w:val="24"/>
      <w:szCs w:val="24"/>
      <w:lang w:val="en-US" w:eastAsia="zh-CN" w:bidi="ar-SA"/>
    </w:rPr>
  </w:style>
  <w:style w:type="character" w:customStyle="1" w:styleId="646">
    <w:name w:val="zhou11"/>
    <w:qFormat/>
    <w:uiPriority w:val="0"/>
    <w:rPr>
      <w:color w:val="000000"/>
      <w:sz w:val="21"/>
      <w:szCs w:val="21"/>
    </w:rPr>
  </w:style>
  <w:style w:type="character" w:customStyle="1" w:styleId="647">
    <w:name w:val="样式 样式 Char4 Char Char Char + Times New Roman + (符号) 宋体 Char"/>
    <w:link w:val="648"/>
    <w:qFormat/>
    <w:uiPriority w:val="0"/>
    <w:rPr>
      <w:rFonts w:cs="宋体"/>
      <w:kern w:val="2"/>
      <w:sz w:val="24"/>
      <w:szCs w:val="26"/>
    </w:rPr>
  </w:style>
  <w:style w:type="paragraph" w:customStyle="1" w:styleId="648">
    <w:name w:val="样式 样式 Char4 Char Char Char + Times New Roman + (符号) 宋体"/>
    <w:basedOn w:val="1"/>
    <w:link w:val="647"/>
    <w:qFormat/>
    <w:uiPriority w:val="0"/>
    <w:pPr>
      <w:topLinePunct w:val="0"/>
      <w:snapToGrid w:val="0"/>
      <w:spacing w:line="400" w:lineRule="exact"/>
      <w:ind w:firstLine="480"/>
    </w:pPr>
    <w:rPr>
      <w:rFonts w:ascii="Calibri" w:hAnsi="Calibri"/>
      <w:kern w:val="2"/>
      <w:szCs w:val="26"/>
    </w:rPr>
  </w:style>
  <w:style w:type="character" w:customStyle="1" w:styleId="649">
    <w:name w:val="content3"/>
    <w:basedOn w:val="62"/>
    <w:qFormat/>
    <w:uiPriority w:val="0"/>
  </w:style>
  <w:style w:type="character" w:customStyle="1" w:styleId="650">
    <w:name w:val="普通文字 Char1"/>
    <w:qFormat/>
    <w:uiPriority w:val="0"/>
    <w:rPr>
      <w:rFonts w:ascii="宋体" w:hAnsi="Courier New" w:eastAsia="宋体"/>
      <w:kern w:val="2"/>
      <w:sz w:val="21"/>
      <w:lang w:val="en-US" w:eastAsia="zh-CN" w:bidi="ar-SA"/>
    </w:rPr>
  </w:style>
  <w:style w:type="character" w:customStyle="1" w:styleId="651">
    <w:name w:val="apple-converted-space"/>
    <w:basedOn w:val="62"/>
    <w:qFormat/>
    <w:uiPriority w:val="0"/>
  </w:style>
  <w:style w:type="character" w:customStyle="1" w:styleId="652">
    <w:name w:val="样式18 Char"/>
    <w:link w:val="653"/>
    <w:qFormat/>
    <w:uiPriority w:val="0"/>
    <w:rPr>
      <w:sz w:val="26"/>
      <w:szCs w:val="26"/>
    </w:rPr>
  </w:style>
  <w:style w:type="paragraph" w:customStyle="1" w:styleId="653">
    <w:name w:val="样式18"/>
    <w:basedOn w:val="632"/>
    <w:link w:val="652"/>
    <w:qFormat/>
    <w:uiPriority w:val="0"/>
    <w:rPr>
      <w:rFonts w:cs="Times New Roman"/>
    </w:rPr>
  </w:style>
  <w:style w:type="character" w:customStyle="1" w:styleId="654">
    <w:name w:val="样式4 Char"/>
    <w:link w:val="350"/>
    <w:qFormat/>
    <w:uiPriority w:val="0"/>
    <w:rPr>
      <w:rFonts w:ascii="宋体" w:hAnsi="宋体"/>
      <w:sz w:val="24"/>
    </w:rPr>
  </w:style>
  <w:style w:type="character" w:customStyle="1" w:styleId="655">
    <w:name w:val="share Char"/>
    <w:link w:val="656"/>
    <w:qFormat/>
    <w:uiPriority w:val="0"/>
    <w:rPr>
      <w:b/>
      <w:kern w:val="2"/>
      <w:sz w:val="24"/>
      <w:szCs w:val="24"/>
    </w:rPr>
  </w:style>
  <w:style w:type="paragraph" w:customStyle="1" w:styleId="656">
    <w:name w:val="share"/>
    <w:basedOn w:val="1"/>
    <w:link w:val="655"/>
    <w:qFormat/>
    <w:uiPriority w:val="0"/>
    <w:pPr>
      <w:topLinePunct w:val="0"/>
      <w:adjustRightInd/>
      <w:spacing w:line="400" w:lineRule="exact"/>
      <w:ind w:firstLine="482"/>
    </w:pPr>
    <w:rPr>
      <w:rFonts w:ascii="Calibri" w:hAnsi="Calibri" w:cs="Times New Roman"/>
      <w:b/>
      <w:kern w:val="2"/>
    </w:rPr>
  </w:style>
  <w:style w:type="character" w:customStyle="1" w:styleId="657">
    <w:name w:val="正文 首行缩进:  2 字符 Char"/>
    <w:link w:val="658"/>
    <w:qFormat/>
    <w:uiPriority w:val="0"/>
    <w:rPr>
      <w:kern w:val="2"/>
      <w:sz w:val="28"/>
    </w:rPr>
  </w:style>
  <w:style w:type="paragraph" w:customStyle="1" w:styleId="658">
    <w:name w:val="正文 首行缩进:  2 字符"/>
    <w:basedOn w:val="1"/>
    <w:link w:val="657"/>
    <w:qFormat/>
    <w:uiPriority w:val="0"/>
    <w:pPr>
      <w:topLinePunct w:val="0"/>
      <w:adjustRightInd/>
      <w:spacing w:line="240" w:lineRule="auto"/>
      <w:ind w:firstLine="579"/>
    </w:pPr>
    <w:rPr>
      <w:rFonts w:ascii="Calibri" w:hAnsi="Calibri" w:cs="Times New Roman"/>
      <w:kern w:val="2"/>
      <w:sz w:val="28"/>
      <w:szCs w:val="20"/>
    </w:rPr>
  </w:style>
  <w:style w:type="character" w:customStyle="1" w:styleId="659">
    <w:name w:val="纯文本 Char2"/>
    <w:qFormat/>
    <w:uiPriority w:val="0"/>
    <w:rPr>
      <w:rFonts w:ascii="宋体" w:hAnsi="Courier New" w:eastAsia="宋体"/>
      <w:kern w:val="2"/>
      <w:sz w:val="24"/>
      <w:lang w:val="en-US" w:eastAsia="zh-CN" w:bidi="ar-SA"/>
    </w:rPr>
  </w:style>
  <w:style w:type="character" w:customStyle="1" w:styleId="660">
    <w:name w:val="正文文字 Char Char"/>
    <w:qFormat/>
    <w:uiPriority w:val="0"/>
    <w:rPr>
      <w:rFonts w:eastAsia="宋体"/>
      <w:kern w:val="2"/>
      <w:sz w:val="26"/>
      <w:szCs w:val="26"/>
      <w:lang w:val="en-US" w:eastAsia="zh-CN" w:bidi="ar-SA"/>
    </w:rPr>
  </w:style>
  <w:style w:type="character" w:customStyle="1" w:styleId="661">
    <w:name w:val="font21"/>
    <w:basedOn w:val="62"/>
    <w:qFormat/>
    <w:uiPriority w:val="0"/>
    <w:rPr>
      <w:rFonts w:hint="default" w:ascii="Times New Roman" w:hAnsi="Times New Roman" w:cs="Times New Roman"/>
      <w:color w:val="000000"/>
      <w:sz w:val="18"/>
      <w:szCs w:val="18"/>
      <w:u w:val="none"/>
    </w:rPr>
  </w:style>
  <w:style w:type="character" w:customStyle="1" w:styleId="662">
    <w:name w:val="样式20 Char"/>
    <w:link w:val="663"/>
    <w:qFormat/>
    <w:uiPriority w:val="0"/>
    <w:rPr>
      <w:sz w:val="26"/>
      <w:szCs w:val="26"/>
    </w:rPr>
  </w:style>
  <w:style w:type="paragraph" w:customStyle="1" w:styleId="663">
    <w:name w:val="样式20"/>
    <w:basedOn w:val="1"/>
    <w:link w:val="662"/>
    <w:qFormat/>
    <w:uiPriority w:val="0"/>
    <w:pPr>
      <w:keepNext/>
      <w:widowControl/>
      <w:tabs>
        <w:tab w:val="left" w:pos="630"/>
      </w:tabs>
      <w:topLinePunct w:val="0"/>
      <w:adjustRightInd/>
      <w:spacing w:line="460" w:lineRule="exact"/>
      <w:ind w:firstLine="0" w:firstLineChars="0"/>
      <w:jc w:val="center"/>
      <w:outlineLvl w:val="5"/>
    </w:pPr>
    <w:rPr>
      <w:rFonts w:ascii="Calibri" w:hAnsi="Calibri" w:cs="Times New Roman"/>
      <w:sz w:val="26"/>
      <w:szCs w:val="26"/>
    </w:rPr>
  </w:style>
  <w:style w:type="paragraph" w:customStyle="1" w:styleId="664">
    <w:name w:val="章"/>
    <w:basedOn w:val="665"/>
    <w:next w:val="341"/>
    <w:qFormat/>
    <w:uiPriority w:val="0"/>
    <w:pPr>
      <w:tabs>
        <w:tab w:val="left" w:pos="2160"/>
      </w:tabs>
      <w:spacing w:beforeLines="0" w:afterLines="0" w:line="360" w:lineRule="auto"/>
    </w:pPr>
    <w:rPr>
      <w:rFonts w:hAnsi="宋体" w:cs="Times New Roman"/>
      <w:bCs w:val="0"/>
      <w:szCs w:val="32"/>
    </w:rPr>
  </w:style>
  <w:style w:type="paragraph" w:customStyle="1" w:styleId="665">
    <w:name w:val="样式 标题 1 + 段后: 1.5 行"/>
    <w:basedOn w:val="2"/>
    <w:qFormat/>
    <w:uiPriority w:val="0"/>
    <w:pPr>
      <w:tabs>
        <w:tab w:val="left" w:pos="2160"/>
      </w:tabs>
      <w:topLinePunct w:val="0"/>
      <w:snapToGrid w:val="0"/>
      <w:spacing w:beforeLines="100" w:beforeAutospacing="0" w:afterLines="100" w:afterAutospacing="0" w:line="460" w:lineRule="exact"/>
      <w:jc w:val="center"/>
    </w:pPr>
    <w:rPr>
      <w:rFonts w:ascii="黑体" w:hAnsi="Arial" w:eastAsia="黑体" w:cs="Arial"/>
      <w:bCs/>
      <w:szCs w:val="20"/>
    </w:rPr>
  </w:style>
  <w:style w:type="paragraph" w:customStyle="1" w:styleId="666">
    <w:name w:val="中文报告书样式"/>
    <w:basedOn w:val="1"/>
    <w:qFormat/>
    <w:uiPriority w:val="0"/>
    <w:pPr>
      <w:topLinePunct w:val="0"/>
      <w:spacing w:line="480" w:lineRule="atLeast"/>
      <w:ind w:firstLine="482" w:firstLineChars="0"/>
      <w:textAlignment w:val="baseline"/>
    </w:pPr>
    <w:rPr>
      <w:rFonts w:ascii="Times New Roman" w:cs="Times New Roman"/>
      <w:kern w:val="24"/>
      <w:szCs w:val="20"/>
    </w:rPr>
  </w:style>
  <w:style w:type="paragraph" w:customStyle="1" w:styleId="667">
    <w:name w:val="Char Char Char Char Char Char Char Char Char Char Char Char Char Char Char Char"/>
    <w:basedOn w:val="1"/>
    <w:next w:val="1"/>
    <w:qFormat/>
    <w:uiPriority w:val="0"/>
    <w:pPr>
      <w:topLinePunct w:val="0"/>
      <w:adjustRightInd/>
    </w:pPr>
    <w:rPr>
      <w:rFonts w:ascii="Times New Roman" w:cs="Times New Roman"/>
      <w:kern w:val="2"/>
      <w:sz w:val="21"/>
    </w:rPr>
  </w:style>
  <w:style w:type="paragraph" w:customStyle="1" w:styleId="668">
    <w:name w:val="排版正文"/>
    <w:basedOn w:val="1"/>
    <w:qFormat/>
    <w:uiPriority w:val="0"/>
    <w:pPr>
      <w:topLinePunct w:val="0"/>
      <w:snapToGrid w:val="0"/>
      <w:spacing w:line="460" w:lineRule="exact"/>
      <w:ind w:firstLine="560"/>
    </w:pPr>
    <w:rPr>
      <w:rFonts w:ascii="Times New Roman" w:cs="Times New Roman"/>
      <w:color w:val="000000"/>
      <w:kern w:val="2"/>
      <w:sz w:val="28"/>
    </w:rPr>
  </w:style>
  <w:style w:type="paragraph" w:customStyle="1" w:styleId="669">
    <w:name w:val="样式 标题 2节 + (西文) 宋体 (中文) 宋体 小四 段前: 0 磅 段后: 0 磅 行距: 1.5 倍行距"/>
    <w:basedOn w:val="3"/>
    <w:qFormat/>
    <w:uiPriority w:val="0"/>
    <w:pPr>
      <w:topLinePunct w:val="0"/>
      <w:adjustRightInd/>
      <w:spacing w:before="0" w:line="480" w:lineRule="exact"/>
    </w:pPr>
    <w:rPr>
      <w:rFonts w:ascii="黑体" w:hAnsi="宋体" w:eastAsia="黑体"/>
      <w:kern w:val="2"/>
      <w:szCs w:val="28"/>
    </w:rPr>
  </w:style>
  <w:style w:type="paragraph" w:customStyle="1" w:styleId="670">
    <w:name w:val="4 Char Char Char Char Char Char Char Char Char Char Char Char Char Char Char Char Char Char"/>
    <w:basedOn w:val="1"/>
    <w:semiHidden/>
    <w:qFormat/>
    <w:uiPriority w:val="0"/>
    <w:pPr>
      <w:topLinePunct w:val="0"/>
      <w:snapToGrid w:val="0"/>
    </w:pPr>
    <w:rPr>
      <w:rFonts w:hAnsi="宋体"/>
      <w:kern w:val="2"/>
      <w:sz w:val="30"/>
      <w:szCs w:val="30"/>
    </w:rPr>
  </w:style>
  <w:style w:type="paragraph" w:customStyle="1" w:styleId="671">
    <w:name w:val="样式 标题 2节 + (西文) 宋体 (中文) 宋体 四号 段前: 0 磅 段后: 0 磅 行距: 固定值 25 磅"/>
    <w:basedOn w:val="3"/>
    <w:qFormat/>
    <w:uiPriority w:val="0"/>
    <w:pPr>
      <w:topLinePunct w:val="0"/>
      <w:adjustRightInd/>
      <w:spacing w:before="0" w:line="480" w:lineRule="exact"/>
    </w:pPr>
    <w:rPr>
      <w:rFonts w:ascii="宋体" w:hAnsi="宋体" w:eastAsia="黑体"/>
      <w:kern w:val="2"/>
      <w:szCs w:val="28"/>
    </w:rPr>
  </w:style>
  <w:style w:type="paragraph" w:customStyle="1" w:styleId="672">
    <w:name w:val="样式 正文缩进首行缩进两字特点 Char正文缩进 Char正文（首行缩进两字） Char正文（首行缩进两字） Char..."/>
    <w:basedOn w:val="1"/>
    <w:qFormat/>
    <w:uiPriority w:val="0"/>
    <w:pPr>
      <w:topLinePunct w:val="0"/>
      <w:adjustRightInd/>
      <w:ind w:firstLine="480"/>
    </w:pPr>
    <w:rPr>
      <w:rFonts w:ascii="Times New Roman" w:cs="Times New Roman"/>
      <w:kern w:val="2"/>
    </w:rPr>
  </w:style>
  <w:style w:type="paragraph" w:customStyle="1" w:styleId="673">
    <w:name w:val="Heading1"/>
    <w:basedOn w:val="1"/>
    <w:next w:val="1"/>
    <w:qFormat/>
    <w:uiPriority w:val="0"/>
    <w:pPr>
      <w:keepNext/>
      <w:keepLines/>
      <w:tabs>
        <w:tab w:val="left" w:pos="1230"/>
      </w:tabs>
      <w:topLinePunct w:val="0"/>
      <w:adjustRightInd/>
      <w:spacing w:before="240" w:after="120" w:line="240" w:lineRule="auto"/>
      <w:ind w:left="1230" w:hanging="1230" w:firstLineChars="0"/>
      <w:jc w:val="center"/>
    </w:pPr>
    <w:rPr>
      <w:rFonts w:ascii="Times New Roman" w:eastAsia="黑体" w:cs="Times New Roman"/>
      <w:b/>
      <w:kern w:val="44"/>
      <w:sz w:val="42"/>
    </w:rPr>
  </w:style>
  <w:style w:type="paragraph" w:customStyle="1" w:styleId="674">
    <w:name w:val="pic-info"/>
    <w:basedOn w:val="1"/>
    <w:qFormat/>
    <w:uiPriority w:val="0"/>
    <w:pPr>
      <w:widowControl/>
      <w:topLinePunct w:val="0"/>
      <w:adjustRightInd/>
      <w:spacing w:before="100" w:beforeAutospacing="1" w:after="100" w:afterAutospacing="1" w:line="240" w:lineRule="auto"/>
      <w:ind w:firstLine="0" w:firstLineChars="0"/>
      <w:jc w:val="left"/>
    </w:pPr>
    <w:rPr>
      <w:rFonts w:hAnsi="宋体"/>
    </w:rPr>
  </w:style>
  <w:style w:type="paragraph" w:customStyle="1" w:styleId="675">
    <w:name w:val="111111111111111111222"/>
    <w:basedOn w:val="1"/>
    <w:qFormat/>
    <w:uiPriority w:val="0"/>
    <w:pPr>
      <w:topLinePunct w:val="0"/>
      <w:adjustRightInd/>
      <w:spacing w:line="440" w:lineRule="exact"/>
      <w:ind w:firstLine="480"/>
    </w:pPr>
    <w:rPr>
      <w:rFonts w:hAnsi="宋体" w:cs="Times New Roman"/>
      <w:kern w:val="2"/>
    </w:rPr>
  </w:style>
  <w:style w:type="paragraph" w:customStyle="1" w:styleId="676">
    <w:name w:val="样式116"/>
    <w:basedOn w:val="607"/>
    <w:qFormat/>
    <w:uiPriority w:val="0"/>
    <w:pPr>
      <w:spacing w:line="240" w:lineRule="exact"/>
    </w:pPr>
  </w:style>
  <w:style w:type="paragraph" w:customStyle="1" w:styleId="677">
    <w:name w:val="报告表正文"/>
    <w:basedOn w:val="1"/>
    <w:qFormat/>
    <w:uiPriority w:val="0"/>
    <w:pPr>
      <w:topLinePunct w:val="0"/>
      <w:snapToGrid w:val="0"/>
      <w:spacing w:line="460" w:lineRule="atLeast"/>
      <w:ind w:firstLine="480"/>
    </w:pPr>
    <w:rPr>
      <w:rFonts w:ascii="Times New Roman" w:hAnsi="宋体" w:cs="Times New Roman"/>
      <w:bCs/>
      <w:kern w:val="2"/>
      <w:sz w:val="21"/>
    </w:rPr>
  </w:style>
  <w:style w:type="paragraph" w:customStyle="1" w:styleId="678">
    <w:name w:val="样式 样式 标题 2标题节标题 2 Char Char + 段前: 2 行 + 左侧:  1 字符4"/>
    <w:basedOn w:val="611"/>
    <w:qFormat/>
    <w:uiPriority w:val="0"/>
    <w:pPr>
      <w:spacing w:beforeLines="0" w:after="50"/>
    </w:pPr>
    <w:rPr>
      <w:rFonts w:hAnsi="Times New Roman" w:eastAsia="宋体" w:cs="宋体"/>
      <w:bCs/>
    </w:rPr>
  </w:style>
  <w:style w:type="paragraph" w:customStyle="1" w:styleId="679">
    <w:name w:val="z正文 Char Char Char"/>
    <w:basedOn w:val="1"/>
    <w:qFormat/>
    <w:uiPriority w:val="0"/>
    <w:pPr>
      <w:topLinePunct w:val="0"/>
      <w:adjustRightInd/>
    </w:pPr>
    <w:rPr>
      <w:rFonts w:hAnsi="宋体" w:eastAsia="仿宋_GB2312"/>
      <w:kern w:val="2"/>
      <w:sz w:val="28"/>
      <w:szCs w:val="28"/>
    </w:rPr>
  </w:style>
  <w:style w:type="paragraph" w:customStyle="1" w:styleId="680">
    <w:name w:val="表文排版"/>
    <w:basedOn w:val="6"/>
    <w:next w:val="1"/>
    <w:qFormat/>
    <w:uiPriority w:val="0"/>
    <w:pPr>
      <w:topLinePunct w:val="0"/>
      <w:snapToGrid w:val="0"/>
      <w:spacing w:line="240" w:lineRule="auto"/>
      <w:ind w:firstLine="0" w:firstLineChars="0"/>
      <w:jc w:val="center"/>
    </w:pPr>
    <w:rPr>
      <w:rFonts w:ascii="Times New Roman" w:cs="Times New Roman"/>
      <w:kern w:val="2"/>
      <w:sz w:val="22"/>
    </w:rPr>
  </w:style>
  <w:style w:type="paragraph" w:customStyle="1" w:styleId="681">
    <w:name w:val="UserStyle_3"/>
    <w:basedOn w:val="682"/>
    <w:next w:val="1"/>
    <w:qFormat/>
    <w:uiPriority w:val="0"/>
    <w:pPr>
      <w:keepLines/>
      <w:snapToGrid w:val="0"/>
      <w:spacing w:line="460" w:lineRule="exact"/>
      <w:ind w:firstLine="200" w:firstLineChars="200"/>
    </w:pPr>
    <w:rPr>
      <w:rFonts w:ascii="Times New Roman"/>
      <w:sz w:val="26"/>
      <w:szCs w:val="20"/>
    </w:rPr>
  </w:style>
  <w:style w:type="paragraph" w:customStyle="1" w:styleId="682">
    <w:name w:val="Heading2"/>
    <w:basedOn w:val="1"/>
    <w:next w:val="1"/>
    <w:qFormat/>
    <w:uiPriority w:val="0"/>
    <w:pPr>
      <w:keepNext/>
      <w:topLinePunct w:val="0"/>
      <w:adjustRightInd/>
      <w:spacing w:before="156" w:line="440" w:lineRule="exact"/>
      <w:ind w:firstLine="472" w:firstLineChars="196"/>
    </w:pPr>
    <w:rPr>
      <w:rFonts w:ascii="Arial" w:hAnsi="Arial" w:eastAsia="黑体" w:cs="Times New Roman"/>
      <w:b/>
      <w:color w:val="000000"/>
      <w:kern w:val="2"/>
    </w:rPr>
  </w:style>
  <w:style w:type="paragraph" w:customStyle="1" w:styleId="683">
    <w:name w:val="样式 标题 3 + 四号"/>
    <w:basedOn w:val="4"/>
    <w:qFormat/>
    <w:uiPriority w:val="0"/>
    <w:pPr>
      <w:topLinePunct w:val="0"/>
      <w:adjustRightInd/>
      <w:spacing w:before="100" w:after="100" w:line="460" w:lineRule="exact"/>
    </w:pPr>
    <w:rPr>
      <w:rFonts w:ascii="宋体" w:hAnsi="宋体" w:eastAsia="宋体"/>
      <w:b w:val="0"/>
      <w:bCs/>
      <w:kern w:val="2"/>
      <w:sz w:val="26"/>
      <w:szCs w:val="28"/>
    </w:rPr>
  </w:style>
  <w:style w:type="paragraph" w:customStyle="1" w:styleId="684">
    <w:name w:val="NormalIndent"/>
    <w:basedOn w:val="1"/>
    <w:next w:val="1"/>
    <w:qFormat/>
    <w:uiPriority w:val="0"/>
    <w:pPr>
      <w:topLinePunct w:val="0"/>
      <w:adjustRightInd/>
      <w:spacing w:line="240" w:lineRule="auto"/>
      <w:ind w:firstLine="420"/>
    </w:pPr>
    <w:rPr>
      <w:rFonts w:ascii="Times New Roman" w:cs="Times New Roman"/>
      <w:kern w:val="2"/>
      <w:sz w:val="21"/>
    </w:rPr>
  </w:style>
  <w:style w:type="paragraph" w:customStyle="1" w:styleId="685">
    <w:name w:val="Body Text 21"/>
    <w:basedOn w:val="1"/>
    <w:qFormat/>
    <w:uiPriority w:val="0"/>
    <w:pPr>
      <w:topLinePunct w:val="0"/>
      <w:snapToGrid w:val="0"/>
      <w:spacing w:line="312" w:lineRule="auto"/>
      <w:ind w:firstLine="0" w:firstLineChars="0"/>
      <w:textAlignment w:val="baseline"/>
    </w:pPr>
    <w:rPr>
      <w:rFonts w:ascii="Times New Roman" w:cs="Times New Roman"/>
      <w:sz w:val="28"/>
      <w:szCs w:val="20"/>
    </w:rPr>
  </w:style>
  <w:style w:type="paragraph" w:customStyle="1" w:styleId="686">
    <w:name w:val="样式 正文 首行缩进:  2 字符 SL CON + 首行缩进:  2 字符"/>
    <w:basedOn w:val="687"/>
    <w:qFormat/>
    <w:uiPriority w:val="0"/>
    <w:pPr>
      <w:tabs>
        <w:tab w:val="left" w:pos="377"/>
      </w:tabs>
      <w:ind w:firstLine="480"/>
    </w:pPr>
    <w:rPr>
      <w:szCs w:val="21"/>
    </w:rPr>
  </w:style>
  <w:style w:type="paragraph" w:customStyle="1" w:styleId="687">
    <w:name w:val="正文 首行缩进:  2 字符 SL CON"/>
    <w:basedOn w:val="1"/>
    <w:qFormat/>
    <w:uiPriority w:val="0"/>
    <w:pPr>
      <w:widowControl/>
      <w:tabs>
        <w:tab w:val="left" w:pos="377"/>
      </w:tabs>
      <w:topLinePunct w:val="0"/>
      <w:adjustRightInd/>
    </w:pPr>
  </w:style>
  <w:style w:type="paragraph" w:customStyle="1" w:styleId="688">
    <w:name w:val="何家沟正文"/>
    <w:basedOn w:val="1"/>
    <w:qFormat/>
    <w:uiPriority w:val="0"/>
    <w:pPr>
      <w:topLinePunct w:val="0"/>
      <w:adjustRightInd/>
      <w:ind w:firstLine="460"/>
    </w:pPr>
    <w:rPr>
      <w:rFonts w:ascii="Times New Roman" w:hAnsi="宋体"/>
      <w:kern w:val="2"/>
      <w:sz w:val="23"/>
      <w:szCs w:val="23"/>
    </w:rPr>
  </w:style>
  <w:style w:type="paragraph" w:customStyle="1" w:styleId="689">
    <w:name w:val="样式 标题 2节 + (西文) 宋体 (中文) 宋体 四号 段前: 0 磅 段后: 0 磅 行距: 1.5 倍行距"/>
    <w:basedOn w:val="3"/>
    <w:qFormat/>
    <w:uiPriority w:val="0"/>
    <w:pPr>
      <w:topLinePunct w:val="0"/>
      <w:adjustRightInd/>
      <w:spacing w:before="0" w:line="500" w:lineRule="exact"/>
    </w:pPr>
    <w:rPr>
      <w:rFonts w:ascii="宋体" w:hAnsi="宋体"/>
      <w:kern w:val="2"/>
      <w:szCs w:val="28"/>
    </w:rPr>
  </w:style>
  <w:style w:type="paragraph" w:customStyle="1" w:styleId="690">
    <w:name w:val="样式 样式 标题 2标题节标题 2 Char Char + 段前: 2 行 + 首行缩进:  2 字符 段前: 0.5 行 ...1"/>
    <w:basedOn w:val="611"/>
    <w:next w:val="1"/>
    <w:qFormat/>
    <w:uiPriority w:val="0"/>
    <w:pPr>
      <w:spacing w:beforeLines="0" w:line="240" w:lineRule="auto"/>
      <w:ind w:firstLine="482"/>
    </w:pPr>
    <w:rPr>
      <w:rFonts w:ascii="Arial"/>
      <w:bCs/>
      <w:sz w:val="24"/>
      <w:szCs w:val="24"/>
    </w:rPr>
  </w:style>
  <w:style w:type="paragraph" w:customStyle="1" w:styleId="691">
    <w:name w:val="正文(首行缩进)"/>
    <w:basedOn w:val="1"/>
    <w:qFormat/>
    <w:uiPriority w:val="0"/>
    <w:pPr>
      <w:topLinePunct w:val="0"/>
      <w:adjustRightInd/>
      <w:ind w:firstLine="510" w:firstLineChars="0"/>
    </w:pPr>
    <w:rPr>
      <w:rFonts w:hAnsi="宋体" w:cs="Times New Roman"/>
      <w:snapToGrid w:val="0"/>
      <w:szCs w:val="20"/>
    </w:rPr>
  </w:style>
  <w:style w:type="paragraph" w:customStyle="1" w:styleId="692">
    <w:name w:val="标书标题1"/>
    <w:basedOn w:val="2"/>
    <w:qFormat/>
    <w:uiPriority w:val="0"/>
    <w:pPr>
      <w:keepNext w:val="0"/>
      <w:keepLines w:val="0"/>
      <w:tabs>
        <w:tab w:val="left" w:pos="360"/>
      </w:tabs>
      <w:topLinePunct w:val="0"/>
      <w:snapToGrid w:val="0"/>
      <w:spacing w:beforeLines="100" w:beforeAutospacing="0" w:afterLines="100" w:afterAutospacing="0" w:line="460" w:lineRule="exact"/>
      <w:ind w:left="284" w:hanging="284"/>
      <w:jc w:val="center"/>
    </w:pPr>
    <w:rPr>
      <w:rFonts w:ascii="Arial Narrow" w:hAnsi="Arial Narrow" w:eastAsia="黑体"/>
      <w:b w:val="0"/>
      <w:snapToGrid w:val="0"/>
      <w:kern w:val="0"/>
      <w:sz w:val="30"/>
    </w:rPr>
  </w:style>
  <w:style w:type="paragraph" w:customStyle="1" w:styleId="693">
    <w:name w:val="Char21"/>
    <w:basedOn w:val="1"/>
    <w:qFormat/>
    <w:uiPriority w:val="0"/>
    <w:pPr>
      <w:topLinePunct w:val="0"/>
      <w:adjustRightInd/>
    </w:pPr>
    <w:rPr>
      <w:rFonts w:ascii="Times New Roman" w:cs="Times New Roman"/>
      <w:kern w:val="2"/>
      <w:sz w:val="30"/>
      <w:szCs w:val="20"/>
    </w:rPr>
  </w:style>
  <w:style w:type="paragraph" w:customStyle="1" w:styleId="694">
    <w:name w:val="样式 首行缩进:  2 字符1"/>
    <w:basedOn w:val="1"/>
    <w:qFormat/>
    <w:uiPriority w:val="0"/>
    <w:pPr>
      <w:topLinePunct w:val="0"/>
      <w:adjustRightInd/>
      <w:spacing w:before="120" w:line="440" w:lineRule="atLeast"/>
      <w:ind w:firstLine="497" w:firstLineChars="207"/>
    </w:pPr>
    <w:rPr>
      <w:rFonts w:ascii="Arial" w:hAnsi="宋体" w:cs="Arial"/>
      <w:kern w:val="2"/>
    </w:rPr>
  </w:style>
  <w:style w:type="paragraph" w:customStyle="1" w:styleId="695">
    <w:name w:val="样式 样式 标题 2标题节标题 2 Char Char + 段前: 2 行 + 段前: 0.5 行 段后: 0.5 行1"/>
    <w:basedOn w:val="611"/>
    <w:qFormat/>
    <w:uiPriority w:val="0"/>
  </w:style>
  <w:style w:type="paragraph" w:customStyle="1" w:styleId="696">
    <w:name w:val="a3"/>
    <w:basedOn w:val="1"/>
    <w:qFormat/>
    <w:uiPriority w:val="0"/>
    <w:pPr>
      <w:topLinePunct w:val="0"/>
      <w:adjustRightInd/>
      <w:spacing w:line="288" w:lineRule="auto"/>
      <w:ind w:firstLine="0" w:firstLineChars="0"/>
      <w:jc w:val="center"/>
    </w:pPr>
    <w:rPr>
      <w:rFonts w:ascii="Times New Roman" w:cs="Times New Roman"/>
      <w:kern w:val="2"/>
      <w:sz w:val="21"/>
    </w:rPr>
  </w:style>
  <w:style w:type="paragraph" w:customStyle="1" w:styleId="697">
    <w:name w:val="样式 样式 标题 2标题节标题 2 Char Char + 段前: 2 行 + 左侧:  1 字符3"/>
    <w:basedOn w:val="611"/>
    <w:qFormat/>
    <w:uiPriority w:val="0"/>
    <w:pPr>
      <w:spacing w:beforeLines="0" w:after="50"/>
    </w:pPr>
    <w:rPr>
      <w:rFonts w:hAnsi="Times New Roman" w:eastAsia="宋体" w:cs="宋体"/>
      <w:bCs/>
    </w:rPr>
  </w:style>
  <w:style w:type="paragraph" w:customStyle="1" w:styleId="698">
    <w:name w:val="标书标题4"/>
    <w:basedOn w:val="5"/>
    <w:qFormat/>
    <w:uiPriority w:val="0"/>
    <w:pPr>
      <w:widowControl w:val="0"/>
      <w:tabs>
        <w:tab w:val="left" w:pos="851"/>
      </w:tabs>
      <w:spacing w:beforeLines="0" w:line="300" w:lineRule="auto"/>
      <w:ind w:left="851" w:hanging="851" w:firstLineChars="200"/>
      <w:jc w:val="both"/>
    </w:pPr>
    <w:rPr>
      <w:rFonts w:ascii="Arial Narrow" w:hAnsi="Arial Narrow" w:eastAsia="仿宋_GB2312"/>
      <w:kern w:val="0"/>
      <w:szCs w:val="20"/>
    </w:rPr>
  </w:style>
  <w:style w:type="paragraph" w:customStyle="1" w:styleId="699">
    <w:name w:val="Char4 Char Char Char2"/>
    <w:basedOn w:val="1"/>
    <w:semiHidden/>
    <w:qFormat/>
    <w:uiPriority w:val="0"/>
    <w:pPr>
      <w:topLinePunct w:val="0"/>
      <w:snapToGrid w:val="0"/>
    </w:pPr>
    <w:rPr>
      <w:rFonts w:hAnsi="宋体"/>
      <w:kern w:val="2"/>
      <w:szCs w:val="26"/>
    </w:rPr>
  </w:style>
  <w:style w:type="paragraph" w:customStyle="1" w:styleId="700">
    <w:name w:val="标书标题3"/>
    <w:basedOn w:val="4"/>
    <w:qFormat/>
    <w:uiPriority w:val="0"/>
    <w:pPr>
      <w:keepNext w:val="0"/>
      <w:keepLines w:val="0"/>
      <w:topLinePunct w:val="0"/>
      <w:snapToGrid w:val="0"/>
      <w:spacing w:before="120" w:after="60" w:line="300" w:lineRule="auto"/>
      <w:ind w:firstLine="522" w:firstLineChars="200"/>
    </w:pPr>
    <w:rPr>
      <w:rFonts w:ascii="宋体" w:hAnsi="宋体" w:eastAsia="宋体"/>
      <w:bCs/>
      <w:color w:val="000000"/>
      <w:sz w:val="26"/>
      <w:szCs w:val="26"/>
    </w:rPr>
  </w:style>
  <w:style w:type="paragraph" w:customStyle="1" w:styleId="701">
    <w:name w:val="样式 样式 样式 样式 样式 正文A + 首行缩进:  2 字符 + 首行缩进:  2 字符 + 两端对齐 首行缩进:  2 字..."/>
    <w:basedOn w:val="1"/>
    <w:qFormat/>
    <w:uiPriority w:val="0"/>
    <w:pPr>
      <w:tabs>
        <w:tab w:val="left" w:pos="578"/>
        <w:tab w:val="left" w:pos="1074"/>
        <w:tab w:val="left" w:pos="1595"/>
        <w:tab w:val="left" w:pos="2073"/>
        <w:tab w:val="left" w:pos="2507"/>
        <w:tab w:val="left" w:pos="3025"/>
        <w:tab w:val="left" w:pos="3991"/>
      </w:tabs>
      <w:topLinePunct w:val="0"/>
      <w:adjustRightInd/>
      <w:ind w:firstLine="480"/>
    </w:pPr>
    <w:rPr>
      <w:rFonts w:ascii="Times New Roman"/>
      <w:szCs w:val="20"/>
    </w:rPr>
  </w:style>
  <w:style w:type="paragraph" w:customStyle="1" w:styleId="702">
    <w:name w:val="标书标题2"/>
    <w:basedOn w:val="3"/>
    <w:qFormat/>
    <w:uiPriority w:val="0"/>
    <w:pPr>
      <w:keepNext w:val="0"/>
      <w:keepLines w:val="0"/>
      <w:tabs>
        <w:tab w:val="left" w:pos="574"/>
      </w:tabs>
      <w:topLinePunct w:val="0"/>
      <w:snapToGrid w:val="0"/>
      <w:spacing w:after="120" w:line="300" w:lineRule="auto"/>
      <w:ind w:firstLine="200" w:firstLineChars="200"/>
      <w:jc w:val="left"/>
    </w:pPr>
    <w:rPr>
      <w:rFonts w:ascii="Arial Narrow" w:hAnsi="Arial Narrow" w:cs="Times New Roman"/>
      <w:bCs w:val="0"/>
    </w:rPr>
  </w:style>
  <w:style w:type="paragraph" w:customStyle="1" w:styleId="703">
    <w:name w:val="ygs正文"/>
    <w:basedOn w:val="1"/>
    <w:qFormat/>
    <w:uiPriority w:val="0"/>
    <w:pPr>
      <w:topLinePunct w:val="0"/>
      <w:adjustRightInd/>
      <w:spacing w:line="440" w:lineRule="exact"/>
      <w:ind w:firstLine="480"/>
    </w:pPr>
    <w:rPr>
      <w:rFonts w:hAnsi="宋体" w:cs="Times New Roman"/>
      <w:bCs/>
      <w:kern w:val="2"/>
    </w:rPr>
  </w:style>
  <w:style w:type="paragraph" w:customStyle="1" w:styleId="704">
    <w:name w:val="Char Char Char Char Char2 Char"/>
    <w:basedOn w:val="1"/>
    <w:qFormat/>
    <w:uiPriority w:val="0"/>
    <w:pPr>
      <w:topLinePunct w:val="0"/>
      <w:snapToGrid w:val="0"/>
    </w:pPr>
    <w:rPr>
      <w:rFonts w:hAnsi="宋体"/>
      <w:kern w:val="2"/>
      <w:szCs w:val="26"/>
    </w:rPr>
  </w:style>
  <w:style w:type="paragraph" w:customStyle="1" w:styleId="705">
    <w:name w:val="declear"/>
    <w:basedOn w:val="1"/>
    <w:qFormat/>
    <w:uiPriority w:val="0"/>
    <w:pPr>
      <w:widowControl/>
      <w:topLinePunct w:val="0"/>
      <w:adjustRightInd/>
      <w:spacing w:before="100" w:beforeAutospacing="1" w:after="100" w:afterAutospacing="1" w:line="240" w:lineRule="auto"/>
      <w:ind w:firstLine="0" w:firstLineChars="0"/>
      <w:jc w:val="left"/>
    </w:pPr>
    <w:rPr>
      <w:rFonts w:hAnsi="宋体"/>
    </w:rPr>
  </w:style>
  <w:style w:type="paragraph" w:customStyle="1" w:styleId="706">
    <w:name w:val="正 文"/>
    <w:basedOn w:val="1"/>
    <w:qFormat/>
    <w:uiPriority w:val="0"/>
    <w:pPr>
      <w:topLinePunct w:val="0"/>
      <w:adjustRightInd/>
      <w:spacing w:line="440" w:lineRule="exact"/>
      <w:ind w:firstLine="0" w:firstLineChars="0"/>
    </w:pPr>
    <w:rPr>
      <w:rFonts w:ascii="Times New Roman" w:hAnsi="宋体" w:cs="Times New Roman"/>
      <w:kern w:val="2"/>
      <w:sz w:val="21"/>
    </w:rPr>
  </w:style>
  <w:style w:type="paragraph" w:customStyle="1" w:styleId="707">
    <w:name w:val="正文   1"/>
    <w:basedOn w:val="1"/>
    <w:qFormat/>
    <w:uiPriority w:val="0"/>
    <w:pPr>
      <w:topLinePunct w:val="0"/>
      <w:adjustRightInd/>
      <w:snapToGrid w:val="0"/>
      <w:spacing w:line="460" w:lineRule="atLeast"/>
      <w:ind w:firstLine="520"/>
    </w:pPr>
    <w:rPr>
      <w:rFonts w:ascii="Times New Roman" w:cs="Times New Roman"/>
      <w:bCs/>
      <w:kern w:val="2"/>
      <w:sz w:val="26"/>
    </w:rPr>
  </w:style>
  <w:style w:type="paragraph" w:customStyle="1" w:styleId="708">
    <w:name w:val="表格中的文字"/>
    <w:basedOn w:val="1"/>
    <w:qFormat/>
    <w:uiPriority w:val="0"/>
    <w:pPr>
      <w:topLinePunct w:val="0"/>
      <w:adjustRightInd/>
      <w:snapToGrid w:val="0"/>
      <w:spacing w:line="240" w:lineRule="auto"/>
      <w:ind w:firstLine="0" w:firstLineChars="0"/>
      <w:jc w:val="center"/>
    </w:pPr>
    <w:rPr>
      <w:rFonts w:ascii="Times New Roman" w:cs="Times New Roman"/>
      <w:kern w:val="2"/>
      <w:sz w:val="21"/>
      <w:szCs w:val="22"/>
    </w:rPr>
  </w:style>
  <w:style w:type="paragraph" w:customStyle="1" w:styleId="709">
    <w:name w:val="6表格"/>
    <w:basedOn w:val="1"/>
    <w:qFormat/>
    <w:uiPriority w:val="0"/>
    <w:pPr>
      <w:topLinePunct w:val="0"/>
      <w:snapToGrid w:val="0"/>
      <w:spacing w:before="120" w:line="240" w:lineRule="auto"/>
      <w:ind w:firstLine="0" w:firstLineChars="0"/>
      <w:jc w:val="center"/>
    </w:pPr>
    <w:rPr>
      <w:rFonts w:ascii="Times New Roman" w:cs="Times New Roman"/>
      <w:sz w:val="21"/>
      <w:szCs w:val="20"/>
    </w:rPr>
  </w:style>
  <w:style w:type="paragraph" w:customStyle="1" w:styleId="710">
    <w:name w:val="Char Char2 Char Char Char Char Char Char"/>
    <w:basedOn w:val="1"/>
    <w:semiHidden/>
    <w:qFormat/>
    <w:uiPriority w:val="0"/>
    <w:pPr>
      <w:topLinePunct w:val="0"/>
      <w:snapToGrid w:val="0"/>
    </w:pPr>
    <w:rPr>
      <w:rFonts w:ascii="Times New Roman"/>
      <w:kern w:val="2"/>
      <w:szCs w:val="26"/>
    </w:rPr>
  </w:style>
  <w:style w:type="paragraph" w:customStyle="1" w:styleId="711">
    <w:name w:val="样式 样式 标题 2标题节标题 2 Char Char + 段前: 2 行 + 左侧:  1 字符 右侧:  1 字符1"/>
    <w:basedOn w:val="611"/>
    <w:qFormat/>
    <w:uiPriority w:val="0"/>
    <w:pPr>
      <w:spacing w:beforeLines="0" w:after="50"/>
    </w:pPr>
    <w:rPr>
      <w:rFonts w:hAnsi="Times New Roman" w:eastAsia="宋体" w:cs="宋体"/>
      <w:bCs/>
    </w:rPr>
  </w:style>
  <w:style w:type="paragraph" w:customStyle="1" w:styleId="712">
    <w:name w:val="样式19"/>
    <w:basedOn w:val="1"/>
    <w:qFormat/>
    <w:uiPriority w:val="0"/>
    <w:pPr>
      <w:keepNext/>
      <w:keepLines/>
      <w:widowControl/>
      <w:topLinePunct w:val="0"/>
      <w:snapToGrid w:val="0"/>
      <w:spacing w:line="460" w:lineRule="exact"/>
      <w:ind w:firstLine="0" w:firstLineChars="0"/>
      <w:jc w:val="left"/>
      <w:textAlignment w:val="baseline"/>
      <w:outlineLvl w:val="2"/>
    </w:pPr>
    <w:rPr>
      <w:rFonts w:ascii="Times New Roman" w:cs="Times New Roman"/>
      <w:b/>
      <w:sz w:val="26"/>
      <w:szCs w:val="26"/>
    </w:rPr>
  </w:style>
  <w:style w:type="paragraph" w:customStyle="1" w:styleId="713">
    <w:name w:val="样式 样式 标题 2标题节标题 2 Char Char + 段前: 2 行 + 左侧:  1 字符2"/>
    <w:basedOn w:val="611"/>
    <w:qFormat/>
    <w:uiPriority w:val="0"/>
    <w:pPr>
      <w:spacing w:beforeLines="0" w:after="50"/>
    </w:pPr>
    <w:rPr>
      <w:rFonts w:hAnsi="Times New Roman" w:eastAsia="宋体" w:cs="宋体"/>
      <w:bCs/>
    </w:rPr>
  </w:style>
  <w:style w:type="paragraph" w:customStyle="1" w:styleId="714">
    <w:name w:val="b"/>
    <w:basedOn w:val="3"/>
    <w:qFormat/>
    <w:uiPriority w:val="0"/>
    <w:pPr>
      <w:keepNext w:val="0"/>
      <w:keepLines w:val="0"/>
      <w:widowControl/>
      <w:topLinePunct w:val="0"/>
      <w:snapToGrid w:val="0"/>
      <w:spacing w:beforeLines="50" w:afterLines="50" w:line="240" w:lineRule="auto"/>
      <w:textAlignment w:val="baseline"/>
    </w:pPr>
    <w:rPr>
      <w:rFonts w:eastAsia="仿宋_GB2312" w:cs="Times New Roman"/>
      <w:color w:val="000000"/>
      <w:sz w:val="32"/>
    </w:rPr>
  </w:style>
  <w:style w:type="paragraph" w:customStyle="1" w:styleId="715">
    <w:name w:val="样式 正文缩进正文缩进2正文缩进 Char Char正文缩进 Char Char Char Char正文缩进 Char ..."/>
    <w:basedOn w:val="17"/>
    <w:qFormat/>
    <w:uiPriority w:val="0"/>
    <w:pPr>
      <w:spacing w:line="360" w:lineRule="auto"/>
      <w:ind w:firstLine="200"/>
    </w:pPr>
    <w:rPr>
      <w:rFonts w:ascii="Times New Roman" w:hAnsi="Times New Roman" w:cs="宋体"/>
      <w:kern w:val="2"/>
      <w:sz w:val="24"/>
      <w:szCs w:val="24"/>
    </w:rPr>
  </w:style>
  <w:style w:type="paragraph" w:customStyle="1" w:styleId="716">
    <w:name w:val="123"/>
    <w:basedOn w:val="1"/>
    <w:next w:val="1"/>
    <w:qFormat/>
    <w:uiPriority w:val="0"/>
    <w:pPr>
      <w:topLinePunct w:val="0"/>
      <w:adjustRightInd/>
      <w:ind w:firstLine="562"/>
    </w:pPr>
    <w:rPr>
      <w:rFonts w:ascii="Times New Roman" w:cs="Times New Roman"/>
      <w:b/>
      <w:bCs/>
      <w:color w:val="000000"/>
      <w:kern w:val="2"/>
      <w:sz w:val="28"/>
    </w:rPr>
  </w:style>
  <w:style w:type="paragraph" w:customStyle="1" w:styleId="717">
    <w:name w:val="样式 13 磅 行距: 固定值 23 磅"/>
    <w:basedOn w:val="1"/>
    <w:qFormat/>
    <w:uiPriority w:val="0"/>
    <w:pPr>
      <w:topLinePunct w:val="0"/>
      <w:adjustRightInd/>
      <w:spacing w:line="460" w:lineRule="exact"/>
      <w:ind w:firstLine="520"/>
    </w:pPr>
    <w:rPr>
      <w:rFonts w:ascii="Times New Roman" w:cs="Times New Roman"/>
      <w:kern w:val="2"/>
      <w:sz w:val="26"/>
      <w:szCs w:val="20"/>
    </w:rPr>
  </w:style>
  <w:style w:type="paragraph" w:customStyle="1" w:styleId="718">
    <w:name w:val="样式6565656"/>
    <w:basedOn w:val="1"/>
    <w:qFormat/>
    <w:uiPriority w:val="0"/>
    <w:pPr>
      <w:topLinePunct w:val="0"/>
      <w:snapToGrid w:val="0"/>
      <w:spacing w:line="460" w:lineRule="atLeast"/>
      <w:ind w:firstLine="480"/>
    </w:pPr>
    <w:rPr>
      <w:rFonts w:ascii="Times New Roman" w:cs="Times New Roman"/>
      <w:bCs/>
      <w:kern w:val="2"/>
      <w:sz w:val="21"/>
    </w:rPr>
  </w:style>
  <w:style w:type="paragraph" w:customStyle="1" w:styleId="719">
    <w:name w:val="样式 样式 标题 2标题节标题 2 Char Char + 段前: 2 行 + 段前: 0.5 行 段后: 0.5 行"/>
    <w:basedOn w:val="611"/>
    <w:next w:val="1"/>
    <w:qFormat/>
    <w:uiPriority w:val="0"/>
    <w:pPr>
      <w:spacing w:beforeLines="0" w:after="120"/>
    </w:pPr>
    <w:rPr>
      <w:rFonts w:hAnsi="Times New Roman" w:eastAsia="宋体" w:cs="宋体"/>
      <w:bCs/>
    </w:rPr>
  </w:style>
  <w:style w:type="paragraph" w:customStyle="1" w:styleId="720">
    <w:name w:val="二级标题"/>
    <w:basedOn w:val="1"/>
    <w:next w:val="1"/>
    <w:qFormat/>
    <w:uiPriority w:val="0"/>
    <w:pPr>
      <w:topLinePunct w:val="0"/>
      <w:snapToGrid w:val="0"/>
      <w:spacing w:beforeLines="50" w:afterLines="50" w:line="460" w:lineRule="exact"/>
      <w:ind w:firstLine="0" w:firstLineChars="0"/>
      <w:outlineLvl w:val="1"/>
    </w:pPr>
    <w:rPr>
      <w:rFonts w:ascii="Times New Roman" w:cs="Times New Roman"/>
      <w:b/>
      <w:bCs/>
      <w:kern w:val="2"/>
      <w:sz w:val="30"/>
      <w:szCs w:val="30"/>
    </w:rPr>
  </w:style>
  <w:style w:type="paragraph" w:customStyle="1" w:styleId="721">
    <w:name w:val="样式 首行缩进:  0.85 厘米8"/>
    <w:basedOn w:val="1"/>
    <w:qFormat/>
    <w:uiPriority w:val="0"/>
    <w:pPr>
      <w:topLinePunct w:val="0"/>
      <w:snapToGrid w:val="0"/>
      <w:spacing w:line="288" w:lineRule="auto"/>
      <w:ind w:firstLine="482"/>
    </w:pPr>
    <w:rPr>
      <w:rFonts w:ascii="Times New Roman"/>
      <w:kern w:val="2"/>
      <w:szCs w:val="26"/>
    </w:rPr>
  </w:style>
  <w:style w:type="paragraph" w:customStyle="1" w:styleId="722">
    <w:name w:val="Char Char Char Char Char Char1 Char"/>
    <w:basedOn w:val="1"/>
    <w:qFormat/>
    <w:uiPriority w:val="0"/>
    <w:pPr>
      <w:widowControl/>
      <w:topLinePunct w:val="0"/>
      <w:adjustRightInd/>
      <w:spacing w:after="160" w:line="240" w:lineRule="exact"/>
      <w:ind w:firstLine="0" w:firstLineChars="0"/>
      <w:jc w:val="left"/>
    </w:pPr>
    <w:rPr>
      <w:rFonts w:ascii="Times New Roman" w:cs="Times New Roman"/>
      <w:kern w:val="2"/>
      <w:sz w:val="21"/>
    </w:rPr>
  </w:style>
  <w:style w:type="paragraph" w:customStyle="1" w:styleId="723">
    <w:name w:val="Char Char Char3 Char Char Char2 Char"/>
    <w:basedOn w:val="1"/>
    <w:semiHidden/>
    <w:qFormat/>
    <w:uiPriority w:val="0"/>
    <w:pPr>
      <w:topLinePunct w:val="0"/>
      <w:snapToGrid w:val="0"/>
    </w:pPr>
    <w:rPr>
      <w:rFonts w:hAnsi="宋体"/>
      <w:kern w:val="2"/>
      <w:szCs w:val="26"/>
    </w:rPr>
  </w:style>
  <w:style w:type="paragraph" w:customStyle="1" w:styleId="724">
    <w:name w:val="编号正文"/>
    <w:basedOn w:val="1"/>
    <w:qFormat/>
    <w:uiPriority w:val="0"/>
    <w:pPr>
      <w:tabs>
        <w:tab w:val="left" w:pos="1260"/>
      </w:tabs>
      <w:topLinePunct w:val="0"/>
      <w:snapToGrid w:val="0"/>
      <w:spacing w:afterLines="50" w:line="300" w:lineRule="auto"/>
      <w:ind w:left="1260" w:hanging="806"/>
    </w:pPr>
    <w:rPr>
      <w:rFonts w:ascii="Arial Narrow" w:hAnsi="Arial Narrow" w:eastAsia="仿宋_GB2312" w:cs="Times New Roman"/>
      <w:kern w:val="2"/>
      <w:sz w:val="28"/>
      <w:szCs w:val="28"/>
    </w:rPr>
  </w:style>
  <w:style w:type="paragraph" w:customStyle="1" w:styleId="725">
    <w:name w:val="Char4"/>
    <w:basedOn w:val="1"/>
    <w:qFormat/>
    <w:uiPriority w:val="0"/>
    <w:pPr>
      <w:topLinePunct w:val="0"/>
      <w:adjustRightInd/>
      <w:spacing w:line="240" w:lineRule="auto"/>
      <w:ind w:firstLine="0" w:firstLineChars="0"/>
    </w:pPr>
    <w:rPr>
      <w:rFonts w:ascii="Times New Roman" w:cs="Times New Roman"/>
      <w:kern w:val="2"/>
      <w:sz w:val="21"/>
    </w:rPr>
  </w:style>
  <w:style w:type="paragraph" w:customStyle="1" w:styleId="726">
    <w:name w:val="表格文字居中"/>
    <w:basedOn w:val="1"/>
    <w:next w:val="1"/>
    <w:qFormat/>
    <w:uiPriority w:val="0"/>
    <w:pPr>
      <w:topLinePunct w:val="0"/>
      <w:snapToGrid w:val="0"/>
      <w:spacing w:line="460" w:lineRule="exact"/>
      <w:jc w:val="center"/>
    </w:pPr>
    <w:rPr>
      <w:rFonts w:ascii="Times New Roman" w:cs="Times New Roman"/>
      <w:color w:val="000000"/>
      <w:kern w:val="2"/>
      <w:sz w:val="22"/>
      <w:szCs w:val="22"/>
    </w:rPr>
  </w:style>
  <w:style w:type="paragraph" w:customStyle="1" w:styleId="727">
    <w:name w:val="样式 标题 2 + Times New Roman 非加粗"/>
    <w:basedOn w:val="3"/>
    <w:qFormat/>
    <w:uiPriority w:val="0"/>
    <w:pPr>
      <w:keepLines w:val="0"/>
      <w:topLinePunct w:val="0"/>
      <w:adjustRightInd/>
      <w:spacing w:beforeLines="50" w:line="240" w:lineRule="auto"/>
      <w:ind w:firstLine="472" w:firstLineChars="196"/>
    </w:pPr>
    <w:rPr>
      <w:rFonts w:eastAsia="黑体" w:cs="Times New Roman"/>
      <w:b w:val="0"/>
      <w:bCs w:val="0"/>
      <w:color w:val="000000"/>
      <w:kern w:val="2"/>
      <w:sz w:val="24"/>
      <w:szCs w:val="24"/>
    </w:rPr>
  </w:style>
  <w:style w:type="paragraph" w:customStyle="1" w:styleId="728">
    <w:name w:val="Char Char Char1 Char Char Char Char Char Char Char Char Char Char Char Char Char Char Char Char Char Char Char Char Char Char"/>
    <w:basedOn w:val="1"/>
    <w:qFormat/>
    <w:uiPriority w:val="0"/>
    <w:pPr>
      <w:topLinePunct w:val="0"/>
      <w:snapToGrid w:val="0"/>
    </w:pPr>
    <w:rPr>
      <w:rFonts w:hAnsi="宋体"/>
      <w:kern w:val="2"/>
      <w:szCs w:val="26"/>
    </w:rPr>
  </w:style>
  <w:style w:type="paragraph" w:customStyle="1" w:styleId="729">
    <w:name w:val="Z7[图表]"/>
    <w:next w:val="1"/>
    <w:qFormat/>
    <w:uiPriority w:val="0"/>
    <w:pPr>
      <w:jc w:val="center"/>
    </w:pPr>
    <w:rPr>
      <w:rFonts w:ascii="Times New Roman" w:hAnsi="Times New Roman" w:eastAsia="仿宋_GB2312" w:cs="Times New Roman"/>
      <w:bCs/>
      <w:sz w:val="21"/>
      <w:szCs w:val="44"/>
      <w:lang w:val="en-US" w:eastAsia="zh-CN" w:bidi="ar-SA"/>
    </w:rPr>
  </w:style>
  <w:style w:type="paragraph" w:customStyle="1" w:styleId="730">
    <w:name w:val="HtmlNormal"/>
    <w:basedOn w:val="1"/>
    <w:qFormat/>
    <w:uiPriority w:val="0"/>
    <w:pPr>
      <w:topLinePunct w:val="0"/>
      <w:adjustRightInd/>
      <w:spacing w:before="100" w:beforeAutospacing="1" w:after="100" w:afterAutospacing="1" w:line="384" w:lineRule="auto"/>
      <w:ind w:firstLine="0" w:firstLineChars="0"/>
      <w:jc w:val="left"/>
    </w:pPr>
    <w:rPr>
      <w:rFonts w:ascii="Arial Narrow" w:hAnsi="Arial Narrow" w:eastAsia="Times New Roman" w:cs="Times New Roman"/>
      <w:color w:val="000000"/>
      <w:sz w:val="21"/>
      <w:szCs w:val="21"/>
    </w:rPr>
  </w:style>
  <w:style w:type="paragraph" w:customStyle="1" w:styleId="731">
    <w:name w:val="样式 13 磅 黑色 行距: 固定值 23 磅"/>
    <w:basedOn w:val="1"/>
    <w:qFormat/>
    <w:uiPriority w:val="0"/>
    <w:pPr>
      <w:topLinePunct w:val="0"/>
      <w:snapToGrid w:val="0"/>
      <w:spacing w:line="440" w:lineRule="exact"/>
      <w:ind w:firstLine="0" w:firstLineChars="0"/>
      <w:jc w:val="center"/>
    </w:pPr>
    <w:rPr>
      <w:rFonts w:hAnsi="宋体" w:cs="Arial"/>
      <w:kern w:val="2"/>
    </w:rPr>
  </w:style>
  <w:style w:type="paragraph" w:customStyle="1" w:styleId="732">
    <w:name w:val="样式 样式 标题 2标题节标题 2 Char Char + 段前: 2 行 + 首行缩进:  2 字符 段前: 0.5 行 ..."/>
    <w:basedOn w:val="611"/>
    <w:qFormat/>
    <w:uiPriority w:val="0"/>
    <w:pPr>
      <w:spacing w:beforeLines="0"/>
      <w:ind w:firstLine="0" w:firstLineChars="0"/>
    </w:pPr>
    <w:rPr>
      <w:rFonts w:hAnsi="Times New Roman" w:eastAsia="宋体" w:cs="宋体"/>
      <w:bCs/>
    </w:rPr>
  </w:style>
  <w:style w:type="paragraph" w:customStyle="1" w:styleId="733">
    <w:name w:val="Z2[封面]"/>
    <w:next w:val="1"/>
    <w:qFormat/>
    <w:uiPriority w:val="0"/>
    <w:pPr>
      <w:spacing w:line="360" w:lineRule="auto"/>
      <w:jc w:val="center"/>
    </w:pPr>
    <w:rPr>
      <w:rFonts w:ascii="Times New Roman" w:hAnsi="Times New Roman" w:eastAsia="楷体_GB2312" w:cs="Times New Roman"/>
      <w:bCs/>
      <w:sz w:val="32"/>
      <w:szCs w:val="44"/>
      <w:lang w:val="en-US" w:eastAsia="zh-CN" w:bidi="ar-SA"/>
    </w:rPr>
  </w:style>
  <w:style w:type="paragraph" w:customStyle="1" w:styleId="734">
    <w:name w:val="UserStyle_5"/>
    <w:qFormat/>
    <w:uiPriority w:val="0"/>
    <w:pPr>
      <w:spacing w:line="600" w:lineRule="exact"/>
      <w:ind w:firstLine="567"/>
      <w:jc w:val="both"/>
      <w:textAlignment w:val="baseline"/>
    </w:pPr>
    <w:rPr>
      <w:rFonts w:ascii="宋体" w:hAnsi="Times New Roman" w:eastAsia="宋体" w:cs="Times New Roman"/>
      <w:sz w:val="28"/>
      <w:lang w:val="en-US" w:eastAsia="zh-CN" w:bidi="ar-SA"/>
    </w:rPr>
  </w:style>
  <w:style w:type="paragraph" w:customStyle="1" w:styleId="735">
    <w:name w:val="图表标题"/>
    <w:basedOn w:val="1"/>
    <w:qFormat/>
    <w:uiPriority w:val="0"/>
    <w:pPr>
      <w:tabs>
        <w:tab w:val="left" w:pos="9360"/>
      </w:tabs>
      <w:topLinePunct w:val="0"/>
      <w:adjustRightInd/>
      <w:spacing w:line="240" w:lineRule="auto"/>
      <w:ind w:right="-269" w:rightChars="-128" w:firstLine="0" w:firstLineChars="0"/>
      <w:jc w:val="center"/>
    </w:pPr>
    <w:rPr>
      <w:rFonts w:ascii="Times New Roman" w:eastAsia="仿宋" w:cs="Times New Roman"/>
      <w:b/>
      <w:bCs/>
      <w:color w:val="000000"/>
      <w:sz w:val="21"/>
      <w:szCs w:val="21"/>
    </w:rPr>
  </w:style>
  <w:style w:type="paragraph" w:customStyle="1" w:styleId="736">
    <w:name w:val="正"/>
    <w:qFormat/>
    <w:uiPriority w:val="0"/>
    <w:pPr>
      <w:spacing w:line="480" w:lineRule="exact"/>
      <w:ind w:firstLine="470" w:firstLineChars="196"/>
    </w:pPr>
    <w:rPr>
      <w:rFonts w:ascii="Times New Roman" w:hAnsi="Times New Roman" w:eastAsia="宋体" w:cs="Times New Roman"/>
      <w:bCs/>
      <w:kern w:val="2"/>
      <w:sz w:val="24"/>
      <w:szCs w:val="24"/>
      <w:lang w:val="en-US" w:eastAsia="zh-CN" w:bidi="ar-SA"/>
    </w:rPr>
  </w:style>
  <w:style w:type="paragraph" w:customStyle="1" w:styleId="737">
    <w:name w:val="Z5[附件]"/>
    <w:next w:val="1"/>
    <w:qFormat/>
    <w:uiPriority w:val="0"/>
    <w:pPr>
      <w:spacing w:line="360" w:lineRule="auto"/>
      <w:ind w:firstLine="200" w:firstLineChars="200"/>
    </w:pPr>
    <w:rPr>
      <w:rFonts w:ascii="Times New Roman" w:hAnsi="Times New Roman" w:eastAsia="仿宋_GB2312" w:cs="Times New Roman"/>
      <w:b/>
      <w:sz w:val="28"/>
      <w:szCs w:val="24"/>
      <w:lang w:val="en-US" w:eastAsia="zh-CN" w:bidi="ar-SA"/>
    </w:rPr>
  </w:style>
  <w:style w:type="paragraph" w:customStyle="1" w:styleId="738">
    <w:name w:val="样式 四号 行距: 固定值 28 磅 首行缩进:  2 字符"/>
    <w:basedOn w:val="1"/>
    <w:qFormat/>
    <w:uiPriority w:val="0"/>
    <w:pPr>
      <w:topLinePunct w:val="0"/>
      <w:adjustRightInd/>
      <w:spacing w:line="560" w:lineRule="exact"/>
      <w:ind w:firstLine="560"/>
    </w:pPr>
    <w:rPr>
      <w:rFonts w:ascii="Times New Roman"/>
      <w:kern w:val="2"/>
      <w:sz w:val="28"/>
      <w:szCs w:val="20"/>
    </w:rPr>
  </w:style>
  <w:style w:type="paragraph" w:customStyle="1" w:styleId="739">
    <w:name w:val="样式 样式 标题 2标题节标题 2 Char Char + 段前: 2 行 + 左侧:  1 字符"/>
    <w:basedOn w:val="611"/>
    <w:qFormat/>
    <w:uiPriority w:val="0"/>
    <w:pPr>
      <w:spacing w:beforeLines="0"/>
    </w:pPr>
    <w:rPr>
      <w:rFonts w:hAnsi="Times New Roman" w:eastAsia="宋体" w:cs="宋体"/>
      <w:bCs/>
    </w:rPr>
  </w:style>
  <w:style w:type="paragraph" w:customStyle="1" w:styleId="740">
    <w:name w:val="样式 左 首行缩进:  1.01 厘米"/>
    <w:basedOn w:val="1"/>
    <w:qFormat/>
    <w:uiPriority w:val="0"/>
    <w:pPr>
      <w:topLinePunct w:val="0"/>
      <w:snapToGrid w:val="0"/>
      <w:spacing w:line="460" w:lineRule="exact"/>
    </w:pPr>
    <w:rPr>
      <w:rFonts w:ascii="Times New Roman"/>
      <w:kern w:val="2"/>
      <w:sz w:val="26"/>
      <w:szCs w:val="26"/>
    </w:rPr>
  </w:style>
  <w:style w:type="paragraph" w:customStyle="1" w:styleId="741">
    <w:name w:val="样式 13 磅 行距: 固定值 23 磅 首行缩进:  2 字符"/>
    <w:basedOn w:val="1"/>
    <w:qFormat/>
    <w:uiPriority w:val="0"/>
    <w:pPr>
      <w:topLinePunct w:val="0"/>
      <w:adjustRightInd/>
      <w:spacing w:line="460" w:lineRule="exact"/>
      <w:ind w:firstLine="520"/>
    </w:pPr>
    <w:rPr>
      <w:rFonts w:ascii="Times New Roman"/>
      <w:kern w:val="2"/>
      <w:sz w:val="26"/>
      <w:szCs w:val="20"/>
    </w:rPr>
  </w:style>
  <w:style w:type="paragraph" w:customStyle="1" w:styleId="742">
    <w:name w:val="表格文字-hao-居中"/>
    <w:qFormat/>
    <w:uiPriority w:val="99"/>
    <w:pPr>
      <w:adjustRightInd w:val="0"/>
      <w:snapToGrid w:val="0"/>
      <w:spacing w:beforeLines="28" w:afterLines="10" w:line="264" w:lineRule="auto"/>
      <w:jc w:val="center"/>
      <w:textAlignment w:val="center"/>
    </w:pPr>
    <w:rPr>
      <w:rFonts w:ascii="Times New Roman" w:hAnsi="Times New Roman" w:eastAsia="宋体" w:cs="Times New Roman"/>
      <w:szCs w:val="24"/>
      <w:lang w:val="en-US" w:eastAsia="zh-CN" w:bidi="ar-SA"/>
    </w:rPr>
  </w:style>
  <w:style w:type="paragraph" w:customStyle="1" w:styleId="743">
    <w:name w:val="Z1[封面]"/>
    <w:next w:val="1"/>
    <w:qFormat/>
    <w:uiPriority w:val="0"/>
    <w:pPr>
      <w:spacing w:line="360" w:lineRule="auto"/>
      <w:jc w:val="center"/>
    </w:pPr>
    <w:rPr>
      <w:rFonts w:ascii="Times New Roman" w:hAnsi="Times New Roman" w:eastAsia="华文中宋" w:cs="Times New Roman"/>
      <w:b/>
      <w:bCs/>
      <w:sz w:val="44"/>
      <w:szCs w:val="44"/>
      <w:lang w:val="en-US" w:eastAsia="zh-CN" w:bidi="ar-SA"/>
    </w:rPr>
  </w:style>
  <w:style w:type="paragraph" w:customStyle="1" w:styleId="744">
    <w:name w:val="Char Char Char Char3"/>
    <w:basedOn w:val="1"/>
    <w:qFormat/>
    <w:uiPriority w:val="0"/>
    <w:pPr>
      <w:topLinePunct w:val="0"/>
      <w:adjustRightInd/>
      <w:ind w:firstLine="0" w:firstLineChars="0"/>
    </w:pPr>
    <w:rPr>
      <w:rFonts w:ascii="仿宋_GB2312" w:hAnsi="Tahoma" w:eastAsia="仿宋_GB2312" w:cs="Times New Roman"/>
      <w:kern w:val="2"/>
      <w:sz w:val="21"/>
      <w:szCs w:val="21"/>
    </w:rPr>
  </w:style>
  <w:style w:type="paragraph" w:customStyle="1" w:styleId="745">
    <w:name w:val="表格1"/>
    <w:basedOn w:val="1"/>
    <w:qFormat/>
    <w:uiPriority w:val="0"/>
    <w:pPr>
      <w:topLinePunct w:val="0"/>
      <w:adjustRightInd/>
      <w:spacing w:line="360" w:lineRule="exact"/>
      <w:ind w:firstLine="0" w:firstLineChars="0"/>
      <w:jc w:val="center"/>
    </w:pPr>
    <w:rPr>
      <w:rFonts w:ascii="Times New Roman" w:cs="Times New Roman"/>
      <w:color w:val="000000"/>
      <w:kern w:val="2"/>
    </w:rPr>
  </w:style>
  <w:style w:type="paragraph" w:customStyle="1" w:styleId="746">
    <w:name w:val="BodyTextIndent2"/>
    <w:basedOn w:val="1"/>
    <w:qFormat/>
    <w:uiPriority w:val="0"/>
    <w:pPr>
      <w:topLinePunct w:val="0"/>
      <w:adjustRightInd/>
      <w:spacing w:after="120" w:line="480" w:lineRule="auto"/>
      <w:ind w:left="420" w:leftChars="200" w:firstLine="0" w:firstLineChars="0"/>
    </w:pPr>
    <w:rPr>
      <w:rFonts w:ascii="Times New Roman" w:cs="Times New Roman"/>
      <w:kern w:val="2"/>
      <w:sz w:val="21"/>
    </w:rPr>
  </w:style>
  <w:style w:type="paragraph" w:customStyle="1" w:styleId="747">
    <w:name w:val="三级标题"/>
    <w:basedOn w:val="1"/>
    <w:next w:val="1"/>
    <w:semiHidden/>
    <w:qFormat/>
    <w:uiPriority w:val="0"/>
    <w:pPr>
      <w:topLinePunct w:val="0"/>
      <w:adjustRightInd/>
      <w:snapToGrid w:val="0"/>
      <w:spacing w:line="240" w:lineRule="auto"/>
      <w:ind w:firstLine="0" w:firstLineChars="0"/>
      <w:outlineLvl w:val="2"/>
    </w:pPr>
    <w:rPr>
      <w:rFonts w:ascii="Times New Roman" w:cs="Times New Roman"/>
      <w:b/>
      <w:kern w:val="2"/>
      <w:sz w:val="26"/>
      <w:szCs w:val="26"/>
    </w:rPr>
  </w:style>
  <w:style w:type="paragraph" w:customStyle="1" w:styleId="748">
    <w:name w:val="gg_body"/>
    <w:basedOn w:val="1"/>
    <w:qFormat/>
    <w:uiPriority w:val="0"/>
    <w:pPr>
      <w:topLinePunct w:val="0"/>
      <w:adjustRightInd/>
      <w:spacing w:line="460" w:lineRule="exact"/>
      <w:ind w:firstLine="0" w:firstLineChars="0"/>
    </w:pPr>
    <w:rPr>
      <w:rFonts w:hAnsi="宋体" w:cs="Times New Roman"/>
      <w:kern w:val="2"/>
      <w:szCs w:val="20"/>
    </w:rPr>
  </w:style>
  <w:style w:type="paragraph" w:customStyle="1" w:styleId="749">
    <w:name w:val="样式8"/>
    <w:basedOn w:val="4"/>
    <w:qFormat/>
    <w:uiPriority w:val="0"/>
    <w:pPr>
      <w:topLinePunct w:val="0"/>
      <w:snapToGrid w:val="0"/>
      <w:spacing w:line="480" w:lineRule="exact"/>
    </w:pPr>
    <w:rPr>
      <w:rFonts w:eastAsia="宋体"/>
      <w:bCs/>
      <w:kern w:val="2"/>
      <w:sz w:val="26"/>
      <w:szCs w:val="24"/>
    </w:rPr>
  </w:style>
  <w:style w:type="paragraph" w:customStyle="1" w:styleId="750">
    <w:name w:val="样式 正文文本缩进 + 宋体"/>
    <w:basedOn w:val="25"/>
    <w:qFormat/>
    <w:uiPriority w:val="0"/>
    <w:pPr>
      <w:spacing w:beforeLines="30" w:afterLines="30" w:line="460" w:lineRule="exact"/>
      <w:ind w:left="0" w:firstLine="560" w:firstLineChars="200"/>
    </w:pPr>
    <w:rPr>
      <w:rFonts w:ascii="宋体" w:hAnsi="宋体"/>
      <w:szCs w:val="28"/>
    </w:rPr>
  </w:style>
  <w:style w:type="paragraph" w:customStyle="1" w:styleId="751">
    <w:name w:val="样式 样式 标题 2标题节标题 2 Char Char + 段前: 2 行 + 左侧:  1 字符 右侧:  1 字符"/>
    <w:basedOn w:val="611"/>
    <w:qFormat/>
    <w:uiPriority w:val="0"/>
    <w:rPr>
      <w:szCs w:val="26"/>
    </w:rPr>
  </w:style>
  <w:style w:type="paragraph" w:customStyle="1" w:styleId="752">
    <w:name w:val="00000000000000000000000 Char"/>
    <w:basedOn w:val="1"/>
    <w:qFormat/>
    <w:uiPriority w:val="0"/>
    <w:pPr>
      <w:topLinePunct w:val="0"/>
      <w:adjustRightInd/>
      <w:ind w:firstLine="510" w:firstLineChars="0"/>
    </w:pPr>
    <w:rPr>
      <w:rFonts w:ascii="Times New Roman" w:cs="Times New Roman"/>
      <w:color w:val="000000"/>
      <w:kern w:val="2"/>
      <w:sz w:val="21"/>
      <w:lang w:val="zh-CN"/>
    </w:rPr>
  </w:style>
  <w:style w:type="paragraph" w:customStyle="1" w:styleId="753">
    <w:name w:val="Char Char Char2 Char Char Char Char Char Char Char Char Char Char"/>
    <w:basedOn w:val="1"/>
    <w:semiHidden/>
    <w:qFormat/>
    <w:uiPriority w:val="0"/>
    <w:pPr>
      <w:topLinePunct w:val="0"/>
      <w:snapToGrid w:val="0"/>
    </w:pPr>
    <w:rPr>
      <w:rFonts w:hAnsi="宋体"/>
      <w:kern w:val="2"/>
      <w:szCs w:val="26"/>
    </w:rPr>
  </w:style>
  <w:style w:type="paragraph" w:customStyle="1" w:styleId="754">
    <w:name w:val="样式17"/>
    <w:basedOn w:val="1"/>
    <w:qFormat/>
    <w:uiPriority w:val="0"/>
    <w:pPr>
      <w:keepNext/>
      <w:keepLines/>
      <w:widowControl/>
      <w:topLinePunct w:val="0"/>
      <w:snapToGrid w:val="0"/>
      <w:spacing w:before="80" w:line="460" w:lineRule="exact"/>
      <w:ind w:firstLine="0" w:firstLineChars="0"/>
      <w:jc w:val="left"/>
      <w:outlineLvl w:val="1"/>
    </w:pPr>
    <w:rPr>
      <w:rFonts w:ascii="Times New Roman" w:eastAsia="黑体" w:cs="Times New Roman"/>
      <w:b/>
      <w:bCs/>
      <w:sz w:val="28"/>
      <w:szCs w:val="28"/>
    </w:rPr>
  </w:style>
  <w:style w:type="paragraph" w:customStyle="1" w:styleId="755">
    <w:name w:val="Heading3"/>
    <w:basedOn w:val="1"/>
    <w:next w:val="1"/>
    <w:qFormat/>
    <w:uiPriority w:val="0"/>
    <w:pPr>
      <w:keepNext/>
      <w:keepLines/>
      <w:topLinePunct w:val="0"/>
      <w:adjustRightInd/>
      <w:spacing w:before="156" w:line="440" w:lineRule="exact"/>
      <w:ind w:firstLine="472" w:firstLineChars="196"/>
    </w:pPr>
    <w:rPr>
      <w:rFonts w:ascii="Arial" w:hAnsi="Arial" w:eastAsia="黑体" w:cs="Times New Roman"/>
      <w:b/>
      <w:color w:val="000000"/>
    </w:rPr>
  </w:style>
  <w:style w:type="paragraph" w:customStyle="1" w:styleId="756">
    <w:name w:val="样式 样式 样式 标题 2标题节标题 2 Char Char + 段前: 2 行 + 左侧:  1 字符 + 段前: 0.5 行..."/>
    <w:basedOn w:val="1"/>
    <w:qFormat/>
    <w:uiPriority w:val="0"/>
    <w:pPr>
      <w:keepNext/>
      <w:keepLines/>
      <w:topLinePunct w:val="0"/>
      <w:snapToGrid w:val="0"/>
      <w:spacing w:line="460" w:lineRule="exact"/>
      <w:outlineLvl w:val="1"/>
    </w:pPr>
    <w:rPr>
      <w:rFonts w:ascii="Times New Roman"/>
      <w:b/>
      <w:bCs/>
      <w:kern w:val="2"/>
      <w:sz w:val="26"/>
      <w:szCs w:val="26"/>
    </w:rPr>
  </w:style>
  <w:style w:type="paragraph" w:customStyle="1" w:styleId="757">
    <w:name w:val="一级标题"/>
    <w:basedOn w:val="1"/>
    <w:next w:val="1"/>
    <w:qFormat/>
    <w:uiPriority w:val="0"/>
    <w:pPr>
      <w:topLinePunct w:val="0"/>
      <w:snapToGrid w:val="0"/>
      <w:spacing w:before="100" w:beforeAutospacing="1" w:afterLines="50" w:line="460" w:lineRule="exact"/>
      <w:ind w:firstLine="0" w:firstLineChars="0"/>
      <w:jc w:val="center"/>
      <w:outlineLvl w:val="0"/>
    </w:pPr>
    <w:rPr>
      <w:rFonts w:ascii="Times New Roman" w:cs="Times New Roman"/>
      <w:b/>
      <w:bCs/>
      <w:kern w:val="2"/>
      <w:sz w:val="32"/>
      <w:szCs w:val="32"/>
    </w:rPr>
  </w:style>
  <w:style w:type="paragraph" w:customStyle="1" w:styleId="758">
    <w:name w:val="UserStyle_1"/>
    <w:qFormat/>
    <w:uiPriority w:val="0"/>
    <w:pPr>
      <w:spacing w:line="480" w:lineRule="exact"/>
      <w:ind w:firstLine="470" w:firstLineChars="196"/>
      <w:textAlignment w:val="baseline"/>
    </w:pPr>
    <w:rPr>
      <w:rFonts w:ascii="Times New Roman" w:hAnsi="Times New Roman" w:eastAsia="宋体" w:cs="Times New Roman"/>
      <w:bCs/>
      <w:kern w:val="2"/>
      <w:sz w:val="24"/>
      <w:szCs w:val="24"/>
      <w:lang w:val="en-US" w:eastAsia="zh-CN" w:bidi="ar-SA"/>
    </w:rPr>
  </w:style>
  <w:style w:type="paragraph" w:customStyle="1" w:styleId="759">
    <w:name w:val="环评表头"/>
    <w:basedOn w:val="1"/>
    <w:qFormat/>
    <w:uiPriority w:val="0"/>
    <w:pPr>
      <w:topLinePunct w:val="0"/>
      <w:adjustRightInd/>
      <w:spacing w:line="440" w:lineRule="exact"/>
      <w:ind w:firstLine="0" w:firstLineChars="0"/>
      <w:jc w:val="center"/>
    </w:pPr>
    <w:rPr>
      <w:rFonts w:ascii="黑体" w:hAnsi="Arial" w:eastAsia="黑体" w:cs="Arial"/>
      <w:b/>
      <w:color w:val="000000"/>
      <w:kern w:val="2"/>
    </w:rPr>
  </w:style>
  <w:style w:type="paragraph" w:customStyle="1" w:styleId="760">
    <w:name w:val="UserStyle_6"/>
    <w:basedOn w:val="761"/>
    <w:qFormat/>
    <w:uiPriority w:val="0"/>
  </w:style>
  <w:style w:type="paragraph" w:customStyle="1" w:styleId="761">
    <w:name w:val="UserStyle_4"/>
    <w:basedOn w:val="1"/>
    <w:qFormat/>
    <w:uiPriority w:val="0"/>
    <w:pPr>
      <w:topLinePunct w:val="0"/>
      <w:adjustRightInd/>
      <w:snapToGrid w:val="0"/>
      <w:spacing w:line="460" w:lineRule="exact"/>
      <w:ind w:firstLine="567" w:firstLineChars="218"/>
      <w:jc w:val="left"/>
    </w:pPr>
    <w:rPr>
      <w:rFonts w:ascii="Times New Roman" w:cs="Times New Roman"/>
      <w:sz w:val="26"/>
      <w:szCs w:val="26"/>
    </w:rPr>
  </w:style>
  <w:style w:type="paragraph" w:customStyle="1" w:styleId="762">
    <w:name w:val="环评标题"/>
    <w:basedOn w:val="622"/>
    <w:qFormat/>
    <w:uiPriority w:val="0"/>
    <w:pPr>
      <w:ind w:firstLine="482"/>
    </w:pPr>
    <w:rPr>
      <w:rFonts w:ascii="黑体" w:eastAsia="黑体"/>
      <w:b/>
    </w:rPr>
  </w:style>
  <w:style w:type="paragraph" w:customStyle="1" w:styleId="763">
    <w:name w:val="Char Char Char Char Char Char Char1"/>
    <w:basedOn w:val="1"/>
    <w:next w:val="1"/>
    <w:qFormat/>
    <w:uiPriority w:val="0"/>
    <w:pPr>
      <w:topLinePunct w:val="0"/>
      <w:adjustRightInd/>
    </w:pPr>
    <w:rPr>
      <w:rFonts w:ascii="Times New Roman" w:cs="Times New Roman"/>
      <w:kern w:val="2"/>
      <w:sz w:val="21"/>
    </w:rPr>
  </w:style>
  <w:style w:type="paragraph" w:customStyle="1" w:styleId="764">
    <w:name w:val="Char Char Char Char Char2 Char Char Char Char"/>
    <w:basedOn w:val="1"/>
    <w:qFormat/>
    <w:uiPriority w:val="0"/>
    <w:pPr>
      <w:topLinePunct w:val="0"/>
      <w:snapToGrid w:val="0"/>
    </w:pPr>
    <w:rPr>
      <w:rFonts w:hAnsi="宋体"/>
      <w:kern w:val="2"/>
      <w:szCs w:val="26"/>
    </w:rPr>
  </w:style>
  <w:style w:type="paragraph" w:customStyle="1" w:styleId="765">
    <w:name w:val="Char Char Char1 Char Char Char Char"/>
    <w:basedOn w:val="1"/>
    <w:qFormat/>
    <w:uiPriority w:val="0"/>
    <w:pPr>
      <w:topLinePunct w:val="0"/>
      <w:snapToGrid w:val="0"/>
    </w:pPr>
    <w:rPr>
      <w:rFonts w:hAnsi="宋体"/>
      <w:kern w:val="2"/>
      <w:szCs w:val="26"/>
    </w:rPr>
  </w:style>
  <w:style w:type="paragraph" w:customStyle="1" w:styleId="766">
    <w:name w:val="样式 正文（首行缩进两字） + 宋体"/>
    <w:basedOn w:val="17"/>
    <w:qFormat/>
    <w:uiPriority w:val="0"/>
    <w:pPr>
      <w:adjustRightInd w:val="0"/>
      <w:snapToGrid w:val="0"/>
      <w:ind w:firstLine="567" w:firstLineChars="0"/>
    </w:pPr>
    <w:rPr>
      <w:rFonts w:ascii="宋体" w:hAnsi="宋体"/>
      <w:kern w:val="2"/>
      <w:sz w:val="28"/>
    </w:rPr>
  </w:style>
  <w:style w:type="paragraph" w:customStyle="1" w:styleId="767">
    <w:name w:val="p0"/>
    <w:basedOn w:val="1"/>
    <w:qFormat/>
    <w:uiPriority w:val="0"/>
    <w:pPr>
      <w:widowControl/>
      <w:topLinePunct w:val="0"/>
      <w:adjustRightInd/>
      <w:spacing w:line="240" w:lineRule="auto"/>
      <w:ind w:firstLine="0" w:firstLineChars="0"/>
    </w:pPr>
    <w:rPr>
      <w:rFonts w:ascii="Times New Roman" w:cs="Times New Roman"/>
      <w:sz w:val="21"/>
      <w:szCs w:val="21"/>
    </w:rPr>
  </w:style>
  <w:style w:type="paragraph" w:customStyle="1" w:styleId="768">
    <w:name w:val="正文四号"/>
    <w:basedOn w:val="1"/>
    <w:qFormat/>
    <w:uiPriority w:val="0"/>
    <w:pPr>
      <w:topLinePunct w:val="0"/>
      <w:adjustRightInd/>
    </w:pPr>
    <w:rPr>
      <w:szCs w:val="22"/>
    </w:rPr>
  </w:style>
  <w:style w:type="paragraph" w:customStyle="1" w:styleId="769">
    <w:name w:val="Char Char Char Char Char Char Char Char Char Char Char Char Char Char Char Char Char Char Char Char Char Char Char Char Char Char Char Char Char Char Char Char Char"/>
    <w:basedOn w:val="1"/>
    <w:qFormat/>
    <w:uiPriority w:val="0"/>
    <w:pPr>
      <w:widowControl/>
      <w:topLinePunct w:val="0"/>
      <w:adjustRightInd/>
      <w:spacing w:after="160" w:line="240" w:lineRule="exact"/>
      <w:ind w:firstLine="0" w:firstLineChars="0"/>
      <w:jc w:val="left"/>
    </w:pPr>
    <w:rPr>
      <w:rFonts w:ascii="Verdana" w:hAnsi="Verdana" w:eastAsia="仿宋_GB2312" w:cs="Verdana"/>
      <w:color w:val="000000"/>
      <w:szCs w:val="21"/>
      <w:lang w:eastAsia="en-US"/>
    </w:rPr>
  </w:style>
  <w:style w:type="paragraph" w:customStyle="1" w:styleId="770">
    <w:name w:val="Char Char Char1 Char Char Char Char1"/>
    <w:basedOn w:val="1"/>
    <w:semiHidden/>
    <w:qFormat/>
    <w:uiPriority w:val="0"/>
    <w:pPr>
      <w:topLinePunct w:val="0"/>
      <w:snapToGrid w:val="0"/>
    </w:pPr>
    <w:rPr>
      <w:rFonts w:hAnsi="宋体"/>
      <w:kern w:val="2"/>
      <w:szCs w:val="26"/>
    </w:rPr>
  </w:style>
  <w:style w:type="paragraph" w:customStyle="1" w:styleId="771">
    <w:name w:val="样式 正文缩进表格标题正文（首行缩进两字）1正文缩进1正文（首行缩进两字） Char Char Char Char Ch..."/>
    <w:basedOn w:val="17"/>
    <w:qFormat/>
    <w:uiPriority w:val="0"/>
    <w:pPr>
      <w:spacing w:line="440" w:lineRule="exact"/>
      <w:ind w:firstLine="200" w:firstLineChars="0"/>
    </w:pPr>
    <w:rPr>
      <w:rFonts w:ascii="Times New Roman" w:hAnsi="Times New Roman" w:cs="宋体"/>
      <w:b/>
      <w:bCs/>
      <w:kern w:val="2"/>
      <w:sz w:val="28"/>
    </w:rPr>
  </w:style>
  <w:style w:type="paragraph" w:customStyle="1" w:styleId="772">
    <w:name w:val="标题03"/>
    <w:basedOn w:val="1"/>
    <w:next w:val="1"/>
    <w:qFormat/>
    <w:uiPriority w:val="0"/>
    <w:pPr>
      <w:topLinePunct w:val="0"/>
      <w:snapToGrid w:val="0"/>
      <w:spacing w:line="480" w:lineRule="atLeast"/>
      <w:ind w:firstLine="480"/>
    </w:pPr>
    <w:rPr>
      <w:rFonts w:ascii="Times New Roman" w:cs="Times New Roman"/>
      <w:b/>
      <w:kern w:val="2"/>
      <w:szCs w:val="20"/>
    </w:rPr>
  </w:style>
  <w:style w:type="paragraph" w:customStyle="1" w:styleId="773">
    <w:name w:val="Char4 Char Char Char1"/>
    <w:basedOn w:val="1"/>
    <w:qFormat/>
    <w:uiPriority w:val="0"/>
    <w:pPr>
      <w:topLinePunct w:val="0"/>
      <w:snapToGrid w:val="0"/>
    </w:pPr>
    <w:rPr>
      <w:rFonts w:hAnsi="宋体"/>
      <w:kern w:val="2"/>
      <w:szCs w:val="26"/>
    </w:rPr>
  </w:style>
  <w:style w:type="paragraph" w:customStyle="1" w:styleId="774">
    <w:name w:val="样式 样式 标题 2标题节标题 2 Char Char + 段前: 2 行 + 左侧:  1 字符1"/>
    <w:basedOn w:val="611"/>
    <w:qFormat/>
    <w:uiPriority w:val="0"/>
    <w:pPr>
      <w:spacing w:beforeLines="0" w:after="50"/>
    </w:pPr>
    <w:rPr>
      <w:rFonts w:hAnsi="Times New Roman" w:eastAsia="宋体" w:cs="宋体"/>
      <w:bCs/>
    </w:rPr>
  </w:style>
  <w:style w:type="paragraph" w:customStyle="1" w:styleId="775">
    <w:name w:val="样式 样式 样式 标题 2标题节标题 2 Char Char + 段前: 2 行 + 段前: 0.5 行 段后: 0.5 行 +..."/>
    <w:basedOn w:val="719"/>
    <w:next w:val="1"/>
    <w:qFormat/>
    <w:uiPriority w:val="0"/>
    <w:pPr>
      <w:spacing w:before="50" w:after="50"/>
      <w:ind w:firstLine="0" w:firstLineChars="0"/>
    </w:pPr>
  </w:style>
  <w:style w:type="paragraph" w:customStyle="1" w:styleId="776">
    <w:name w:val="样式 正文缩进正文缩进1正文（首行缩进两字） Char Char Char Char Char Char Char文本条款...1"/>
    <w:basedOn w:val="17"/>
    <w:qFormat/>
    <w:uiPriority w:val="0"/>
    <w:pPr>
      <w:tabs>
        <w:tab w:val="left" w:pos="540"/>
        <w:tab w:val="left" w:pos="1050"/>
        <w:tab w:val="left" w:pos="1260"/>
        <w:tab w:val="left" w:pos="1800"/>
      </w:tabs>
      <w:spacing w:line="500" w:lineRule="exact"/>
      <w:ind w:firstLine="560"/>
    </w:pPr>
    <w:rPr>
      <w:rFonts w:ascii="Times New Roman" w:hAnsi="Times New Roman" w:cs="宋体"/>
      <w:kern w:val="24"/>
      <w:sz w:val="28"/>
      <w:szCs w:val="28"/>
    </w:rPr>
  </w:style>
  <w:style w:type="paragraph" w:customStyle="1" w:styleId="777">
    <w:name w:val="样式 五号 居中 行距: 单倍行距"/>
    <w:basedOn w:val="1"/>
    <w:qFormat/>
    <w:uiPriority w:val="0"/>
    <w:pPr>
      <w:topLinePunct w:val="0"/>
      <w:snapToGrid w:val="0"/>
      <w:spacing w:line="240" w:lineRule="auto"/>
      <w:ind w:firstLine="0" w:firstLineChars="0"/>
      <w:jc w:val="center"/>
    </w:pPr>
    <w:rPr>
      <w:rFonts w:ascii="Times New Roman"/>
      <w:sz w:val="21"/>
      <w:szCs w:val="21"/>
    </w:rPr>
  </w:style>
  <w:style w:type="paragraph" w:customStyle="1" w:styleId="778">
    <w:name w:val="样式 样式 2001 + 首行缩进:  2 字符 + 首行缩进:  2 字符"/>
    <w:basedOn w:val="1"/>
    <w:qFormat/>
    <w:uiPriority w:val="0"/>
    <w:pPr>
      <w:topLinePunct w:val="0"/>
      <w:adjustRightInd/>
      <w:spacing w:line="360" w:lineRule="exact"/>
      <w:ind w:firstLine="560"/>
    </w:pPr>
    <w:rPr>
      <w:rFonts w:ascii="Times New Roman" w:cs="Times New Roman"/>
      <w:spacing w:val="20"/>
      <w:szCs w:val="20"/>
    </w:rPr>
  </w:style>
  <w:style w:type="paragraph" w:customStyle="1" w:styleId="779">
    <w:name w:val="样式 标题 3标题 3 Char + 左侧:  1 字符 右侧:  1 字符"/>
    <w:basedOn w:val="4"/>
    <w:qFormat/>
    <w:uiPriority w:val="0"/>
    <w:pPr>
      <w:widowControl/>
      <w:topLinePunct w:val="0"/>
      <w:snapToGrid w:val="0"/>
      <w:spacing w:beforeLines="50" w:line="460" w:lineRule="exact"/>
      <w:ind w:firstLine="200" w:firstLineChars="200"/>
    </w:pPr>
    <w:rPr>
      <w:rFonts w:eastAsia="黑体"/>
      <w:color w:val="000000"/>
      <w:sz w:val="26"/>
      <w:szCs w:val="26"/>
    </w:rPr>
  </w:style>
  <w:style w:type="paragraph" w:customStyle="1" w:styleId="780">
    <w:name w:val="表标题"/>
    <w:basedOn w:val="7"/>
    <w:qFormat/>
    <w:uiPriority w:val="0"/>
    <w:pPr>
      <w:keepNext/>
      <w:keepLines/>
      <w:widowControl w:val="0"/>
      <w:spacing w:beforeLines="0" w:after="60" w:line="377" w:lineRule="auto"/>
      <w:ind w:left="0" w:firstLine="520" w:firstLineChars="200"/>
      <w:jc w:val="center"/>
    </w:pPr>
    <w:rPr>
      <w:rFonts w:ascii="Times New Roman" w:hAnsi="Times New Roman" w:eastAsia="黑体"/>
      <w:b/>
      <w:sz w:val="24"/>
    </w:rPr>
  </w:style>
  <w:style w:type="paragraph" w:customStyle="1" w:styleId="781">
    <w:name w:val="样式35"/>
    <w:basedOn w:val="1"/>
    <w:qFormat/>
    <w:uiPriority w:val="0"/>
    <w:pPr>
      <w:topLinePunct w:val="0"/>
      <w:spacing w:line="312" w:lineRule="auto"/>
      <w:ind w:firstLine="567" w:firstLineChars="0"/>
    </w:pPr>
    <w:rPr>
      <w:rFonts w:cs="Times New Roman"/>
      <w:sz w:val="28"/>
      <w:szCs w:val="20"/>
    </w:rPr>
  </w:style>
  <w:style w:type="paragraph" w:customStyle="1" w:styleId="782">
    <w:name w:val="样式31"/>
    <w:basedOn w:val="1"/>
    <w:qFormat/>
    <w:uiPriority w:val="0"/>
    <w:pPr>
      <w:widowControl/>
      <w:topLinePunct w:val="0"/>
      <w:adjustRightInd/>
      <w:spacing w:line="240" w:lineRule="auto"/>
      <w:ind w:firstLine="0" w:firstLineChars="0"/>
      <w:jc w:val="center"/>
    </w:pPr>
    <w:rPr>
      <w:rFonts w:hAnsi="宋体"/>
      <w:sz w:val="22"/>
      <w:szCs w:val="22"/>
    </w:rPr>
  </w:style>
  <w:style w:type="paragraph" w:customStyle="1" w:styleId="783">
    <w:name w:val="标准样式 Char Char2"/>
    <w:basedOn w:val="1"/>
    <w:qFormat/>
    <w:uiPriority w:val="0"/>
    <w:pPr>
      <w:topLinePunct w:val="0"/>
      <w:adjustRightInd/>
      <w:spacing w:line="600" w:lineRule="exact"/>
      <w:ind w:firstLine="567" w:firstLineChars="0"/>
    </w:pPr>
    <w:rPr>
      <w:rFonts w:hAnsi="宋体" w:cs="Times New Roman"/>
      <w:kern w:val="2"/>
      <w:sz w:val="28"/>
      <w:szCs w:val="20"/>
    </w:rPr>
  </w:style>
  <w:style w:type="paragraph" w:customStyle="1" w:styleId="784">
    <w:name w:val="默认段落字体 Para Char Char Char Char"/>
    <w:basedOn w:val="1"/>
    <w:qFormat/>
    <w:uiPriority w:val="0"/>
    <w:pPr>
      <w:topLinePunct w:val="0"/>
      <w:adjustRightInd/>
      <w:spacing w:line="240" w:lineRule="auto"/>
      <w:ind w:firstLine="0" w:firstLineChars="0"/>
    </w:pPr>
    <w:rPr>
      <w:rFonts w:ascii="Times New Roman" w:cs="Times New Roman"/>
      <w:kern w:val="2"/>
    </w:rPr>
  </w:style>
  <w:style w:type="paragraph" w:customStyle="1" w:styleId="785">
    <w:name w:val="Char Char Char2"/>
    <w:basedOn w:val="1"/>
    <w:qFormat/>
    <w:uiPriority w:val="0"/>
    <w:pPr>
      <w:topLinePunct w:val="0"/>
      <w:adjustRightInd/>
      <w:spacing w:line="240" w:lineRule="auto"/>
      <w:ind w:firstLine="0" w:firstLineChars="0"/>
    </w:pPr>
    <w:rPr>
      <w:rFonts w:ascii="Times New Roman" w:cs="Times New Roman"/>
      <w:kern w:val="2"/>
      <w:szCs w:val="20"/>
    </w:rPr>
  </w:style>
  <w:style w:type="paragraph" w:customStyle="1" w:styleId="786">
    <w:name w:val="表签"/>
    <w:basedOn w:val="1"/>
    <w:qFormat/>
    <w:uiPriority w:val="0"/>
    <w:pPr>
      <w:topLinePunct w:val="0"/>
      <w:snapToGrid w:val="0"/>
      <w:spacing w:line="240" w:lineRule="auto"/>
      <w:ind w:firstLine="0" w:firstLineChars="0"/>
      <w:jc w:val="center"/>
    </w:pPr>
    <w:rPr>
      <w:rFonts w:ascii="Times New Roman" w:cs="Times New Roman"/>
      <w:b/>
      <w:kern w:val="2"/>
    </w:rPr>
  </w:style>
  <w:style w:type="paragraph" w:customStyle="1" w:styleId="787">
    <w:name w:val="表格样式1"/>
    <w:basedOn w:val="57"/>
    <w:qFormat/>
    <w:uiPriority w:val="0"/>
    <w:pPr>
      <w:spacing w:after="0"/>
      <w:ind w:firstLine="0" w:firstLineChars="0"/>
      <w:jc w:val="center"/>
    </w:pPr>
    <w:rPr>
      <w:rFonts w:ascii="Times New Roman" w:hAnsi="Times New Roman"/>
      <w:color w:val="000000"/>
      <w:sz w:val="24"/>
      <w:szCs w:val="24"/>
      <w:lang w:bidi="en-US"/>
    </w:rPr>
  </w:style>
  <w:style w:type="paragraph" w:customStyle="1" w:styleId="788">
    <w:name w:val="表格文字1"/>
    <w:basedOn w:val="55"/>
    <w:qFormat/>
    <w:uiPriority w:val="0"/>
    <w:pPr>
      <w:topLinePunct w:val="0"/>
      <w:spacing w:before="0" w:after="0" w:line="240" w:lineRule="auto"/>
      <w:ind w:firstLine="0" w:firstLineChars="0"/>
      <w:jc w:val="left"/>
      <w:textAlignment w:val="baseline"/>
      <w:outlineLvl w:val="9"/>
    </w:pPr>
    <w:rPr>
      <w:rFonts w:ascii="Arial" w:hAnsi="Arial"/>
      <w:b w:val="0"/>
      <w:bCs w:val="0"/>
      <w:kern w:val="72"/>
      <w:sz w:val="21"/>
      <w:szCs w:val="72"/>
    </w:rPr>
  </w:style>
  <w:style w:type="paragraph" w:customStyle="1" w:styleId="789">
    <w:name w:val="表体"/>
    <w:basedOn w:val="1"/>
    <w:qFormat/>
    <w:uiPriority w:val="0"/>
    <w:pPr>
      <w:topLinePunct w:val="0"/>
      <w:snapToGrid w:val="0"/>
      <w:spacing w:line="240" w:lineRule="atLeast"/>
      <w:ind w:left="-63" w:leftChars="-30" w:right="-63" w:rightChars="-30" w:firstLine="0" w:firstLineChars="0"/>
      <w:jc w:val="center"/>
    </w:pPr>
    <w:rPr>
      <w:rFonts w:ascii="Times New Roman" w:cs="Times New Roman"/>
      <w:color w:val="000000"/>
      <w:sz w:val="18"/>
      <w:szCs w:val="18"/>
    </w:rPr>
  </w:style>
  <w:style w:type="paragraph" w:customStyle="1" w:styleId="790">
    <w:name w:val="正文11111111"/>
    <w:basedOn w:val="1"/>
    <w:qFormat/>
    <w:uiPriority w:val="0"/>
    <w:pPr>
      <w:topLinePunct w:val="0"/>
      <w:adjustRightInd/>
      <w:spacing w:line="440" w:lineRule="exact"/>
    </w:pPr>
    <w:rPr>
      <w:rFonts w:ascii="Times New Roman"/>
      <w:kern w:val="2"/>
    </w:rPr>
  </w:style>
  <w:style w:type="character" w:customStyle="1" w:styleId="791">
    <w:name w:val="search_content1"/>
    <w:qFormat/>
    <w:uiPriority w:val="0"/>
    <w:rPr>
      <w:sz w:val="16"/>
      <w:szCs w:val="16"/>
    </w:rPr>
  </w:style>
  <w:style w:type="paragraph" w:customStyle="1" w:styleId="792">
    <w:name w:val="L正文"/>
    <w:basedOn w:val="1"/>
    <w:qFormat/>
    <w:uiPriority w:val="0"/>
    <w:pPr>
      <w:topLinePunct w:val="0"/>
      <w:snapToGrid w:val="0"/>
    </w:pPr>
    <w:rPr>
      <w:rFonts w:ascii="Times New Roman" w:cs="Times New Roman"/>
      <w:kern w:val="2"/>
    </w:rPr>
  </w:style>
  <w:style w:type="paragraph" w:customStyle="1" w:styleId="793">
    <w:name w:val="表内容-L"/>
    <w:basedOn w:val="794"/>
    <w:qFormat/>
    <w:uiPriority w:val="0"/>
    <w:rPr>
      <w:kern w:val="0"/>
    </w:rPr>
  </w:style>
  <w:style w:type="paragraph" w:customStyle="1" w:styleId="794">
    <w:name w:val="表格内居中"/>
    <w:basedOn w:val="1"/>
    <w:qFormat/>
    <w:uiPriority w:val="0"/>
    <w:pPr>
      <w:topLinePunct w:val="0"/>
      <w:adjustRightInd/>
      <w:spacing w:line="240" w:lineRule="auto"/>
      <w:ind w:firstLine="0" w:firstLineChars="0"/>
      <w:jc w:val="center"/>
    </w:pPr>
    <w:rPr>
      <w:rFonts w:ascii="Times New Roman" w:cs="Times New Roman"/>
      <w:kern w:val="2"/>
      <w:sz w:val="21"/>
      <w:szCs w:val="20"/>
    </w:rPr>
  </w:style>
  <w:style w:type="paragraph" w:customStyle="1" w:styleId="795">
    <w:name w:val="表-表图题-L"/>
    <w:basedOn w:val="1"/>
    <w:qFormat/>
    <w:uiPriority w:val="0"/>
    <w:pPr>
      <w:topLinePunct w:val="0"/>
      <w:adjustRightInd/>
      <w:spacing w:line="240" w:lineRule="auto"/>
      <w:ind w:firstLine="0" w:firstLineChars="0"/>
      <w:jc w:val="center"/>
    </w:pPr>
    <w:rPr>
      <w:rFonts w:ascii="Times New Roman" w:cs="Times New Roman"/>
      <w:b/>
      <w:kern w:val="2"/>
      <w:sz w:val="21"/>
    </w:rPr>
  </w:style>
  <w:style w:type="paragraph" w:customStyle="1" w:styleId="796">
    <w:name w:val="样式 标题 3 + 小四 黑色"/>
    <w:basedOn w:val="4"/>
    <w:qFormat/>
    <w:uiPriority w:val="0"/>
    <w:pPr>
      <w:topLinePunct w:val="0"/>
      <w:adjustRightInd/>
      <w:spacing w:before="100" w:beforeAutospacing="1" w:after="100" w:afterAutospacing="1" w:line="240" w:lineRule="auto"/>
      <w:ind w:firstLine="472" w:firstLineChars="196"/>
    </w:pPr>
    <w:rPr>
      <w:rFonts w:ascii="Arial" w:hAnsi="Arial" w:eastAsia="仿宋_GB2312"/>
      <w:bCs/>
      <w:color w:val="000000"/>
      <w:sz w:val="28"/>
    </w:rPr>
  </w:style>
  <w:style w:type="paragraph" w:customStyle="1" w:styleId="797">
    <w:name w:val="HH"/>
    <w:basedOn w:val="1"/>
    <w:qFormat/>
    <w:uiPriority w:val="0"/>
    <w:pPr>
      <w:topLinePunct w:val="0"/>
      <w:adjustRightInd/>
      <w:ind w:firstLine="480"/>
    </w:pPr>
    <w:rPr>
      <w:rFonts w:ascii="Times New Roman"/>
      <w:kern w:val="2"/>
    </w:rPr>
  </w:style>
  <w:style w:type="paragraph" w:customStyle="1" w:styleId="798">
    <w:name w:val="首行缩进:2 字符"/>
    <w:basedOn w:val="1"/>
    <w:qFormat/>
    <w:uiPriority w:val="0"/>
    <w:pPr>
      <w:topLinePunct w:val="0"/>
      <w:adjustRightInd/>
      <w:ind w:firstLine="560"/>
    </w:pPr>
    <w:rPr>
      <w:rFonts w:ascii="Times New Roman" w:cs="Times New Roman"/>
      <w:kern w:val="2"/>
      <w:sz w:val="28"/>
      <w:szCs w:val="20"/>
    </w:rPr>
  </w:style>
  <w:style w:type="paragraph" w:customStyle="1" w:styleId="799">
    <w:name w:val="小表文居中"/>
    <w:basedOn w:val="800"/>
    <w:qFormat/>
    <w:uiPriority w:val="0"/>
    <w:pPr>
      <w:jc w:val="center"/>
    </w:pPr>
  </w:style>
  <w:style w:type="paragraph" w:customStyle="1" w:styleId="800">
    <w:name w:val="小表文"/>
    <w:basedOn w:val="1"/>
    <w:qFormat/>
    <w:uiPriority w:val="0"/>
    <w:pPr>
      <w:topLinePunct w:val="0"/>
      <w:adjustRightInd/>
      <w:spacing w:before="20" w:line="240" w:lineRule="auto"/>
      <w:ind w:firstLine="0" w:firstLineChars="0"/>
    </w:pPr>
    <w:rPr>
      <w:rFonts w:ascii="Times New Roman" w:cs="Times New Roman"/>
      <w:kern w:val="2"/>
      <w:sz w:val="18"/>
    </w:rPr>
  </w:style>
  <w:style w:type="paragraph" w:customStyle="1" w:styleId="801">
    <w:name w:val="最新表格"/>
    <w:basedOn w:val="1"/>
    <w:qFormat/>
    <w:uiPriority w:val="0"/>
    <w:pPr>
      <w:topLinePunct w:val="0"/>
      <w:adjustRightInd/>
      <w:snapToGrid w:val="0"/>
      <w:spacing w:line="240" w:lineRule="auto"/>
      <w:ind w:firstLine="0" w:firstLineChars="0"/>
      <w:jc w:val="center"/>
    </w:pPr>
    <w:rPr>
      <w:rFonts w:ascii="Times New Roman" w:cs="Times New Roman"/>
      <w:kern w:val="2"/>
      <w:sz w:val="21"/>
      <w:szCs w:val="21"/>
    </w:rPr>
  </w:style>
  <w:style w:type="paragraph" w:customStyle="1" w:styleId="802">
    <w:name w:val="1正文-L"/>
    <w:basedOn w:val="1"/>
    <w:qFormat/>
    <w:uiPriority w:val="0"/>
    <w:pPr>
      <w:topLinePunct w:val="0"/>
      <w:adjustRightInd/>
      <w:spacing w:line="240" w:lineRule="auto"/>
      <w:ind w:firstLine="480" w:firstLineChars="0"/>
    </w:pPr>
    <w:rPr>
      <w:rFonts w:ascii="Times New Roman" w:cs="Times New Roman"/>
      <w:kern w:val="2"/>
    </w:rPr>
  </w:style>
  <w:style w:type="paragraph" w:customStyle="1" w:styleId="803">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table" w:customStyle="1" w:styleId="804">
    <w:name w:val="网格型3"/>
    <w:basedOn w:val="5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05">
    <w:name w:val="TOC 标题12"/>
    <w:next w:val="1"/>
    <w:unhideWhenUsed/>
    <w:qFormat/>
    <w:uiPriority w:val="39"/>
    <w:pPr>
      <w:spacing w:line="360" w:lineRule="auto"/>
      <w:jc w:val="center"/>
    </w:pPr>
    <w:rPr>
      <w:rFonts w:ascii="Times New Roman" w:hAnsi="Times New Roman" w:eastAsia="Times New Roman" w:cs="Times New Roman"/>
      <w:b/>
      <w:bCs/>
      <w:sz w:val="21"/>
      <w:szCs w:val="28"/>
      <w:lang w:val="en-US" w:eastAsia="zh-CN" w:bidi="ar-SA"/>
    </w:rPr>
  </w:style>
  <w:style w:type="paragraph" w:customStyle="1" w:styleId="806">
    <w:name w:val="ns正文"/>
    <w:basedOn w:val="1"/>
    <w:qFormat/>
    <w:uiPriority w:val="0"/>
    <w:rPr>
      <w:rFonts w:ascii="Times New Roman"/>
    </w:rPr>
  </w:style>
  <w:style w:type="paragraph" w:customStyle="1" w:styleId="807">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character" w:customStyle="1" w:styleId="808">
    <w:name w:val="font31"/>
    <w:basedOn w:val="62"/>
    <w:qFormat/>
    <w:uiPriority w:val="0"/>
    <w:rPr>
      <w:rFonts w:hint="eastAsia" w:ascii="宋体" w:hAnsi="宋体" w:eastAsia="宋体" w:cs="宋体"/>
      <w:color w:val="000000"/>
      <w:sz w:val="21"/>
      <w:szCs w:val="21"/>
      <w:u w:val="none"/>
    </w:rPr>
  </w:style>
  <w:style w:type="character" w:customStyle="1" w:styleId="809">
    <w:name w:val="font41"/>
    <w:basedOn w:val="62"/>
    <w:qFormat/>
    <w:uiPriority w:val="0"/>
    <w:rPr>
      <w:rFonts w:hint="default" w:ascii="Times New Roman" w:hAnsi="Times New Roman" w:cs="Times New Roman"/>
      <w:color w:val="000000"/>
      <w:sz w:val="21"/>
      <w:szCs w:val="21"/>
      <w:u w:val="none"/>
      <w:vertAlign w:val="subscript"/>
    </w:r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customXml" Target="../customXml/item2.xml"/><Relationship Id="rId91" Type="http://schemas.openxmlformats.org/officeDocument/2006/relationships/numbering" Target="numbering.xml"/><Relationship Id="rId90" Type="http://schemas.openxmlformats.org/officeDocument/2006/relationships/customXml" Target="../customXml/item1.xml"/><Relationship Id="rId9" Type="http://schemas.openxmlformats.org/officeDocument/2006/relationships/footer" Target="footer2.xml"/><Relationship Id="rId89" Type="http://schemas.openxmlformats.org/officeDocument/2006/relationships/image" Target="media/image43.png"/><Relationship Id="rId88" Type="http://schemas.openxmlformats.org/officeDocument/2006/relationships/image" Target="media/image42.png"/><Relationship Id="rId87" Type="http://schemas.openxmlformats.org/officeDocument/2006/relationships/image" Target="media/image41.png"/><Relationship Id="rId86" Type="http://schemas.openxmlformats.org/officeDocument/2006/relationships/image" Target="media/image40.png"/><Relationship Id="rId85" Type="http://schemas.openxmlformats.org/officeDocument/2006/relationships/image" Target="media/image39.png"/><Relationship Id="rId84" Type="http://schemas.openxmlformats.org/officeDocument/2006/relationships/image" Target="media/image38.jpeg"/><Relationship Id="rId83" Type="http://schemas.openxmlformats.org/officeDocument/2006/relationships/image" Target="media/image37.jpeg"/><Relationship Id="rId82" Type="http://schemas.openxmlformats.org/officeDocument/2006/relationships/image" Target="media/image36.png"/><Relationship Id="rId81" Type="http://schemas.openxmlformats.org/officeDocument/2006/relationships/image" Target="media/image35.png"/><Relationship Id="rId80" Type="http://schemas.openxmlformats.org/officeDocument/2006/relationships/image" Target="media/image34.png"/><Relationship Id="rId8" Type="http://schemas.openxmlformats.org/officeDocument/2006/relationships/footer" Target="footer1.xml"/><Relationship Id="rId79" Type="http://schemas.openxmlformats.org/officeDocument/2006/relationships/image" Target="media/image33.png"/><Relationship Id="rId78" Type="http://schemas.openxmlformats.org/officeDocument/2006/relationships/image" Target="media/image32.png"/><Relationship Id="rId77" Type="http://schemas.openxmlformats.org/officeDocument/2006/relationships/image" Target="media/image31.png"/><Relationship Id="rId76" Type="http://schemas.openxmlformats.org/officeDocument/2006/relationships/image" Target="media/image30.png"/><Relationship Id="rId75" Type="http://schemas.openxmlformats.org/officeDocument/2006/relationships/image" Target="media/image29.png"/><Relationship Id="rId74" Type="http://schemas.openxmlformats.org/officeDocument/2006/relationships/image" Target="media/image28.png"/><Relationship Id="rId73" Type="http://schemas.openxmlformats.org/officeDocument/2006/relationships/image" Target="media/image27.png"/><Relationship Id="rId72" Type="http://schemas.openxmlformats.org/officeDocument/2006/relationships/image" Target="media/image26.png"/><Relationship Id="rId71" Type="http://schemas.openxmlformats.org/officeDocument/2006/relationships/image" Target="media/image25.png"/><Relationship Id="rId70" Type="http://schemas.openxmlformats.org/officeDocument/2006/relationships/image" Target="media/image24.emf"/><Relationship Id="rId7" Type="http://schemas.openxmlformats.org/officeDocument/2006/relationships/header" Target="header3.xml"/><Relationship Id="rId69" Type="http://schemas.openxmlformats.org/officeDocument/2006/relationships/image" Target="media/image23.emf"/><Relationship Id="rId68" Type="http://schemas.openxmlformats.org/officeDocument/2006/relationships/image" Target="media/image22.emf"/><Relationship Id="rId67" Type="http://schemas.openxmlformats.org/officeDocument/2006/relationships/image" Target="media/image21.png"/><Relationship Id="rId66" Type="http://schemas.openxmlformats.org/officeDocument/2006/relationships/image" Target="media/image20.png"/><Relationship Id="rId65" Type="http://schemas.openxmlformats.org/officeDocument/2006/relationships/image" Target="media/image19.png"/><Relationship Id="rId64" Type="http://schemas.openxmlformats.org/officeDocument/2006/relationships/image" Target="media/image18.png"/><Relationship Id="rId63" Type="http://schemas.openxmlformats.org/officeDocument/2006/relationships/image" Target="media/image17.png"/><Relationship Id="rId62" Type="http://schemas.openxmlformats.org/officeDocument/2006/relationships/image" Target="media/image16.png"/><Relationship Id="rId61" Type="http://schemas.openxmlformats.org/officeDocument/2006/relationships/image" Target="media/image15.png"/><Relationship Id="rId60" Type="http://schemas.openxmlformats.org/officeDocument/2006/relationships/image" Target="media/image14.png"/><Relationship Id="rId6" Type="http://schemas.openxmlformats.org/officeDocument/2006/relationships/header" Target="header2.xml"/><Relationship Id="rId59" Type="http://schemas.openxmlformats.org/officeDocument/2006/relationships/image" Target="media/image13.png"/><Relationship Id="rId58" Type="http://schemas.openxmlformats.org/officeDocument/2006/relationships/image" Target="media/image12.png"/><Relationship Id="rId57" Type="http://schemas.openxmlformats.org/officeDocument/2006/relationships/image" Target="media/image11.png"/><Relationship Id="rId56" Type="http://schemas.openxmlformats.org/officeDocument/2006/relationships/image" Target="media/image10.png"/><Relationship Id="rId55" Type="http://schemas.openxmlformats.org/officeDocument/2006/relationships/image" Target="media/image9.wmf"/><Relationship Id="rId54" Type="http://schemas.openxmlformats.org/officeDocument/2006/relationships/oleObject" Target="embeddings/oleObject2.bin"/><Relationship Id="rId53" Type="http://schemas.openxmlformats.org/officeDocument/2006/relationships/image" Target="media/image8.wmf"/><Relationship Id="rId52" Type="http://schemas.openxmlformats.org/officeDocument/2006/relationships/oleObject" Target="embeddings/oleObject1.bin"/><Relationship Id="rId51" Type="http://schemas.openxmlformats.org/officeDocument/2006/relationships/image" Target="media/image7.png"/><Relationship Id="rId50" Type="http://schemas.openxmlformats.org/officeDocument/2006/relationships/image" Target="media/image6.png"/><Relationship Id="rId5" Type="http://schemas.openxmlformats.org/officeDocument/2006/relationships/header" Target="header1.xml"/><Relationship Id="rId49" Type="http://schemas.openxmlformats.org/officeDocument/2006/relationships/image" Target="media/image5.jpeg"/><Relationship Id="rId48" Type="http://schemas.openxmlformats.org/officeDocument/2006/relationships/image" Target="media/image4.jpeg"/><Relationship Id="rId47" Type="http://schemas.openxmlformats.org/officeDocument/2006/relationships/image" Target="media/image3.png"/><Relationship Id="rId46" Type="http://schemas.openxmlformats.org/officeDocument/2006/relationships/image" Target="media/image2.png"/><Relationship Id="rId45" Type="http://schemas.openxmlformats.org/officeDocument/2006/relationships/image" Target="media/image1.jpeg"/><Relationship Id="rId44" Type="http://schemas.openxmlformats.org/officeDocument/2006/relationships/theme" Target="theme/theme1.xml"/><Relationship Id="rId43" Type="http://schemas.openxmlformats.org/officeDocument/2006/relationships/footer" Target="footer19.xml"/><Relationship Id="rId42" Type="http://schemas.openxmlformats.org/officeDocument/2006/relationships/footer" Target="footer18.xml"/><Relationship Id="rId41" Type="http://schemas.openxmlformats.org/officeDocument/2006/relationships/footer" Target="footer17.xml"/><Relationship Id="rId40" Type="http://schemas.openxmlformats.org/officeDocument/2006/relationships/header" Target="header20.xml"/><Relationship Id="rId4" Type="http://schemas.openxmlformats.org/officeDocument/2006/relationships/endnotes" Target="endnotes.xml"/><Relationship Id="rId39" Type="http://schemas.openxmlformats.org/officeDocument/2006/relationships/header" Target="header19.xml"/><Relationship Id="rId38" Type="http://schemas.openxmlformats.org/officeDocument/2006/relationships/header" Target="header18.xml"/><Relationship Id="rId37" Type="http://schemas.openxmlformats.org/officeDocument/2006/relationships/footer" Target="footer16.xml"/><Relationship Id="rId36" Type="http://schemas.openxmlformats.org/officeDocument/2006/relationships/footer" Target="footer15.xml"/><Relationship Id="rId35" Type="http://schemas.openxmlformats.org/officeDocument/2006/relationships/footer" Target="footer14.xml"/><Relationship Id="rId34" Type="http://schemas.openxmlformats.org/officeDocument/2006/relationships/header" Target="header17.xml"/><Relationship Id="rId33" Type="http://schemas.openxmlformats.org/officeDocument/2006/relationships/header" Target="header16.xml"/><Relationship Id="rId32" Type="http://schemas.openxmlformats.org/officeDocument/2006/relationships/header" Target="header15.xml"/><Relationship Id="rId31" Type="http://schemas.openxmlformats.org/officeDocument/2006/relationships/footer" Target="footer13.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footer" Target="footer11.xml"/><Relationship Id="rId28" Type="http://schemas.openxmlformats.org/officeDocument/2006/relationships/header" Target="header14.xml"/><Relationship Id="rId27" Type="http://schemas.openxmlformats.org/officeDocument/2006/relationships/header" Target="header13.xml"/><Relationship Id="rId26" Type="http://schemas.openxmlformats.org/officeDocument/2006/relationships/header" Target="header12.xml"/><Relationship Id="rId25" Type="http://schemas.openxmlformats.org/officeDocument/2006/relationships/footer" Target="footer10.xml"/><Relationship Id="rId24" Type="http://schemas.openxmlformats.org/officeDocument/2006/relationships/header" Target="header11.xml"/><Relationship Id="rId23" Type="http://schemas.openxmlformats.org/officeDocument/2006/relationships/footer" Target="footer9.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75B8D2-B348-476E-BBDD-8B85E54FCF3B}">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322</Pages>
  <Words>202984</Words>
  <Characters>232051</Characters>
  <Lines>1809</Lines>
  <Paragraphs>509</Paragraphs>
  <TotalTime>2</TotalTime>
  <ScaleCrop>false</ScaleCrop>
  <LinksUpToDate>false</LinksUpToDate>
  <CharactersWithSpaces>234085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2022-01-05T00:50:00Z</dcterms:created>
  <dc:creator>Windows 用户</dc:creator>
  <cp:lastModifiedBy>Administrator</cp:lastModifiedBy>
  <cp:lastPrinted>2023-10-19T08:28:00Z</cp:lastPrinted>
  <dcterms:modified xsi:type="dcterms:W3CDTF">2024-01-24T02:33:20Z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4B6D4F38877F4522B3531AE47C522088_13</vt:lpwstr>
  </property>
</Properties>
</file>