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ind w:left="0" w:leftChars="0" w:firstLine="0" w:firstLineChars="0"/>
        <w:rPr>
          <w:rFonts w:hint="eastAsia"/>
          <w:lang w:eastAsia="zh-CN"/>
        </w:rPr>
        <w:sectPr>
          <w:headerReference r:id="rId5" w:type="default"/>
          <w:footerReference r:id="rId6" w:type="default"/>
          <w:pgSz w:w="11906" w:h="16838"/>
          <w:pgMar w:top="1440" w:right="1800" w:bottom="1440" w:left="1800" w:header="851" w:footer="992" w:gutter="0"/>
          <w:cols w:space="425" w:num="1"/>
          <w:docGrid w:type="lines" w:linePitch="312" w:charSpace="0"/>
        </w:sectPr>
      </w:pPr>
      <w:r>
        <w:rPr>
          <w:rFonts w:hint="eastAsia"/>
          <w:lang w:eastAsia="zh-CN"/>
        </w:rPr>
        <w:drawing>
          <wp:inline distT="0" distB="0" distL="114300" distR="114300">
            <wp:extent cx="5267960" cy="7183755"/>
            <wp:effectExtent l="0" t="0" r="8890" b="17145"/>
            <wp:docPr id="11" name="图片 11" descr="公参封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公参封皮"/>
                    <pic:cNvPicPr>
                      <a:picLocks noChangeAspect="1"/>
                    </pic:cNvPicPr>
                  </pic:nvPicPr>
                  <pic:blipFill>
                    <a:blip r:embed="rId10"/>
                    <a:stretch>
                      <a:fillRect/>
                    </a:stretch>
                  </pic:blipFill>
                  <pic:spPr>
                    <a:xfrm>
                      <a:off x="0" y="0"/>
                      <a:ext cx="5267960" cy="7183755"/>
                    </a:xfrm>
                    <a:prstGeom prst="rect">
                      <a:avLst/>
                    </a:prstGeom>
                  </pic:spPr>
                </pic:pic>
              </a:graphicData>
            </a:graphic>
          </wp:inline>
        </w:drawing>
      </w:r>
    </w:p>
    <w:p>
      <w:pPr>
        <w:spacing w:before="156" w:beforeLines="50" w:after="312" w:afterLines="100"/>
        <w:ind w:firstLine="0" w:firstLineChars="0"/>
        <w:jc w:val="center"/>
        <w:rPr>
          <w:rFonts w:eastAsia="黑体" w:cs="Times New Roman"/>
          <w:sz w:val="36"/>
        </w:rPr>
      </w:pPr>
      <w:r>
        <w:rPr>
          <w:rFonts w:eastAsia="黑体" w:cs="Times New Roman"/>
          <w:sz w:val="36"/>
        </w:rPr>
        <w:t>目    录</w:t>
      </w:r>
    </w:p>
    <w:p>
      <w:pPr>
        <w:pStyle w:val="14"/>
        <w:tabs>
          <w:tab w:val="right" w:leader="dot" w:pos="8306"/>
        </w:tabs>
      </w:pPr>
      <w:r>
        <w:rPr>
          <w:rFonts w:ascii="黑体" w:hAnsi="黑体" w:cs="Times New Roman"/>
        </w:rPr>
        <w:fldChar w:fldCharType="begin"/>
      </w:r>
      <w:r>
        <w:rPr>
          <w:rFonts w:ascii="黑体" w:hAnsi="黑体" w:cs="Times New Roman"/>
        </w:rPr>
        <w:instrText xml:space="preserve"> TOC \o "1-3" \h \z \u </w:instrText>
      </w:r>
      <w:r>
        <w:rPr>
          <w:rFonts w:ascii="黑体" w:hAnsi="黑体" w:cs="Times New Roman"/>
        </w:rPr>
        <w:fldChar w:fldCharType="separate"/>
      </w:r>
      <w:r>
        <w:rPr>
          <w:rFonts w:ascii="黑体" w:hAnsi="黑体" w:cs="Times New Roman"/>
        </w:rPr>
        <w:fldChar w:fldCharType="begin"/>
      </w:r>
      <w:r>
        <w:rPr>
          <w:rFonts w:ascii="黑体" w:hAnsi="黑体" w:cs="Times New Roman"/>
        </w:rPr>
        <w:instrText xml:space="preserve"> HYPERLINK \l _Toc7991 </w:instrText>
      </w:r>
      <w:r>
        <w:rPr>
          <w:rFonts w:ascii="黑体" w:hAnsi="黑体" w:cs="Times New Roman"/>
        </w:rPr>
        <w:fldChar w:fldCharType="separate"/>
      </w:r>
      <w:r>
        <w:rPr>
          <w:rFonts w:cs="Times New Roman"/>
        </w:rPr>
        <w:t>1 概述</w:t>
      </w:r>
      <w:r>
        <w:tab/>
      </w:r>
      <w:r>
        <w:fldChar w:fldCharType="begin"/>
      </w:r>
      <w:r>
        <w:instrText xml:space="preserve"> PAGEREF _Toc7991 \h </w:instrText>
      </w:r>
      <w:r>
        <w:fldChar w:fldCharType="separate"/>
      </w:r>
      <w:r>
        <w:t>1</w:t>
      </w:r>
      <w:r>
        <w:fldChar w:fldCharType="end"/>
      </w:r>
      <w:r>
        <w:rPr>
          <w:rFonts w:ascii="黑体" w:hAnsi="黑体" w:cs="Times New Roman"/>
        </w:rPr>
        <w:fldChar w:fldCharType="end"/>
      </w:r>
    </w:p>
    <w:p>
      <w:pPr>
        <w:pStyle w:val="14"/>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_Toc1182 </w:instrText>
      </w:r>
      <w:r>
        <w:rPr>
          <w:rFonts w:ascii="黑体" w:hAnsi="黑体" w:eastAsia="黑体" w:cs="Times New Roman"/>
        </w:rPr>
        <w:fldChar w:fldCharType="separate"/>
      </w:r>
      <w:r>
        <w:rPr>
          <w:rFonts w:cs="Times New Roman"/>
        </w:rPr>
        <w:t>2 首次环境影响评价信息公开情况</w:t>
      </w:r>
      <w:r>
        <w:tab/>
      </w:r>
      <w:r>
        <w:fldChar w:fldCharType="begin"/>
      </w:r>
      <w:r>
        <w:instrText xml:space="preserve"> PAGEREF _Toc1182 \h </w:instrText>
      </w:r>
      <w:r>
        <w:fldChar w:fldCharType="separate"/>
      </w:r>
      <w:r>
        <w:t>3</w:t>
      </w:r>
      <w:r>
        <w:fldChar w:fldCharType="end"/>
      </w:r>
      <w:r>
        <w:rPr>
          <w:rFonts w:ascii="黑体" w:hAnsi="黑体" w:eastAsia="黑体" w:cs="Times New Roman"/>
        </w:rPr>
        <w:fldChar w:fldCharType="end"/>
      </w:r>
    </w:p>
    <w:p>
      <w:pPr>
        <w:pStyle w:val="15"/>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_Toc27191 </w:instrText>
      </w:r>
      <w:r>
        <w:rPr>
          <w:rFonts w:ascii="黑体" w:hAnsi="黑体" w:eastAsia="黑体" w:cs="Times New Roman"/>
        </w:rPr>
        <w:fldChar w:fldCharType="separate"/>
      </w:r>
      <w:r>
        <w:t>2.1 公开内容及日期</w:t>
      </w:r>
      <w:r>
        <w:tab/>
      </w:r>
      <w:r>
        <w:fldChar w:fldCharType="begin"/>
      </w:r>
      <w:r>
        <w:instrText xml:space="preserve"> PAGEREF _Toc27191 \h </w:instrText>
      </w:r>
      <w:r>
        <w:fldChar w:fldCharType="separate"/>
      </w:r>
      <w:r>
        <w:t>3</w:t>
      </w:r>
      <w:r>
        <w:fldChar w:fldCharType="end"/>
      </w:r>
      <w:r>
        <w:rPr>
          <w:rFonts w:ascii="黑体" w:hAnsi="黑体" w:eastAsia="黑体" w:cs="Times New Roman"/>
        </w:rPr>
        <w:fldChar w:fldCharType="end"/>
      </w:r>
    </w:p>
    <w:p>
      <w:pPr>
        <w:pStyle w:val="15"/>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_Toc8944 </w:instrText>
      </w:r>
      <w:r>
        <w:rPr>
          <w:rFonts w:ascii="黑体" w:hAnsi="黑体" w:eastAsia="黑体" w:cs="Times New Roman"/>
        </w:rPr>
        <w:fldChar w:fldCharType="separate"/>
      </w:r>
      <w:r>
        <w:t>2.2 公开方式</w:t>
      </w:r>
      <w:r>
        <w:tab/>
      </w:r>
      <w:r>
        <w:fldChar w:fldCharType="begin"/>
      </w:r>
      <w:r>
        <w:instrText xml:space="preserve"> PAGEREF _Toc8944 \h </w:instrText>
      </w:r>
      <w:r>
        <w:fldChar w:fldCharType="separate"/>
      </w:r>
      <w:r>
        <w:t>4</w:t>
      </w:r>
      <w:r>
        <w:fldChar w:fldCharType="end"/>
      </w:r>
      <w:r>
        <w:rPr>
          <w:rFonts w:ascii="黑体" w:hAnsi="黑体" w:eastAsia="黑体" w:cs="Times New Roman"/>
        </w:rPr>
        <w:fldChar w:fldCharType="end"/>
      </w:r>
    </w:p>
    <w:p>
      <w:pPr>
        <w:pStyle w:val="10"/>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_Toc31587 </w:instrText>
      </w:r>
      <w:r>
        <w:rPr>
          <w:rFonts w:ascii="黑体" w:hAnsi="黑体" w:eastAsia="黑体" w:cs="Times New Roman"/>
        </w:rPr>
        <w:fldChar w:fldCharType="separate"/>
      </w:r>
      <w:r>
        <w:rPr>
          <w:bCs/>
        </w:rPr>
        <w:t>2.2.1 网络</w:t>
      </w:r>
      <w:r>
        <w:tab/>
      </w:r>
      <w:r>
        <w:fldChar w:fldCharType="begin"/>
      </w:r>
      <w:r>
        <w:instrText xml:space="preserve"> PAGEREF _Toc31587 \h </w:instrText>
      </w:r>
      <w:r>
        <w:fldChar w:fldCharType="separate"/>
      </w:r>
      <w:r>
        <w:t>4</w:t>
      </w:r>
      <w:r>
        <w:fldChar w:fldCharType="end"/>
      </w:r>
      <w:r>
        <w:rPr>
          <w:rFonts w:ascii="黑体" w:hAnsi="黑体" w:eastAsia="黑体" w:cs="Times New Roman"/>
        </w:rPr>
        <w:fldChar w:fldCharType="end"/>
      </w:r>
    </w:p>
    <w:p>
      <w:pPr>
        <w:pStyle w:val="10"/>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_Toc27809 </w:instrText>
      </w:r>
      <w:r>
        <w:rPr>
          <w:rFonts w:ascii="黑体" w:hAnsi="黑体" w:eastAsia="黑体" w:cs="Times New Roman"/>
        </w:rPr>
        <w:fldChar w:fldCharType="separate"/>
      </w:r>
      <w:r>
        <w:t>2.2.2 其他</w:t>
      </w:r>
      <w:r>
        <w:tab/>
      </w:r>
      <w:r>
        <w:fldChar w:fldCharType="begin"/>
      </w:r>
      <w:r>
        <w:instrText xml:space="preserve"> PAGEREF _Toc27809 \h </w:instrText>
      </w:r>
      <w:r>
        <w:fldChar w:fldCharType="separate"/>
      </w:r>
      <w:r>
        <w:t>6</w:t>
      </w:r>
      <w:r>
        <w:fldChar w:fldCharType="end"/>
      </w:r>
      <w:r>
        <w:rPr>
          <w:rFonts w:ascii="黑体" w:hAnsi="黑体" w:eastAsia="黑体" w:cs="Times New Roman"/>
        </w:rPr>
        <w:fldChar w:fldCharType="end"/>
      </w:r>
    </w:p>
    <w:p>
      <w:pPr>
        <w:pStyle w:val="15"/>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_Toc25045 </w:instrText>
      </w:r>
      <w:r>
        <w:rPr>
          <w:rFonts w:ascii="黑体" w:hAnsi="黑体" w:eastAsia="黑体" w:cs="Times New Roman"/>
        </w:rPr>
        <w:fldChar w:fldCharType="separate"/>
      </w:r>
      <w:r>
        <w:t>2.3 公众意见情况</w:t>
      </w:r>
      <w:r>
        <w:tab/>
      </w:r>
      <w:r>
        <w:fldChar w:fldCharType="begin"/>
      </w:r>
      <w:r>
        <w:instrText xml:space="preserve"> PAGEREF _Toc25045 \h </w:instrText>
      </w:r>
      <w:r>
        <w:fldChar w:fldCharType="separate"/>
      </w:r>
      <w:r>
        <w:t>6</w:t>
      </w:r>
      <w:r>
        <w:fldChar w:fldCharType="end"/>
      </w:r>
      <w:r>
        <w:rPr>
          <w:rFonts w:ascii="黑体" w:hAnsi="黑体" w:eastAsia="黑体" w:cs="Times New Roman"/>
        </w:rPr>
        <w:fldChar w:fldCharType="end"/>
      </w:r>
    </w:p>
    <w:p>
      <w:pPr>
        <w:pStyle w:val="14"/>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_Toc15714 </w:instrText>
      </w:r>
      <w:r>
        <w:rPr>
          <w:rFonts w:ascii="黑体" w:hAnsi="黑体" w:eastAsia="黑体" w:cs="Times New Roman"/>
        </w:rPr>
        <w:fldChar w:fldCharType="separate"/>
      </w:r>
      <w:r>
        <w:rPr>
          <w:rFonts w:cs="Times New Roman"/>
        </w:rPr>
        <w:t>3 征求意见稿公示情况</w:t>
      </w:r>
      <w:r>
        <w:tab/>
      </w:r>
      <w:r>
        <w:fldChar w:fldCharType="begin"/>
      </w:r>
      <w:r>
        <w:instrText xml:space="preserve"> PAGEREF _Toc15714 \h </w:instrText>
      </w:r>
      <w:r>
        <w:fldChar w:fldCharType="separate"/>
      </w:r>
      <w:r>
        <w:t>7</w:t>
      </w:r>
      <w:r>
        <w:fldChar w:fldCharType="end"/>
      </w:r>
      <w:r>
        <w:rPr>
          <w:rFonts w:ascii="黑体" w:hAnsi="黑体" w:eastAsia="黑体" w:cs="Times New Roman"/>
        </w:rPr>
        <w:fldChar w:fldCharType="end"/>
      </w:r>
    </w:p>
    <w:p>
      <w:pPr>
        <w:pStyle w:val="15"/>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_Toc30574 </w:instrText>
      </w:r>
      <w:r>
        <w:rPr>
          <w:rFonts w:ascii="黑体" w:hAnsi="黑体" w:eastAsia="黑体" w:cs="Times New Roman"/>
        </w:rPr>
        <w:fldChar w:fldCharType="separate"/>
      </w:r>
      <w:r>
        <w:t>3.1 公示内容及时限</w:t>
      </w:r>
      <w:r>
        <w:tab/>
      </w:r>
      <w:r>
        <w:fldChar w:fldCharType="begin"/>
      </w:r>
      <w:r>
        <w:instrText xml:space="preserve"> PAGEREF _Toc30574 \h </w:instrText>
      </w:r>
      <w:r>
        <w:fldChar w:fldCharType="separate"/>
      </w:r>
      <w:r>
        <w:t>7</w:t>
      </w:r>
      <w:r>
        <w:fldChar w:fldCharType="end"/>
      </w:r>
      <w:r>
        <w:rPr>
          <w:rFonts w:ascii="黑体" w:hAnsi="黑体" w:eastAsia="黑体" w:cs="Times New Roman"/>
        </w:rPr>
        <w:fldChar w:fldCharType="end"/>
      </w:r>
    </w:p>
    <w:p>
      <w:pPr>
        <w:pStyle w:val="15"/>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_Toc10403 </w:instrText>
      </w:r>
      <w:r>
        <w:rPr>
          <w:rFonts w:ascii="黑体" w:hAnsi="黑体" w:eastAsia="黑体" w:cs="Times New Roman"/>
        </w:rPr>
        <w:fldChar w:fldCharType="separate"/>
      </w:r>
      <w:r>
        <w:t>3.2 公示方法</w:t>
      </w:r>
      <w:r>
        <w:tab/>
      </w:r>
      <w:r>
        <w:fldChar w:fldCharType="begin"/>
      </w:r>
      <w:r>
        <w:instrText xml:space="preserve"> PAGEREF _Toc10403 \h </w:instrText>
      </w:r>
      <w:r>
        <w:fldChar w:fldCharType="separate"/>
      </w:r>
      <w:r>
        <w:t>8</w:t>
      </w:r>
      <w:r>
        <w:fldChar w:fldCharType="end"/>
      </w:r>
      <w:r>
        <w:rPr>
          <w:rFonts w:ascii="黑体" w:hAnsi="黑体" w:eastAsia="黑体" w:cs="Times New Roman"/>
        </w:rPr>
        <w:fldChar w:fldCharType="end"/>
      </w:r>
    </w:p>
    <w:p>
      <w:pPr>
        <w:pStyle w:val="10"/>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_Toc26283 </w:instrText>
      </w:r>
      <w:r>
        <w:rPr>
          <w:rFonts w:ascii="黑体" w:hAnsi="黑体" w:eastAsia="黑体" w:cs="Times New Roman"/>
        </w:rPr>
        <w:fldChar w:fldCharType="separate"/>
      </w:r>
      <w:r>
        <w:t>3.2.1 网络</w:t>
      </w:r>
      <w:r>
        <w:tab/>
      </w:r>
      <w:r>
        <w:fldChar w:fldCharType="begin"/>
      </w:r>
      <w:r>
        <w:instrText xml:space="preserve"> PAGEREF _Toc26283 \h </w:instrText>
      </w:r>
      <w:r>
        <w:fldChar w:fldCharType="separate"/>
      </w:r>
      <w:r>
        <w:t>8</w:t>
      </w:r>
      <w:r>
        <w:fldChar w:fldCharType="end"/>
      </w:r>
      <w:r>
        <w:rPr>
          <w:rFonts w:ascii="黑体" w:hAnsi="黑体" w:eastAsia="黑体" w:cs="Times New Roman"/>
        </w:rPr>
        <w:fldChar w:fldCharType="end"/>
      </w:r>
    </w:p>
    <w:p>
      <w:pPr>
        <w:pStyle w:val="10"/>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_Toc10379 </w:instrText>
      </w:r>
      <w:r>
        <w:rPr>
          <w:rFonts w:ascii="黑体" w:hAnsi="黑体" w:eastAsia="黑体" w:cs="Times New Roman"/>
        </w:rPr>
        <w:fldChar w:fldCharType="separate"/>
      </w:r>
      <w:r>
        <w:t>3.2.2 报纸</w:t>
      </w:r>
      <w:r>
        <w:tab/>
      </w:r>
      <w:r>
        <w:fldChar w:fldCharType="begin"/>
      </w:r>
      <w:r>
        <w:instrText xml:space="preserve"> PAGEREF _Toc10379 \h </w:instrText>
      </w:r>
      <w:r>
        <w:fldChar w:fldCharType="separate"/>
      </w:r>
      <w:r>
        <w:t>10</w:t>
      </w:r>
      <w:r>
        <w:fldChar w:fldCharType="end"/>
      </w:r>
      <w:r>
        <w:rPr>
          <w:rFonts w:ascii="黑体" w:hAnsi="黑体" w:eastAsia="黑体" w:cs="Times New Roman"/>
        </w:rPr>
        <w:fldChar w:fldCharType="end"/>
      </w:r>
    </w:p>
    <w:p>
      <w:pPr>
        <w:pStyle w:val="10"/>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_Toc23600 </w:instrText>
      </w:r>
      <w:r>
        <w:rPr>
          <w:rFonts w:ascii="黑体" w:hAnsi="黑体" w:eastAsia="黑体" w:cs="Times New Roman"/>
        </w:rPr>
        <w:fldChar w:fldCharType="separate"/>
      </w:r>
      <w:r>
        <w:t>3.2.3 张贴</w:t>
      </w:r>
      <w:r>
        <w:tab/>
      </w:r>
      <w:r>
        <w:fldChar w:fldCharType="begin"/>
      </w:r>
      <w:r>
        <w:instrText xml:space="preserve"> PAGEREF _Toc23600 \h </w:instrText>
      </w:r>
      <w:r>
        <w:fldChar w:fldCharType="separate"/>
      </w:r>
      <w:r>
        <w:t>13</w:t>
      </w:r>
      <w:r>
        <w:fldChar w:fldCharType="end"/>
      </w:r>
      <w:r>
        <w:rPr>
          <w:rFonts w:ascii="黑体" w:hAnsi="黑体" w:eastAsia="黑体" w:cs="Times New Roman"/>
        </w:rPr>
        <w:fldChar w:fldCharType="end"/>
      </w:r>
    </w:p>
    <w:p>
      <w:pPr>
        <w:pStyle w:val="15"/>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_Toc19942 </w:instrText>
      </w:r>
      <w:r>
        <w:rPr>
          <w:rFonts w:ascii="黑体" w:hAnsi="黑体" w:eastAsia="黑体" w:cs="Times New Roman"/>
        </w:rPr>
        <w:fldChar w:fldCharType="separate"/>
      </w:r>
      <w:r>
        <w:t>3.3 查阅情况</w:t>
      </w:r>
      <w:r>
        <w:tab/>
      </w:r>
      <w:r>
        <w:fldChar w:fldCharType="begin"/>
      </w:r>
      <w:r>
        <w:instrText xml:space="preserve"> PAGEREF _Toc19942 \h </w:instrText>
      </w:r>
      <w:r>
        <w:fldChar w:fldCharType="separate"/>
      </w:r>
      <w:r>
        <w:t>15</w:t>
      </w:r>
      <w:r>
        <w:fldChar w:fldCharType="end"/>
      </w:r>
      <w:r>
        <w:rPr>
          <w:rFonts w:ascii="黑体" w:hAnsi="黑体" w:eastAsia="黑体" w:cs="Times New Roman"/>
        </w:rPr>
        <w:fldChar w:fldCharType="end"/>
      </w:r>
    </w:p>
    <w:p>
      <w:pPr>
        <w:pStyle w:val="15"/>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_Toc10626 </w:instrText>
      </w:r>
      <w:r>
        <w:rPr>
          <w:rFonts w:ascii="黑体" w:hAnsi="黑体" w:eastAsia="黑体" w:cs="Times New Roman"/>
        </w:rPr>
        <w:fldChar w:fldCharType="separate"/>
      </w:r>
      <w:r>
        <w:t>3.4 公众提出意见情况</w:t>
      </w:r>
      <w:r>
        <w:tab/>
      </w:r>
      <w:r>
        <w:fldChar w:fldCharType="begin"/>
      </w:r>
      <w:r>
        <w:instrText xml:space="preserve"> PAGEREF _Toc10626 \h </w:instrText>
      </w:r>
      <w:r>
        <w:fldChar w:fldCharType="separate"/>
      </w:r>
      <w:r>
        <w:t>15</w:t>
      </w:r>
      <w:r>
        <w:fldChar w:fldCharType="end"/>
      </w:r>
      <w:r>
        <w:rPr>
          <w:rFonts w:ascii="黑体" w:hAnsi="黑体" w:eastAsia="黑体" w:cs="Times New Roman"/>
        </w:rPr>
        <w:fldChar w:fldCharType="end"/>
      </w:r>
    </w:p>
    <w:p>
      <w:pPr>
        <w:pStyle w:val="14"/>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_Toc16485 </w:instrText>
      </w:r>
      <w:r>
        <w:rPr>
          <w:rFonts w:ascii="黑体" w:hAnsi="黑体" w:eastAsia="黑体" w:cs="Times New Roman"/>
        </w:rPr>
        <w:fldChar w:fldCharType="separate"/>
      </w:r>
      <w:r>
        <w:rPr>
          <w:rFonts w:cs="Times New Roman"/>
        </w:rPr>
        <w:t>4 其他公众参与情况</w:t>
      </w:r>
      <w:r>
        <w:tab/>
      </w:r>
      <w:r>
        <w:fldChar w:fldCharType="begin"/>
      </w:r>
      <w:r>
        <w:instrText xml:space="preserve"> PAGEREF _Toc16485 \h </w:instrText>
      </w:r>
      <w:r>
        <w:fldChar w:fldCharType="separate"/>
      </w:r>
      <w:r>
        <w:t>16</w:t>
      </w:r>
      <w:r>
        <w:fldChar w:fldCharType="end"/>
      </w:r>
      <w:r>
        <w:rPr>
          <w:rFonts w:ascii="黑体" w:hAnsi="黑体" w:eastAsia="黑体" w:cs="Times New Roman"/>
        </w:rPr>
        <w:fldChar w:fldCharType="end"/>
      </w:r>
    </w:p>
    <w:p>
      <w:pPr>
        <w:pStyle w:val="14"/>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_Toc2764 </w:instrText>
      </w:r>
      <w:r>
        <w:rPr>
          <w:rFonts w:ascii="黑体" w:hAnsi="黑体" w:eastAsia="黑体" w:cs="Times New Roman"/>
        </w:rPr>
        <w:fldChar w:fldCharType="separate"/>
      </w:r>
      <w:r>
        <w:rPr>
          <w:rFonts w:hint="eastAsia" w:eastAsia="黑体" w:cs="Times New Roman"/>
          <w:bCs/>
          <w:kern w:val="44"/>
          <w:szCs w:val="44"/>
        </w:rPr>
        <w:t>5 公众意见处理情况</w:t>
      </w:r>
      <w:r>
        <w:tab/>
      </w:r>
      <w:r>
        <w:fldChar w:fldCharType="begin"/>
      </w:r>
      <w:r>
        <w:instrText xml:space="preserve"> PAGEREF _Toc2764 \h </w:instrText>
      </w:r>
      <w:r>
        <w:fldChar w:fldCharType="separate"/>
      </w:r>
      <w:r>
        <w:t>16</w:t>
      </w:r>
      <w:r>
        <w:fldChar w:fldCharType="end"/>
      </w:r>
      <w:r>
        <w:rPr>
          <w:rFonts w:ascii="黑体" w:hAnsi="黑体" w:eastAsia="黑体" w:cs="Times New Roman"/>
        </w:rPr>
        <w:fldChar w:fldCharType="end"/>
      </w:r>
    </w:p>
    <w:p>
      <w:pPr>
        <w:pStyle w:val="14"/>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_Toc6614 </w:instrText>
      </w:r>
      <w:r>
        <w:rPr>
          <w:rFonts w:ascii="黑体" w:hAnsi="黑体" w:eastAsia="黑体" w:cs="Times New Roman"/>
        </w:rPr>
        <w:fldChar w:fldCharType="separate"/>
      </w:r>
      <w:r>
        <w:rPr>
          <w:rFonts w:hint="eastAsia" w:eastAsia="黑体" w:cs="Times New Roman"/>
          <w:bCs/>
          <w:kern w:val="44"/>
          <w:szCs w:val="44"/>
        </w:rPr>
        <w:t>6 报批前公开情况</w:t>
      </w:r>
      <w:r>
        <w:tab/>
      </w:r>
      <w:r>
        <w:fldChar w:fldCharType="begin"/>
      </w:r>
      <w:r>
        <w:instrText xml:space="preserve"> PAGEREF _Toc6614 \h </w:instrText>
      </w:r>
      <w:r>
        <w:fldChar w:fldCharType="separate"/>
      </w:r>
      <w:r>
        <w:t>17</w:t>
      </w:r>
      <w:r>
        <w:fldChar w:fldCharType="end"/>
      </w:r>
      <w:r>
        <w:rPr>
          <w:rFonts w:ascii="黑体" w:hAnsi="黑体" w:eastAsia="黑体" w:cs="Times New Roman"/>
        </w:rPr>
        <w:fldChar w:fldCharType="end"/>
      </w:r>
    </w:p>
    <w:p>
      <w:pPr>
        <w:pStyle w:val="14"/>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_Toc4010 </w:instrText>
      </w:r>
      <w:r>
        <w:rPr>
          <w:rFonts w:ascii="黑体" w:hAnsi="黑体" w:eastAsia="黑体" w:cs="Times New Roman"/>
        </w:rPr>
        <w:fldChar w:fldCharType="separate"/>
      </w:r>
      <w:r>
        <w:rPr>
          <w:rFonts w:hint="eastAsia" w:ascii="Times New Roman" w:hAnsi="Times New Roman" w:eastAsia="黑体"/>
          <w:bCs/>
          <w:kern w:val="44"/>
          <w:szCs w:val="44"/>
        </w:rPr>
        <w:t>7 其他</w:t>
      </w:r>
      <w:r>
        <w:tab/>
      </w:r>
      <w:r>
        <w:fldChar w:fldCharType="begin"/>
      </w:r>
      <w:r>
        <w:instrText xml:space="preserve"> PAGEREF _Toc4010 \h </w:instrText>
      </w:r>
      <w:r>
        <w:fldChar w:fldCharType="separate"/>
      </w:r>
      <w:r>
        <w:t>18</w:t>
      </w:r>
      <w:r>
        <w:fldChar w:fldCharType="end"/>
      </w:r>
      <w:r>
        <w:rPr>
          <w:rFonts w:ascii="黑体" w:hAnsi="黑体" w:eastAsia="黑体" w:cs="Times New Roman"/>
        </w:rPr>
        <w:fldChar w:fldCharType="end"/>
      </w:r>
    </w:p>
    <w:p>
      <w:pPr>
        <w:pStyle w:val="14"/>
        <w:tabs>
          <w:tab w:val="right" w:leader="dot" w:pos="8306"/>
        </w:tabs>
      </w:pPr>
      <w:r>
        <w:rPr>
          <w:rFonts w:ascii="黑体" w:hAnsi="黑体" w:eastAsia="黑体" w:cs="Times New Roman"/>
        </w:rPr>
        <w:fldChar w:fldCharType="begin"/>
      </w:r>
      <w:r>
        <w:rPr>
          <w:rFonts w:ascii="黑体" w:hAnsi="黑体" w:eastAsia="黑体" w:cs="Times New Roman"/>
        </w:rPr>
        <w:instrText xml:space="preserve"> HYPERLINK \l _Toc15435 </w:instrText>
      </w:r>
      <w:r>
        <w:rPr>
          <w:rFonts w:ascii="黑体" w:hAnsi="黑体" w:eastAsia="黑体" w:cs="Times New Roman"/>
        </w:rPr>
        <w:fldChar w:fldCharType="separate"/>
      </w:r>
      <w:r>
        <w:rPr>
          <w:rFonts w:hint="eastAsia" w:ascii="Times New Roman" w:hAnsi="Times New Roman" w:eastAsia="黑体"/>
          <w:bCs/>
          <w:kern w:val="44"/>
          <w:szCs w:val="44"/>
          <w:lang w:val="en-US" w:eastAsia="zh-CN"/>
        </w:rPr>
        <w:t>8</w:t>
      </w:r>
      <w:r>
        <w:rPr>
          <w:rFonts w:hint="eastAsia" w:ascii="Times New Roman" w:hAnsi="Times New Roman" w:eastAsia="黑体"/>
          <w:bCs/>
          <w:kern w:val="44"/>
          <w:szCs w:val="44"/>
        </w:rPr>
        <w:t xml:space="preserve"> </w:t>
      </w:r>
      <w:r>
        <w:rPr>
          <w:rFonts w:hint="eastAsia" w:ascii="Times New Roman" w:hAnsi="Times New Roman" w:eastAsia="黑体"/>
          <w:bCs/>
          <w:kern w:val="44"/>
          <w:szCs w:val="44"/>
          <w:lang w:val="en-US" w:eastAsia="zh-CN"/>
        </w:rPr>
        <w:t>诚信承诺</w:t>
      </w:r>
      <w:r>
        <w:tab/>
      </w:r>
      <w:r>
        <w:fldChar w:fldCharType="begin"/>
      </w:r>
      <w:r>
        <w:instrText xml:space="preserve"> PAGEREF _Toc15435 \h </w:instrText>
      </w:r>
      <w:r>
        <w:fldChar w:fldCharType="separate"/>
      </w:r>
      <w:r>
        <w:t>19</w:t>
      </w:r>
      <w:r>
        <w:fldChar w:fldCharType="end"/>
      </w:r>
      <w:r>
        <w:rPr>
          <w:rFonts w:ascii="黑体" w:hAnsi="黑体" w:eastAsia="黑体" w:cs="Times New Roman"/>
        </w:rPr>
        <w:fldChar w:fldCharType="end"/>
      </w:r>
    </w:p>
    <w:p>
      <w:pPr>
        <w:ind w:firstLine="0" w:firstLineChars="0"/>
        <w:rPr>
          <w:rFonts w:cs="Times New Roman"/>
        </w:rPr>
      </w:pPr>
      <w:r>
        <w:rPr>
          <w:rFonts w:ascii="黑体" w:hAnsi="黑体" w:eastAsia="黑体" w:cs="Times New Roman"/>
        </w:rPr>
        <w:fldChar w:fldCharType="end"/>
      </w:r>
    </w:p>
    <w:p>
      <w:pPr>
        <w:ind w:firstLine="480"/>
        <w:rPr>
          <w:rFonts w:cs="Times New Roman"/>
        </w:rPr>
        <w:sectPr>
          <w:pgSz w:w="11906" w:h="16838"/>
          <w:pgMar w:top="1440" w:right="1800" w:bottom="1440" w:left="1800" w:header="851" w:footer="992" w:gutter="0"/>
          <w:cols w:space="425" w:num="1"/>
          <w:docGrid w:type="lines" w:linePitch="312" w:charSpace="0"/>
        </w:sectPr>
      </w:pPr>
    </w:p>
    <w:p>
      <w:pPr>
        <w:pStyle w:val="5"/>
        <w:rPr>
          <w:rFonts w:cs="Times New Roman"/>
        </w:rPr>
      </w:pPr>
      <w:bookmarkStart w:id="0" w:name="_Toc7991"/>
      <w:r>
        <w:rPr>
          <w:rFonts w:cs="Times New Roman"/>
        </w:rPr>
        <w:t>1 概述</w:t>
      </w:r>
      <w:bookmarkEnd w:id="0"/>
    </w:p>
    <w:p>
      <w:pPr>
        <w:widowControl/>
        <w:spacing w:line="360" w:lineRule="auto"/>
        <w:ind w:firstLine="480" w:firstLineChars="200"/>
        <w:jc w:val="both"/>
        <w:rPr>
          <w:rFonts w:ascii="Times New Roman" w:hAnsi="Times New Roman" w:cs="Times New Roman"/>
          <w:color w:val="auto"/>
          <w:sz w:val="24"/>
          <w:szCs w:val="24"/>
          <w:highlight w:val="none"/>
        </w:rPr>
      </w:pPr>
      <w:r>
        <w:rPr>
          <w:rFonts w:ascii="Times New Roman" w:hAnsi="Times New Roman" w:cs="Times New Roman"/>
          <w:color w:val="auto"/>
          <w:sz w:val="24"/>
          <w:szCs w:val="24"/>
          <w:highlight w:val="none"/>
          <w:lang w:val="en-US" w:bidi="ar"/>
        </w:rPr>
        <w:t>川气东送管道西起川东北普光首站，东至上海末站，途经四川、重庆、湖北、安徽、江苏、浙江、江西、上海等八省、市，是继西气东输管线之后又一条贯穿我国东西部地区的管道大动脉。管道全长约2229km，包括1条干线、5条支线和1条专线，管径1016mm，设计压力10MPa，设计输量150×10</w:t>
      </w:r>
      <w:r>
        <w:rPr>
          <w:rFonts w:ascii="Times New Roman" w:hAnsi="Times New Roman" w:cs="Times New Roman"/>
          <w:color w:val="auto"/>
          <w:sz w:val="24"/>
          <w:szCs w:val="24"/>
          <w:highlight w:val="none"/>
          <w:vertAlign w:val="superscript"/>
          <w:lang w:val="en-US" w:bidi="ar"/>
        </w:rPr>
        <w:t>8</w:t>
      </w:r>
      <w:r>
        <w:rPr>
          <w:rFonts w:ascii="Times New Roman" w:hAnsi="Times New Roman" w:cs="Times New Roman"/>
          <w:color w:val="auto"/>
          <w:sz w:val="24"/>
          <w:szCs w:val="24"/>
          <w:highlight w:val="none"/>
          <w:lang w:val="en-US" w:bidi="ar"/>
        </w:rPr>
        <w:t>m</w:t>
      </w:r>
      <w:r>
        <w:rPr>
          <w:rFonts w:ascii="Times New Roman" w:hAnsi="Times New Roman" w:cs="Times New Roman"/>
          <w:color w:val="auto"/>
          <w:sz w:val="24"/>
          <w:szCs w:val="24"/>
          <w:highlight w:val="none"/>
          <w:vertAlign w:val="superscript"/>
          <w:lang w:val="en-US" w:bidi="ar"/>
        </w:rPr>
        <w:t>3</w:t>
      </w:r>
      <w:r>
        <w:rPr>
          <w:rFonts w:ascii="Times New Roman" w:hAnsi="Times New Roman" w:cs="Times New Roman"/>
          <w:color w:val="auto"/>
          <w:sz w:val="24"/>
          <w:szCs w:val="24"/>
          <w:highlight w:val="none"/>
          <w:lang w:val="en-US" w:bidi="ar"/>
        </w:rPr>
        <w:t>/a。</w:t>
      </w:r>
    </w:p>
    <w:p>
      <w:pPr>
        <w:widowControl/>
        <w:spacing w:line="360" w:lineRule="auto"/>
        <w:ind w:firstLine="480" w:firstLineChars="200"/>
        <w:jc w:val="both"/>
        <w:rPr>
          <w:rFonts w:ascii="Times New Roman" w:hAnsi="Times New Roman" w:cs="Times New Roman"/>
          <w:color w:val="auto"/>
          <w:sz w:val="24"/>
          <w:szCs w:val="24"/>
          <w:highlight w:val="none"/>
          <w:lang w:val="en-US" w:bidi="ar"/>
        </w:rPr>
      </w:pPr>
      <w:r>
        <w:rPr>
          <w:rFonts w:hint="default" w:ascii="Times New Roman" w:hAnsi="Times New Roman" w:cs="Times New Roman"/>
          <w:color w:val="auto"/>
          <w:sz w:val="24"/>
          <w:szCs w:val="24"/>
          <w:highlight w:val="none"/>
          <w:lang w:val="en-US" w:bidi="ar"/>
        </w:rPr>
        <w:t>川气东送燕子窝阀室位于四川省达州市宣汉县清溪镇境内，该阀室为川气东送主管道与达化专线管道共用阀室，目前燕子窝阀室可以临时给清溪储气库注气（无计量等功能），同时能接收清溪储气库的来气。燕子窝阀室东侧为已建阀组区，即</w:t>
      </w:r>
      <w:r>
        <w:rPr>
          <w:rFonts w:hint="default" w:ascii="Times New Roman" w:hAnsi="Times New Roman" w:cs="Times New Roman"/>
          <w:color w:val="auto"/>
          <w:sz w:val="24"/>
          <w:szCs w:val="24"/>
          <w:highlight w:val="none"/>
          <w:lang w:val="en-US"/>
        </w:rPr>
        <w:t>普光气田收球工艺区，工艺区内建有一套DN250清管器收发装置。</w:t>
      </w:r>
      <w:r>
        <w:rPr>
          <w:rFonts w:hint="default" w:ascii="Times New Roman" w:hAnsi="Times New Roman" w:cs="Times New Roman"/>
          <w:color w:val="auto"/>
          <w:sz w:val="24"/>
          <w:szCs w:val="24"/>
          <w:highlight w:val="none"/>
          <w:lang w:val="en-US" w:bidi="ar"/>
        </w:rPr>
        <w:t>根据国家能源安全战略部署方针，国家管网集团川气东送天然气管道有限公司为了完善燕子窝阀室向清溪储气库上载的过滤、计量、调流等功能，解决普光气田天然气调峰能力，对燕子窝阀室及其邻建的普光气田收球工艺区进行改造。</w:t>
      </w:r>
      <w:r>
        <w:rPr>
          <w:rFonts w:hint="default" w:ascii="Times New Roman" w:hAnsi="Times New Roman" w:cs="Times New Roman"/>
          <w:color w:val="auto"/>
          <w:sz w:val="24"/>
          <w:szCs w:val="24"/>
          <w:highlight w:val="none"/>
          <w:lang w:val="en-US"/>
        </w:rPr>
        <w:t>普光气田收球工艺区由普光气田管理，燕子窝阀室由川气东送公司管理，改造后的</w:t>
      </w:r>
      <w:r>
        <w:rPr>
          <w:rFonts w:hint="eastAsia" w:ascii="Times New Roman" w:hAnsi="Times New Roman" w:cs="Times New Roman"/>
          <w:color w:val="auto"/>
          <w:sz w:val="24"/>
          <w:szCs w:val="24"/>
          <w:highlight w:val="none"/>
          <w:lang w:val="en-US" w:eastAsia="zh-CN"/>
        </w:rPr>
        <w:t>站场命名为</w:t>
      </w:r>
      <w:r>
        <w:rPr>
          <w:rFonts w:hint="default" w:ascii="Times New Roman" w:hAnsi="Times New Roman" w:cs="Times New Roman"/>
          <w:color w:val="auto"/>
          <w:sz w:val="24"/>
          <w:szCs w:val="24"/>
          <w:highlight w:val="none"/>
          <w:lang w:val="en-US"/>
        </w:rPr>
        <w:t>燕子窝</w:t>
      </w:r>
      <w:r>
        <w:rPr>
          <w:rFonts w:hint="eastAsia" w:ascii="Times New Roman" w:hAnsi="Times New Roman" w:cs="Times New Roman"/>
          <w:color w:val="auto"/>
          <w:sz w:val="24"/>
          <w:szCs w:val="24"/>
          <w:highlight w:val="none"/>
          <w:lang w:val="en-US" w:eastAsia="zh-CN"/>
        </w:rPr>
        <w:t>分输</w:t>
      </w:r>
      <w:r>
        <w:rPr>
          <w:rFonts w:hint="default" w:ascii="Times New Roman" w:hAnsi="Times New Roman" w:cs="Times New Roman"/>
          <w:color w:val="auto"/>
          <w:sz w:val="24"/>
          <w:szCs w:val="24"/>
          <w:highlight w:val="none"/>
          <w:lang w:val="en-US"/>
        </w:rPr>
        <w:t>站由川气东送公司达州作业区管理。</w:t>
      </w:r>
    </w:p>
    <w:p>
      <w:pPr>
        <w:pStyle w:val="64"/>
        <w:rPr>
          <w:rFonts w:hint="eastAsia"/>
          <w:color w:val="000000"/>
        </w:rPr>
      </w:pPr>
      <w:r>
        <w:rPr>
          <w:rFonts w:hint="default" w:ascii="Times New Roman" w:hAnsi="Times New Roman" w:cs="Times New Roman"/>
          <w:color w:val="auto"/>
          <w:sz w:val="24"/>
          <w:szCs w:val="24"/>
          <w:highlight w:val="none"/>
          <w:lang w:val="en-US" w:bidi="ar"/>
        </w:rPr>
        <w:t>本工程主要建设内容为对普光气田收球工艺区进行改造和燕子窝阀室工艺区扩建，从燕子窝阀室与普光气田收球工艺区之间的管口开口接管，新增多管干式除尘器1套；卧式过滤分离器2套</w:t>
      </w:r>
      <w:r>
        <w:rPr>
          <w:rFonts w:hint="eastAsia" w:ascii="Times New Roman" w:hAnsi="Times New Roman" w:cs="Times New Roman"/>
          <w:color w:val="auto"/>
          <w:sz w:val="24"/>
          <w:szCs w:val="24"/>
          <w:highlight w:val="none"/>
          <w:lang w:val="en-US" w:eastAsia="zh-CN" w:bidi="ar"/>
        </w:rPr>
        <w:t>（1用1备）</w:t>
      </w:r>
      <w:r>
        <w:rPr>
          <w:rFonts w:hint="default" w:ascii="Times New Roman" w:hAnsi="Times New Roman" w:cs="Times New Roman"/>
          <w:color w:val="auto"/>
          <w:sz w:val="24"/>
          <w:szCs w:val="24"/>
          <w:highlight w:val="none"/>
          <w:lang w:val="en-US" w:bidi="ar"/>
        </w:rPr>
        <w:t>；超声计量撬1套、调</w:t>
      </w:r>
      <w:r>
        <w:rPr>
          <w:rFonts w:hint="eastAsia" w:ascii="Times New Roman" w:hAnsi="Times New Roman" w:cs="Times New Roman"/>
          <w:color w:val="auto"/>
          <w:sz w:val="24"/>
          <w:szCs w:val="24"/>
          <w:highlight w:val="none"/>
          <w:lang w:val="en-US" w:eastAsia="zh-CN" w:bidi="ar"/>
        </w:rPr>
        <w:t>流</w:t>
      </w:r>
      <w:r>
        <w:rPr>
          <w:rFonts w:hint="default" w:ascii="Times New Roman" w:hAnsi="Times New Roman" w:cs="Times New Roman"/>
          <w:color w:val="auto"/>
          <w:sz w:val="24"/>
          <w:szCs w:val="24"/>
          <w:highlight w:val="none"/>
          <w:lang w:val="en-US" w:bidi="ar"/>
        </w:rPr>
        <w:t>撬1套、排污罐1套，配套建设阀门工艺管</w:t>
      </w:r>
      <w:r>
        <w:rPr>
          <w:rFonts w:hint="eastAsia" w:ascii="Times New Roman" w:hAnsi="Times New Roman" w:cs="Times New Roman"/>
          <w:color w:val="auto"/>
          <w:sz w:val="24"/>
          <w:szCs w:val="24"/>
          <w:highlight w:val="none"/>
          <w:lang w:val="en-US" w:eastAsia="zh-CN" w:bidi="ar"/>
        </w:rPr>
        <w:t>网</w:t>
      </w:r>
      <w:r>
        <w:rPr>
          <w:rFonts w:hint="default" w:ascii="Times New Roman" w:hAnsi="Times New Roman" w:cs="Times New Roman"/>
          <w:color w:val="auto"/>
          <w:sz w:val="24"/>
          <w:szCs w:val="24"/>
          <w:highlight w:val="none"/>
          <w:lang w:val="en-US" w:bidi="ar"/>
        </w:rPr>
        <w:t>，站控系统、配电系统等，以实现燕子窝阀室向清溪输气库注气计量的功能。</w:t>
      </w:r>
      <w:r>
        <w:rPr>
          <w:rFonts w:hint="default" w:ascii="Times New Roman" w:hAnsi="Times New Roman" w:cs="Times New Roman"/>
          <w:color w:val="auto"/>
          <w:sz w:val="24"/>
          <w:szCs w:val="24"/>
          <w:highlight w:val="none"/>
          <w:lang w:val="en-US" w:eastAsia="zh-CN" w:bidi="ar"/>
        </w:rPr>
        <w:t>由于原放空区与本工程改造后的站场防火间距不满足规范要求，故本次重新征地新建放空区</w:t>
      </w:r>
      <w:r>
        <w:rPr>
          <w:rFonts w:hint="eastAsia" w:ascii="Times New Roman" w:hAnsi="Times New Roman" w:cs="Times New Roman"/>
          <w:color w:val="auto"/>
          <w:sz w:val="24"/>
          <w:szCs w:val="24"/>
          <w:highlight w:val="none"/>
          <w:lang w:val="en-US" w:eastAsia="zh-CN" w:bidi="ar"/>
        </w:rPr>
        <w:t>，放空立管搬迁至新建放空区利旧安装</w:t>
      </w:r>
      <w:r>
        <w:rPr>
          <w:rFonts w:hint="default" w:ascii="Times New Roman" w:hAnsi="Times New Roman" w:cs="Times New Roman"/>
          <w:color w:val="auto"/>
          <w:sz w:val="24"/>
          <w:szCs w:val="24"/>
          <w:highlight w:val="none"/>
          <w:lang w:val="en-US" w:eastAsia="zh-CN" w:bidi="ar"/>
        </w:rPr>
        <w:t>，</w:t>
      </w:r>
      <w:r>
        <w:rPr>
          <w:rFonts w:hint="default" w:ascii="Times New Roman" w:hAnsi="Times New Roman" w:cs="Times New Roman"/>
          <w:color w:val="auto"/>
          <w:sz w:val="24"/>
          <w:szCs w:val="24"/>
          <w:highlight w:val="none"/>
          <w:lang w:val="en-US" w:bidi="ar"/>
        </w:rPr>
        <w:t>并配套建设放空管线</w:t>
      </w:r>
      <w:r>
        <w:rPr>
          <w:rFonts w:hint="eastAsia" w:ascii="Times New Roman" w:hAnsi="Times New Roman" w:cs="Times New Roman"/>
          <w:color w:val="auto"/>
          <w:sz w:val="24"/>
          <w:szCs w:val="24"/>
          <w:highlight w:val="none"/>
          <w:lang w:val="en-US" w:eastAsia="zh-CN" w:bidi="ar"/>
        </w:rPr>
        <w:t>82</w:t>
      </w:r>
      <w:r>
        <w:rPr>
          <w:rFonts w:hint="default" w:ascii="Times New Roman" w:hAnsi="Times New Roman" w:cs="Times New Roman"/>
          <w:color w:val="auto"/>
          <w:sz w:val="24"/>
          <w:szCs w:val="24"/>
          <w:highlight w:val="none"/>
          <w:lang w:val="en-US" w:bidi="ar"/>
        </w:rPr>
        <w:t>m。改造后拆除燕子窝阀室及普光气田收球工艺区的围墙，将燕子窝阀室、普光气田收球工艺区及新增工艺区整合为一个整体工艺区，燕子窝阀室更名为燕子窝</w:t>
      </w:r>
      <w:r>
        <w:rPr>
          <w:rFonts w:hint="default" w:ascii="Times New Roman" w:hAnsi="Times New Roman" w:cs="Times New Roman"/>
          <w:color w:val="auto"/>
          <w:sz w:val="24"/>
          <w:szCs w:val="24"/>
          <w:highlight w:val="none"/>
          <w:lang w:val="en-US" w:eastAsia="zh-CN" w:bidi="ar"/>
        </w:rPr>
        <w:t>分输</w:t>
      </w:r>
      <w:r>
        <w:rPr>
          <w:rFonts w:hint="default" w:ascii="Times New Roman" w:hAnsi="Times New Roman" w:cs="Times New Roman"/>
          <w:color w:val="auto"/>
          <w:sz w:val="24"/>
          <w:szCs w:val="24"/>
          <w:highlight w:val="none"/>
          <w:lang w:val="en-US" w:bidi="ar"/>
        </w:rPr>
        <w:t>站，工程设计压力10MPa，供气规模为4.2×10</w:t>
      </w:r>
      <w:r>
        <w:rPr>
          <w:rFonts w:hint="default" w:ascii="Times New Roman" w:hAnsi="Times New Roman" w:cs="Times New Roman"/>
          <w:color w:val="auto"/>
          <w:sz w:val="24"/>
          <w:szCs w:val="24"/>
          <w:highlight w:val="none"/>
          <w:vertAlign w:val="superscript"/>
          <w:lang w:val="en-US" w:bidi="ar"/>
        </w:rPr>
        <w:t>8</w:t>
      </w:r>
      <w:r>
        <w:rPr>
          <w:rFonts w:hint="default" w:ascii="Times New Roman" w:hAnsi="Times New Roman" w:cs="Times New Roman"/>
          <w:color w:val="auto"/>
          <w:sz w:val="24"/>
          <w:szCs w:val="24"/>
          <w:highlight w:val="none"/>
          <w:lang w:val="en-US" w:bidi="ar"/>
        </w:rPr>
        <w:t>Nm</w:t>
      </w:r>
      <w:r>
        <w:rPr>
          <w:rFonts w:hint="default" w:ascii="Times New Roman" w:hAnsi="Times New Roman" w:cs="Times New Roman"/>
          <w:color w:val="auto"/>
          <w:sz w:val="24"/>
          <w:szCs w:val="24"/>
          <w:highlight w:val="none"/>
          <w:vertAlign w:val="superscript"/>
          <w:lang w:val="en-US" w:bidi="ar"/>
        </w:rPr>
        <w:t>3</w:t>
      </w:r>
      <w:r>
        <w:rPr>
          <w:rFonts w:hint="default" w:ascii="Times New Roman" w:hAnsi="Times New Roman" w:cs="Times New Roman"/>
          <w:color w:val="auto"/>
          <w:sz w:val="24"/>
          <w:szCs w:val="24"/>
          <w:highlight w:val="none"/>
          <w:lang w:val="en-US" w:bidi="ar"/>
        </w:rPr>
        <w:t>/a。项目总投资为1660.25万元，环保投资约58.8万元。</w:t>
      </w:r>
    </w:p>
    <w:p>
      <w:pPr>
        <w:pStyle w:val="64"/>
      </w:pPr>
      <w:r>
        <w:t>根据《环境影响评价公众参与办法》（生态环境部令第4号）的规定以及《建设项目环境影响评价技术导则 总纲》（HJ2.1-2016）的相关要求，我公司在环境影响报告书编制过程中组织进行了公众参与调查工作。公众参与遵循公开、平等、广泛和便利的原则，广泛征求了受建设项目影响的公民、法人及其他组织的代表意见，充分考虑了群众反映的意见、要求和愿望，为建设项目和环境保护决策提供了参考意见。公众参与过程的合法性、形式的有效性、调查对象的代表性、结果的真实性符合相关规定要求。</w:t>
      </w:r>
    </w:p>
    <w:p>
      <w:pPr>
        <w:pStyle w:val="64"/>
      </w:pPr>
      <w:r>
        <w:t>环评公示期间，结合公众反馈信息编制完成公众参与说明，征求意见期限截止后，公众未对项目建设及相关的污染治理措施提出质疑。</w:t>
      </w:r>
    </w:p>
    <w:p>
      <w:pPr>
        <w:widowControl/>
        <w:spacing w:line="240" w:lineRule="auto"/>
        <w:ind w:firstLine="0" w:firstLineChars="0"/>
        <w:jc w:val="left"/>
        <w:rPr>
          <w:rFonts w:eastAsia="黑体" w:cs="Times New Roman"/>
          <w:b/>
          <w:bCs/>
          <w:kern w:val="44"/>
          <w:sz w:val="32"/>
          <w:szCs w:val="44"/>
        </w:rPr>
      </w:pPr>
      <w:r>
        <w:rPr>
          <w:rFonts w:cs="Times New Roman"/>
        </w:rPr>
        <w:br w:type="page"/>
      </w:r>
    </w:p>
    <w:p>
      <w:pPr>
        <w:pStyle w:val="5"/>
        <w:rPr>
          <w:rFonts w:cs="Times New Roman"/>
        </w:rPr>
      </w:pPr>
      <w:bookmarkStart w:id="1" w:name="_Toc1182"/>
      <w:r>
        <w:rPr>
          <w:rFonts w:cs="Times New Roman"/>
        </w:rPr>
        <w:t>2 首次环境影响评价信息公开情况</w:t>
      </w:r>
      <w:bookmarkEnd w:id="1"/>
    </w:p>
    <w:p>
      <w:pPr>
        <w:pStyle w:val="6"/>
      </w:pPr>
      <w:bookmarkStart w:id="2" w:name="_Toc2881"/>
      <w:bookmarkStart w:id="3" w:name="_Toc27191"/>
      <w:r>
        <w:t>2.1 公开内容及日期</w:t>
      </w:r>
      <w:bookmarkEnd w:id="2"/>
      <w:bookmarkEnd w:id="3"/>
    </w:p>
    <w:p>
      <w:pPr>
        <w:pStyle w:val="64"/>
        <w:snapToGrid w:val="0"/>
      </w:pPr>
      <w:r>
        <w:t>按照《环境影响评价公众参与办法》</w:t>
      </w:r>
      <w:r>
        <w:rPr>
          <w:sz w:val="24"/>
        </w:rPr>
        <w:t>（生态环境部令第4号）的相关规定，</w:t>
      </w:r>
      <w:r>
        <w:t>我公司组织开展了公众参与工作，于</w:t>
      </w:r>
      <w:r>
        <w:rPr>
          <w:rFonts w:ascii="Times New Roman" w:hAnsi="Times New Roman" w:cs="Times New Roman"/>
          <w:kern w:val="2"/>
          <w:sz w:val="24"/>
          <w:szCs w:val="24"/>
          <w:lang w:val="en-US" w:bidi="ar-SA"/>
        </w:rPr>
        <w:t>2023年6月21日</w:t>
      </w:r>
      <w:r>
        <w:t>在</w:t>
      </w:r>
      <w:r>
        <w:rPr>
          <w:rFonts w:ascii="Times New Roman" w:hAnsi="Times New Roman" w:cs="Times New Roman"/>
          <w:kern w:val="2"/>
          <w:sz w:val="24"/>
          <w:szCs w:val="24"/>
          <w:lang w:val="en-US" w:bidi="ar-SA"/>
        </w:rPr>
        <w:t>达州市凤凰山下</w:t>
      </w:r>
      <w:r>
        <w:rPr>
          <w:rFonts w:hint="eastAsia"/>
          <w:lang w:val="en-US" w:eastAsia="zh-CN"/>
        </w:rPr>
        <w:t>网站</w:t>
      </w:r>
      <w:r>
        <w:t>进行了首次网络公示，公示了本项目主要建设内容等，</w:t>
      </w:r>
      <w:r>
        <w:rPr>
          <w:rFonts w:hint="eastAsia"/>
        </w:rPr>
        <w:t>公示</w:t>
      </w:r>
      <w:r>
        <w:t>内容</w:t>
      </w:r>
      <w:r>
        <w:rPr>
          <w:rFonts w:hint="eastAsia"/>
        </w:rPr>
        <w:t>如下</w:t>
      </w:r>
      <w:r>
        <w:t>：</w:t>
      </w:r>
    </w:p>
    <w:p>
      <w:pPr>
        <w:snapToGrid w:val="0"/>
        <w:ind w:firstLine="480"/>
        <w:rPr>
          <w:rFonts w:cs="Times New Roman"/>
        </w:rPr>
      </w:pPr>
      <w:r>
        <w:rPr>
          <w:rFonts w:cs="Times New Roman"/>
        </w:rPr>
        <w:t>一、建设项目名称及概要</w:t>
      </w:r>
    </w:p>
    <w:p>
      <w:pPr>
        <w:snapToGrid w:val="0"/>
        <w:ind w:firstLine="480"/>
        <w:rPr>
          <w:rFonts w:cs="Times New Roman"/>
        </w:rPr>
      </w:pPr>
      <w:r>
        <w:rPr>
          <w:rFonts w:cs="Times New Roman"/>
        </w:rPr>
        <w:t>项目名称：</w:t>
      </w:r>
      <w:r>
        <w:rPr>
          <w:rFonts w:hint="eastAsia" w:cs="Times New Roman"/>
          <w:lang w:val="en-US" w:eastAsia="zh-CN"/>
        </w:rPr>
        <w:t>川气东送燕子窝阀室为清溪储气库新增下载点项目</w:t>
      </w:r>
    </w:p>
    <w:p>
      <w:pPr>
        <w:snapToGrid w:val="0"/>
        <w:ind w:firstLine="480"/>
        <w:rPr>
          <w:rFonts w:cs="Times New Roman"/>
        </w:rPr>
      </w:pPr>
      <w:r>
        <w:rPr>
          <w:rFonts w:hint="eastAsia" w:cs="Times New Roman"/>
          <w:lang w:val="en-US" w:eastAsia="zh-CN"/>
        </w:rPr>
        <w:t>建设单位：国家管网集团川气东送天然气管道有限公司</w:t>
      </w:r>
    </w:p>
    <w:p>
      <w:pPr>
        <w:snapToGrid w:val="0"/>
        <w:ind w:firstLine="480"/>
        <w:rPr>
          <w:rFonts w:cs="Times New Roman"/>
        </w:rPr>
      </w:pPr>
      <w:r>
        <w:rPr>
          <w:rFonts w:cs="Times New Roman"/>
        </w:rPr>
        <w:t>建设地点：</w:t>
      </w:r>
      <w:r>
        <w:rPr>
          <w:rFonts w:hint="eastAsia"/>
          <w:sz w:val="24"/>
          <w:lang w:val="en-US" w:eastAsia="zh-CN"/>
        </w:rPr>
        <w:t>四川</w:t>
      </w:r>
      <w:r>
        <w:rPr>
          <w:sz w:val="24"/>
        </w:rPr>
        <w:t>省</w:t>
      </w:r>
      <w:r>
        <w:rPr>
          <w:rFonts w:hint="eastAsia"/>
          <w:sz w:val="24"/>
          <w:lang w:val="en-US" w:eastAsia="zh-CN"/>
        </w:rPr>
        <w:t>达州</w:t>
      </w:r>
      <w:r>
        <w:rPr>
          <w:sz w:val="24"/>
        </w:rPr>
        <w:t>市</w:t>
      </w:r>
      <w:r>
        <w:rPr>
          <w:rFonts w:hint="eastAsia"/>
          <w:sz w:val="24"/>
          <w:lang w:val="en-US" w:eastAsia="zh-CN"/>
        </w:rPr>
        <w:t>宣汉县清溪镇境内</w:t>
      </w:r>
    </w:p>
    <w:p>
      <w:pPr>
        <w:snapToGrid w:val="0"/>
        <w:ind w:firstLine="480"/>
        <w:rPr>
          <w:rFonts w:cs="Times New Roman"/>
        </w:rPr>
      </w:pPr>
      <w:r>
        <w:rPr>
          <w:rFonts w:cs="Times New Roman"/>
        </w:rPr>
        <w:t>建设性质：</w:t>
      </w:r>
      <w:r>
        <w:rPr>
          <w:rFonts w:hint="eastAsia"/>
          <w:sz w:val="24"/>
          <w:lang w:val="en-US" w:eastAsia="zh-CN"/>
        </w:rPr>
        <w:t>改</w:t>
      </w:r>
      <w:r>
        <w:rPr>
          <w:rFonts w:cs="Times New Roman"/>
        </w:rPr>
        <w:t>扩建</w:t>
      </w:r>
    </w:p>
    <w:p>
      <w:pPr>
        <w:snapToGrid w:val="0"/>
        <w:ind w:firstLine="480"/>
        <w:rPr>
          <w:rFonts w:cs="Times New Roman"/>
        </w:rPr>
      </w:pPr>
      <w:r>
        <w:rPr>
          <w:rFonts w:cs="Times New Roman"/>
        </w:rPr>
        <w:t>建设规模：</w:t>
      </w:r>
      <w:r>
        <w:rPr>
          <w:rFonts w:hint="eastAsia"/>
          <w:sz w:val="24"/>
          <w:lang w:val="en-US" w:eastAsia="zh-CN"/>
        </w:rPr>
        <w:t>本工程对燕子窝RTU阀室及其邻建的普光气田收球工艺区进行改造，新增多管干式除尘器、卧式过滤分离器、超声计量撬、调压撬、排污罐等设备，站外东南侧85m处新建放空区一处，并配套建设放空管线90m，改造后将燕子窝RTU阀室、普光气田收球工艺区及新增工艺区整合为一个整体工艺区，燕子窝阀室更名为燕子窝无人输气站，供气规模为4.2×10</w:t>
      </w:r>
      <w:r>
        <w:rPr>
          <w:rFonts w:hint="eastAsia"/>
          <w:sz w:val="24"/>
          <w:vertAlign w:val="superscript"/>
          <w:lang w:val="en-US" w:eastAsia="zh-CN"/>
        </w:rPr>
        <w:t>8</w:t>
      </w:r>
      <w:r>
        <w:rPr>
          <w:rFonts w:hint="eastAsia"/>
          <w:sz w:val="24"/>
          <w:lang w:val="en-US" w:eastAsia="zh-CN"/>
        </w:rPr>
        <w:t>Nm</w:t>
      </w:r>
      <w:r>
        <w:rPr>
          <w:rFonts w:hint="eastAsia"/>
          <w:sz w:val="24"/>
          <w:vertAlign w:val="superscript"/>
          <w:lang w:val="en-US" w:eastAsia="zh-CN"/>
        </w:rPr>
        <w:t>3</w:t>
      </w:r>
      <w:r>
        <w:rPr>
          <w:rFonts w:hint="eastAsia"/>
          <w:sz w:val="24"/>
          <w:lang w:val="en-US" w:eastAsia="zh-CN"/>
        </w:rPr>
        <w:t>/a。</w:t>
      </w:r>
    </w:p>
    <w:p>
      <w:pPr>
        <w:snapToGrid w:val="0"/>
        <w:ind w:firstLine="480"/>
        <w:rPr>
          <w:rFonts w:cs="Times New Roman"/>
        </w:rPr>
      </w:pPr>
      <w:r>
        <w:rPr>
          <w:rFonts w:cs="Times New Roman"/>
        </w:rPr>
        <w:t>二、建设单位</w:t>
      </w:r>
    </w:p>
    <w:p>
      <w:pPr>
        <w:snapToGrid w:val="0"/>
        <w:ind w:firstLine="480"/>
        <w:rPr>
          <w:rFonts w:cs="Times New Roman"/>
        </w:rPr>
      </w:pPr>
      <w:r>
        <w:rPr>
          <w:rFonts w:cs="Times New Roman"/>
        </w:rPr>
        <w:t>建设单位：</w:t>
      </w:r>
      <w:r>
        <w:rPr>
          <w:rFonts w:hint="eastAsia" w:cs="Times New Roman"/>
          <w:lang w:val="en-US" w:eastAsia="zh-CN"/>
        </w:rPr>
        <w:t>国家管网集团川气东送天然气管道有限公司</w:t>
      </w:r>
    </w:p>
    <w:p>
      <w:pPr>
        <w:snapToGrid w:val="0"/>
        <w:ind w:firstLine="480"/>
        <w:rPr>
          <w:rFonts w:hint="eastAsia" w:cs="Times New Roman"/>
        </w:rPr>
      </w:pPr>
      <w:r>
        <w:rPr>
          <w:rFonts w:hint="eastAsia" w:cs="Times New Roman"/>
        </w:rPr>
        <w:t>联系方式：18627065127     联系人：彭竞飞</w:t>
      </w:r>
    </w:p>
    <w:p>
      <w:pPr>
        <w:snapToGrid w:val="0"/>
        <w:ind w:firstLine="480"/>
        <w:rPr>
          <w:rFonts w:hint="eastAsia" w:cs="Times New Roman"/>
        </w:rPr>
      </w:pPr>
      <w:r>
        <w:rPr>
          <w:rFonts w:hint="eastAsia" w:cs="Times New Roman"/>
        </w:rPr>
        <w:t>通讯地址：湖北省武汉市光谷大道126号川气东送管道</w:t>
      </w:r>
    </w:p>
    <w:p>
      <w:pPr>
        <w:snapToGrid w:val="0"/>
        <w:ind w:firstLine="480"/>
        <w:rPr>
          <w:rFonts w:cs="Times New Roman"/>
        </w:rPr>
      </w:pPr>
      <w:r>
        <w:rPr>
          <w:rFonts w:hint="eastAsia" w:cs="Times New Roman"/>
        </w:rPr>
        <w:t>邮箱：pjf88422@qq.com</w:t>
      </w:r>
    </w:p>
    <w:p>
      <w:pPr>
        <w:snapToGrid w:val="0"/>
        <w:ind w:firstLine="480"/>
        <w:rPr>
          <w:rFonts w:cs="Times New Roman"/>
        </w:rPr>
      </w:pPr>
      <w:r>
        <w:rPr>
          <w:rFonts w:hint="eastAsia" w:cs="Times New Roman"/>
        </w:rPr>
        <w:t>三、</w:t>
      </w:r>
      <w:r>
        <w:rPr>
          <w:rFonts w:cs="Times New Roman"/>
        </w:rPr>
        <w:t>承担评价工作的环境影响评价机构</w:t>
      </w:r>
    </w:p>
    <w:p>
      <w:pPr>
        <w:snapToGrid w:val="0"/>
        <w:ind w:firstLine="480"/>
        <w:rPr>
          <w:rFonts w:cs="Times New Roman"/>
        </w:rPr>
      </w:pPr>
      <w:r>
        <w:rPr>
          <w:rFonts w:cs="Times New Roman"/>
        </w:rPr>
        <w:t>单位名称：</w:t>
      </w:r>
      <w:r>
        <w:rPr>
          <w:rFonts w:hint="eastAsia" w:cs="Times New Roman"/>
          <w:lang w:val="en-US" w:eastAsia="zh-CN"/>
        </w:rPr>
        <w:t>山东海纳环境工程有限公司</w:t>
      </w:r>
    </w:p>
    <w:p>
      <w:pPr>
        <w:snapToGrid w:val="0"/>
        <w:ind w:firstLine="480"/>
        <w:rPr>
          <w:rFonts w:cs="Times New Roman"/>
        </w:rPr>
      </w:pPr>
      <w:r>
        <w:rPr>
          <w:rFonts w:cs="Times New Roman"/>
        </w:rPr>
        <w:t>联系方式：</w:t>
      </w:r>
      <w:r>
        <w:rPr>
          <w:rFonts w:hint="eastAsia" w:cs="Times New Roman"/>
          <w:lang w:val="en-US" w:eastAsia="zh-CN"/>
        </w:rPr>
        <w:t>0532-85831589</w:t>
      </w:r>
      <w:r>
        <w:rPr>
          <w:rFonts w:cs="Times New Roman"/>
        </w:rPr>
        <w:t xml:space="preserve">     联系人：</w:t>
      </w:r>
      <w:r>
        <w:rPr>
          <w:rFonts w:hint="eastAsia" w:cs="Times New Roman"/>
          <w:lang w:val="en-US" w:eastAsia="zh-CN"/>
        </w:rPr>
        <w:t>杨工</w:t>
      </w:r>
    </w:p>
    <w:p>
      <w:pPr>
        <w:snapToGrid w:val="0"/>
        <w:ind w:firstLine="480"/>
        <w:rPr>
          <w:rFonts w:hint="default" w:cs="Times New Roman"/>
          <w:lang w:val="en-US" w:eastAsia="zh-CN"/>
        </w:rPr>
      </w:pPr>
      <w:r>
        <w:rPr>
          <w:rFonts w:cs="Times New Roman"/>
        </w:rPr>
        <w:t>通讯地址：</w:t>
      </w:r>
      <w:r>
        <w:rPr>
          <w:rFonts w:hint="eastAsia" w:cs="Times New Roman"/>
        </w:rPr>
        <w:t>四川省成都市成华区二仙桥街道成都理工大学南苑11栋3单元2号</w:t>
      </w:r>
    </w:p>
    <w:p>
      <w:pPr>
        <w:snapToGrid w:val="0"/>
        <w:ind w:firstLine="480"/>
        <w:rPr>
          <w:rFonts w:cs="Times New Roman"/>
        </w:rPr>
      </w:pPr>
      <w:r>
        <w:rPr>
          <w:rFonts w:hint="eastAsia" w:cs="Times New Roman"/>
        </w:rPr>
        <w:t>邮箱</w:t>
      </w:r>
      <w:r>
        <w:rPr>
          <w:rFonts w:cs="Times New Roman"/>
        </w:rPr>
        <w:t>：</w:t>
      </w:r>
      <w:r>
        <w:rPr>
          <w:rFonts w:hint="eastAsia" w:cs="Times New Roman"/>
          <w:lang w:val="en-US" w:eastAsia="zh-CN"/>
        </w:rPr>
        <w:t>hainahuanjing@126.com</w:t>
      </w:r>
    </w:p>
    <w:p>
      <w:pPr>
        <w:snapToGrid w:val="0"/>
        <w:ind w:firstLine="480"/>
        <w:rPr>
          <w:rFonts w:cs="Times New Roman"/>
        </w:rPr>
      </w:pPr>
      <w:r>
        <w:rPr>
          <w:rFonts w:cs="Times New Roman"/>
        </w:rPr>
        <w:t>四</w:t>
      </w:r>
      <w:r>
        <w:rPr>
          <w:rFonts w:hint="eastAsia" w:cs="Times New Roman"/>
        </w:rPr>
        <w:t>、</w:t>
      </w:r>
      <w:r>
        <w:rPr>
          <w:rFonts w:cs="Times New Roman"/>
        </w:rPr>
        <w:t>公众意见表的网络链接</w:t>
      </w:r>
    </w:p>
    <w:p>
      <w:pPr>
        <w:snapToGrid w:val="0"/>
        <w:ind w:firstLine="480"/>
        <w:rPr>
          <w:rFonts w:hint="eastAsia" w:cs="Times New Roman"/>
        </w:rPr>
      </w:pPr>
      <w:r>
        <w:rPr>
          <w:rFonts w:hint="eastAsia" w:cs="Times New Roman"/>
        </w:rPr>
        <w:t>若您对项目有什么意见和看法，可按照附件格式填写建设项目环境影响评价公众参与意见表，请填写与本项目环境影响和环境保护措施有关的建议和意见（注：根据《环境影响评价公众参与办法》规定，涉及征地拆迁、财产、就业等与项目环评无关的意见或者诉求不属于项目环评公参内容）。</w:t>
      </w:r>
    </w:p>
    <w:p>
      <w:pPr>
        <w:snapToGrid w:val="0"/>
        <w:ind w:firstLine="480"/>
        <w:rPr>
          <w:rFonts w:hint="eastAsia" w:cs="Times New Roman"/>
        </w:rPr>
      </w:pPr>
      <w:r>
        <w:rPr>
          <w:rFonts w:hint="eastAsia" w:cs="Times New Roman"/>
        </w:rPr>
        <w:t>环境影响评价公众参与意见表见链接。</w:t>
      </w:r>
    </w:p>
    <w:p>
      <w:pPr>
        <w:snapToGrid w:val="0"/>
        <w:ind w:firstLine="480"/>
        <w:rPr>
          <w:rFonts w:hint="eastAsia" w:cs="Times New Roman"/>
        </w:rPr>
      </w:pPr>
      <w:r>
        <w:rPr>
          <w:rFonts w:hint="eastAsia" w:cs="Times New Roman"/>
        </w:rPr>
        <w:t>链接：https://pan.baidu.com/s/1u4OZzI91q0eHuwvgrk4KiQ</w:t>
      </w:r>
    </w:p>
    <w:p>
      <w:pPr>
        <w:snapToGrid w:val="0"/>
        <w:ind w:firstLine="480"/>
        <w:rPr>
          <w:rFonts w:cs="Times New Roman"/>
        </w:rPr>
      </w:pPr>
      <w:r>
        <w:rPr>
          <w:rFonts w:hint="eastAsia" w:cs="Times New Roman"/>
        </w:rPr>
        <w:t>提取码：n9pk</w:t>
      </w:r>
    </w:p>
    <w:p>
      <w:pPr>
        <w:snapToGrid w:val="0"/>
        <w:ind w:firstLine="480"/>
        <w:rPr>
          <w:rFonts w:cs="Times New Roman"/>
        </w:rPr>
      </w:pPr>
      <w:r>
        <w:rPr>
          <w:rFonts w:cs="Times New Roman"/>
        </w:rPr>
        <w:t>五</w:t>
      </w:r>
      <w:r>
        <w:rPr>
          <w:rFonts w:hint="eastAsia" w:cs="Times New Roman"/>
        </w:rPr>
        <w:t>、</w:t>
      </w:r>
      <w:r>
        <w:rPr>
          <w:rFonts w:cs="Times New Roman"/>
        </w:rPr>
        <w:t>提交公众意见表的方式和途径</w:t>
      </w:r>
    </w:p>
    <w:p>
      <w:pPr>
        <w:snapToGrid w:val="0"/>
        <w:ind w:firstLine="480"/>
        <w:rPr>
          <w:rFonts w:cs="Times New Roman"/>
        </w:rPr>
      </w:pPr>
      <w:r>
        <w:rPr>
          <w:rFonts w:cs="Times New Roman"/>
        </w:rPr>
        <w:t>若您对项目有什么意见和看法，在环境影响报告书征求意见稿编制过程中，均可反馈建设单位或环评单位。可填写公众意见表发送电子邮件或通过邮寄信函（以邮戳日期为准）的方式发表意见。发表意见的公众请注明发表日期、真实姓名和联系方式，以便根据需要反馈。</w:t>
      </w:r>
    </w:p>
    <w:p>
      <w:pPr>
        <w:pStyle w:val="6"/>
      </w:pPr>
      <w:bookmarkStart w:id="4" w:name="_Toc13159"/>
      <w:bookmarkStart w:id="5" w:name="_Toc8944"/>
      <w:r>
        <w:t>2.2 公开方式</w:t>
      </w:r>
      <w:bookmarkEnd w:id="4"/>
      <w:bookmarkEnd w:id="5"/>
    </w:p>
    <w:p>
      <w:pPr>
        <w:pStyle w:val="7"/>
        <w:rPr>
          <w:rStyle w:val="34"/>
          <w:b/>
          <w:bCs/>
        </w:rPr>
      </w:pPr>
      <w:bookmarkStart w:id="6" w:name="_Toc21540"/>
      <w:bookmarkStart w:id="7" w:name="_Toc31587"/>
      <w:r>
        <w:rPr>
          <w:rStyle w:val="34"/>
          <w:b/>
          <w:bCs/>
        </w:rPr>
        <w:t>2.2.1 网络</w:t>
      </w:r>
      <w:bookmarkEnd w:id="6"/>
      <w:bookmarkEnd w:id="7"/>
    </w:p>
    <w:p>
      <w:pPr>
        <w:keepNext w:val="0"/>
        <w:keepLines w:val="0"/>
        <w:pageBreakBefore w:val="0"/>
        <w:widowControl w:val="0"/>
        <w:kinsoku/>
        <w:wordWrap w:val="0"/>
        <w:overflowPunct/>
        <w:topLinePunct w:val="0"/>
        <w:autoSpaceDE/>
        <w:autoSpaceDN/>
        <w:bidi w:val="0"/>
        <w:adjustRightInd/>
        <w:snapToGrid/>
        <w:ind w:firstLine="480"/>
        <w:textAlignment w:val="auto"/>
        <w:rPr>
          <w:rFonts w:cs="Times New Roman"/>
        </w:rPr>
      </w:pPr>
      <w:r>
        <w:rPr>
          <w:rFonts w:cs="Times New Roman"/>
        </w:rPr>
        <w:t>本项目于</w:t>
      </w:r>
      <w:r>
        <w:rPr>
          <w:rFonts w:ascii="Times New Roman" w:hAnsi="Times New Roman" w:cs="Times New Roman"/>
          <w:kern w:val="2"/>
          <w:sz w:val="24"/>
          <w:szCs w:val="24"/>
          <w:lang w:val="en-US" w:bidi="ar-SA"/>
        </w:rPr>
        <w:t>2023年6月21日</w:t>
      </w:r>
      <w:r>
        <w:rPr>
          <w:rFonts w:cs="Times New Roman"/>
        </w:rPr>
        <w:t>通过</w:t>
      </w:r>
      <w:r>
        <w:rPr>
          <w:rFonts w:ascii="Times New Roman" w:hAnsi="Times New Roman" w:cs="Times New Roman"/>
          <w:kern w:val="2"/>
          <w:sz w:val="24"/>
          <w:szCs w:val="24"/>
          <w:lang w:val="en-US" w:bidi="ar-SA"/>
        </w:rPr>
        <w:t>达州市凤凰山下</w:t>
      </w:r>
      <w:r>
        <w:rPr>
          <w:rFonts w:hint="eastAsia" w:cs="Times New Roman"/>
          <w:lang w:val="en-US" w:eastAsia="zh-CN"/>
        </w:rPr>
        <w:t>网站</w:t>
      </w:r>
      <w:r>
        <w:rPr>
          <w:rFonts w:cs="Times New Roman"/>
        </w:rPr>
        <w:t>进行了首次网络公示，网络公示链接：</w:t>
      </w:r>
      <w:r>
        <w:rPr>
          <w:rFonts w:hint="eastAsia"/>
        </w:rPr>
        <w:t>https://www.dz19.net/forum.php?mod=viewthread&amp;tid=2136336&amp;highlight=%B9%AB%CA%BE</w:t>
      </w:r>
      <w:r>
        <w:rPr>
          <w:rStyle w:val="23"/>
          <w:rFonts w:hint="eastAsia"/>
          <w:color w:val="auto"/>
          <w:u w:val="none"/>
        </w:rPr>
        <w:t>。</w:t>
      </w:r>
      <w:r>
        <w:rPr>
          <w:rFonts w:ascii="Times New Roman" w:hAnsi="Times New Roman" w:cs="Times New Roman"/>
          <w:kern w:val="2"/>
          <w:sz w:val="24"/>
          <w:szCs w:val="24"/>
          <w:lang w:val="en-US" w:bidi="ar-SA"/>
        </w:rPr>
        <w:t>达州市凤凰山下</w:t>
      </w:r>
      <w:r>
        <w:rPr>
          <w:rStyle w:val="23"/>
          <w:rFonts w:hint="eastAsia"/>
          <w:color w:val="auto"/>
          <w:u w:val="none"/>
          <w:lang w:val="en-US" w:eastAsia="zh-CN"/>
        </w:rPr>
        <w:t>网站</w:t>
      </w:r>
      <w:r>
        <w:rPr>
          <w:rStyle w:val="23"/>
          <w:rFonts w:hint="eastAsia"/>
          <w:color w:val="auto"/>
          <w:u w:val="none"/>
        </w:rPr>
        <w:t>属于</w:t>
      </w:r>
      <w:r>
        <w:rPr>
          <w:rFonts w:ascii="Times New Roman" w:hAnsi="Times New Roman" w:cs="Times New Roman"/>
          <w:kern w:val="2"/>
          <w:sz w:val="24"/>
          <w:szCs w:val="24"/>
          <w:lang w:val="en-US" w:bidi="ar-SA"/>
        </w:rPr>
        <w:t>达州市</w:t>
      </w:r>
      <w:r>
        <w:rPr>
          <w:rStyle w:val="23"/>
          <w:rFonts w:hint="eastAsia"/>
          <w:color w:val="auto"/>
          <w:u w:val="none"/>
        </w:rPr>
        <w:t>公共媒体网站，在该网站公开符合</w:t>
      </w:r>
      <w:r>
        <w:rPr>
          <w:rFonts w:cs="Times New Roman"/>
        </w:rPr>
        <w:t>《环境影响评价公众参与办法》（生态环境部令第4号）公示载体的要求。</w:t>
      </w:r>
    </w:p>
    <w:p>
      <w:pPr>
        <w:ind w:firstLine="480"/>
        <w:rPr>
          <w:rFonts w:cs="Times New Roman"/>
        </w:rPr>
        <w:sectPr>
          <w:headerReference r:id="rId7" w:type="default"/>
          <w:footerReference r:id="rId8" w:type="default"/>
          <w:pgSz w:w="11906" w:h="16838"/>
          <w:pgMar w:top="1440" w:right="1800" w:bottom="1440" w:left="1800" w:header="851" w:footer="992" w:gutter="0"/>
          <w:pgNumType w:start="1"/>
          <w:cols w:space="425" w:num="1"/>
          <w:docGrid w:type="lines" w:linePitch="326" w:charSpace="0"/>
        </w:sectPr>
      </w:pPr>
      <w:r>
        <w:rPr>
          <w:rFonts w:cs="Times New Roman"/>
        </w:rPr>
        <w:t>项目首次网络公示截图见图2.2-1。</w:t>
      </w:r>
    </w:p>
    <w:p>
      <w:pPr>
        <w:pStyle w:val="27"/>
        <w:keepNext w:val="0"/>
        <w:keepLines w:val="0"/>
        <w:pageBreakBefore w:val="0"/>
        <w:widowControl w:val="0"/>
        <w:kinsoku/>
        <w:wordWrap/>
        <w:overflowPunct/>
        <w:topLinePunct w:val="0"/>
        <w:autoSpaceDE/>
        <w:autoSpaceDN/>
        <w:bidi w:val="0"/>
        <w:adjustRightInd/>
        <w:snapToGrid w:val="0"/>
        <w:spacing w:after="0" w:line="240" w:lineRule="auto"/>
        <w:ind w:firstLine="0" w:firstLineChars="0"/>
        <w:jc w:val="center"/>
        <w:textAlignment w:val="auto"/>
        <w:rPr>
          <w:rFonts w:hint="eastAsia" w:eastAsia="宋体"/>
          <w:lang w:eastAsia="zh-CN"/>
        </w:rPr>
      </w:pPr>
      <w:r>
        <w:rPr>
          <w:rFonts w:hint="eastAsia" w:eastAsia="宋体"/>
          <w:lang w:eastAsia="zh-CN"/>
        </w:rPr>
        <w:drawing>
          <wp:inline distT="0" distB="0" distL="114300" distR="114300">
            <wp:extent cx="5542280" cy="4466590"/>
            <wp:effectExtent l="0" t="0" r="1270" b="10160"/>
            <wp:docPr id="4" name="图片 4" descr="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一次公示"/>
                    <pic:cNvPicPr>
                      <a:picLocks noChangeAspect="1"/>
                    </pic:cNvPicPr>
                  </pic:nvPicPr>
                  <pic:blipFill>
                    <a:blip r:embed="rId11"/>
                    <a:stretch>
                      <a:fillRect/>
                    </a:stretch>
                  </pic:blipFill>
                  <pic:spPr>
                    <a:xfrm>
                      <a:off x="0" y="0"/>
                      <a:ext cx="5542280" cy="4466590"/>
                    </a:xfrm>
                    <a:prstGeom prst="rect">
                      <a:avLst/>
                    </a:prstGeom>
                  </pic:spPr>
                </pic:pic>
              </a:graphicData>
            </a:graphic>
          </wp:inline>
        </w:drawing>
      </w:r>
    </w:p>
    <w:p>
      <w:pPr>
        <w:pStyle w:val="65"/>
      </w:pPr>
      <w:r>
        <w:drawing>
          <wp:inline distT="0" distB="0" distL="114300" distR="114300">
            <wp:extent cx="5476875" cy="3418205"/>
            <wp:effectExtent l="0" t="0" r="9525" b="1079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a:stretch>
                      <a:fillRect/>
                    </a:stretch>
                  </pic:blipFill>
                  <pic:spPr>
                    <a:xfrm>
                      <a:off x="0" y="0"/>
                      <a:ext cx="5476875" cy="3418205"/>
                    </a:xfrm>
                    <a:prstGeom prst="rect">
                      <a:avLst/>
                    </a:prstGeom>
                    <a:noFill/>
                    <a:ln>
                      <a:noFill/>
                    </a:ln>
                  </pic:spPr>
                </pic:pic>
              </a:graphicData>
            </a:graphic>
          </wp:inline>
        </w:drawing>
      </w:r>
    </w:p>
    <w:p>
      <w:pPr>
        <w:pStyle w:val="65"/>
      </w:pPr>
      <w:r>
        <w:t>图2.2-1  首次网络公示截图</w:t>
      </w:r>
    </w:p>
    <w:p>
      <w:pPr>
        <w:pStyle w:val="7"/>
      </w:pPr>
      <w:bookmarkStart w:id="8" w:name="_Toc5457"/>
      <w:bookmarkStart w:id="9" w:name="_Toc27809"/>
      <w:r>
        <w:t>2.2.2 其他</w:t>
      </w:r>
      <w:bookmarkEnd w:id="8"/>
      <w:bookmarkEnd w:id="9"/>
    </w:p>
    <w:p>
      <w:pPr>
        <w:ind w:firstLine="480"/>
        <w:rPr>
          <w:rFonts w:cs="Times New Roman"/>
        </w:rPr>
      </w:pPr>
      <w:r>
        <w:rPr>
          <w:rFonts w:hint="eastAsia" w:cs="Times New Roman"/>
        </w:rPr>
        <w:t>无</w:t>
      </w:r>
      <w:r>
        <w:rPr>
          <w:rFonts w:cs="Times New Roman"/>
        </w:rPr>
        <w:t>。</w:t>
      </w:r>
    </w:p>
    <w:p>
      <w:pPr>
        <w:pStyle w:val="6"/>
      </w:pPr>
      <w:bookmarkStart w:id="10" w:name="_Toc23248"/>
      <w:bookmarkStart w:id="11" w:name="_Toc25045"/>
      <w:r>
        <w:t>2.3 公众意见情况</w:t>
      </w:r>
      <w:bookmarkEnd w:id="10"/>
      <w:bookmarkEnd w:id="11"/>
    </w:p>
    <w:p>
      <w:pPr>
        <w:ind w:firstLine="480"/>
      </w:pPr>
      <w:r>
        <w:rPr>
          <w:rFonts w:cs="Times New Roman"/>
        </w:rPr>
        <w:t>本项目在公示期间未收到公众提出的意见。</w:t>
      </w:r>
    </w:p>
    <w:p>
      <w:pPr>
        <w:pStyle w:val="5"/>
        <w:rPr>
          <w:rFonts w:cs="Times New Roman"/>
        </w:rPr>
        <w:sectPr>
          <w:pgSz w:w="11906" w:h="16838"/>
          <w:pgMar w:top="1440" w:right="1800" w:bottom="1440" w:left="1800" w:header="851" w:footer="992" w:gutter="0"/>
          <w:cols w:space="425" w:num="1"/>
          <w:docGrid w:type="lines" w:linePitch="326" w:charSpace="0"/>
        </w:sectPr>
      </w:pPr>
    </w:p>
    <w:p>
      <w:pPr>
        <w:pStyle w:val="5"/>
        <w:rPr>
          <w:rFonts w:cs="Times New Roman"/>
        </w:rPr>
      </w:pPr>
      <w:bookmarkStart w:id="12" w:name="_Toc15714"/>
      <w:r>
        <w:rPr>
          <w:rFonts w:cs="Times New Roman"/>
        </w:rPr>
        <w:t>3 征求意见稿公示情况</w:t>
      </w:r>
      <w:bookmarkEnd w:id="12"/>
    </w:p>
    <w:p>
      <w:pPr>
        <w:pStyle w:val="6"/>
      </w:pPr>
      <w:bookmarkStart w:id="13" w:name="_Toc4013"/>
      <w:bookmarkStart w:id="14" w:name="_Toc30574"/>
      <w:bookmarkStart w:id="15" w:name="_Toc521669831"/>
      <w:r>
        <w:t>3.1 公示内容及时限</w:t>
      </w:r>
      <w:bookmarkEnd w:id="13"/>
      <w:bookmarkEnd w:id="14"/>
    </w:p>
    <w:p>
      <w:pPr>
        <w:pStyle w:val="64"/>
        <w:snapToGrid w:val="0"/>
      </w:pPr>
      <w:r>
        <w:t>建设项目环境影响报告书征求意见稿形成后，为征求公众与该建设项目环境影响的有关意见，我公司将本项目环境影响报告书的征求意见稿全文进行了网络公示，公示内容如下：</w:t>
      </w:r>
    </w:p>
    <w:p>
      <w:pPr>
        <w:snapToGrid w:val="0"/>
        <w:ind w:firstLine="480"/>
      </w:pPr>
      <w:r>
        <w:rPr>
          <w:rFonts w:hint="eastAsia"/>
        </w:rPr>
        <w:t>一、环境影响报告书征求意见稿全文的网络链接及查阅纸质报告书的方式和途径</w:t>
      </w:r>
    </w:p>
    <w:p>
      <w:pPr>
        <w:snapToGrid w:val="0"/>
        <w:ind w:firstLine="480"/>
      </w:pPr>
      <w:r>
        <w:rPr>
          <w:rFonts w:hint="eastAsia"/>
        </w:rPr>
        <w:t>网络链接地址：https://pan.baidu.com/s/1LwLofAAnYV40qO8Ga_HYjQ</w:t>
      </w:r>
    </w:p>
    <w:p>
      <w:pPr>
        <w:snapToGrid w:val="0"/>
        <w:ind w:firstLine="480"/>
      </w:pPr>
      <w:r>
        <w:rPr>
          <w:rFonts w:hint="eastAsia"/>
        </w:rPr>
        <w:t>提取码：r3pg</w:t>
      </w:r>
    </w:p>
    <w:p>
      <w:pPr>
        <w:snapToGrid w:val="0"/>
        <w:ind w:firstLine="480"/>
        <w:rPr>
          <w:rFonts w:hint="eastAsia"/>
        </w:rPr>
      </w:pPr>
      <w:r>
        <w:t>查阅纸质报告书的方式和途径：</w:t>
      </w:r>
      <w:r>
        <w:rPr>
          <w:rFonts w:hint="eastAsia"/>
        </w:rPr>
        <w:t>公众</w:t>
      </w:r>
      <w:r>
        <w:t>可自行去</w:t>
      </w:r>
      <w:r>
        <w:rPr>
          <w:rFonts w:hint="eastAsia"/>
        </w:rPr>
        <w:t>以下</w:t>
      </w:r>
      <w:r>
        <w:t>地址查询</w:t>
      </w:r>
      <w:r>
        <w:rPr>
          <w:rFonts w:hint="eastAsia"/>
        </w:rPr>
        <w:t>。</w:t>
      </w:r>
    </w:p>
    <w:p>
      <w:pPr>
        <w:snapToGrid w:val="0"/>
        <w:ind w:firstLine="480"/>
      </w:pPr>
      <w:r>
        <w:rPr>
          <w:rFonts w:hint="eastAsia"/>
          <w:lang w:val="en-US" w:eastAsia="zh-CN"/>
        </w:rPr>
        <w:t>（</w:t>
      </w:r>
      <w:r>
        <w:rPr>
          <w:rFonts w:hint="default"/>
          <w:lang w:val="en-US" w:eastAsia="zh-CN"/>
        </w:rPr>
        <w:t>1</w:t>
      </w:r>
      <w:r>
        <w:rPr>
          <w:rFonts w:hint="eastAsia"/>
          <w:lang w:val="en-US" w:eastAsia="zh-CN"/>
        </w:rPr>
        <w:t>）国家管网集团川气东送天然气管道有限公司（建设单位查阅途径）</w:t>
      </w:r>
    </w:p>
    <w:p>
      <w:pPr>
        <w:snapToGrid w:val="0"/>
        <w:ind w:firstLine="480"/>
      </w:pPr>
      <w:r>
        <w:rPr>
          <w:rFonts w:hint="eastAsia"/>
        </w:rPr>
        <w:t>联系方式</w:t>
      </w:r>
      <w:r>
        <w:t>：</w:t>
      </w:r>
      <w:r>
        <w:rPr>
          <w:rFonts w:hint="eastAsia"/>
          <w:lang w:val="en-US" w:eastAsia="zh-CN"/>
        </w:rPr>
        <w:t>18627065127</w:t>
      </w:r>
      <w:r>
        <w:rPr>
          <w:rFonts w:hint="eastAsia"/>
        </w:rPr>
        <w:t xml:space="preserve"> </w:t>
      </w:r>
      <w:r>
        <w:t xml:space="preserve">   </w:t>
      </w:r>
      <w:r>
        <w:rPr>
          <w:rFonts w:hint="eastAsia"/>
          <w:lang w:val="en-US" w:eastAsia="zh-CN"/>
        </w:rPr>
        <w:t xml:space="preserve"> 联系人：彭竞飞</w:t>
      </w:r>
    </w:p>
    <w:p>
      <w:pPr>
        <w:snapToGrid w:val="0"/>
        <w:ind w:firstLine="480"/>
        <w:rPr>
          <w:rFonts w:hint="eastAsia"/>
        </w:rPr>
      </w:pPr>
      <w:r>
        <w:rPr>
          <w:rFonts w:hint="eastAsia"/>
          <w:lang w:eastAsia="zh-CN"/>
        </w:rPr>
        <w:t>（</w:t>
      </w:r>
      <w:r>
        <w:rPr>
          <w:rFonts w:hint="eastAsia"/>
          <w:lang w:val="en-US" w:eastAsia="zh-CN"/>
        </w:rPr>
        <w:t>2</w:t>
      </w:r>
      <w:r>
        <w:rPr>
          <w:rFonts w:hint="eastAsia"/>
          <w:lang w:eastAsia="zh-CN"/>
        </w:rPr>
        <w:t>）</w:t>
      </w:r>
      <w:r>
        <w:rPr>
          <w:rFonts w:hint="eastAsia"/>
        </w:rPr>
        <w:t>四川省成都市成华区二仙桥街道成都理工大学南苑11栋3单元2号</w:t>
      </w:r>
      <w:r>
        <w:rPr>
          <w:rFonts w:hint="eastAsia"/>
          <w:lang w:val="en-US" w:eastAsia="zh-CN"/>
        </w:rPr>
        <w:t>（环评单位查阅途径）</w:t>
      </w:r>
    </w:p>
    <w:p>
      <w:pPr>
        <w:snapToGrid w:val="0"/>
        <w:ind w:firstLine="480"/>
      </w:pPr>
      <w:r>
        <w:rPr>
          <w:rFonts w:hint="eastAsia"/>
        </w:rPr>
        <w:t>联系方式</w:t>
      </w:r>
      <w:r>
        <w:t>：</w:t>
      </w:r>
      <w:r>
        <w:rPr>
          <w:rFonts w:hint="eastAsia"/>
          <w:lang w:val="en-US" w:eastAsia="zh-CN"/>
        </w:rPr>
        <w:t>0532-85831589</w:t>
      </w:r>
      <w:r>
        <w:rPr>
          <w:rFonts w:hint="eastAsia"/>
        </w:rPr>
        <w:t xml:space="preserve"> </w:t>
      </w:r>
      <w:r>
        <w:t xml:space="preserve">   </w:t>
      </w:r>
      <w:r>
        <w:rPr>
          <w:rFonts w:hint="eastAsia"/>
          <w:lang w:val="en-US" w:eastAsia="zh-CN"/>
        </w:rPr>
        <w:t xml:space="preserve"> 联系人：杨工</w:t>
      </w:r>
    </w:p>
    <w:p>
      <w:pPr>
        <w:snapToGrid w:val="0"/>
        <w:ind w:firstLine="480"/>
      </w:pPr>
      <w:r>
        <w:rPr>
          <w:rFonts w:hint="eastAsia"/>
        </w:rPr>
        <w:t>二、征求意见的公众范围</w:t>
      </w:r>
    </w:p>
    <w:p>
      <w:pPr>
        <w:snapToGrid w:val="0"/>
        <w:ind w:firstLine="480"/>
      </w:pPr>
      <w:r>
        <w:rPr>
          <w:rFonts w:hint="eastAsia"/>
        </w:rPr>
        <w:t>本次征求意见的公众范围主要为项目环境影响评价范围内的公民、法人和其他组织。</w:t>
      </w:r>
    </w:p>
    <w:p>
      <w:pPr>
        <w:snapToGrid w:val="0"/>
        <w:ind w:firstLine="480"/>
      </w:pPr>
      <w:r>
        <w:rPr>
          <w:rFonts w:hint="eastAsia"/>
        </w:rPr>
        <w:t>三、公众意见表的网络链接</w:t>
      </w:r>
    </w:p>
    <w:p>
      <w:pPr>
        <w:snapToGrid w:val="0"/>
        <w:ind w:firstLine="480"/>
        <w:rPr>
          <w:rFonts w:hint="eastAsia"/>
        </w:rPr>
      </w:pPr>
      <w:r>
        <w:rPr>
          <w:rFonts w:hint="eastAsia"/>
        </w:rPr>
        <w:t>网络链接地址</w:t>
      </w:r>
      <w:r>
        <w:t>：</w:t>
      </w:r>
      <w:r>
        <w:rPr>
          <w:rFonts w:hint="eastAsia"/>
        </w:rPr>
        <w:t>https://pan.baidu.com/s/1LwLofAAnYV40qO8Ga_HYjQ</w:t>
      </w:r>
    </w:p>
    <w:p>
      <w:pPr>
        <w:snapToGrid w:val="0"/>
        <w:ind w:firstLine="480"/>
      </w:pPr>
      <w:r>
        <w:rPr>
          <w:rFonts w:hint="eastAsia"/>
        </w:rPr>
        <w:t>提取码：r3pg</w:t>
      </w:r>
    </w:p>
    <w:p>
      <w:pPr>
        <w:snapToGrid w:val="0"/>
        <w:ind w:firstLine="480"/>
      </w:pPr>
      <w:r>
        <w:rPr>
          <w:rFonts w:hint="eastAsia"/>
        </w:rPr>
        <w:t>四、公众提出意见的方式和途径</w:t>
      </w:r>
    </w:p>
    <w:p>
      <w:pPr>
        <w:snapToGrid w:val="0"/>
        <w:ind w:firstLine="480"/>
      </w:pPr>
      <w:r>
        <w:rPr>
          <w:rFonts w:hint="eastAsia"/>
        </w:rPr>
        <w:t>公示期间，公众可</w:t>
      </w:r>
      <w:r>
        <w:t>以通过电话、电子邮件、</w:t>
      </w:r>
      <w:r>
        <w:rPr>
          <w:rFonts w:hint="eastAsia"/>
          <w:lang w:val="en-US" w:eastAsia="zh-CN"/>
        </w:rPr>
        <w:t>信函</w:t>
      </w:r>
      <w:r>
        <w:t>等方式</w:t>
      </w:r>
      <w:r>
        <w:rPr>
          <w:rFonts w:hint="eastAsia"/>
        </w:rPr>
        <w:t>向我单位提出与环境影响评价相关的意见。</w:t>
      </w:r>
    </w:p>
    <w:p>
      <w:pPr>
        <w:snapToGrid w:val="0"/>
        <w:ind w:firstLine="480"/>
      </w:pPr>
      <w:r>
        <w:t>（1）</w:t>
      </w:r>
      <w:r>
        <w:rPr>
          <w:rFonts w:hint="eastAsia"/>
        </w:rPr>
        <w:t>建设</w:t>
      </w:r>
      <w:r>
        <w:t>单位</w:t>
      </w:r>
    </w:p>
    <w:p>
      <w:pPr>
        <w:snapToGrid w:val="0"/>
        <w:ind w:firstLine="480"/>
      </w:pPr>
      <w:r>
        <w:rPr>
          <w:rFonts w:hint="eastAsia"/>
        </w:rPr>
        <w:t>单位</w:t>
      </w:r>
      <w:r>
        <w:t>名称</w:t>
      </w:r>
      <w:r>
        <w:rPr>
          <w:rFonts w:hint="eastAsia"/>
        </w:rPr>
        <w:t>：</w:t>
      </w:r>
      <w:r>
        <w:rPr>
          <w:rFonts w:hint="eastAsia"/>
          <w:lang w:val="en-US" w:eastAsia="zh-CN"/>
        </w:rPr>
        <w:t>国家管网集团川气东送天然气管道有限公司</w:t>
      </w:r>
    </w:p>
    <w:p>
      <w:pPr>
        <w:snapToGrid w:val="0"/>
        <w:ind w:firstLine="480"/>
      </w:pPr>
      <w:r>
        <w:rPr>
          <w:rFonts w:hint="eastAsia"/>
        </w:rPr>
        <w:t>联系方式</w:t>
      </w:r>
      <w:r>
        <w:t>：</w:t>
      </w:r>
      <w:r>
        <w:rPr>
          <w:rFonts w:hint="eastAsia"/>
          <w:lang w:val="en-US" w:eastAsia="zh-CN"/>
        </w:rPr>
        <w:t>彭竞飞</w:t>
      </w:r>
      <w:r>
        <w:rPr>
          <w:rFonts w:hint="eastAsia"/>
        </w:rPr>
        <w:t xml:space="preserve"> </w:t>
      </w:r>
      <w:r>
        <w:t xml:space="preserve">   </w:t>
      </w:r>
      <w:r>
        <w:rPr>
          <w:rFonts w:hint="eastAsia"/>
          <w:lang w:val="en-US" w:eastAsia="zh-CN"/>
        </w:rPr>
        <w:t>18627065127</w:t>
      </w:r>
    </w:p>
    <w:p>
      <w:pPr>
        <w:snapToGrid w:val="0"/>
        <w:ind w:firstLine="480"/>
        <w:rPr>
          <w:rFonts w:hint="eastAsia"/>
        </w:rPr>
      </w:pPr>
      <w:r>
        <w:rPr>
          <w:rFonts w:hint="eastAsia"/>
        </w:rPr>
        <w:t>电子</w:t>
      </w:r>
      <w:r>
        <w:t>邮件：</w:t>
      </w:r>
      <w:r>
        <w:rPr>
          <w:rFonts w:hint="eastAsia"/>
        </w:rPr>
        <w:t>pjf88422@qq.com</w:t>
      </w:r>
    </w:p>
    <w:p>
      <w:pPr>
        <w:snapToGrid w:val="0"/>
        <w:ind w:firstLine="480"/>
      </w:pPr>
      <w:r>
        <w:rPr>
          <w:rFonts w:hint="eastAsia"/>
        </w:rPr>
        <w:t>单位</w:t>
      </w:r>
      <w:r>
        <w:t>地址：</w:t>
      </w:r>
      <w:r>
        <w:rPr>
          <w:rFonts w:hint="eastAsia"/>
        </w:rPr>
        <w:t>湖北省武汉市光谷大道126号川气东送管道</w:t>
      </w:r>
    </w:p>
    <w:p>
      <w:pPr>
        <w:snapToGrid w:val="0"/>
        <w:ind w:firstLine="480"/>
      </w:pPr>
      <w:r>
        <w:t>（2）</w:t>
      </w:r>
      <w:r>
        <w:rPr>
          <w:rFonts w:hint="eastAsia"/>
        </w:rPr>
        <w:t>环评</w:t>
      </w:r>
      <w:r>
        <w:t>单位</w:t>
      </w:r>
    </w:p>
    <w:p>
      <w:pPr>
        <w:snapToGrid w:val="0"/>
        <w:ind w:firstLine="480"/>
      </w:pPr>
      <w:r>
        <w:rPr>
          <w:rFonts w:hint="eastAsia"/>
        </w:rPr>
        <w:t>单位</w:t>
      </w:r>
      <w:r>
        <w:t>名称</w:t>
      </w:r>
      <w:r>
        <w:rPr>
          <w:rFonts w:hint="eastAsia"/>
        </w:rPr>
        <w:t>：</w:t>
      </w:r>
      <w:r>
        <w:rPr>
          <w:rFonts w:hint="eastAsia"/>
          <w:lang w:val="en-US" w:eastAsia="zh-CN"/>
        </w:rPr>
        <w:t>山东海纳环境工程有限公司</w:t>
      </w:r>
    </w:p>
    <w:p>
      <w:pPr>
        <w:snapToGrid w:val="0"/>
        <w:ind w:firstLine="480"/>
        <w:rPr>
          <w:rFonts w:hint="eastAsia"/>
        </w:rPr>
      </w:pPr>
      <w:r>
        <w:rPr>
          <w:rFonts w:hint="eastAsia"/>
        </w:rPr>
        <w:t>联系方式</w:t>
      </w:r>
      <w:r>
        <w:t>：</w:t>
      </w:r>
      <w:r>
        <w:rPr>
          <w:rFonts w:hint="eastAsia"/>
          <w:lang w:val="en-US" w:eastAsia="zh-CN"/>
        </w:rPr>
        <w:t>杨工</w:t>
      </w:r>
      <w:r>
        <w:t xml:space="preserve">    </w:t>
      </w:r>
      <w:r>
        <w:rPr>
          <w:rFonts w:hint="eastAsia"/>
          <w:lang w:val="en-US" w:eastAsia="zh-CN"/>
        </w:rPr>
        <w:t>0532-85831589</w:t>
      </w:r>
    </w:p>
    <w:p>
      <w:pPr>
        <w:snapToGrid w:val="0"/>
        <w:ind w:firstLine="480"/>
        <w:rPr>
          <w:rFonts w:hint="eastAsia"/>
        </w:rPr>
      </w:pPr>
      <w:r>
        <w:rPr>
          <w:rFonts w:hint="eastAsia"/>
        </w:rPr>
        <w:t>电子</w:t>
      </w:r>
      <w:r>
        <w:t>邮件：</w:t>
      </w:r>
      <w:r>
        <w:rPr>
          <w:rFonts w:hint="eastAsia"/>
          <w:lang w:val="en-US" w:eastAsia="zh-CN"/>
        </w:rPr>
        <w:t>hainahuanjing@126.com</w:t>
      </w:r>
    </w:p>
    <w:p>
      <w:pPr>
        <w:snapToGrid w:val="0"/>
        <w:ind w:firstLine="480"/>
      </w:pPr>
      <w:r>
        <w:rPr>
          <w:rFonts w:hint="eastAsia"/>
        </w:rPr>
        <w:t>单位地址：四川省成都市成华区二仙桥街道成都理工大学南苑11栋3单元2号</w:t>
      </w:r>
    </w:p>
    <w:p>
      <w:pPr>
        <w:snapToGrid w:val="0"/>
        <w:ind w:firstLine="480"/>
      </w:pPr>
      <w:r>
        <w:rPr>
          <w:rFonts w:hint="eastAsia"/>
        </w:rPr>
        <w:t>五、公众提出意见的起止时间</w:t>
      </w:r>
    </w:p>
    <w:p>
      <w:pPr>
        <w:snapToGrid w:val="0"/>
        <w:ind w:firstLine="480"/>
      </w:pPr>
      <w:r>
        <w:rPr>
          <w:rFonts w:hint="eastAsia"/>
        </w:rPr>
        <w:t>起止时间：</w:t>
      </w:r>
      <w:r>
        <w:rPr>
          <w:rFonts w:hint="eastAsia"/>
          <w:sz w:val="24"/>
          <w:highlight w:val="none"/>
        </w:rPr>
        <w:t>2</w:t>
      </w:r>
      <w:r>
        <w:rPr>
          <w:sz w:val="24"/>
          <w:highlight w:val="none"/>
        </w:rPr>
        <w:t>02</w:t>
      </w:r>
      <w:r>
        <w:rPr>
          <w:rFonts w:hint="eastAsia"/>
          <w:sz w:val="24"/>
          <w:highlight w:val="none"/>
          <w:lang w:val="en-US" w:eastAsia="zh-CN"/>
        </w:rPr>
        <w:t>3</w:t>
      </w:r>
      <w:r>
        <w:rPr>
          <w:rFonts w:hint="eastAsia"/>
          <w:sz w:val="24"/>
          <w:highlight w:val="none"/>
        </w:rPr>
        <w:t>年</w:t>
      </w:r>
      <w:r>
        <w:rPr>
          <w:rFonts w:hint="eastAsia"/>
          <w:sz w:val="24"/>
          <w:highlight w:val="none"/>
          <w:lang w:val="en-US" w:eastAsia="zh-CN"/>
        </w:rPr>
        <w:t>7</w:t>
      </w:r>
      <w:r>
        <w:rPr>
          <w:rFonts w:hint="eastAsia"/>
          <w:sz w:val="24"/>
          <w:highlight w:val="none"/>
        </w:rPr>
        <w:t>月</w:t>
      </w:r>
      <w:r>
        <w:rPr>
          <w:rFonts w:hint="eastAsia"/>
          <w:sz w:val="24"/>
          <w:highlight w:val="none"/>
          <w:lang w:val="en-US" w:eastAsia="zh-CN"/>
        </w:rPr>
        <w:t>14</w:t>
      </w:r>
      <w:r>
        <w:rPr>
          <w:rFonts w:hint="eastAsia"/>
          <w:sz w:val="24"/>
          <w:highlight w:val="none"/>
        </w:rPr>
        <w:t>日~</w:t>
      </w:r>
      <w:r>
        <w:rPr>
          <w:sz w:val="24"/>
          <w:highlight w:val="none"/>
        </w:rPr>
        <w:t>202</w:t>
      </w:r>
      <w:r>
        <w:rPr>
          <w:rFonts w:hint="eastAsia"/>
          <w:sz w:val="24"/>
          <w:highlight w:val="none"/>
          <w:lang w:val="en-US" w:eastAsia="zh-CN"/>
        </w:rPr>
        <w:t>3</w:t>
      </w:r>
      <w:r>
        <w:rPr>
          <w:rFonts w:hint="eastAsia"/>
          <w:sz w:val="24"/>
          <w:highlight w:val="none"/>
        </w:rPr>
        <w:t>年</w:t>
      </w:r>
      <w:r>
        <w:rPr>
          <w:rFonts w:hint="eastAsia"/>
          <w:sz w:val="24"/>
          <w:highlight w:val="none"/>
          <w:lang w:val="en-US" w:eastAsia="zh-CN"/>
        </w:rPr>
        <w:t>7</w:t>
      </w:r>
      <w:r>
        <w:rPr>
          <w:rFonts w:hint="eastAsia"/>
          <w:sz w:val="24"/>
          <w:highlight w:val="none"/>
        </w:rPr>
        <w:t>月</w:t>
      </w:r>
      <w:r>
        <w:rPr>
          <w:rFonts w:hint="eastAsia"/>
          <w:sz w:val="24"/>
          <w:highlight w:val="none"/>
          <w:lang w:val="en-US" w:eastAsia="zh-CN"/>
        </w:rPr>
        <w:t>28</w:t>
      </w:r>
      <w:r>
        <w:rPr>
          <w:rFonts w:hint="eastAsia"/>
          <w:sz w:val="24"/>
          <w:highlight w:val="none"/>
        </w:rPr>
        <w:t>日</w:t>
      </w:r>
      <w:r>
        <w:rPr>
          <w:rFonts w:hint="eastAsia"/>
        </w:rPr>
        <w:t>。</w:t>
      </w:r>
    </w:p>
    <w:p>
      <w:pPr>
        <w:snapToGrid w:val="0"/>
        <w:ind w:firstLine="480"/>
      </w:pPr>
      <w:r>
        <w:rPr>
          <w:rFonts w:hint="eastAsia"/>
        </w:rPr>
        <w:t>征求意见稿公示时间超过10个工作日，满足《环境影响评价公众参与办法》第十条“建设单位征求公众意见的期限不得少于10个工作日”的要求。</w:t>
      </w:r>
    </w:p>
    <w:p>
      <w:pPr>
        <w:pStyle w:val="6"/>
        <w:snapToGrid w:val="0"/>
      </w:pPr>
      <w:bookmarkStart w:id="16" w:name="_Toc31692"/>
      <w:bookmarkStart w:id="17" w:name="_Toc10403"/>
      <w:r>
        <w:t>3.2 公示方法</w:t>
      </w:r>
      <w:bookmarkEnd w:id="16"/>
      <w:bookmarkEnd w:id="17"/>
    </w:p>
    <w:p>
      <w:pPr>
        <w:pStyle w:val="7"/>
        <w:snapToGrid w:val="0"/>
      </w:pPr>
      <w:bookmarkStart w:id="18" w:name="_Toc23386"/>
      <w:bookmarkStart w:id="19" w:name="_Toc26283"/>
      <w:r>
        <w:t>3.2.1 网络</w:t>
      </w:r>
      <w:bookmarkEnd w:id="18"/>
      <w:bookmarkEnd w:id="19"/>
    </w:p>
    <w:p>
      <w:pPr>
        <w:keepNext w:val="0"/>
        <w:keepLines w:val="0"/>
        <w:pageBreakBefore w:val="0"/>
        <w:widowControl w:val="0"/>
        <w:kinsoku/>
        <w:wordWrap w:val="0"/>
        <w:overflowPunct/>
        <w:topLinePunct w:val="0"/>
        <w:autoSpaceDE/>
        <w:autoSpaceDN/>
        <w:bidi w:val="0"/>
        <w:adjustRightInd/>
        <w:snapToGrid w:val="0"/>
        <w:ind w:firstLine="480"/>
        <w:textAlignment w:val="auto"/>
        <w:rPr>
          <w:rFonts w:cs="Times New Roman"/>
        </w:rPr>
      </w:pPr>
      <w:r>
        <w:rPr>
          <w:rFonts w:cs="Times New Roman"/>
        </w:rPr>
        <w:t>按照《环境影响评价公众参与办法》要求，本项目环境影响报告书征求意见稿在</w:t>
      </w:r>
      <w:r>
        <w:rPr>
          <w:rFonts w:ascii="Times New Roman" w:hAnsi="Times New Roman" w:cs="Times New Roman"/>
          <w:kern w:val="2"/>
          <w:sz w:val="24"/>
          <w:szCs w:val="24"/>
          <w:lang w:val="en-US" w:bidi="ar-SA"/>
        </w:rPr>
        <w:t>达州市凤凰山下</w:t>
      </w:r>
      <w:r>
        <w:rPr>
          <w:rFonts w:hint="eastAsia" w:cs="Times New Roman"/>
          <w:highlight w:val="none"/>
        </w:rPr>
        <w:t>网（https://www.dz19.net/forum.php?mod=viewthread&amp;tid=2137967&amp;highlight=%B9%AB%CA%BE</w:t>
      </w:r>
      <w:r>
        <w:rPr>
          <w:rFonts w:cs="Times New Roman"/>
          <w:highlight w:val="none"/>
        </w:rPr>
        <w:t>）进行</w:t>
      </w:r>
      <w:r>
        <w:rPr>
          <w:rFonts w:cs="Times New Roman"/>
        </w:rPr>
        <w:t>了网络公示，公示时间为202</w:t>
      </w:r>
      <w:r>
        <w:rPr>
          <w:rFonts w:hint="eastAsia" w:cs="Times New Roman"/>
          <w:lang w:val="en-US" w:eastAsia="zh-CN"/>
        </w:rPr>
        <w:t>3</w:t>
      </w:r>
      <w:r>
        <w:rPr>
          <w:rFonts w:cs="Times New Roman"/>
        </w:rPr>
        <w:t>年</w:t>
      </w:r>
      <w:r>
        <w:rPr>
          <w:rFonts w:hint="eastAsia" w:cs="Times New Roman"/>
          <w:lang w:val="en-US" w:eastAsia="zh-CN"/>
        </w:rPr>
        <w:t>7</w:t>
      </w:r>
      <w:r>
        <w:rPr>
          <w:rFonts w:cs="Times New Roman"/>
        </w:rPr>
        <w:t>月</w:t>
      </w:r>
      <w:r>
        <w:rPr>
          <w:rFonts w:hint="eastAsia" w:cs="Times New Roman"/>
          <w:lang w:val="en-US" w:eastAsia="zh-CN"/>
        </w:rPr>
        <w:t>14</w:t>
      </w:r>
      <w:r>
        <w:rPr>
          <w:rFonts w:cs="Times New Roman"/>
        </w:rPr>
        <w:t>日。</w:t>
      </w:r>
    </w:p>
    <w:p>
      <w:pPr>
        <w:snapToGrid w:val="0"/>
        <w:ind w:firstLine="480"/>
        <w:rPr>
          <w:rFonts w:cs="Times New Roman"/>
        </w:rPr>
      </w:pPr>
      <w:r>
        <w:rPr>
          <w:rFonts w:cs="Times New Roman"/>
        </w:rPr>
        <w:t>公示截图见图3.2-1。</w:t>
      </w:r>
    </w:p>
    <w:p>
      <w:pPr>
        <w:pStyle w:val="38"/>
        <w:rPr>
          <w:rFonts w:hint="eastAsia" w:eastAsia="宋体" w:cs="Times New Roman"/>
          <w:lang w:eastAsia="zh-CN"/>
        </w:rPr>
      </w:pPr>
      <w:r>
        <w:rPr>
          <w:rFonts w:hint="eastAsia" w:eastAsia="宋体" w:cs="Times New Roman"/>
          <w:lang w:eastAsia="zh-CN"/>
        </w:rPr>
        <w:drawing>
          <wp:inline distT="0" distB="0" distL="114300" distR="114300">
            <wp:extent cx="5757545" cy="4761865"/>
            <wp:effectExtent l="0" t="0" r="14605" b="635"/>
            <wp:docPr id="7" name="图片 7" descr="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二次公示"/>
                    <pic:cNvPicPr>
                      <a:picLocks noChangeAspect="1"/>
                    </pic:cNvPicPr>
                  </pic:nvPicPr>
                  <pic:blipFill>
                    <a:blip r:embed="rId13"/>
                    <a:stretch>
                      <a:fillRect/>
                    </a:stretch>
                  </pic:blipFill>
                  <pic:spPr>
                    <a:xfrm>
                      <a:off x="0" y="0"/>
                      <a:ext cx="5757545" cy="4761865"/>
                    </a:xfrm>
                    <a:prstGeom prst="rect">
                      <a:avLst/>
                    </a:prstGeom>
                  </pic:spPr>
                </pic:pic>
              </a:graphicData>
            </a:graphic>
          </wp:inline>
        </w:drawing>
      </w:r>
    </w:p>
    <w:p>
      <w:pPr>
        <w:pStyle w:val="65"/>
      </w:pPr>
      <w:r>
        <w:drawing>
          <wp:inline distT="0" distB="0" distL="114300" distR="114300">
            <wp:extent cx="5842000" cy="3039745"/>
            <wp:effectExtent l="0" t="0" r="6350" b="825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4"/>
                    <a:stretch>
                      <a:fillRect/>
                    </a:stretch>
                  </pic:blipFill>
                  <pic:spPr>
                    <a:xfrm>
                      <a:off x="0" y="0"/>
                      <a:ext cx="5842000" cy="3039745"/>
                    </a:xfrm>
                    <a:prstGeom prst="rect">
                      <a:avLst/>
                    </a:prstGeom>
                    <a:noFill/>
                    <a:ln>
                      <a:noFill/>
                    </a:ln>
                  </pic:spPr>
                </pic:pic>
              </a:graphicData>
            </a:graphic>
          </wp:inline>
        </w:drawing>
      </w:r>
    </w:p>
    <w:p>
      <w:pPr>
        <w:pStyle w:val="65"/>
      </w:pPr>
      <w:r>
        <w:t>图3.2-1  项目征求意见稿网络公示</w:t>
      </w:r>
    </w:p>
    <w:p>
      <w:pPr>
        <w:pStyle w:val="7"/>
      </w:pPr>
      <w:bookmarkStart w:id="20" w:name="_Toc14943"/>
      <w:bookmarkStart w:id="21" w:name="_Toc10379"/>
      <w:r>
        <w:t>3.2.2 报纸</w:t>
      </w:r>
      <w:bookmarkEnd w:id="20"/>
      <w:bookmarkEnd w:id="21"/>
    </w:p>
    <w:p>
      <w:pPr>
        <w:ind w:firstLine="480"/>
        <w:rPr>
          <w:rFonts w:cs="Times New Roman"/>
          <w:highlight w:val="none"/>
        </w:rPr>
      </w:pPr>
      <w:r>
        <w:rPr>
          <w:rFonts w:hint="eastAsia"/>
        </w:rPr>
        <w:t>按照《环境影响评价公众参与办法》要求</w:t>
      </w:r>
      <w:r>
        <w:t>，对</w:t>
      </w:r>
      <w:r>
        <w:rPr>
          <w:rFonts w:hint="eastAsia"/>
        </w:rPr>
        <w:t>环境影响报告书征求意见稿进行公示，</w:t>
      </w:r>
      <w:r>
        <w:rPr>
          <w:rFonts w:cs="Times New Roman"/>
        </w:rPr>
        <w:t>于</w:t>
      </w:r>
      <w:r>
        <w:rPr>
          <w:rFonts w:cs="Times New Roman"/>
          <w:highlight w:val="none"/>
        </w:rPr>
        <w:t>202</w:t>
      </w:r>
      <w:r>
        <w:rPr>
          <w:rFonts w:hint="eastAsia" w:cs="Times New Roman"/>
          <w:highlight w:val="none"/>
          <w:lang w:val="en-US" w:eastAsia="zh-CN"/>
        </w:rPr>
        <w:t>3</w:t>
      </w:r>
      <w:r>
        <w:rPr>
          <w:rFonts w:cs="Times New Roman"/>
          <w:highlight w:val="none"/>
        </w:rPr>
        <w:t>年</w:t>
      </w:r>
      <w:r>
        <w:rPr>
          <w:rFonts w:hint="eastAsia" w:cs="Times New Roman"/>
          <w:highlight w:val="none"/>
          <w:lang w:val="en-US" w:eastAsia="zh-CN"/>
        </w:rPr>
        <w:t>7</w:t>
      </w:r>
      <w:r>
        <w:rPr>
          <w:rFonts w:cs="Times New Roman"/>
          <w:highlight w:val="none"/>
        </w:rPr>
        <w:t>月</w:t>
      </w:r>
      <w:r>
        <w:rPr>
          <w:rFonts w:hint="eastAsia" w:cs="Times New Roman"/>
          <w:highlight w:val="none"/>
          <w:lang w:val="en-US" w:eastAsia="zh-CN"/>
        </w:rPr>
        <w:t>19</w:t>
      </w:r>
      <w:r>
        <w:rPr>
          <w:rFonts w:cs="Times New Roman"/>
          <w:highlight w:val="none"/>
        </w:rPr>
        <w:t>日和</w:t>
      </w:r>
      <w:r>
        <w:rPr>
          <w:rFonts w:hint="eastAsia" w:cs="Times New Roman"/>
          <w:highlight w:val="none"/>
          <w:lang w:val="en-US" w:eastAsia="zh-CN"/>
        </w:rPr>
        <w:t>7</w:t>
      </w:r>
      <w:r>
        <w:rPr>
          <w:rFonts w:cs="Times New Roman"/>
          <w:highlight w:val="none"/>
        </w:rPr>
        <w:t>月</w:t>
      </w:r>
      <w:r>
        <w:rPr>
          <w:rFonts w:hint="eastAsia" w:cs="Times New Roman"/>
          <w:highlight w:val="none"/>
          <w:lang w:val="en-US" w:eastAsia="zh-CN"/>
        </w:rPr>
        <w:t>21</w:t>
      </w:r>
      <w:r>
        <w:rPr>
          <w:rFonts w:cs="Times New Roman"/>
          <w:highlight w:val="none"/>
        </w:rPr>
        <w:t>日通过本项目所在地公众易于接触的报纸</w:t>
      </w:r>
      <w:r>
        <w:rPr>
          <w:rFonts w:hint="eastAsia" w:cs="Times New Roman"/>
          <w:highlight w:val="none"/>
        </w:rPr>
        <w:t>（</w:t>
      </w:r>
      <w:r>
        <w:rPr>
          <w:rFonts w:hint="eastAsia" w:cs="Times New Roman"/>
          <w:highlight w:val="none"/>
          <w:lang w:val="en-US" w:eastAsia="zh-CN"/>
        </w:rPr>
        <w:t>达州晚报</w:t>
      </w:r>
      <w:r>
        <w:rPr>
          <w:rFonts w:cs="Times New Roman"/>
          <w:highlight w:val="none"/>
        </w:rPr>
        <w:t>）进行了2次报纸公示。</w:t>
      </w:r>
    </w:p>
    <w:p>
      <w:pPr>
        <w:ind w:firstLine="480"/>
        <w:rPr>
          <w:rFonts w:cs="Times New Roman"/>
          <w:highlight w:val="none"/>
        </w:rPr>
      </w:pPr>
      <w:r>
        <w:rPr>
          <w:rFonts w:cs="Times New Roman"/>
          <w:highlight w:val="none"/>
        </w:rPr>
        <w:t>报纸公示见图3.2-2、3.2-3。</w:t>
      </w:r>
    </w:p>
    <w:p>
      <w:pPr>
        <w:pStyle w:val="65"/>
        <w:rPr>
          <w:rFonts w:hint="eastAsia" w:eastAsia="宋体"/>
          <w:lang w:eastAsia="zh-CN"/>
        </w:rPr>
      </w:pPr>
      <w:r>
        <w:drawing>
          <wp:inline distT="0" distB="0" distL="114300" distR="114300">
            <wp:extent cx="5200015" cy="7610475"/>
            <wp:effectExtent l="0" t="0" r="635"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5"/>
                    <a:stretch>
                      <a:fillRect/>
                    </a:stretch>
                  </pic:blipFill>
                  <pic:spPr>
                    <a:xfrm>
                      <a:off x="0" y="0"/>
                      <a:ext cx="5200015" cy="7610475"/>
                    </a:xfrm>
                    <a:prstGeom prst="rect">
                      <a:avLst/>
                    </a:prstGeom>
                    <a:noFill/>
                    <a:ln>
                      <a:noFill/>
                    </a:ln>
                  </pic:spPr>
                </pic:pic>
              </a:graphicData>
            </a:graphic>
          </wp:inline>
        </w:drawing>
      </w:r>
    </w:p>
    <w:p>
      <w:pPr>
        <w:pStyle w:val="65"/>
        <w:rPr>
          <w:rFonts w:ascii="Times New Roman" w:hAnsi="Times New Roman"/>
        </w:rPr>
        <w:sectPr>
          <w:pgSz w:w="11906" w:h="16838"/>
          <w:pgMar w:top="1440" w:right="1800" w:bottom="1440" w:left="1800" w:header="851" w:footer="992" w:gutter="0"/>
          <w:cols w:space="425" w:num="1"/>
          <w:docGrid w:type="lines" w:linePitch="326" w:charSpace="0"/>
        </w:sectPr>
      </w:pPr>
      <w:r>
        <w:rPr>
          <w:rFonts w:ascii="Times New Roman" w:hAnsi="Times New Roman"/>
        </w:rPr>
        <w:t>图3.2-2  报纸公示截图（202</w:t>
      </w:r>
      <w:r>
        <w:rPr>
          <w:rFonts w:hint="eastAsia" w:ascii="Times New Roman" w:hAnsi="Times New Roman"/>
          <w:lang w:val="en-US" w:eastAsia="zh-CN"/>
        </w:rPr>
        <w:t>3</w:t>
      </w:r>
      <w:r>
        <w:rPr>
          <w:rFonts w:ascii="Times New Roman" w:hAnsi="Times New Roman"/>
        </w:rPr>
        <w:t>年</w:t>
      </w:r>
      <w:r>
        <w:rPr>
          <w:rFonts w:hint="eastAsia" w:ascii="Times New Roman" w:hAnsi="Times New Roman"/>
          <w:lang w:val="en-US" w:eastAsia="zh-CN"/>
        </w:rPr>
        <w:t>7</w:t>
      </w:r>
      <w:r>
        <w:rPr>
          <w:rFonts w:ascii="Times New Roman" w:hAnsi="Times New Roman"/>
        </w:rPr>
        <w:t>月1</w:t>
      </w:r>
      <w:r>
        <w:rPr>
          <w:rFonts w:hint="eastAsia" w:ascii="Times New Roman" w:hAnsi="Times New Roman"/>
          <w:lang w:val="en-US" w:eastAsia="zh-CN"/>
        </w:rPr>
        <w:t>9</w:t>
      </w:r>
      <w:r>
        <w:rPr>
          <w:rFonts w:ascii="Times New Roman" w:hAnsi="Times New Roman"/>
        </w:rPr>
        <w:t>日）</w:t>
      </w:r>
    </w:p>
    <w:p>
      <w:pPr>
        <w:pStyle w:val="65"/>
        <w:rPr>
          <w:rFonts w:hint="eastAsia" w:eastAsia="黑体"/>
          <w:lang w:eastAsia="zh-CN"/>
        </w:rPr>
      </w:pPr>
      <w:r>
        <w:drawing>
          <wp:inline distT="0" distB="0" distL="114300" distR="114300">
            <wp:extent cx="5277485" cy="7763510"/>
            <wp:effectExtent l="0" t="0" r="18415"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6"/>
                    <a:stretch>
                      <a:fillRect/>
                    </a:stretch>
                  </pic:blipFill>
                  <pic:spPr>
                    <a:xfrm>
                      <a:off x="0" y="0"/>
                      <a:ext cx="5277485" cy="7763510"/>
                    </a:xfrm>
                    <a:prstGeom prst="rect">
                      <a:avLst/>
                    </a:prstGeom>
                    <a:noFill/>
                    <a:ln>
                      <a:noFill/>
                    </a:ln>
                  </pic:spPr>
                </pic:pic>
              </a:graphicData>
            </a:graphic>
          </wp:inline>
        </w:drawing>
      </w:r>
    </w:p>
    <w:p>
      <w:pPr>
        <w:pStyle w:val="65"/>
        <w:rPr>
          <w:rFonts w:ascii="Times New Roman" w:hAnsi="Times New Roman"/>
        </w:rPr>
        <w:sectPr>
          <w:pgSz w:w="11906" w:h="16838"/>
          <w:pgMar w:top="1440" w:right="1800" w:bottom="1440" w:left="1800" w:header="851" w:footer="992" w:gutter="0"/>
          <w:cols w:space="425" w:num="1"/>
          <w:docGrid w:type="lines" w:linePitch="326" w:charSpace="0"/>
        </w:sectPr>
      </w:pPr>
      <w:r>
        <w:rPr>
          <w:rFonts w:ascii="Times New Roman" w:hAnsi="Times New Roman"/>
        </w:rPr>
        <w:t>图3.2-3  报纸公示截图（202</w:t>
      </w:r>
      <w:r>
        <w:rPr>
          <w:rFonts w:hint="eastAsia" w:ascii="Times New Roman" w:hAnsi="Times New Roman"/>
          <w:lang w:val="en-US" w:eastAsia="zh-CN"/>
        </w:rPr>
        <w:t>3</w:t>
      </w:r>
      <w:r>
        <w:rPr>
          <w:rFonts w:ascii="Times New Roman" w:hAnsi="Times New Roman"/>
        </w:rPr>
        <w:t>年</w:t>
      </w:r>
      <w:r>
        <w:rPr>
          <w:rFonts w:hint="eastAsia" w:ascii="Times New Roman" w:hAnsi="Times New Roman"/>
          <w:lang w:val="en-US" w:eastAsia="zh-CN"/>
        </w:rPr>
        <w:t>7</w:t>
      </w:r>
      <w:r>
        <w:rPr>
          <w:rFonts w:ascii="Times New Roman" w:hAnsi="Times New Roman"/>
        </w:rPr>
        <w:t>月</w:t>
      </w:r>
      <w:r>
        <w:rPr>
          <w:rFonts w:hint="eastAsia" w:ascii="Times New Roman" w:hAnsi="Times New Roman"/>
          <w:lang w:val="en-US" w:eastAsia="zh-CN"/>
        </w:rPr>
        <w:t>21</w:t>
      </w:r>
      <w:r>
        <w:rPr>
          <w:rFonts w:ascii="Times New Roman" w:hAnsi="Times New Roman"/>
        </w:rPr>
        <w:t>日）</w:t>
      </w:r>
    </w:p>
    <w:p>
      <w:pPr>
        <w:pStyle w:val="7"/>
      </w:pPr>
      <w:bookmarkStart w:id="22" w:name="_Toc10232"/>
      <w:bookmarkStart w:id="23" w:name="_Toc23600"/>
      <w:r>
        <w:t>3.2.3 张贴</w:t>
      </w:r>
      <w:bookmarkEnd w:id="22"/>
      <w:bookmarkEnd w:id="23"/>
    </w:p>
    <w:p>
      <w:pPr>
        <w:spacing w:line="480" w:lineRule="exact"/>
        <w:ind w:firstLine="480"/>
        <w:rPr>
          <w:rFonts w:cs="Times New Roman"/>
        </w:rPr>
      </w:pPr>
      <w:r>
        <w:rPr>
          <w:rFonts w:cs="Times New Roman"/>
        </w:rPr>
        <w:t>本项目位于</w:t>
      </w:r>
      <w:r>
        <w:rPr>
          <w:rFonts w:hint="eastAsia" w:cs="Times New Roman"/>
          <w:lang w:val="en-US" w:eastAsia="zh-CN"/>
        </w:rPr>
        <w:t>四川</w:t>
      </w:r>
      <w:r>
        <w:rPr>
          <w:rFonts w:cs="Times New Roman"/>
        </w:rPr>
        <w:t>省</w:t>
      </w:r>
      <w:r>
        <w:rPr>
          <w:rFonts w:hint="eastAsia" w:cs="Times New Roman"/>
          <w:lang w:val="en-US" w:eastAsia="zh-CN"/>
        </w:rPr>
        <w:t>达州</w:t>
      </w:r>
      <w:r>
        <w:rPr>
          <w:rFonts w:cs="Times New Roman"/>
        </w:rPr>
        <w:t>市</w:t>
      </w:r>
      <w:r>
        <w:rPr>
          <w:rFonts w:hint="eastAsia" w:cs="Times New Roman"/>
          <w:lang w:val="en-US" w:eastAsia="zh-CN"/>
        </w:rPr>
        <w:t>宣汉县清溪镇</w:t>
      </w:r>
      <w:r>
        <w:rPr>
          <w:rFonts w:hint="eastAsia" w:cs="Times New Roman"/>
          <w:highlight w:val="none"/>
          <w:lang w:val="en-US" w:eastAsia="zh-CN"/>
        </w:rPr>
        <w:t>境内</w:t>
      </w:r>
      <w:r>
        <w:rPr>
          <w:rFonts w:cs="Times New Roman"/>
          <w:highlight w:val="none"/>
        </w:rPr>
        <w:t>，于202</w:t>
      </w:r>
      <w:r>
        <w:rPr>
          <w:rFonts w:hint="eastAsia" w:cs="Times New Roman"/>
          <w:highlight w:val="none"/>
          <w:lang w:val="en-US" w:eastAsia="zh-CN"/>
        </w:rPr>
        <w:t>3</w:t>
      </w:r>
      <w:r>
        <w:rPr>
          <w:rFonts w:cs="Times New Roman"/>
          <w:highlight w:val="none"/>
        </w:rPr>
        <w:t>年</w:t>
      </w:r>
      <w:r>
        <w:rPr>
          <w:rFonts w:hint="eastAsia" w:cs="Times New Roman"/>
          <w:highlight w:val="none"/>
          <w:lang w:val="en-US" w:eastAsia="zh-CN"/>
        </w:rPr>
        <w:t>7</w:t>
      </w:r>
      <w:r>
        <w:rPr>
          <w:rFonts w:cs="Times New Roman"/>
          <w:highlight w:val="none"/>
        </w:rPr>
        <w:t>月</w:t>
      </w:r>
      <w:r>
        <w:rPr>
          <w:rFonts w:hint="eastAsia" w:cs="Times New Roman"/>
          <w:highlight w:val="none"/>
        </w:rPr>
        <w:t>1</w:t>
      </w:r>
      <w:r>
        <w:rPr>
          <w:rFonts w:hint="eastAsia" w:cs="Times New Roman"/>
          <w:highlight w:val="none"/>
          <w:lang w:val="en-US" w:eastAsia="zh-CN"/>
        </w:rPr>
        <w:t>7</w:t>
      </w:r>
      <w:r>
        <w:rPr>
          <w:rFonts w:cs="Times New Roman"/>
          <w:highlight w:val="none"/>
        </w:rPr>
        <w:t>日于茶</w:t>
      </w:r>
      <w:r>
        <w:rPr>
          <w:rFonts w:cs="Times New Roman"/>
        </w:rPr>
        <w:t>店村民房1</w:t>
      </w:r>
      <w:r>
        <w:rPr>
          <w:rFonts w:hint="eastAsia" w:cs="Times New Roman"/>
          <w:lang w:eastAsia="zh-CN"/>
        </w:rPr>
        <w:t>、</w:t>
      </w:r>
      <w:r>
        <w:rPr>
          <w:rFonts w:cs="Times New Roman"/>
        </w:rPr>
        <w:t>茶店村民房</w:t>
      </w:r>
      <w:r>
        <w:rPr>
          <w:rFonts w:hint="eastAsia" w:cs="Times New Roman"/>
          <w:lang w:val="en-US" w:eastAsia="zh-CN"/>
        </w:rPr>
        <w:t>2、</w:t>
      </w:r>
      <w:r>
        <w:rPr>
          <w:rFonts w:cs="Times New Roman"/>
        </w:rPr>
        <w:t>茶店村民房</w:t>
      </w:r>
      <w:r>
        <w:rPr>
          <w:rFonts w:hint="eastAsia" w:cs="Times New Roman"/>
          <w:lang w:val="en-US" w:eastAsia="zh-CN"/>
        </w:rPr>
        <w:t>3、</w:t>
      </w:r>
      <w:r>
        <w:rPr>
          <w:rFonts w:cs="Times New Roman"/>
        </w:rPr>
        <w:t>茶店村民房</w:t>
      </w:r>
      <w:r>
        <w:rPr>
          <w:rFonts w:hint="eastAsia" w:cs="Times New Roman"/>
          <w:lang w:val="en-US" w:eastAsia="zh-CN"/>
        </w:rPr>
        <w:t>5</w:t>
      </w:r>
      <w:r>
        <w:rPr>
          <w:rFonts w:hint="eastAsia" w:cs="Times New Roman"/>
          <w:highlight w:val="none"/>
          <w:lang w:val="en-US" w:eastAsia="zh-CN"/>
        </w:rPr>
        <w:t>、新房子</w:t>
      </w:r>
      <w:r>
        <w:rPr>
          <w:rFonts w:hint="eastAsia"/>
          <w:highlight w:val="none"/>
        </w:rPr>
        <w:t>等村</w:t>
      </w:r>
      <w:r>
        <w:rPr>
          <w:rFonts w:cs="Times New Roman"/>
          <w:highlight w:val="none"/>
        </w:rPr>
        <w:t>张贴公</w:t>
      </w:r>
      <w:r>
        <w:rPr>
          <w:rFonts w:cs="Times New Roman"/>
        </w:rPr>
        <w:t>告进行公示。</w:t>
      </w:r>
    </w:p>
    <w:tbl>
      <w:tblPr>
        <w:tblStyle w:val="20"/>
        <w:tblW w:w="5000"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27"/>
        <w:gridCol w:w="439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eastAsia" w:eastAsia="黑体"/>
                <w:lang w:eastAsia="zh-CN"/>
              </w:rPr>
              <w:drawing>
                <wp:inline distT="0" distB="0" distL="114300" distR="114300">
                  <wp:extent cx="2378710" cy="2759075"/>
                  <wp:effectExtent l="0" t="0" r="2540" b="3175"/>
                  <wp:docPr id="8" name="图片 8" descr="272b3b5af1571136b78559cf4dc6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272b3b5af1571136b78559cf4dc6455"/>
                          <pic:cNvPicPr>
                            <a:picLocks noChangeAspect="1"/>
                          </pic:cNvPicPr>
                        </pic:nvPicPr>
                        <pic:blipFill>
                          <a:blip r:embed="rId17"/>
                          <a:srcRect l="53303" t="28743" r="20587" b="30881"/>
                          <a:stretch>
                            <a:fillRect/>
                          </a:stretch>
                        </pic:blipFill>
                        <pic:spPr>
                          <a:xfrm>
                            <a:off x="0" y="0"/>
                            <a:ext cx="2378710" cy="2759075"/>
                          </a:xfrm>
                          <a:prstGeom prst="rect">
                            <a:avLst/>
                          </a:prstGeom>
                        </pic:spPr>
                      </pic:pic>
                    </a:graphicData>
                  </a:graphic>
                </wp:inline>
              </w:drawing>
            </w:r>
          </w:p>
        </w:tc>
        <w:tc>
          <w:tcPr>
            <w:tcW w:w="2500" w:type="pct"/>
            <w:tcBorders>
              <w:tl2br w:val="nil"/>
              <w:tr2bl w:val="nil"/>
            </w:tcBorders>
            <w:vAlign w:val="center"/>
          </w:tcPr>
          <w:p>
            <w:pPr>
              <w:pStyle w:val="65"/>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textAlignment w:val="auto"/>
              <w:rPr>
                <w:rFonts w:hint="eastAsia" w:eastAsia="黑体"/>
                <w:lang w:eastAsia="zh-CN"/>
              </w:rPr>
            </w:pPr>
            <w:r>
              <w:rPr>
                <w:rFonts w:hint="eastAsia" w:eastAsia="黑体"/>
                <w:lang w:eastAsia="zh-CN"/>
              </w:rPr>
              <w:drawing>
                <wp:inline distT="0" distB="0" distL="114300" distR="114300">
                  <wp:extent cx="2470785" cy="2828290"/>
                  <wp:effectExtent l="0" t="0" r="5715" b="10160"/>
                  <wp:docPr id="10" name="图片 10" descr="b5480a788d0b4bd4fdd664b67662a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b5480a788d0b4bd4fdd664b67662ad4"/>
                          <pic:cNvPicPr>
                            <a:picLocks noChangeAspect="1"/>
                          </pic:cNvPicPr>
                        </pic:nvPicPr>
                        <pic:blipFill>
                          <a:blip r:embed="rId18"/>
                          <a:srcRect l="4256" t="9548" r="2983" b="10850"/>
                          <a:stretch>
                            <a:fillRect/>
                          </a:stretch>
                        </pic:blipFill>
                        <pic:spPr>
                          <a:xfrm>
                            <a:off x="0" y="0"/>
                            <a:ext cx="2470785" cy="282829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default" w:cs="Times New Roman"/>
              </w:rPr>
              <w:t>茶店村民房1</w:t>
            </w:r>
            <w:r>
              <w:rPr>
                <w:rFonts w:hint="eastAsia" w:cs="Times New Roman"/>
                <w:lang w:eastAsia="zh-CN"/>
              </w:rPr>
              <w:t>、</w:t>
            </w:r>
            <w:r>
              <w:rPr>
                <w:rFonts w:hint="default" w:cs="Times New Roman"/>
              </w:rPr>
              <w:t>茶店村民房</w:t>
            </w:r>
            <w:r>
              <w:rPr>
                <w:rFonts w:hint="eastAsia" w:cs="Times New Roman"/>
                <w:lang w:val="en-US" w:eastAsia="zh-CN"/>
              </w:rPr>
              <w:t>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eastAsia" w:eastAsia="黑体"/>
                <w:lang w:eastAsia="zh-CN"/>
              </w:rPr>
              <w:drawing>
                <wp:inline distT="0" distB="0" distL="114300" distR="114300">
                  <wp:extent cx="2484120" cy="2778760"/>
                  <wp:effectExtent l="0" t="0" r="11430" b="2540"/>
                  <wp:docPr id="16" name="图片 16" descr="2d5c35d64d50665196e33fe1d8a4b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2d5c35d64d50665196e33fe1d8a4ba8"/>
                          <pic:cNvPicPr>
                            <a:picLocks noChangeAspect="1"/>
                          </pic:cNvPicPr>
                        </pic:nvPicPr>
                        <pic:blipFill>
                          <a:blip r:embed="rId19"/>
                          <a:srcRect l="31230" t="32098" r="32527" b="13864"/>
                          <a:stretch>
                            <a:fillRect/>
                          </a:stretch>
                        </pic:blipFill>
                        <pic:spPr>
                          <a:xfrm>
                            <a:off x="0" y="0"/>
                            <a:ext cx="2484120" cy="2778760"/>
                          </a:xfrm>
                          <a:prstGeom prst="rect">
                            <a:avLst/>
                          </a:prstGeom>
                        </pic:spPr>
                      </pic:pic>
                    </a:graphicData>
                  </a:graphic>
                </wp:inline>
              </w:drawing>
            </w:r>
          </w:p>
        </w:tc>
        <w:tc>
          <w:tcPr>
            <w:tcW w:w="2500" w:type="pct"/>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eastAsia" w:eastAsia="黑体"/>
                <w:lang w:eastAsia="zh-CN"/>
              </w:rPr>
              <w:drawing>
                <wp:inline distT="0" distB="0" distL="114300" distR="114300">
                  <wp:extent cx="2599055" cy="2773680"/>
                  <wp:effectExtent l="0" t="0" r="10795" b="7620"/>
                  <wp:docPr id="15" name="图片 15" descr="00af2211d7c4969d1e7db9587c5602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00af2211d7c4969d1e7db9587c5602d"/>
                          <pic:cNvPicPr>
                            <a:picLocks noChangeAspect="1"/>
                          </pic:cNvPicPr>
                        </pic:nvPicPr>
                        <pic:blipFill>
                          <a:blip r:embed="rId20"/>
                          <a:srcRect t="25270" r="27661" b="16858"/>
                          <a:stretch>
                            <a:fillRect/>
                          </a:stretch>
                        </pic:blipFill>
                        <pic:spPr>
                          <a:xfrm>
                            <a:off x="0" y="0"/>
                            <a:ext cx="2599055" cy="277368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default" w:cs="Times New Roman"/>
              </w:rPr>
              <w:t>茶店村民房</w:t>
            </w:r>
            <w:r>
              <w:rPr>
                <w:rFonts w:hint="eastAsia" w:cs="Times New Roman"/>
                <w:lang w:val="en-US" w:eastAsia="zh-CN"/>
              </w:rPr>
              <w:t>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eastAsia" w:eastAsia="黑体"/>
                <w:lang w:eastAsia="zh-CN"/>
              </w:rPr>
              <w:drawing>
                <wp:inline distT="0" distB="0" distL="114300" distR="114300">
                  <wp:extent cx="2465070" cy="3049905"/>
                  <wp:effectExtent l="0" t="0" r="11430" b="17145"/>
                  <wp:docPr id="18" name="图片 18" descr="21f3136b690fc8bcea1ea80187d8c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21f3136b690fc8bcea1ea80187d8ccb"/>
                          <pic:cNvPicPr>
                            <a:picLocks noChangeAspect="1"/>
                          </pic:cNvPicPr>
                        </pic:nvPicPr>
                        <pic:blipFill>
                          <a:blip r:embed="rId21"/>
                          <a:srcRect l="50358" t="33219" r="30589" b="35380"/>
                          <a:stretch>
                            <a:fillRect/>
                          </a:stretch>
                        </pic:blipFill>
                        <pic:spPr>
                          <a:xfrm>
                            <a:off x="0" y="0"/>
                            <a:ext cx="2465070" cy="3049905"/>
                          </a:xfrm>
                          <a:prstGeom prst="rect">
                            <a:avLst/>
                          </a:prstGeom>
                        </pic:spPr>
                      </pic:pic>
                    </a:graphicData>
                  </a:graphic>
                </wp:inline>
              </w:drawing>
            </w:r>
          </w:p>
        </w:tc>
        <w:tc>
          <w:tcPr>
            <w:tcW w:w="2500" w:type="pct"/>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eastAsia" w:eastAsia="黑体"/>
                <w:lang w:eastAsia="zh-CN"/>
              </w:rPr>
              <w:drawing>
                <wp:inline distT="0" distB="0" distL="114300" distR="114300">
                  <wp:extent cx="2666365" cy="2954655"/>
                  <wp:effectExtent l="0" t="0" r="635" b="17145"/>
                  <wp:docPr id="19" name="图片 19" descr="9fd50db06fdfbe1268bf5e78b401ca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9fd50db06fdfbe1268bf5e78b401ca9"/>
                          <pic:cNvPicPr>
                            <a:picLocks noChangeAspect="1"/>
                          </pic:cNvPicPr>
                        </pic:nvPicPr>
                        <pic:blipFill>
                          <a:blip r:embed="rId22"/>
                          <a:srcRect l="14941" t="26345" r="15348" b="15727"/>
                          <a:stretch>
                            <a:fillRect/>
                          </a:stretch>
                        </pic:blipFill>
                        <pic:spPr>
                          <a:xfrm>
                            <a:off x="0" y="0"/>
                            <a:ext cx="2666365" cy="295465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default" w:cs="Times New Roman"/>
              </w:rPr>
              <w:t>茶店村民房</w:t>
            </w:r>
            <w:r>
              <w:rPr>
                <w:rFonts w:hint="eastAsia" w:cs="Times New Roman"/>
                <w:lang w:val="en-US" w:eastAsia="zh-CN"/>
              </w:rPr>
              <w:t>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500" w:type="pct"/>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eastAsia" w:eastAsia="黑体"/>
                <w:lang w:eastAsia="zh-CN"/>
              </w:rPr>
              <w:drawing>
                <wp:inline distT="0" distB="0" distL="114300" distR="114300">
                  <wp:extent cx="2466975" cy="2644140"/>
                  <wp:effectExtent l="0" t="0" r="9525" b="3810"/>
                  <wp:docPr id="20" name="图片 20" descr="a05cc7c73253cf24edefba4fb305a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a05cc7c73253cf24edefba4fb305af0"/>
                          <pic:cNvPicPr>
                            <a:picLocks noChangeAspect="1"/>
                          </pic:cNvPicPr>
                        </pic:nvPicPr>
                        <pic:blipFill>
                          <a:blip r:embed="rId23"/>
                          <a:srcRect l="23192" t="28903" r="38641" b="16576"/>
                          <a:stretch>
                            <a:fillRect/>
                          </a:stretch>
                        </pic:blipFill>
                        <pic:spPr>
                          <a:xfrm>
                            <a:off x="0" y="0"/>
                            <a:ext cx="2466975" cy="2644140"/>
                          </a:xfrm>
                          <a:prstGeom prst="rect">
                            <a:avLst/>
                          </a:prstGeom>
                        </pic:spPr>
                      </pic:pic>
                    </a:graphicData>
                  </a:graphic>
                </wp:inline>
              </w:drawing>
            </w:r>
          </w:p>
        </w:tc>
        <w:tc>
          <w:tcPr>
            <w:tcW w:w="2500" w:type="pct"/>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eastAsia" w:eastAsia="黑体"/>
                <w:lang w:eastAsia="zh-CN"/>
              </w:rPr>
              <w:drawing>
                <wp:inline distT="0" distB="0" distL="114300" distR="114300">
                  <wp:extent cx="2178685" cy="2720340"/>
                  <wp:effectExtent l="0" t="0" r="12065" b="3810"/>
                  <wp:docPr id="21" name="图片 21" descr="f348456965ed813bab5cab5693973a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f348456965ed813bab5cab5693973a8"/>
                          <pic:cNvPicPr>
                            <a:picLocks noChangeAspect="1"/>
                          </pic:cNvPicPr>
                        </pic:nvPicPr>
                        <pic:blipFill>
                          <a:blip r:embed="rId24"/>
                          <a:srcRect t="9628" r="8451" b="4643"/>
                          <a:stretch>
                            <a:fillRect/>
                          </a:stretch>
                        </pic:blipFill>
                        <pic:spPr>
                          <a:xfrm>
                            <a:off x="0" y="0"/>
                            <a:ext cx="2178685" cy="2720340"/>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5000" w:type="pct"/>
            <w:gridSpan w:val="2"/>
            <w:tcBorders>
              <w:tl2br w:val="nil"/>
              <w:tr2bl w:val="nil"/>
            </w:tcBorders>
            <w:vAlign w:val="center"/>
          </w:tcPr>
          <w:p>
            <w:pPr>
              <w:pStyle w:val="65"/>
              <w:keepNext w:val="0"/>
              <w:keepLines w:val="0"/>
              <w:suppressLineNumbers w:val="0"/>
              <w:spacing w:before="0" w:beforeAutospacing="0" w:after="0" w:afterAutospacing="0" w:line="240" w:lineRule="auto"/>
              <w:ind w:left="0" w:right="0"/>
              <w:rPr>
                <w:rFonts w:hint="eastAsia" w:eastAsia="黑体"/>
                <w:lang w:eastAsia="zh-CN"/>
              </w:rPr>
            </w:pPr>
            <w:r>
              <w:rPr>
                <w:rFonts w:hint="eastAsia" w:cs="Times New Roman"/>
                <w:lang w:val="en-US" w:eastAsia="zh-CN"/>
              </w:rPr>
              <w:t>新房子</w:t>
            </w:r>
          </w:p>
        </w:tc>
      </w:tr>
    </w:tbl>
    <w:p>
      <w:pPr>
        <w:pStyle w:val="65"/>
      </w:pPr>
      <w:r>
        <w:rPr>
          <w:rFonts w:hint="eastAsia"/>
        </w:rPr>
        <w:t>图3.2-4</w:t>
      </w:r>
      <w:r>
        <w:t xml:space="preserve">  </w:t>
      </w:r>
      <w:r>
        <w:rPr>
          <w:rFonts w:hint="eastAsia"/>
        </w:rPr>
        <w:t>现场张贴公示照片</w:t>
      </w:r>
    </w:p>
    <w:p>
      <w:pPr>
        <w:pStyle w:val="6"/>
        <w:sectPr>
          <w:pgSz w:w="11906" w:h="16838"/>
          <w:pgMar w:top="1440" w:right="1800" w:bottom="1440" w:left="1800" w:header="851" w:footer="992" w:gutter="0"/>
          <w:cols w:space="425" w:num="1"/>
          <w:docGrid w:type="lines" w:linePitch="326" w:charSpace="0"/>
        </w:sectPr>
      </w:pPr>
      <w:bookmarkStart w:id="24" w:name="_Toc29732"/>
    </w:p>
    <w:p>
      <w:pPr>
        <w:pStyle w:val="6"/>
      </w:pPr>
      <w:bookmarkStart w:id="25" w:name="_Toc19942"/>
      <w:r>
        <w:t>3.3 查阅情况</w:t>
      </w:r>
      <w:bookmarkEnd w:id="24"/>
      <w:bookmarkEnd w:id="25"/>
    </w:p>
    <w:p>
      <w:pPr>
        <w:ind w:firstLine="480"/>
        <w:rPr>
          <w:rFonts w:cs="Times New Roman"/>
        </w:rPr>
      </w:pPr>
      <w:r>
        <w:rPr>
          <w:rFonts w:hint="eastAsia" w:cs="Times New Roman"/>
          <w:lang w:val="zh-CN" w:eastAsia="zh-CN"/>
        </w:rPr>
        <w:t>国家管网集团川气东送天然气管道有限公司</w:t>
      </w:r>
      <w:r>
        <w:rPr>
          <w:rFonts w:hint="eastAsia" w:cs="Times New Roman"/>
          <w:lang w:val="zh-CN"/>
        </w:rPr>
        <w:t>档案室和山东海纳环境工程有限公司办公室</w:t>
      </w:r>
      <w:r>
        <w:rPr>
          <w:rFonts w:cs="Times New Roman"/>
        </w:rPr>
        <w:t>为公众提供了《</w:t>
      </w:r>
      <w:r>
        <w:rPr>
          <w:rFonts w:hint="eastAsia" w:cs="Times New Roman"/>
          <w:lang w:val="zh-CN" w:eastAsia="zh-CN"/>
        </w:rPr>
        <w:t>川气东送燕子窝阀室为清溪储气库新增下载点项目</w:t>
      </w:r>
      <w:r>
        <w:rPr>
          <w:rFonts w:hint="eastAsia" w:cs="Times New Roman"/>
          <w:lang w:val="zh-CN"/>
        </w:rPr>
        <w:t>环境影响报告书</w:t>
      </w:r>
      <w:r>
        <w:rPr>
          <w:rFonts w:cs="Times New Roman"/>
        </w:rPr>
        <w:t>》（征求意见稿）纸质版，</w:t>
      </w:r>
      <w:r>
        <w:rPr>
          <w:rFonts w:hint="eastAsia" w:cs="Times New Roman"/>
        </w:rPr>
        <w:t>查阅场所设置在</w:t>
      </w:r>
      <w:r>
        <w:rPr>
          <w:rFonts w:hint="eastAsia" w:cs="Times New Roman"/>
          <w:lang w:val="en-US" w:eastAsia="zh-CN"/>
        </w:rPr>
        <w:t>国家管网集团川气东送天然气管道有限公司</w:t>
      </w:r>
      <w:r>
        <w:rPr>
          <w:rFonts w:hint="eastAsia" w:cs="Times New Roman"/>
        </w:rPr>
        <w:t>办公区</w:t>
      </w:r>
      <w:r>
        <w:rPr>
          <w:rFonts w:cs="Times New Roman"/>
        </w:rPr>
        <w:t>。</w:t>
      </w:r>
    </w:p>
    <w:p>
      <w:pPr>
        <w:ind w:firstLine="480"/>
        <w:rPr>
          <w:rFonts w:cs="Times New Roman"/>
        </w:rPr>
      </w:pPr>
      <w:r>
        <w:rPr>
          <w:rFonts w:cs="Times New Roman"/>
        </w:rPr>
        <w:t>自公开查阅信息至今，没有公众到指定场所查阅《</w:t>
      </w:r>
      <w:r>
        <w:rPr>
          <w:rFonts w:hint="eastAsia" w:cs="Times New Roman"/>
          <w:lang w:val="zh-CN" w:eastAsia="zh-CN"/>
        </w:rPr>
        <w:t>川气东送燕子窝阀室为清溪储气库新增下载点项目</w:t>
      </w:r>
      <w:r>
        <w:rPr>
          <w:rFonts w:hint="eastAsia" w:cs="Times New Roman"/>
          <w:lang w:val="zh-CN"/>
        </w:rPr>
        <w:t>环境影响报告书</w:t>
      </w:r>
      <w:r>
        <w:rPr>
          <w:rFonts w:cs="Times New Roman"/>
        </w:rPr>
        <w:t>》（征求意见稿）纸质版。</w:t>
      </w:r>
    </w:p>
    <w:p>
      <w:pPr>
        <w:pStyle w:val="6"/>
      </w:pPr>
      <w:bookmarkStart w:id="26" w:name="_Toc29164"/>
      <w:bookmarkStart w:id="27" w:name="_Toc10626"/>
      <w:r>
        <w:t>3.4 公众提出意见情况</w:t>
      </w:r>
      <w:bookmarkEnd w:id="26"/>
      <w:bookmarkEnd w:id="27"/>
    </w:p>
    <w:p>
      <w:pPr>
        <w:ind w:firstLine="480"/>
        <w:rPr>
          <w:rFonts w:cs="Times New Roman"/>
        </w:rPr>
      </w:pPr>
      <w:r>
        <w:rPr>
          <w:rFonts w:cs="Times New Roman"/>
        </w:rPr>
        <w:t>在环境影响评价信息</w:t>
      </w:r>
      <w:r>
        <w:rPr>
          <w:rFonts w:hint="eastAsia" w:cs="Times New Roman"/>
        </w:rPr>
        <w:t>公示</w:t>
      </w:r>
      <w:r>
        <w:rPr>
          <w:rFonts w:cs="Times New Roman"/>
        </w:rPr>
        <w:t>期间，未收到公众意见。</w:t>
      </w:r>
    </w:p>
    <w:bookmarkEnd w:id="15"/>
    <w:p>
      <w:pPr>
        <w:widowControl/>
        <w:spacing w:line="240" w:lineRule="auto"/>
        <w:ind w:firstLine="0" w:firstLineChars="0"/>
        <w:jc w:val="left"/>
        <w:rPr>
          <w:rFonts w:eastAsia="黑体" w:cs="Times New Roman"/>
          <w:b/>
          <w:bCs/>
          <w:kern w:val="44"/>
          <w:sz w:val="32"/>
          <w:szCs w:val="44"/>
        </w:rPr>
      </w:pPr>
      <w:r>
        <w:rPr>
          <w:rFonts w:cs="Times New Roman"/>
        </w:rPr>
        <w:br w:type="page"/>
      </w:r>
    </w:p>
    <w:p>
      <w:pPr>
        <w:pStyle w:val="5"/>
        <w:rPr>
          <w:rFonts w:cs="Times New Roman"/>
        </w:rPr>
      </w:pPr>
      <w:bookmarkStart w:id="28" w:name="_Toc16485"/>
      <w:r>
        <w:rPr>
          <w:rFonts w:cs="Times New Roman"/>
        </w:rPr>
        <w:t>4 其他公众参与情况</w:t>
      </w:r>
      <w:bookmarkEnd w:id="28"/>
    </w:p>
    <w:p>
      <w:pPr>
        <w:ind w:firstLine="480"/>
        <w:rPr>
          <w:rFonts w:cs="Times New Roman"/>
        </w:rPr>
      </w:pPr>
      <w:r>
        <w:rPr>
          <w:rFonts w:cs="Times New Roman"/>
        </w:rPr>
        <w:t>根据《环境影响评价公众参与办法》第十四条规定，“对环境影响方面公众质疑性意见多的建设项目，建设单位应当按照下列方式组织开展深度公众参与”，本项目在公示期间均未收到公众对于本项目环境影响方面的质疑，因此未开展深度公众参与工作。</w:t>
      </w:r>
    </w:p>
    <w:p>
      <w:pPr>
        <w:ind w:firstLine="0" w:firstLineChars="0"/>
        <w:outlineLvl w:val="0"/>
        <w:rPr>
          <w:rFonts w:cs="Times New Roman"/>
        </w:rPr>
      </w:pPr>
      <w:bookmarkStart w:id="29" w:name="_Toc2764"/>
      <w:r>
        <w:rPr>
          <w:rFonts w:hint="eastAsia" w:eastAsia="黑体" w:cs="Times New Roman"/>
          <w:b/>
          <w:bCs/>
          <w:color w:val="000000"/>
          <w:kern w:val="44"/>
          <w:sz w:val="32"/>
          <w:szCs w:val="44"/>
        </w:rPr>
        <w:t>5 公众意见处理情况</w:t>
      </w:r>
      <w:bookmarkEnd w:id="29"/>
    </w:p>
    <w:p>
      <w:pPr>
        <w:ind w:firstLine="480"/>
        <w:rPr>
          <w:rFonts w:cs="Times New Roman"/>
        </w:rPr>
        <w:sectPr>
          <w:pgSz w:w="11906" w:h="16838"/>
          <w:pgMar w:top="1440" w:right="1800" w:bottom="1440" w:left="1800" w:header="851" w:footer="992" w:gutter="0"/>
          <w:cols w:space="425" w:num="1"/>
          <w:docGrid w:type="lines" w:linePitch="326" w:charSpace="0"/>
        </w:sectPr>
      </w:pPr>
      <w:r>
        <w:rPr>
          <w:rFonts w:cs="Times New Roman"/>
        </w:rPr>
        <w:t>本项目在公示期间未收到公众反馈意见。</w:t>
      </w:r>
    </w:p>
    <w:p>
      <w:pPr>
        <w:ind w:firstLine="0" w:firstLineChars="0"/>
        <w:outlineLvl w:val="0"/>
        <w:rPr>
          <w:rFonts w:eastAsia="黑体" w:cs="Times New Roman"/>
          <w:b/>
          <w:bCs/>
          <w:color w:val="000000"/>
          <w:kern w:val="44"/>
          <w:sz w:val="32"/>
          <w:szCs w:val="44"/>
        </w:rPr>
      </w:pPr>
      <w:bookmarkStart w:id="30" w:name="_Toc6614"/>
      <w:r>
        <w:rPr>
          <w:rFonts w:hint="eastAsia" w:eastAsia="黑体" w:cs="Times New Roman"/>
          <w:b/>
          <w:bCs/>
          <w:color w:val="000000"/>
          <w:kern w:val="44"/>
          <w:sz w:val="32"/>
          <w:szCs w:val="44"/>
        </w:rPr>
        <w:t>6 报批前公开情况</w:t>
      </w:r>
      <w:bookmarkEnd w:id="30"/>
    </w:p>
    <w:p>
      <w:pPr>
        <w:pStyle w:val="16"/>
        <w:keepNext w:val="0"/>
        <w:keepLines w:val="0"/>
        <w:pageBreakBefore w:val="0"/>
        <w:widowControl/>
        <w:kinsoku/>
        <w:wordWrap w:val="0"/>
        <w:overflowPunct/>
        <w:topLinePunct w:val="0"/>
        <w:autoSpaceDE/>
        <w:autoSpaceDN/>
        <w:bidi w:val="0"/>
        <w:adjustRightInd/>
        <w:snapToGrid/>
        <w:spacing w:before="0" w:beforeAutospacing="0" w:after="0" w:afterAutospacing="0" w:line="360" w:lineRule="auto"/>
        <w:ind w:firstLine="480" w:firstLineChars="200"/>
        <w:jc w:val="both"/>
        <w:textAlignment w:val="auto"/>
        <w:rPr>
          <w:rFonts w:ascii="Times New Roman" w:hAnsi="Times New Roman"/>
          <w:highlight w:val="none"/>
        </w:rPr>
      </w:pPr>
      <w:bookmarkStart w:id="31" w:name="_Toc11551"/>
      <w:r>
        <w:rPr>
          <w:rFonts w:hint="eastAsia" w:ascii="Times New Roman" w:hAnsi="Times New Roman"/>
        </w:rPr>
        <w:t>按照《环境影响评价公众参与办法》（生态环境部〔2018〕4号文件）有关要求，</w:t>
      </w:r>
      <w:r>
        <w:rPr>
          <w:rFonts w:hint="eastAsia" w:ascii="Times New Roman" w:hAnsi="Times New Roman"/>
          <w:lang w:val="en-US" w:eastAsia="zh-CN"/>
        </w:rPr>
        <w:t>国家管网集团川气东送天然气管道有限公司</w:t>
      </w:r>
      <w:r>
        <w:rPr>
          <w:rFonts w:hint="eastAsia" w:ascii="Times New Roman" w:hAnsi="Times New Roman"/>
        </w:rPr>
        <w:t>在</w:t>
      </w:r>
      <w:r>
        <w:rPr>
          <w:rFonts w:ascii="Times New Roman" w:hAnsi="Times New Roman" w:cs="Times New Roman"/>
          <w:kern w:val="2"/>
          <w:sz w:val="24"/>
          <w:szCs w:val="24"/>
          <w:lang w:val="en-US" w:bidi="ar-SA"/>
        </w:rPr>
        <w:t>达州市</w:t>
      </w:r>
      <w:r>
        <w:rPr>
          <w:rFonts w:ascii="Times New Roman" w:hAnsi="Times New Roman" w:cs="Times New Roman"/>
          <w:kern w:val="2"/>
          <w:sz w:val="24"/>
          <w:szCs w:val="24"/>
          <w:highlight w:val="none"/>
          <w:lang w:val="en-US" w:bidi="ar-SA"/>
        </w:rPr>
        <w:t>凤凰山下</w:t>
      </w:r>
      <w:r>
        <w:rPr>
          <w:rFonts w:hint="eastAsia" w:ascii="Times New Roman" w:hAnsi="Times New Roman"/>
          <w:highlight w:val="none"/>
        </w:rPr>
        <w:t>网站对拟报批的环境影响报告书全文和公众参与说明进行了公示（网址为https://www.dz19.net/forum.php?mod=viewthread&amp;tid=2139206&amp;highlight=%D1%E0%D7%D3%CE%D1）。</w:t>
      </w:r>
    </w:p>
    <w:p>
      <w:pPr>
        <w:pStyle w:val="16"/>
        <w:widowControl/>
        <w:spacing w:before="0" w:beforeAutospacing="0" w:after="0" w:afterAutospacing="0"/>
        <w:jc w:val="center"/>
        <w:rPr>
          <w:rFonts w:ascii="Times New Roman" w:hAnsi="Times New Roman"/>
        </w:rPr>
      </w:pPr>
      <w:r>
        <w:drawing>
          <wp:inline distT="0" distB="0" distL="114300" distR="114300">
            <wp:extent cx="5273675" cy="4542790"/>
            <wp:effectExtent l="0" t="0" r="3175" b="1016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5"/>
                    <a:stretch>
                      <a:fillRect/>
                    </a:stretch>
                  </pic:blipFill>
                  <pic:spPr>
                    <a:xfrm>
                      <a:off x="0" y="0"/>
                      <a:ext cx="5273675" cy="4542790"/>
                    </a:xfrm>
                    <a:prstGeom prst="rect">
                      <a:avLst/>
                    </a:prstGeom>
                    <a:noFill/>
                    <a:ln>
                      <a:noFill/>
                    </a:ln>
                  </pic:spPr>
                </pic:pic>
              </a:graphicData>
            </a:graphic>
          </wp:inline>
        </w:drawing>
      </w:r>
    </w:p>
    <w:bookmarkEnd w:id="31"/>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jc w:val="both"/>
        <w:textAlignment w:val="auto"/>
        <w:outlineLvl w:val="9"/>
        <w:rPr>
          <w:rFonts w:ascii="Times New Roman" w:hAnsi="Times New Roman" w:eastAsia="黑体"/>
          <w:kern w:val="2"/>
          <w:sz w:val="22"/>
          <w:szCs w:val="22"/>
        </w:rPr>
      </w:pPr>
      <w:r>
        <w:drawing>
          <wp:inline distT="0" distB="0" distL="114300" distR="114300">
            <wp:extent cx="5267325" cy="1785620"/>
            <wp:effectExtent l="0" t="0" r="9525" b="508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26"/>
                    <a:stretch>
                      <a:fillRect/>
                    </a:stretch>
                  </pic:blipFill>
                  <pic:spPr>
                    <a:xfrm>
                      <a:off x="0" y="0"/>
                      <a:ext cx="5267325" cy="1785620"/>
                    </a:xfrm>
                    <a:prstGeom prst="rect">
                      <a:avLst/>
                    </a:prstGeom>
                    <a:noFill/>
                    <a:ln>
                      <a:noFill/>
                    </a:ln>
                  </pic:spPr>
                </pic:pic>
              </a:graphicData>
            </a:graphic>
          </wp:inline>
        </w:drawing>
      </w:r>
    </w:p>
    <w:p>
      <w:pPr>
        <w:pStyle w:val="16"/>
        <w:keepNext w:val="0"/>
        <w:keepLines w:val="0"/>
        <w:pageBreakBefore w:val="0"/>
        <w:widowControl/>
        <w:kinsoku/>
        <w:wordWrap/>
        <w:overflowPunct/>
        <w:topLinePunct w:val="0"/>
        <w:autoSpaceDE/>
        <w:autoSpaceDN/>
        <w:bidi w:val="0"/>
        <w:adjustRightInd/>
        <w:snapToGrid/>
        <w:spacing w:before="0" w:beforeAutospacing="0" w:after="0" w:afterAutospacing="0" w:line="360" w:lineRule="auto"/>
        <w:ind w:firstLine="440" w:firstLineChars="200"/>
        <w:jc w:val="center"/>
        <w:textAlignment w:val="auto"/>
        <w:outlineLvl w:val="9"/>
        <w:rPr>
          <w:rFonts w:ascii="Times New Roman" w:hAnsi="Times New Roman" w:eastAsia="黑体"/>
          <w:kern w:val="2"/>
          <w:sz w:val="22"/>
          <w:szCs w:val="22"/>
        </w:rPr>
        <w:sectPr>
          <w:pgSz w:w="11906" w:h="16838"/>
          <w:pgMar w:top="1440" w:right="1800" w:bottom="1440" w:left="1800" w:header="851" w:footer="992" w:gutter="0"/>
          <w:cols w:space="425" w:num="1"/>
          <w:docGrid w:type="lines" w:linePitch="326" w:charSpace="0"/>
        </w:sectPr>
      </w:pPr>
      <w:r>
        <w:rPr>
          <w:rFonts w:ascii="Times New Roman" w:hAnsi="Times New Roman" w:eastAsia="黑体"/>
          <w:kern w:val="2"/>
          <w:sz w:val="22"/>
          <w:szCs w:val="22"/>
        </w:rPr>
        <w:t>图6.1.1  报批前公示</w:t>
      </w:r>
    </w:p>
    <w:p>
      <w:pPr>
        <w:pStyle w:val="16"/>
        <w:widowControl/>
        <w:spacing w:before="0" w:beforeAutospacing="0" w:after="0" w:afterAutospacing="0" w:line="360" w:lineRule="auto"/>
        <w:outlineLvl w:val="0"/>
      </w:pPr>
      <w:bookmarkStart w:id="32" w:name="_Toc4010"/>
      <w:r>
        <w:rPr>
          <w:rFonts w:hint="eastAsia" w:ascii="Times New Roman" w:hAnsi="Times New Roman" w:eastAsia="黑体"/>
          <w:b/>
          <w:bCs/>
          <w:color w:val="000000"/>
          <w:kern w:val="44"/>
          <w:sz w:val="32"/>
          <w:szCs w:val="44"/>
        </w:rPr>
        <w:t>7 其他</w:t>
      </w:r>
      <w:bookmarkEnd w:id="32"/>
    </w:p>
    <w:p>
      <w:pPr>
        <w:ind w:firstLine="480"/>
        <w:rPr>
          <w:rFonts w:cs="Times New Roman"/>
        </w:rPr>
      </w:pPr>
      <w:r>
        <w:rPr>
          <w:rFonts w:cs="Times New Roman"/>
        </w:rPr>
        <w:t>企业在环评公示期间的全部内容进行了存档备案，可供环保部门和公众查阅。</w:t>
      </w:r>
    </w:p>
    <w:p>
      <w:pPr>
        <w:ind w:firstLine="480"/>
        <w:rPr>
          <w:rFonts w:cs="Times New Roman"/>
        </w:rPr>
      </w:pPr>
      <w:r>
        <w:rPr>
          <w:rFonts w:cs="Times New Roman"/>
        </w:rPr>
        <w:t>联系人：</w:t>
      </w:r>
      <w:r>
        <w:rPr>
          <w:rFonts w:hint="eastAsia" w:ascii="Times New Roman" w:hAnsi="Times New Roman" w:eastAsia="宋体" w:cs="Times New Roman"/>
          <w:sz w:val="24"/>
          <w:highlight w:val="none"/>
          <w:lang w:val="en-US" w:eastAsia="zh-CN"/>
        </w:rPr>
        <w:t>彭竞飞</w:t>
      </w:r>
    </w:p>
    <w:p>
      <w:pPr>
        <w:ind w:firstLine="480"/>
        <w:rPr>
          <w:rFonts w:cs="Times New Roman"/>
        </w:rPr>
      </w:pPr>
      <w:r>
        <w:rPr>
          <w:rFonts w:cs="Times New Roman"/>
        </w:rPr>
        <w:t>地址：</w:t>
      </w:r>
      <w:r>
        <w:rPr>
          <w:rFonts w:hint="eastAsia" w:cs="Times New Roman"/>
          <w:lang w:val="zh-CN" w:eastAsia="zh-CN"/>
        </w:rPr>
        <w:t>国家管网集团川气东送天然气管道有限公司</w:t>
      </w:r>
    </w:p>
    <w:p>
      <w:pPr>
        <w:ind w:firstLine="480"/>
        <w:rPr>
          <w:rFonts w:cs="Times New Roman"/>
        </w:rPr>
      </w:pPr>
      <w:r>
        <w:rPr>
          <w:rFonts w:cs="Times New Roman"/>
        </w:rPr>
        <w:t>联系电话：</w:t>
      </w:r>
      <w:r>
        <w:rPr>
          <w:rFonts w:hint="eastAsia" w:ascii="Times New Roman" w:hAnsi="Times New Roman" w:eastAsia="宋体" w:cs="Times New Roman"/>
          <w:sz w:val="24"/>
          <w:highlight w:val="none"/>
          <w:lang w:val="en-US" w:eastAsia="zh-CN"/>
        </w:rPr>
        <w:t>18627065127</w:t>
      </w:r>
    </w:p>
    <w:p>
      <w:pPr>
        <w:ind w:firstLine="480"/>
        <w:rPr>
          <w:rFonts w:cs="Times New Roman"/>
        </w:rPr>
      </w:pPr>
      <w:r>
        <w:rPr>
          <w:rFonts w:cs="Times New Roman"/>
        </w:rPr>
        <w:t>邮箱：</w:t>
      </w:r>
      <w:r>
        <w:rPr>
          <w:rFonts w:hint="eastAsia" w:ascii="Times New Roman" w:hAnsi="Times New Roman" w:eastAsia="宋体" w:cs="Times New Roman"/>
          <w:color w:val="auto"/>
          <w:sz w:val="24"/>
          <w:highlight w:val="none"/>
        </w:rPr>
        <w:t>pjf88422@qq.com</w:t>
      </w:r>
    </w:p>
    <w:p>
      <w:pPr>
        <w:keepNext w:val="0"/>
        <w:keepLines w:val="0"/>
        <w:pageBreakBefore w:val="0"/>
        <w:widowControl/>
        <w:kinsoku/>
        <w:wordWrap/>
        <w:overflowPunct/>
        <w:topLinePunct w:val="0"/>
        <w:autoSpaceDE/>
        <w:autoSpaceDN/>
        <w:bidi w:val="0"/>
        <w:adjustRightInd/>
        <w:snapToGrid/>
        <w:ind w:firstLine="0" w:firstLineChars="0"/>
        <w:jc w:val="center"/>
        <w:textAlignment w:val="auto"/>
        <w:outlineLvl w:val="0"/>
        <w:rPr>
          <w:rFonts w:hint="eastAsia" w:eastAsia="宋体" w:cs="Times New Roman"/>
          <w:lang w:eastAsia="zh-CN"/>
        </w:rPr>
        <w:sectPr>
          <w:pgSz w:w="11906" w:h="16838"/>
          <w:pgMar w:top="1440" w:right="1800" w:bottom="1440" w:left="1800" w:header="851" w:footer="992" w:gutter="0"/>
          <w:cols w:space="425" w:num="1"/>
          <w:docGrid w:type="lines" w:linePitch="326" w:charSpace="0"/>
        </w:sectPr>
      </w:pPr>
    </w:p>
    <w:p>
      <w:pPr>
        <w:pStyle w:val="2"/>
        <w:ind w:left="0" w:leftChars="0" w:firstLine="0" w:firstLineChars="0"/>
        <w:rPr>
          <w:rFonts w:hint="eastAsia"/>
          <w:highlight w:val="none"/>
          <w:lang w:eastAsia="zh-CN"/>
        </w:rPr>
      </w:pPr>
      <w:bookmarkStart w:id="33" w:name="_GoBack"/>
      <w:bookmarkEnd w:id="33"/>
      <w:r>
        <w:rPr>
          <w:rFonts w:hint="eastAsia"/>
          <w:lang w:eastAsia="zh-CN"/>
        </w:rPr>
        <w:drawing>
          <wp:inline distT="0" distB="0" distL="114300" distR="114300">
            <wp:extent cx="5272405" cy="6293485"/>
            <wp:effectExtent l="0" t="0" r="4445" b="12065"/>
            <wp:docPr id="12" name="图片 12" descr="诚心承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诚心承诺"/>
                    <pic:cNvPicPr>
                      <a:picLocks noChangeAspect="1"/>
                    </pic:cNvPicPr>
                  </pic:nvPicPr>
                  <pic:blipFill>
                    <a:blip r:embed="rId27"/>
                    <a:stretch>
                      <a:fillRect/>
                    </a:stretch>
                  </pic:blipFill>
                  <pic:spPr>
                    <a:xfrm>
                      <a:off x="0" y="0"/>
                      <a:ext cx="5272405" cy="6293485"/>
                    </a:xfrm>
                    <a:prstGeom prst="rect">
                      <a:avLst/>
                    </a:prstGeom>
                  </pic:spPr>
                </pic:pic>
              </a:graphicData>
            </a:graphic>
          </wp:inline>
        </w:drawing>
      </w:r>
    </w:p>
    <w:sectPr>
      <w:pgSz w:w="11906" w:h="16838"/>
      <w:pgMar w:top="1440" w:right="1800" w:bottom="1440" w:left="1800" w:header="851" w:footer="992" w:gutter="0"/>
      <w:cols w:space="425" w:num="1"/>
      <w:docGrid w:type="lines" w:linePitch="326"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BankGothic Lt BT">
    <w:altName w:val="Segoe Print"/>
    <w:panose1 w:val="00000000000000000000"/>
    <w:charset w:val="00"/>
    <w:family w:val="swiss"/>
    <w:pitch w:val="default"/>
    <w:sig w:usb0="00000000" w:usb1="00000000" w:usb2="00000000" w:usb3="00000000" w:csb0="0000001B"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left w:val="none" w:color="auto" w:sz="0" w:space="4"/>
        <w:bottom w:val="none" w:color="auto" w:sz="0" w:space="1"/>
        <w:right w:val="none" w:color="auto" w:sz="0" w:space="4"/>
      </w:pBdr>
      <w:ind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Bdr>
        <w:top w:val="single" w:color="auto" w:sz="4" w:space="1"/>
        <w:left w:val="none" w:color="auto" w:sz="0" w:space="4"/>
        <w:bottom w:val="none" w:color="auto" w:sz="0" w:space="1"/>
        <w:right w:val="none" w:color="auto" w:sz="0" w:space="4"/>
      </w:pBdr>
      <w:ind w:firstLine="0" w:firstLineChars="0"/>
      <w:jc w:val="center"/>
    </w:pPr>
    <w:r>
      <mc:AlternateContent>
        <mc:Choice Requires="wps">
          <w:drawing>
            <wp:inline distT="0" distB="0" distL="0" distR="0">
              <wp:extent cx="437515" cy="1828800"/>
              <wp:effectExtent l="0" t="0" r="635" b="14605"/>
              <wp:docPr id="55" name="文本框 55"/>
              <wp:cNvGraphicFramePr/>
              <a:graphic xmlns:a="http://schemas.openxmlformats.org/drawingml/2006/main">
                <a:graphicData uri="http://schemas.microsoft.com/office/word/2010/wordprocessingShape">
                  <wps:wsp>
                    <wps:cNvSpPr txBox="1"/>
                    <wps:spPr>
                      <a:xfrm>
                        <a:off x="0" y="0"/>
                        <a:ext cx="437698"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ind w:firstLine="36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inline>
          </w:drawing>
        </mc:Choice>
        <mc:Fallback>
          <w:pict>
            <v:shape id="_x0000_s1026" o:spid="_x0000_s1026" o:spt="202" type="#_x0000_t202" style="height:144pt;width:34.45pt;" filled="f" stroked="f" coordsize="21600,21600" o:gfxdata="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7JgR3tMAAAAEAQAADwAAAAAAAAABACAAAAAiAAAAZHJzL2Rvd25yZXYueG1s&#10;UEsBAhQAFAAAAAgAh07iQHp2x6U2AgAAWAQAAA4AAAAAAAAAAQAgAAAAIgEAAGRycy9lMm9Eb2Mu&#10;eG1sUEsFBgAAAAAGAAYAWQEAAMoFAAAAAA==&#10;">
              <v:fill on="f" focussize="0,0"/>
              <v:stroke on="f" weight="0.5pt"/>
              <v:imagedata o:title=""/>
              <o:lock v:ext="edit" aspectratio="f"/>
              <v:textbox inset="0mm,0mm,0mm,0mm" style="mso-fit-shape-to-text:t;">
                <w:txbxContent>
                  <w:p>
                    <w:pPr>
                      <w:pStyle w:val="12"/>
                      <w:ind w:firstLine="360"/>
                    </w:pPr>
                    <w:r>
                      <w:fldChar w:fldCharType="begin"/>
                    </w:r>
                    <w:r>
                      <w:instrText xml:space="preserve"> PAGE  \* MERGEFORMAT </w:instrText>
                    </w:r>
                    <w:r>
                      <w:fldChar w:fldCharType="separate"/>
                    </w:r>
                    <w:r>
                      <w:t>1</w:t>
                    </w:r>
                    <w:r>
                      <w:fldChar w:fldCharType="end"/>
                    </w:r>
                  </w:p>
                </w:txbxContent>
              </v:textbox>
              <w10:wrap type="none"/>
              <w10:anchorlock/>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left="360" w:firstLine="0" w:firstLineChars="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spacing w:line="240" w:lineRule="exact"/>
      <w:ind w:firstLine="0" w:firstLineChars="0"/>
      <w:jc w:val="right"/>
      <w:rPr>
        <w:rFonts w:eastAsia="楷体" w:cs="Times New Roman"/>
        <w:sz w:val="16"/>
      </w:rPr>
    </w:pPr>
    <w:r>
      <w:rPr>
        <w:rFonts w:hint="eastAsia" w:eastAsia="楷体" w:cs="Times New Roman"/>
        <w:sz w:val="20"/>
        <w:szCs w:val="21"/>
        <w:lang w:val="en-US" w:eastAsia="zh-CN"/>
      </w:rPr>
      <w:t>川气东送燕子窝阀室为清溪储气库新增下载点项目</w:t>
    </w:r>
    <w:r>
      <w:rPr>
        <w:rFonts w:eastAsia="楷体" w:cs="Times New Roman"/>
        <w:sz w:val="20"/>
        <w:szCs w:val="21"/>
      </w:rPr>
      <w:t>环境影响评价公众参与说明</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DDD11AD1"/>
    <w:multiLevelType w:val="singleLevel"/>
    <w:tmpl w:val="DDD11AD1"/>
    <w:lvl w:ilvl="0" w:tentative="0">
      <w:start w:val="1"/>
      <w:numFmt w:val="bullet"/>
      <w:pStyle w:val="4"/>
      <w:lvlText w:val=""/>
      <w:lvlJc w:val="left"/>
      <w:pPr>
        <w:tabs>
          <w:tab w:val="left" w:pos="2040"/>
        </w:tabs>
        <w:ind w:left="204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mQyZGE3NjcwNTFiYWFkZDhmYmEzOTU3MTM3Nzg3Y2QifQ=="/>
  </w:docVars>
  <w:rsids>
    <w:rsidRoot w:val="00D1439E"/>
    <w:rsid w:val="000054E9"/>
    <w:rsid w:val="00027A4D"/>
    <w:rsid w:val="0003176C"/>
    <w:rsid w:val="00031DDF"/>
    <w:rsid w:val="00047EF8"/>
    <w:rsid w:val="00061213"/>
    <w:rsid w:val="00074FA1"/>
    <w:rsid w:val="00075F14"/>
    <w:rsid w:val="000A69CF"/>
    <w:rsid w:val="000B30B8"/>
    <w:rsid w:val="000B4423"/>
    <w:rsid w:val="000B77BA"/>
    <w:rsid w:val="000D1568"/>
    <w:rsid w:val="000E07E2"/>
    <w:rsid w:val="000E3166"/>
    <w:rsid w:val="000E3E3B"/>
    <w:rsid w:val="000E7B45"/>
    <w:rsid w:val="000F056C"/>
    <w:rsid w:val="000F2077"/>
    <w:rsid w:val="000F5354"/>
    <w:rsid w:val="00102321"/>
    <w:rsid w:val="001162C7"/>
    <w:rsid w:val="00124B1B"/>
    <w:rsid w:val="00124E55"/>
    <w:rsid w:val="00140514"/>
    <w:rsid w:val="00146442"/>
    <w:rsid w:val="00147499"/>
    <w:rsid w:val="00156B78"/>
    <w:rsid w:val="001640F9"/>
    <w:rsid w:val="00172716"/>
    <w:rsid w:val="0017706E"/>
    <w:rsid w:val="001A0896"/>
    <w:rsid w:val="001B0350"/>
    <w:rsid w:val="001B5603"/>
    <w:rsid w:val="001B621C"/>
    <w:rsid w:val="001C3F63"/>
    <w:rsid w:val="001C52E9"/>
    <w:rsid w:val="001C75F9"/>
    <w:rsid w:val="001D601D"/>
    <w:rsid w:val="001D6BC5"/>
    <w:rsid w:val="001F0622"/>
    <w:rsid w:val="001F3ECA"/>
    <w:rsid w:val="001F639F"/>
    <w:rsid w:val="00205E5B"/>
    <w:rsid w:val="00210029"/>
    <w:rsid w:val="0023457F"/>
    <w:rsid w:val="00247C59"/>
    <w:rsid w:val="002558F9"/>
    <w:rsid w:val="00255A5E"/>
    <w:rsid w:val="00262289"/>
    <w:rsid w:val="002622BA"/>
    <w:rsid w:val="00262D31"/>
    <w:rsid w:val="00262E65"/>
    <w:rsid w:val="00265546"/>
    <w:rsid w:val="0027006A"/>
    <w:rsid w:val="0027223A"/>
    <w:rsid w:val="002723B0"/>
    <w:rsid w:val="00273A21"/>
    <w:rsid w:val="00276741"/>
    <w:rsid w:val="00280AAE"/>
    <w:rsid w:val="0028110C"/>
    <w:rsid w:val="0028353E"/>
    <w:rsid w:val="00284975"/>
    <w:rsid w:val="00290AE7"/>
    <w:rsid w:val="002926B7"/>
    <w:rsid w:val="002A6484"/>
    <w:rsid w:val="002B6935"/>
    <w:rsid w:val="002B7302"/>
    <w:rsid w:val="002C53AE"/>
    <w:rsid w:val="002C7763"/>
    <w:rsid w:val="002D6AC1"/>
    <w:rsid w:val="002E135B"/>
    <w:rsid w:val="002E3742"/>
    <w:rsid w:val="002F223C"/>
    <w:rsid w:val="002F44E4"/>
    <w:rsid w:val="002F5BDE"/>
    <w:rsid w:val="00330A25"/>
    <w:rsid w:val="00332F08"/>
    <w:rsid w:val="00342C51"/>
    <w:rsid w:val="00347E12"/>
    <w:rsid w:val="00350A57"/>
    <w:rsid w:val="00351612"/>
    <w:rsid w:val="00352570"/>
    <w:rsid w:val="0035294C"/>
    <w:rsid w:val="00370CBB"/>
    <w:rsid w:val="0037226A"/>
    <w:rsid w:val="00376C5B"/>
    <w:rsid w:val="00381034"/>
    <w:rsid w:val="00390F97"/>
    <w:rsid w:val="003A312C"/>
    <w:rsid w:val="003C1696"/>
    <w:rsid w:val="003D2E00"/>
    <w:rsid w:val="003D6794"/>
    <w:rsid w:val="003D7A81"/>
    <w:rsid w:val="003F2695"/>
    <w:rsid w:val="00423367"/>
    <w:rsid w:val="0043231E"/>
    <w:rsid w:val="00440664"/>
    <w:rsid w:val="00440781"/>
    <w:rsid w:val="004556E7"/>
    <w:rsid w:val="004652BF"/>
    <w:rsid w:val="004A0CED"/>
    <w:rsid w:val="004D6BC1"/>
    <w:rsid w:val="004D74B6"/>
    <w:rsid w:val="004D7F0F"/>
    <w:rsid w:val="004E3AE7"/>
    <w:rsid w:val="004E65C0"/>
    <w:rsid w:val="004F2331"/>
    <w:rsid w:val="004F6E0C"/>
    <w:rsid w:val="005071FA"/>
    <w:rsid w:val="00512306"/>
    <w:rsid w:val="00515071"/>
    <w:rsid w:val="00520FAB"/>
    <w:rsid w:val="00525D83"/>
    <w:rsid w:val="00532D9E"/>
    <w:rsid w:val="00534B4B"/>
    <w:rsid w:val="005370FA"/>
    <w:rsid w:val="0054226D"/>
    <w:rsid w:val="00550AEB"/>
    <w:rsid w:val="005827EB"/>
    <w:rsid w:val="00586167"/>
    <w:rsid w:val="00594993"/>
    <w:rsid w:val="005A1B1C"/>
    <w:rsid w:val="005A4EE3"/>
    <w:rsid w:val="005A6C87"/>
    <w:rsid w:val="005C4C15"/>
    <w:rsid w:val="005E7E93"/>
    <w:rsid w:val="006027BE"/>
    <w:rsid w:val="00611D89"/>
    <w:rsid w:val="006130E8"/>
    <w:rsid w:val="006362F2"/>
    <w:rsid w:val="00647E81"/>
    <w:rsid w:val="006615D8"/>
    <w:rsid w:val="006752DE"/>
    <w:rsid w:val="00676C20"/>
    <w:rsid w:val="00680B32"/>
    <w:rsid w:val="00690972"/>
    <w:rsid w:val="00691234"/>
    <w:rsid w:val="00695918"/>
    <w:rsid w:val="006A3197"/>
    <w:rsid w:val="006B65FA"/>
    <w:rsid w:val="006D228F"/>
    <w:rsid w:val="006D4AC0"/>
    <w:rsid w:val="006F15BF"/>
    <w:rsid w:val="0070518F"/>
    <w:rsid w:val="00730C10"/>
    <w:rsid w:val="00750DC4"/>
    <w:rsid w:val="00751D35"/>
    <w:rsid w:val="00780154"/>
    <w:rsid w:val="00783D5F"/>
    <w:rsid w:val="007A2C8F"/>
    <w:rsid w:val="007B322C"/>
    <w:rsid w:val="007B3DE9"/>
    <w:rsid w:val="007B50E0"/>
    <w:rsid w:val="007C15C4"/>
    <w:rsid w:val="007C3ED7"/>
    <w:rsid w:val="007C69FA"/>
    <w:rsid w:val="007D2600"/>
    <w:rsid w:val="007E317A"/>
    <w:rsid w:val="007F4388"/>
    <w:rsid w:val="00801A74"/>
    <w:rsid w:val="00816ECF"/>
    <w:rsid w:val="008238C7"/>
    <w:rsid w:val="00826AEB"/>
    <w:rsid w:val="00834A17"/>
    <w:rsid w:val="00836062"/>
    <w:rsid w:val="00842514"/>
    <w:rsid w:val="008449AC"/>
    <w:rsid w:val="0084559D"/>
    <w:rsid w:val="00853B32"/>
    <w:rsid w:val="00853C30"/>
    <w:rsid w:val="00856F3A"/>
    <w:rsid w:val="00863C95"/>
    <w:rsid w:val="00873C17"/>
    <w:rsid w:val="00885609"/>
    <w:rsid w:val="00893B82"/>
    <w:rsid w:val="008964C5"/>
    <w:rsid w:val="008A2CC5"/>
    <w:rsid w:val="008A313C"/>
    <w:rsid w:val="008B0E66"/>
    <w:rsid w:val="008B3F4D"/>
    <w:rsid w:val="008B5889"/>
    <w:rsid w:val="008E002C"/>
    <w:rsid w:val="008E0891"/>
    <w:rsid w:val="008E3088"/>
    <w:rsid w:val="008F1247"/>
    <w:rsid w:val="00903D76"/>
    <w:rsid w:val="00903EA6"/>
    <w:rsid w:val="009137E4"/>
    <w:rsid w:val="00917E2B"/>
    <w:rsid w:val="00932EF1"/>
    <w:rsid w:val="0093512C"/>
    <w:rsid w:val="00937B63"/>
    <w:rsid w:val="00946E6C"/>
    <w:rsid w:val="00946FDE"/>
    <w:rsid w:val="00947425"/>
    <w:rsid w:val="009474A0"/>
    <w:rsid w:val="00952BF3"/>
    <w:rsid w:val="00952C10"/>
    <w:rsid w:val="00955ACC"/>
    <w:rsid w:val="00955B4C"/>
    <w:rsid w:val="00965298"/>
    <w:rsid w:val="009712FD"/>
    <w:rsid w:val="00972460"/>
    <w:rsid w:val="00991D93"/>
    <w:rsid w:val="009A3722"/>
    <w:rsid w:val="009A50EF"/>
    <w:rsid w:val="009B7C7E"/>
    <w:rsid w:val="009B7CC3"/>
    <w:rsid w:val="009D313C"/>
    <w:rsid w:val="009D6532"/>
    <w:rsid w:val="009F0495"/>
    <w:rsid w:val="009F7A97"/>
    <w:rsid w:val="00A06ED8"/>
    <w:rsid w:val="00A1052C"/>
    <w:rsid w:val="00A12471"/>
    <w:rsid w:val="00A14626"/>
    <w:rsid w:val="00A14E08"/>
    <w:rsid w:val="00A22347"/>
    <w:rsid w:val="00A266F7"/>
    <w:rsid w:val="00A26B50"/>
    <w:rsid w:val="00A27433"/>
    <w:rsid w:val="00A30E92"/>
    <w:rsid w:val="00A35C17"/>
    <w:rsid w:val="00A3750C"/>
    <w:rsid w:val="00A466B1"/>
    <w:rsid w:val="00A5392E"/>
    <w:rsid w:val="00A54D17"/>
    <w:rsid w:val="00A64871"/>
    <w:rsid w:val="00A665AD"/>
    <w:rsid w:val="00A66D8C"/>
    <w:rsid w:val="00A75990"/>
    <w:rsid w:val="00A77301"/>
    <w:rsid w:val="00A86C55"/>
    <w:rsid w:val="00A93861"/>
    <w:rsid w:val="00A95132"/>
    <w:rsid w:val="00A96561"/>
    <w:rsid w:val="00AA1379"/>
    <w:rsid w:val="00AB52BB"/>
    <w:rsid w:val="00AD64DB"/>
    <w:rsid w:val="00AE2E53"/>
    <w:rsid w:val="00AF4FA7"/>
    <w:rsid w:val="00B1503A"/>
    <w:rsid w:val="00B17DE3"/>
    <w:rsid w:val="00B220A1"/>
    <w:rsid w:val="00B3485E"/>
    <w:rsid w:val="00B53D62"/>
    <w:rsid w:val="00B56180"/>
    <w:rsid w:val="00B6243C"/>
    <w:rsid w:val="00B64748"/>
    <w:rsid w:val="00B71ED2"/>
    <w:rsid w:val="00B91F52"/>
    <w:rsid w:val="00B94556"/>
    <w:rsid w:val="00BA02B6"/>
    <w:rsid w:val="00BB115D"/>
    <w:rsid w:val="00BB201B"/>
    <w:rsid w:val="00BD2F11"/>
    <w:rsid w:val="00BD67A7"/>
    <w:rsid w:val="00BD7693"/>
    <w:rsid w:val="00BF2B03"/>
    <w:rsid w:val="00C05DF3"/>
    <w:rsid w:val="00C124A4"/>
    <w:rsid w:val="00C129F9"/>
    <w:rsid w:val="00C16927"/>
    <w:rsid w:val="00C176CC"/>
    <w:rsid w:val="00C27627"/>
    <w:rsid w:val="00C276A5"/>
    <w:rsid w:val="00C3431E"/>
    <w:rsid w:val="00C42D3F"/>
    <w:rsid w:val="00C44FAF"/>
    <w:rsid w:val="00C52460"/>
    <w:rsid w:val="00C601BB"/>
    <w:rsid w:val="00C60877"/>
    <w:rsid w:val="00C70145"/>
    <w:rsid w:val="00C76B57"/>
    <w:rsid w:val="00CB2384"/>
    <w:rsid w:val="00CB2457"/>
    <w:rsid w:val="00CC130E"/>
    <w:rsid w:val="00CE0006"/>
    <w:rsid w:val="00CE2556"/>
    <w:rsid w:val="00CF3553"/>
    <w:rsid w:val="00D00981"/>
    <w:rsid w:val="00D0131C"/>
    <w:rsid w:val="00D02453"/>
    <w:rsid w:val="00D048F9"/>
    <w:rsid w:val="00D1439E"/>
    <w:rsid w:val="00D52F7F"/>
    <w:rsid w:val="00D54590"/>
    <w:rsid w:val="00D57018"/>
    <w:rsid w:val="00D65AFE"/>
    <w:rsid w:val="00D84B6B"/>
    <w:rsid w:val="00D866CD"/>
    <w:rsid w:val="00D86DE7"/>
    <w:rsid w:val="00D96C16"/>
    <w:rsid w:val="00DA2934"/>
    <w:rsid w:val="00DB28E2"/>
    <w:rsid w:val="00DC1C8D"/>
    <w:rsid w:val="00DC78A8"/>
    <w:rsid w:val="00DD056F"/>
    <w:rsid w:val="00DE42D2"/>
    <w:rsid w:val="00DE6C0C"/>
    <w:rsid w:val="00DF0F8C"/>
    <w:rsid w:val="00E120F2"/>
    <w:rsid w:val="00E12D9B"/>
    <w:rsid w:val="00E378A9"/>
    <w:rsid w:val="00E40622"/>
    <w:rsid w:val="00E43FF6"/>
    <w:rsid w:val="00E63AE0"/>
    <w:rsid w:val="00E7305C"/>
    <w:rsid w:val="00E73857"/>
    <w:rsid w:val="00E84333"/>
    <w:rsid w:val="00E86052"/>
    <w:rsid w:val="00E87312"/>
    <w:rsid w:val="00EA2484"/>
    <w:rsid w:val="00EA529D"/>
    <w:rsid w:val="00EB530B"/>
    <w:rsid w:val="00EC06DB"/>
    <w:rsid w:val="00EC111A"/>
    <w:rsid w:val="00EC44CF"/>
    <w:rsid w:val="00EC5296"/>
    <w:rsid w:val="00EC5FFE"/>
    <w:rsid w:val="00EC6347"/>
    <w:rsid w:val="00EC718F"/>
    <w:rsid w:val="00ED0A85"/>
    <w:rsid w:val="00EE4BE0"/>
    <w:rsid w:val="00F0054D"/>
    <w:rsid w:val="00F04A04"/>
    <w:rsid w:val="00F07371"/>
    <w:rsid w:val="00F10AEB"/>
    <w:rsid w:val="00F11668"/>
    <w:rsid w:val="00F32B35"/>
    <w:rsid w:val="00F353B0"/>
    <w:rsid w:val="00F41E4D"/>
    <w:rsid w:val="00F433E3"/>
    <w:rsid w:val="00F45EEF"/>
    <w:rsid w:val="00F81DF2"/>
    <w:rsid w:val="00F9713A"/>
    <w:rsid w:val="00FA24C3"/>
    <w:rsid w:val="00FA3BC0"/>
    <w:rsid w:val="00FB0521"/>
    <w:rsid w:val="00FB0C85"/>
    <w:rsid w:val="00FB25D0"/>
    <w:rsid w:val="00FB687E"/>
    <w:rsid w:val="00FE0094"/>
    <w:rsid w:val="00FE02D2"/>
    <w:rsid w:val="00FE54AF"/>
    <w:rsid w:val="00FF4060"/>
    <w:rsid w:val="01284933"/>
    <w:rsid w:val="03382CB2"/>
    <w:rsid w:val="047B1F80"/>
    <w:rsid w:val="04DA0535"/>
    <w:rsid w:val="07127B1C"/>
    <w:rsid w:val="07783950"/>
    <w:rsid w:val="090859A2"/>
    <w:rsid w:val="09586CB2"/>
    <w:rsid w:val="0D540710"/>
    <w:rsid w:val="0DF243B0"/>
    <w:rsid w:val="0E122ED0"/>
    <w:rsid w:val="0FD728BC"/>
    <w:rsid w:val="10B31485"/>
    <w:rsid w:val="10C56703"/>
    <w:rsid w:val="11BF7867"/>
    <w:rsid w:val="13F04CE3"/>
    <w:rsid w:val="16482593"/>
    <w:rsid w:val="16CD5F88"/>
    <w:rsid w:val="16E155C3"/>
    <w:rsid w:val="18663959"/>
    <w:rsid w:val="1A334957"/>
    <w:rsid w:val="1A757856"/>
    <w:rsid w:val="1AC02D41"/>
    <w:rsid w:val="1BED3A0A"/>
    <w:rsid w:val="1D436E1D"/>
    <w:rsid w:val="1FC36B65"/>
    <w:rsid w:val="21A741B5"/>
    <w:rsid w:val="24B66F63"/>
    <w:rsid w:val="2A36167F"/>
    <w:rsid w:val="2C314175"/>
    <w:rsid w:val="2E114C47"/>
    <w:rsid w:val="317E16B1"/>
    <w:rsid w:val="31F25123"/>
    <w:rsid w:val="3397717D"/>
    <w:rsid w:val="34301E2B"/>
    <w:rsid w:val="372A2A86"/>
    <w:rsid w:val="384550A0"/>
    <w:rsid w:val="390F245F"/>
    <w:rsid w:val="391E37AF"/>
    <w:rsid w:val="3C2B4DF8"/>
    <w:rsid w:val="40C413D0"/>
    <w:rsid w:val="43DC3775"/>
    <w:rsid w:val="473C799B"/>
    <w:rsid w:val="47B47214"/>
    <w:rsid w:val="488D6D0F"/>
    <w:rsid w:val="48D97863"/>
    <w:rsid w:val="494E2296"/>
    <w:rsid w:val="4BCB2B60"/>
    <w:rsid w:val="4FE01698"/>
    <w:rsid w:val="50AE5587"/>
    <w:rsid w:val="51C1562D"/>
    <w:rsid w:val="58B90B1D"/>
    <w:rsid w:val="5A737734"/>
    <w:rsid w:val="5B5B236C"/>
    <w:rsid w:val="5BE250E7"/>
    <w:rsid w:val="5F4501FE"/>
    <w:rsid w:val="62EE2739"/>
    <w:rsid w:val="639B27C4"/>
    <w:rsid w:val="644C151D"/>
    <w:rsid w:val="64F078A7"/>
    <w:rsid w:val="6D03552A"/>
    <w:rsid w:val="6EE55069"/>
    <w:rsid w:val="70261350"/>
    <w:rsid w:val="706132A5"/>
    <w:rsid w:val="70DD1467"/>
    <w:rsid w:val="716A4B7B"/>
    <w:rsid w:val="73D1105F"/>
    <w:rsid w:val="75FB61AB"/>
    <w:rsid w:val="77FA4257"/>
    <w:rsid w:val="78E56110"/>
    <w:rsid w:val="791A0E09"/>
    <w:rsid w:val="794F2489"/>
    <w:rsid w:val="79711101"/>
    <w:rsid w:val="7A91779D"/>
    <w:rsid w:val="7B160A0E"/>
    <w:rsid w:val="7E4F4EC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semiHidden="0" w:name="heading 4"/>
    <w:lsdException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qFormat="1"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0" w:semiHidden="0" w:name="FollowedHyperlink"/>
    <w:lsdException w:unhideWhenUsed="0" w:uiPriority="22" w:semiHidden="0" w:name="Strong"/>
    <w:lsdException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200" w:firstLineChars="200"/>
      <w:jc w:val="both"/>
    </w:pPr>
    <w:rPr>
      <w:rFonts w:ascii="Times New Roman" w:hAnsi="Times New Roman" w:eastAsia="宋体" w:cstheme="minorBidi"/>
      <w:kern w:val="2"/>
      <w:sz w:val="24"/>
      <w:szCs w:val="22"/>
      <w:lang w:val="en-US" w:eastAsia="zh-CN" w:bidi="ar-SA"/>
    </w:rPr>
  </w:style>
  <w:style w:type="paragraph" w:styleId="5">
    <w:name w:val="heading 1"/>
    <w:basedOn w:val="1"/>
    <w:next w:val="1"/>
    <w:link w:val="32"/>
    <w:qFormat/>
    <w:uiPriority w:val="9"/>
    <w:pPr>
      <w:keepNext/>
      <w:keepLines/>
      <w:ind w:firstLine="0" w:firstLineChars="0"/>
      <w:outlineLvl w:val="0"/>
    </w:pPr>
    <w:rPr>
      <w:rFonts w:eastAsia="黑体"/>
      <w:b/>
      <w:bCs/>
      <w:kern w:val="44"/>
      <w:sz w:val="32"/>
      <w:szCs w:val="44"/>
    </w:rPr>
  </w:style>
  <w:style w:type="paragraph" w:styleId="6">
    <w:name w:val="heading 2"/>
    <w:basedOn w:val="5"/>
    <w:next w:val="1"/>
    <w:link w:val="33"/>
    <w:unhideWhenUsed/>
    <w:qFormat/>
    <w:uiPriority w:val="9"/>
    <w:pPr>
      <w:outlineLvl w:val="1"/>
    </w:pPr>
    <w:rPr>
      <w:sz w:val="28"/>
    </w:rPr>
  </w:style>
  <w:style w:type="paragraph" w:styleId="7">
    <w:name w:val="heading 3"/>
    <w:basedOn w:val="6"/>
    <w:next w:val="1"/>
    <w:link w:val="34"/>
    <w:unhideWhenUsed/>
    <w:qFormat/>
    <w:uiPriority w:val="9"/>
    <w:pPr>
      <w:outlineLvl w:val="2"/>
    </w:pPr>
    <w:rPr>
      <w:sz w:val="24"/>
    </w:rPr>
  </w:style>
  <w:style w:type="paragraph" w:styleId="8">
    <w:name w:val="heading 4"/>
    <w:basedOn w:val="7"/>
    <w:next w:val="1"/>
    <w:link w:val="35"/>
    <w:unhideWhenUsed/>
    <w:qFormat/>
    <w:uiPriority w:val="9"/>
    <w:pPr>
      <w:outlineLvl w:val="3"/>
    </w:pPr>
  </w:style>
  <w:style w:type="character" w:default="1" w:styleId="21">
    <w:name w:val="Default Paragraph Font"/>
    <w:semiHidden/>
    <w:unhideWhenUsed/>
    <w:qFormat/>
    <w:uiPriority w:val="1"/>
  </w:style>
  <w:style w:type="table" w:default="1" w:styleId="19">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2">
    <w:name w:val="样式 标题 1 + 首行缩进:  2 字符"/>
    <w:basedOn w:val="3"/>
    <w:next w:val="1"/>
    <w:qFormat/>
    <w:uiPriority w:val="0"/>
    <w:pPr>
      <w:spacing w:after="120" w:line="360" w:lineRule="auto"/>
    </w:pPr>
    <w:rPr>
      <w:rFonts w:ascii="Times New Roman" w:hAnsi="Times New Roman" w:cs="宋体"/>
    </w:rPr>
  </w:style>
  <w:style w:type="paragraph" w:styleId="3">
    <w:name w:val="Body Text"/>
    <w:basedOn w:val="1"/>
    <w:next w:val="4"/>
    <w:qFormat/>
    <w:uiPriority w:val="0"/>
    <w:pPr>
      <w:adjustRightInd w:val="0"/>
      <w:snapToGrid w:val="0"/>
      <w:spacing w:line="500" w:lineRule="exact"/>
    </w:pPr>
    <w:rPr>
      <w:rFonts w:ascii="Calibri" w:hAnsi="Calibri" w:cs="Times New Roman"/>
      <w:szCs w:val="24"/>
    </w:rPr>
  </w:style>
  <w:style w:type="paragraph" w:styleId="4">
    <w:name w:val="List Bullet 5"/>
    <w:basedOn w:val="1"/>
    <w:semiHidden/>
    <w:unhideWhenUsed/>
    <w:qFormat/>
    <w:uiPriority w:val="99"/>
    <w:pPr>
      <w:numPr>
        <w:ilvl w:val="0"/>
        <w:numId w:val="1"/>
      </w:numPr>
    </w:pPr>
  </w:style>
  <w:style w:type="paragraph" w:styleId="9">
    <w:name w:val="Body Text Indent"/>
    <w:link w:val="69"/>
    <w:qFormat/>
    <w:uiPriority w:val="0"/>
    <w:pPr>
      <w:widowControl w:val="0"/>
      <w:spacing w:after="120"/>
      <w:ind w:left="420" w:leftChars="200"/>
      <w:jc w:val="both"/>
    </w:pPr>
    <w:rPr>
      <w:rFonts w:ascii="Calibri" w:hAnsi="Calibri" w:eastAsia="宋体" w:cs="Times New Roman"/>
      <w:szCs w:val="24"/>
      <w:lang w:val="en-US" w:eastAsia="zh-CN" w:bidi="ar-SA"/>
    </w:rPr>
  </w:style>
  <w:style w:type="paragraph" w:styleId="10">
    <w:name w:val="toc 3"/>
    <w:basedOn w:val="1"/>
    <w:next w:val="1"/>
    <w:unhideWhenUsed/>
    <w:qFormat/>
    <w:uiPriority w:val="39"/>
    <w:pPr>
      <w:spacing w:before="30" w:beforeLines="30" w:after="30" w:afterLines="30" w:line="240" w:lineRule="auto"/>
      <w:ind w:left="200" w:leftChars="200" w:firstLine="0" w:firstLineChars="0"/>
    </w:pPr>
  </w:style>
  <w:style w:type="paragraph" w:styleId="11">
    <w:name w:val="Balloon Text"/>
    <w:basedOn w:val="1"/>
    <w:link w:val="57"/>
    <w:semiHidden/>
    <w:unhideWhenUsed/>
    <w:qFormat/>
    <w:uiPriority w:val="99"/>
    <w:pPr>
      <w:spacing w:line="240" w:lineRule="auto"/>
    </w:pPr>
    <w:rPr>
      <w:sz w:val="18"/>
      <w:szCs w:val="18"/>
    </w:rPr>
  </w:style>
  <w:style w:type="paragraph" w:styleId="12">
    <w:name w:val="footer"/>
    <w:basedOn w:val="1"/>
    <w:link w:val="31"/>
    <w:unhideWhenUsed/>
    <w:qFormat/>
    <w:uiPriority w:val="99"/>
    <w:pPr>
      <w:tabs>
        <w:tab w:val="center" w:pos="4153"/>
        <w:tab w:val="right" w:pos="8306"/>
      </w:tabs>
      <w:snapToGrid w:val="0"/>
      <w:spacing w:line="240" w:lineRule="auto"/>
      <w:jc w:val="left"/>
    </w:pPr>
    <w:rPr>
      <w:sz w:val="18"/>
      <w:szCs w:val="18"/>
    </w:rPr>
  </w:style>
  <w:style w:type="paragraph" w:styleId="13">
    <w:name w:val="header"/>
    <w:basedOn w:val="1"/>
    <w:link w:val="30"/>
    <w:unhideWhenUsed/>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14">
    <w:name w:val="toc 1"/>
    <w:basedOn w:val="1"/>
    <w:next w:val="1"/>
    <w:unhideWhenUsed/>
    <w:qFormat/>
    <w:uiPriority w:val="39"/>
    <w:pPr>
      <w:spacing w:before="50" w:beforeLines="50" w:after="50" w:afterLines="50" w:line="240" w:lineRule="auto"/>
      <w:ind w:firstLine="0" w:firstLineChars="0"/>
    </w:pPr>
    <w:rPr>
      <w:rFonts w:eastAsia="黑体"/>
    </w:rPr>
  </w:style>
  <w:style w:type="paragraph" w:styleId="15">
    <w:name w:val="toc 2"/>
    <w:basedOn w:val="1"/>
    <w:next w:val="1"/>
    <w:unhideWhenUsed/>
    <w:qFormat/>
    <w:uiPriority w:val="39"/>
    <w:pPr>
      <w:spacing w:before="30" w:beforeLines="30" w:after="30" w:afterLines="30" w:line="240" w:lineRule="auto"/>
      <w:ind w:left="100" w:leftChars="100" w:firstLine="0" w:firstLineChars="0"/>
    </w:pPr>
  </w:style>
  <w:style w:type="paragraph" w:styleId="16">
    <w:name w:val="Normal (Web)"/>
    <w:basedOn w:val="1"/>
    <w:qFormat/>
    <w:uiPriority w:val="0"/>
    <w:pPr>
      <w:spacing w:before="100" w:beforeAutospacing="1" w:after="100" w:afterAutospacing="1" w:line="240" w:lineRule="auto"/>
      <w:ind w:firstLine="0" w:firstLineChars="0"/>
      <w:jc w:val="left"/>
    </w:pPr>
    <w:rPr>
      <w:rFonts w:ascii="Calibri" w:hAnsi="Calibri" w:cs="Times New Roman"/>
      <w:kern w:val="0"/>
      <w:szCs w:val="24"/>
    </w:rPr>
  </w:style>
  <w:style w:type="paragraph" w:styleId="17">
    <w:name w:val="Title"/>
    <w:next w:val="1"/>
    <w:qFormat/>
    <w:uiPriority w:val="10"/>
    <w:pPr>
      <w:widowControl w:val="0"/>
      <w:spacing w:before="240" w:after="60" w:line="360" w:lineRule="auto"/>
      <w:ind w:firstLine="200" w:firstLineChars="200"/>
      <w:jc w:val="center"/>
      <w:outlineLvl w:val="0"/>
    </w:pPr>
    <w:rPr>
      <w:rFonts w:ascii="Calibri Light" w:hAnsi="Calibri Light" w:eastAsia="宋体" w:cs="Times New Roman"/>
      <w:b/>
      <w:bCs/>
      <w:kern w:val="2"/>
      <w:sz w:val="32"/>
      <w:szCs w:val="32"/>
      <w:lang w:val="en-US" w:eastAsia="zh-CN" w:bidi="ar-SA"/>
    </w:rPr>
  </w:style>
  <w:style w:type="paragraph" w:styleId="18">
    <w:name w:val="Body Text First Indent"/>
    <w:qFormat/>
    <w:uiPriority w:val="0"/>
    <w:pPr>
      <w:widowControl w:val="0"/>
      <w:adjustRightInd w:val="0"/>
      <w:snapToGrid w:val="0"/>
      <w:spacing w:after="120" w:line="500" w:lineRule="exact"/>
      <w:ind w:firstLine="420" w:firstLineChars="100"/>
      <w:jc w:val="both"/>
    </w:pPr>
    <w:rPr>
      <w:rFonts w:ascii="Times New Roman" w:hAnsi="Times New Roman" w:eastAsia="宋体" w:cs="Times New Roman"/>
      <w:color w:val="000000"/>
      <w:sz w:val="24"/>
      <w:lang w:val="en-US" w:eastAsia="zh-CN" w:bidi="ar-SA"/>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FollowedHyperlink"/>
    <w:basedOn w:val="21"/>
    <w:unhideWhenUsed/>
    <w:qFormat/>
    <w:uiPriority w:val="0"/>
    <w:rPr>
      <w:color w:val="800080"/>
      <w:u w:val="single"/>
    </w:rPr>
  </w:style>
  <w:style w:type="character" w:styleId="23">
    <w:name w:val="Hyperlink"/>
    <w:basedOn w:val="21"/>
    <w:unhideWhenUsed/>
    <w:qFormat/>
    <w:uiPriority w:val="99"/>
    <w:rPr>
      <w:color w:val="0563C1" w:themeColor="hyperlink"/>
      <w:u w:val="single"/>
      <w14:textFill>
        <w14:solidFill>
          <w14:schemeClr w14:val="hlink"/>
        </w14:solidFill>
      </w14:textFill>
    </w:rPr>
  </w:style>
  <w:style w:type="paragraph" w:customStyle="1" w:styleId="24">
    <w:name w:val="Default"/>
    <w:basedOn w:val="25"/>
    <w:next w:val="1"/>
    <w:qFormat/>
    <w:uiPriority w:val="0"/>
    <w:pPr>
      <w:autoSpaceDE w:val="0"/>
      <w:autoSpaceDN w:val="0"/>
      <w:adjustRightInd w:val="0"/>
    </w:pPr>
    <w:rPr>
      <w:rFonts w:ascii="宋体" w:eastAsia="宋体" w:cs="宋体"/>
      <w:sz w:val="24"/>
      <w:szCs w:val="24"/>
    </w:rPr>
  </w:style>
  <w:style w:type="paragraph" w:customStyle="1" w:styleId="25">
    <w:name w:val="表头"/>
    <w:basedOn w:val="26"/>
    <w:next w:val="1"/>
    <w:qFormat/>
    <w:uiPriority w:val="0"/>
    <w:pPr>
      <w:spacing w:line="360" w:lineRule="auto"/>
    </w:pPr>
    <w:rPr>
      <w:rFonts w:cs="Times New Roman"/>
      <w:bCs/>
      <w:color w:val="000000"/>
      <w:sz w:val="21"/>
      <w:szCs w:val="28"/>
    </w:rPr>
  </w:style>
  <w:style w:type="paragraph" w:customStyle="1" w:styleId="26">
    <w:name w:val="表名1"/>
    <w:basedOn w:val="1"/>
    <w:qFormat/>
    <w:uiPriority w:val="0"/>
    <w:pPr>
      <w:spacing w:before="50" w:beforeLines="50" w:after="20" w:afterLines="20" w:line="240" w:lineRule="auto"/>
      <w:ind w:firstLine="0" w:firstLineChars="0"/>
      <w:jc w:val="center"/>
    </w:pPr>
    <w:rPr>
      <w:rFonts w:ascii="仿宋" w:eastAsia="仿宋"/>
      <w:b/>
    </w:rPr>
  </w:style>
  <w:style w:type="paragraph" w:customStyle="1" w:styleId="27">
    <w:name w:val="BodyText1I"/>
    <w:basedOn w:val="28"/>
    <w:qFormat/>
    <w:uiPriority w:val="99"/>
    <w:pPr>
      <w:spacing w:after="120"/>
      <w:ind w:firstLine="420" w:firstLineChars="100"/>
    </w:pPr>
    <w:rPr>
      <w:rFonts w:ascii="Times New Roman" w:hAnsi="Times New Roman"/>
      <w:szCs w:val="20"/>
    </w:rPr>
  </w:style>
  <w:style w:type="paragraph" w:customStyle="1" w:styleId="28">
    <w:name w:val="BodyText"/>
    <w:basedOn w:val="1"/>
    <w:qFormat/>
    <w:uiPriority w:val="99"/>
    <w:pPr>
      <w:snapToGrid w:val="0"/>
      <w:spacing w:line="500" w:lineRule="exact"/>
    </w:pPr>
    <w:rPr>
      <w:rFonts w:ascii="Calibri" w:hAnsi="Calibri"/>
      <w:kern w:val="0"/>
    </w:rPr>
  </w:style>
  <w:style w:type="paragraph" w:customStyle="1" w:styleId="29">
    <w:name w:val="正文格式"/>
    <w:basedOn w:val="1"/>
    <w:next w:val="1"/>
    <w:qFormat/>
    <w:uiPriority w:val="0"/>
    <w:pPr>
      <w:ind w:firstLine="544"/>
    </w:pPr>
    <w:rPr>
      <w:kern w:val="0"/>
      <w:szCs w:val="20"/>
    </w:rPr>
  </w:style>
  <w:style w:type="character" w:customStyle="1" w:styleId="30">
    <w:name w:val="页眉 字符"/>
    <w:basedOn w:val="21"/>
    <w:link w:val="13"/>
    <w:qFormat/>
    <w:uiPriority w:val="99"/>
    <w:rPr>
      <w:rFonts w:ascii="Times New Roman" w:hAnsi="Times New Roman" w:eastAsia="宋体"/>
      <w:sz w:val="18"/>
      <w:szCs w:val="18"/>
    </w:rPr>
  </w:style>
  <w:style w:type="character" w:customStyle="1" w:styleId="31">
    <w:name w:val="页脚 字符"/>
    <w:basedOn w:val="21"/>
    <w:link w:val="12"/>
    <w:qFormat/>
    <w:uiPriority w:val="99"/>
    <w:rPr>
      <w:rFonts w:ascii="Times New Roman" w:hAnsi="Times New Roman" w:eastAsia="宋体"/>
      <w:sz w:val="18"/>
      <w:szCs w:val="18"/>
    </w:rPr>
  </w:style>
  <w:style w:type="character" w:customStyle="1" w:styleId="32">
    <w:name w:val="标题 1 字符"/>
    <w:basedOn w:val="21"/>
    <w:link w:val="5"/>
    <w:qFormat/>
    <w:uiPriority w:val="9"/>
    <w:rPr>
      <w:rFonts w:ascii="Times New Roman" w:hAnsi="Times New Roman" w:eastAsia="黑体"/>
      <w:b/>
      <w:bCs/>
      <w:kern w:val="44"/>
      <w:sz w:val="32"/>
      <w:szCs w:val="44"/>
    </w:rPr>
  </w:style>
  <w:style w:type="character" w:customStyle="1" w:styleId="33">
    <w:name w:val="标题 2 字符"/>
    <w:basedOn w:val="21"/>
    <w:link w:val="6"/>
    <w:qFormat/>
    <w:uiPriority w:val="9"/>
    <w:rPr>
      <w:rFonts w:eastAsia="黑体" w:cstheme="minorBidi"/>
      <w:b/>
      <w:bCs/>
      <w:kern w:val="44"/>
      <w:sz w:val="28"/>
      <w:szCs w:val="44"/>
    </w:rPr>
  </w:style>
  <w:style w:type="character" w:customStyle="1" w:styleId="34">
    <w:name w:val="标题 3 字符"/>
    <w:basedOn w:val="21"/>
    <w:link w:val="7"/>
    <w:qFormat/>
    <w:uiPriority w:val="9"/>
    <w:rPr>
      <w:rFonts w:eastAsia="黑体" w:cstheme="minorBidi"/>
      <w:b/>
      <w:bCs/>
      <w:kern w:val="44"/>
      <w:sz w:val="24"/>
      <w:szCs w:val="44"/>
    </w:rPr>
  </w:style>
  <w:style w:type="character" w:customStyle="1" w:styleId="35">
    <w:name w:val="标题 4 字符"/>
    <w:basedOn w:val="21"/>
    <w:link w:val="8"/>
    <w:qFormat/>
    <w:uiPriority w:val="9"/>
    <w:rPr>
      <w:rFonts w:ascii="Times New Roman" w:hAnsi="Times New Roman" w:eastAsia="黑体"/>
      <w:b/>
      <w:bCs/>
      <w:kern w:val="44"/>
      <w:sz w:val="24"/>
      <w:szCs w:val="44"/>
    </w:rPr>
  </w:style>
  <w:style w:type="paragraph" w:customStyle="1" w:styleId="36">
    <w:name w:val="表名"/>
    <w:basedOn w:val="1"/>
    <w:link w:val="37"/>
    <w:qFormat/>
    <w:uiPriority w:val="0"/>
    <w:pPr>
      <w:ind w:firstLine="0" w:firstLineChars="0"/>
      <w:jc w:val="center"/>
    </w:pPr>
    <w:rPr>
      <w:rFonts w:ascii="黑体" w:hAnsi="黑体" w:eastAsia="黑体"/>
      <w:sz w:val="21"/>
    </w:rPr>
  </w:style>
  <w:style w:type="character" w:customStyle="1" w:styleId="37">
    <w:name w:val="表名 Char"/>
    <w:basedOn w:val="21"/>
    <w:link w:val="36"/>
    <w:qFormat/>
    <w:uiPriority w:val="0"/>
    <w:rPr>
      <w:rFonts w:ascii="黑体" w:hAnsi="黑体" w:eastAsia="黑体"/>
    </w:rPr>
  </w:style>
  <w:style w:type="paragraph" w:customStyle="1" w:styleId="38">
    <w:name w:val="表格"/>
    <w:basedOn w:val="1"/>
    <w:link w:val="39"/>
    <w:qFormat/>
    <w:uiPriority w:val="0"/>
    <w:pPr>
      <w:spacing w:line="240" w:lineRule="auto"/>
      <w:ind w:firstLine="0" w:firstLineChars="0"/>
      <w:jc w:val="center"/>
    </w:pPr>
    <w:rPr>
      <w:sz w:val="21"/>
    </w:rPr>
  </w:style>
  <w:style w:type="character" w:customStyle="1" w:styleId="39">
    <w:name w:val="表格 Char"/>
    <w:basedOn w:val="21"/>
    <w:link w:val="38"/>
    <w:qFormat/>
    <w:uiPriority w:val="0"/>
    <w:rPr>
      <w:rFonts w:ascii="Times New Roman" w:hAnsi="Times New Roman" w:eastAsia="宋体"/>
    </w:rPr>
  </w:style>
  <w:style w:type="paragraph" w:customStyle="1" w:styleId="40">
    <w:name w:val="font5"/>
    <w:basedOn w:val="1"/>
    <w:qFormat/>
    <w:uiPriority w:val="0"/>
    <w:pPr>
      <w:widowControl/>
      <w:spacing w:before="100" w:beforeAutospacing="1" w:after="100" w:afterAutospacing="1" w:line="240" w:lineRule="auto"/>
      <w:ind w:firstLine="0" w:firstLineChars="0"/>
      <w:jc w:val="left"/>
    </w:pPr>
    <w:rPr>
      <w:rFonts w:ascii="宋体" w:hAnsi="宋体" w:cs="宋体"/>
      <w:kern w:val="0"/>
      <w:sz w:val="18"/>
      <w:szCs w:val="18"/>
    </w:rPr>
  </w:style>
  <w:style w:type="paragraph" w:customStyle="1" w:styleId="41">
    <w:name w:val="xl6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42">
    <w:name w:val="xl6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43">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b/>
      <w:bCs/>
      <w:kern w:val="0"/>
      <w:szCs w:val="24"/>
    </w:rPr>
  </w:style>
  <w:style w:type="paragraph" w:customStyle="1" w:styleId="44">
    <w:name w:val="xl66"/>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45">
    <w:name w:val="xl6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240" w:lineRule="auto"/>
      <w:ind w:firstLine="0" w:firstLineChars="0"/>
      <w:jc w:val="center"/>
    </w:pPr>
    <w:rPr>
      <w:rFonts w:ascii="宋体" w:hAnsi="宋体" w:cs="宋体"/>
      <w:kern w:val="0"/>
      <w:szCs w:val="24"/>
    </w:rPr>
  </w:style>
  <w:style w:type="paragraph" w:customStyle="1" w:styleId="46">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FF0000"/>
      <w:kern w:val="0"/>
      <w:szCs w:val="24"/>
    </w:rPr>
  </w:style>
  <w:style w:type="paragraph" w:customStyle="1" w:styleId="47">
    <w:name w:val="xl6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color w:val="FF0000"/>
      <w:kern w:val="0"/>
      <w:szCs w:val="24"/>
    </w:rPr>
  </w:style>
  <w:style w:type="paragraph" w:customStyle="1" w:styleId="48">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color w:val="FF0000"/>
      <w:kern w:val="0"/>
      <w:szCs w:val="24"/>
    </w:rPr>
  </w:style>
  <w:style w:type="paragraph" w:customStyle="1" w:styleId="49">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50">
    <w:name w:val="xl7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51">
    <w:name w:val="xl7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pPr>
    <w:rPr>
      <w:rFonts w:ascii="宋体" w:hAnsi="宋体" w:cs="宋体"/>
      <w:kern w:val="0"/>
      <w:szCs w:val="24"/>
    </w:rPr>
  </w:style>
  <w:style w:type="paragraph" w:customStyle="1" w:styleId="52">
    <w:name w:val="xl74"/>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53">
    <w:name w:val="xl75"/>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center"/>
    </w:pPr>
    <w:rPr>
      <w:rFonts w:ascii="宋体" w:hAnsi="宋体" w:cs="宋体"/>
      <w:kern w:val="0"/>
      <w:szCs w:val="24"/>
    </w:rPr>
  </w:style>
  <w:style w:type="paragraph" w:customStyle="1" w:styleId="54">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paragraph" w:customStyle="1" w:styleId="55">
    <w:name w:val="xl77"/>
    <w:basedOn w:val="1"/>
    <w:qFormat/>
    <w:uiPriority w:val="0"/>
    <w:pPr>
      <w:widowControl/>
      <w:pBdr>
        <w:top w:val="single" w:color="auto" w:sz="4" w:space="0"/>
        <w:left w:val="single" w:color="auto" w:sz="4" w:space="0"/>
        <w:bottom w:val="single" w:color="auto" w:sz="4" w:space="0"/>
        <w:right w:val="single" w:color="auto" w:sz="4" w:space="0"/>
      </w:pBdr>
      <w:shd w:val="clear" w:color="000000" w:fill="00B0F0"/>
      <w:spacing w:before="100" w:beforeAutospacing="1" w:after="100" w:afterAutospacing="1" w:line="240" w:lineRule="auto"/>
      <w:ind w:firstLine="0" w:firstLineChars="0"/>
      <w:jc w:val="center"/>
    </w:pPr>
    <w:rPr>
      <w:rFonts w:ascii="宋体" w:hAnsi="宋体" w:cs="宋体"/>
      <w:kern w:val="0"/>
      <w:szCs w:val="24"/>
    </w:rPr>
  </w:style>
  <w:style w:type="paragraph" w:customStyle="1" w:styleId="56">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240" w:lineRule="auto"/>
      <w:ind w:firstLine="0" w:firstLineChars="0"/>
      <w:jc w:val="center"/>
      <w:textAlignment w:val="center"/>
    </w:pPr>
    <w:rPr>
      <w:rFonts w:ascii="宋体" w:hAnsi="宋体" w:cs="宋体"/>
      <w:kern w:val="0"/>
      <w:szCs w:val="24"/>
    </w:rPr>
  </w:style>
  <w:style w:type="character" w:customStyle="1" w:styleId="57">
    <w:name w:val="批注框文本 字符"/>
    <w:basedOn w:val="21"/>
    <w:link w:val="11"/>
    <w:semiHidden/>
    <w:qFormat/>
    <w:uiPriority w:val="99"/>
    <w:rPr>
      <w:rFonts w:ascii="Times New Roman" w:hAnsi="Times New Roman" w:eastAsia="宋体"/>
      <w:sz w:val="18"/>
      <w:szCs w:val="18"/>
    </w:rPr>
  </w:style>
  <w:style w:type="paragraph" w:customStyle="1" w:styleId="58">
    <w:name w:val="正文文本缩进b"/>
    <w:qFormat/>
    <w:uiPriority w:val="0"/>
    <w:pPr>
      <w:widowControl w:val="0"/>
      <w:spacing w:line="360" w:lineRule="auto"/>
      <w:ind w:firstLine="480" w:firstLineChars="200"/>
      <w:jc w:val="both"/>
    </w:pPr>
    <w:rPr>
      <w:rFonts w:ascii="宋体" w:hAnsi="BankGothic Lt BT" w:eastAsia="宋体" w:cs="Times New Roman"/>
      <w:kern w:val="2"/>
      <w:sz w:val="24"/>
      <w:szCs w:val="24"/>
      <w:lang w:val="en-US" w:eastAsia="zh-CN" w:bidi="ar-SA"/>
    </w:rPr>
  </w:style>
  <w:style w:type="paragraph" w:customStyle="1" w:styleId="59">
    <w:name w:val="正文1"/>
    <w:qFormat/>
    <w:uiPriority w:val="0"/>
    <w:pPr>
      <w:widowControl w:val="0"/>
      <w:adjustRightInd w:val="0"/>
      <w:spacing w:line="360" w:lineRule="atLeast"/>
      <w:textAlignment w:val="baseline"/>
    </w:pPr>
    <w:rPr>
      <w:rFonts w:ascii="宋体" w:hAnsi="Times New Roman" w:eastAsia="宋体" w:cs="Times New Roman"/>
      <w:kern w:val="2"/>
      <w:sz w:val="24"/>
      <w:szCs w:val="22"/>
      <w:lang w:val="en-US" w:eastAsia="zh-CN" w:bidi="ar-SA"/>
    </w:rPr>
  </w:style>
  <w:style w:type="character" w:customStyle="1" w:styleId="60">
    <w:name w:val="NormalCharacter"/>
    <w:qFormat/>
    <w:uiPriority w:val="0"/>
  </w:style>
  <w:style w:type="paragraph" w:customStyle="1" w:styleId="61">
    <w:name w:val="UserStyle_5"/>
    <w:basedOn w:val="62"/>
    <w:qFormat/>
    <w:uiPriority w:val="0"/>
    <w:pPr>
      <w:widowControl/>
      <w:ind w:firstLine="480"/>
      <w:textAlignment w:val="baseline"/>
    </w:pPr>
    <w:rPr>
      <w:rFonts w:ascii="宋体" w:hAnsi="BankGothic Lt BT"/>
      <w:color w:val="000000"/>
      <w:szCs w:val="24"/>
    </w:rPr>
  </w:style>
  <w:style w:type="paragraph" w:customStyle="1" w:styleId="62">
    <w:name w:val="BodyTextIndent"/>
    <w:basedOn w:val="1"/>
    <w:qFormat/>
    <w:uiPriority w:val="0"/>
    <w:pPr>
      <w:spacing w:after="120" w:line="240" w:lineRule="auto"/>
      <w:ind w:left="420" w:leftChars="200" w:firstLine="0" w:firstLineChars="0"/>
    </w:pPr>
    <w:rPr>
      <w:rFonts w:ascii="Calibri" w:hAnsi="Calibri"/>
      <w:kern w:val="0"/>
      <w:sz w:val="20"/>
    </w:rPr>
  </w:style>
  <w:style w:type="paragraph" w:customStyle="1" w:styleId="63">
    <w:name w:val="UserStyle_6"/>
    <w:qFormat/>
    <w:uiPriority w:val="0"/>
    <w:pPr>
      <w:spacing w:line="360" w:lineRule="atLeast"/>
      <w:textAlignment w:val="baseline"/>
    </w:pPr>
    <w:rPr>
      <w:rFonts w:ascii="宋体" w:hAnsi="Times New Roman" w:eastAsia="宋体" w:cstheme="minorBidi"/>
      <w:kern w:val="2"/>
      <w:sz w:val="24"/>
      <w:szCs w:val="22"/>
      <w:lang w:val="en-US" w:eastAsia="zh-CN" w:bidi="ar-SA"/>
    </w:rPr>
  </w:style>
  <w:style w:type="paragraph" w:customStyle="1" w:styleId="64">
    <w:name w:val="正文2"/>
    <w:basedOn w:val="1"/>
    <w:link w:val="66"/>
    <w:qFormat/>
    <w:uiPriority w:val="0"/>
    <w:pPr>
      <w:ind w:firstLine="480"/>
    </w:pPr>
    <w:rPr>
      <w:rFonts w:cs="Times New Roman"/>
    </w:rPr>
  </w:style>
  <w:style w:type="paragraph" w:customStyle="1" w:styleId="65">
    <w:name w:val="图名"/>
    <w:basedOn w:val="1"/>
    <w:link w:val="67"/>
    <w:qFormat/>
    <w:uiPriority w:val="0"/>
    <w:pPr>
      <w:ind w:firstLine="0" w:firstLineChars="0"/>
      <w:jc w:val="center"/>
    </w:pPr>
    <w:rPr>
      <w:rFonts w:ascii="黑体" w:hAnsi="黑体" w:eastAsia="黑体" w:cs="Times New Roman"/>
      <w:sz w:val="22"/>
    </w:rPr>
  </w:style>
  <w:style w:type="character" w:customStyle="1" w:styleId="66">
    <w:name w:val="正文2 Char"/>
    <w:basedOn w:val="21"/>
    <w:link w:val="64"/>
    <w:qFormat/>
    <w:uiPriority w:val="0"/>
    <w:rPr>
      <w:kern w:val="2"/>
      <w:sz w:val="24"/>
      <w:szCs w:val="22"/>
    </w:rPr>
  </w:style>
  <w:style w:type="character" w:customStyle="1" w:styleId="67">
    <w:name w:val="图名 Char"/>
    <w:basedOn w:val="21"/>
    <w:link w:val="65"/>
    <w:qFormat/>
    <w:uiPriority w:val="0"/>
    <w:rPr>
      <w:rFonts w:ascii="黑体" w:hAnsi="黑体" w:eastAsia="黑体"/>
      <w:kern w:val="2"/>
      <w:sz w:val="22"/>
      <w:szCs w:val="22"/>
    </w:rPr>
  </w:style>
  <w:style w:type="paragraph" w:customStyle="1" w:styleId="68">
    <w:name w:val="正文首行缩进 21"/>
    <w:basedOn w:val="9"/>
    <w:next w:val="1"/>
    <w:qFormat/>
    <w:uiPriority w:val="0"/>
    <w:pPr>
      <w:keepNext w:val="0"/>
      <w:keepLines w:val="0"/>
      <w:widowControl w:val="0"/>
      <w:suppressLineNumbers w:val="0"/>
      <w:spacing w:before="0" w:beforeAutospacing="1" w:after="120" w:afterAutospacing="0" w:line="360" w:lineRule="auto"/>
      <w:ind w:left="420" w:leftChars="200" w:right="0" w:firstLine="420" w:firstLineChars="200"/>
      <w:jc w:val="both"/>
    </w:pPr>
    <w:rPr>
      <w:rFonts w:hint="default" w:ascii="Times New Roman" w:hAnsi="Times New Roman" w:eastAsia="宋体" w:cs="Times New Roman"/>
      <w:kern w:val="0"/>
      <w:sz w:val="24"/>
      <w:szCs w:val="24"/>
      <w:lang w:val="en-US" w:eastAsia="zh-CN" w:bidi="ar"/>
    </w:rPr>
  </w:style>
  <w:style w:type="character" w:customStyle="1" w:styleId="69">
    <w:name w:val="正文文本缩进 字符"/>
    <w:basedOn w:val="21"/>
    <w:link w:val="9"/>
    <w:qFormat/>
    <w:uiPriority w:val="0"/>
    <w:rPr>
      <w:sz w:val="24"/>
      <w:szCs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2.xml"/><Relationship Id="rId7" Type="http://schemas.openxmlformats.org/officeDocument/2006/relationships/header" Target="head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fontTable" Target="fontTable.xml"/><Relationship Id="rId30" Type="http://schemas.openxmlformats.org/officeDocument/2006/relationships/customXml" Target="../customXml/item2.xml"/><Relationship Id="rId3" Type="http://schemas.openxmlformats.org/officeDocument/2006/relationships/footnotes" Target="footnotes.xml"/><Relationship Id="rId29" Type="http://schemas.openxmlformats.org/officeDocument/2006/relationships/numbering" Target="numbering.xml"/><Relationship Id="rId28" Type="http://schemas.openxmlformats.org/officeDocument/2006/relationships/customXml" Target="../customXml/item1.xml"/><Relationship Id="rId27" Type="http://schemas.openxmlformats.org/officeDocument/2006/relationships/image" Target="media/image18.png"/><Relationship Id="rId26" Type="http://schemas.openxmlformats.org/officeDocument/2006/relationships/image" Target="media/image17.png"/><Relationship Id="rId25" Type="http://schemas.openxmlformats.org/officeDocument/2006/relationships/image" Target="media/image16.png"/><Relationship Id="rId24" Type="http://schemas.openxmlformats.org/officeDocument/2006/relationships/image" Target="media/image15.jpeg"/><Relationship Id="rId23" Type="http://schemas.openxmlformats.org/officeDocument/2006/relationships/image" Target="media/image14.jpeg"/><Relationship Id="rId22" Type="http://schemas.openxmlformats.org/officeDocument/2006/relationships/image" Target="media/image13.jpeg"/><Relationship Id="rId21" Type="http://schemas.openxmlformats.org/officeDocument/2006/relationships/image" Target="media/image12.jpeg"/><Relationship Id="rId20" Type="http://schemas.openxmlformats.org/officeDocument/2006/relationships/image" Target="media/image11.jpeg"/><Relationship Id="rId2" Type="http://schemas.openxmlformats.org/officeDocument/2006/relationships/settings" Target="settings.xml"/><Relationship Id="rId19" Type="http://schemas.openxmlformats.org/officeDocument/2006/relationships/image" Target="media/image10.jpeg"/><Relationship Id="rId18" Type="http://schemas.openxmlformats.org/officeDocument/2006/relationships/image" Target="media/image9.jpeg"/><Relationship Id="rId17" Type="http://schemas.openxmlformats.org/officeDocument/2006/relationships/image" Target="media/image8.jpeg"/><Relationship Id="rId16" Type="http://schemas.openxmlformats.org/officeDocument/2006/relationships/image" Target="media/image7.png"/><Relationship Id="rId15" Type="http://schemas.openxmlformats.org/officeDocument/2006/relationships/image" Target="media/image6.png"/><Relationship Id="rId14" Type="http://schemas.openxmlformats.org/officeDocument/2006/relationships/image" Target="media/image5.png"/><Relationship Id="rId13" Type="http://schemas.openxmlformats.org/officeDocument/2006/relationships/image" Target="media/image4.pn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CCDE58F-56B4-4653-824D-9BDCA07C7FC9}">
  <ds:schemaRefs/>
</ds:datastoreItem>
</file>

<file path=docProps/app.xml><?xml version="1.0" encoding="utf-8"?>
<Properties xmlns="http://schemas.openxmlformats.org/officeDocument/2006/extended-properties" xmlns:vt="http://schemas.openxmlformats.org/officeDocument/2006/docPropsVTypes">
  <Template>Normal</Template>
  <Pages>21</Pages>
  <Words>3690</Words>
  <Characters>4484</Characters>
  <Lines>42</Lines>
  <Paragraphs>12</Paragraphs>
  <TotalTime>0</TotalTime>
  <ScaleCrop>false</ScaleCrop>
  <LinksUpToDate>false</LinksUpToDate>
  <CharactersWithSpaces>4588</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2018-03-08T01:21:00Z</dcterms:created>
  <dc:creator>cf</dc:creator>
  <cp:lastModifiedBy>w.h.y</cp:lastModifiedBy>
  <cp:lastPrinted>2020-09-28T01:09:00Z</cp:lastPrinted>
  <dcterms:modified xsi:type="dcterms:W3CDTF">2023-08-06T15:21:37Z</dcterms:modified>
  <cp:revision>177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B74453D1786F4391806DB34E1E949294_13</vt:lpwstr>
  </property>
  <property fmtid="{D5CDD505-2E9C-101B-9397-08002B2CF9AE}" pid="4" name="commondata">
    <vt:lpwstr>eyJoZGlkIjoiMGU5ODY0YjViNzEzZjE2MTA1MWZjOGM2Y2RhY2I2NTgifQ==</vt:lpwstr>
  </property>
</Properties>
</file>