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colors8.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charts/style8.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auto"/>
          <w:sz w:val="72"/>
          <w:szCs w:val="72"/>
          <w:highlight w:val="none"/>
        </w:rPr>
      </w:pPr>
      <w:bookmarkStart w:id="0" w:name="_Toc15378441"/>
      <w:bookmarkStart w:id="1" w:name="_Toc15377425"/>
      <w:bookmarkStart w:id="2" w:name="_Toc15396475"/>
      <w:bookmarkStart w:id="3" w:name="_Toc15377193"/>
      <w:bookmarkStart w:id="4" w:name="_Toc15396597"/>
      <w:bookmarkStart w:id="5" w:name="_Toc15306267"/>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adjustRightInd w:val="0"/>
        <w:snapToGrid w:val="0"/>
        <w:spacing w:line="360" w:lineRule="auto"/>
        <w:jc w:val="center"/>
        <w:outlineLvl w:val="9"/>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22</w:t>
      </w:r>
      <w:r>
        <w:rPr>
          <w:rFonts w:hint="eastAsia" w:ascii="方正小标宋简体" w:hAnsi="方正小标宋简体" w:eastAsia="方正小标宋简体" w:cs="方正小标宋简体"/>
          <w:color w:val="auto"/>
          <w:sz w:val="72"/>
          <w:szCs w:val="72"/>
          <w:highlight w:val="none"/>
        </w:rPr>
        <w:t>年度</w:t>
      </w:r>
      <w:bookmarkEnd w:id="0"/>
      <w:bookmarkEnd w:id="1"/>
      <w:bookmarkEnd w:id="2"/>
      <w:bookmarkEnd w:id="3"/>
      <w:bookmarkEnd w:id="4"/>
    </w:p>
    <w:bookmarkEnd w:id="5"/>
    <w:p>
      <w:pPr>
        <w:adjustRightInd w:val="0"/>
        <w:snapToGrid w:val="0"/>
        <w:spacing w:line="360" w:lineRule="auto"/>
        <w:jc w:val="center"/>
        <w:outlineLvl w:val="9"/>
        <w:rPr>
          <w:rFonts w:hint="default" w:ascii="方正小标宋简体" w:hAnsi="宋体" w:eastAsia="方正小标宋简体"/>
          <w:color w:val="auto"/>
          <w:sz w:val="52"/>
          <w:szCs w:val="52"/>
          <w:highlight w:val="none"/>
          <w:lang w:val="en-US" w:eastAsia="zh-CN"/>
        </w:rPr>
      </w:pPr>
      <w:r>
        <w:rPr>
          <w:rFonts w:hint="eastAsia" w:ascii="方正小标宋简体" w:hAnsi="方正小标宋简体" w:eastAsia="方正小标宋简体" w:cs="方正小标宋简体"/>
          <w:color w:val="auto"/>
          <w:sz w:val="72"/>
          <w:szCs w:val="72"/>
          <w:highlight w:val="none"/>
          <w:lang w:val="en-US" w:eastAsia="zh-CN"/>
        </w:rPr>
        <w:t>宣汉县三墩土家族乡</w:t>
      </w:r>
      <w:r>
        <w:rPr>
          <w:rFonts w:hint="eastAsia" w:ascii="方正小标宋简体" w:hAnsi="方正小标宋简体" w:eastAsia="方正小标宋简体" w:cs="方正小标宋简体"/>
          <w:sz w:val="72"/>
          <w:szCs w:val="72"/>
        </w:rPr>
        <w:t>人民政府</w:t>
      </w:r>
      <w:r>
        <w:rPr>
          <w:rFonts w:hint="eastAsia" w:ascii="方正小标宋简体" w:hAnsi="方正小标宋简体" w:eastAsia="方正小标宋简体" w:cs="方正小标宋简体"/>
          <w:sz w:val="72"/>
          <w:szCs w:val="72"/>
          <w:lang w:val="en-US" w:eastAsia="zh-CN"/>
        </w:rPr>
        <w:t>部门决算公开编制说明</w:t>
      </w:r>
    </w:p>
    <w:p>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pPr>
        <w:widowControl/>
        <w:jc w:val="center"/>
        <w:rPr>
          <w:rFonts w:ascii="黑体" w:hAnsi="黑体" w:eastAsia="黑体" w:cstheme="minorBidi"/>
          <w:color w:val="auto"/>
          <w:sz w:val="28"/>
          <w:szCs w:val="28"/>
          <w:highlight w:val="none"/>
        </w:rPr>
      </w:pPr>
    </w:p>
    <w:p>
      <w:pPr>
        <w:pStyle w:val="11"/>
        <w:rPr>
          <w:color w:val="auto"/>
          <w:highlight w:val="none"/>
        </w:rPr>
      </w:pPr>
      <w:r>
        <w:rPr>
          <w:rFonts w:hint="eastAsia"/>
          <w:color w:val="auto"/>
          <w:highlight w:val="none"/>
        </w:rPr>
        <w:t>公开时间：20</w:t>
      </w:r>
      <w:r>
        <w:rPr>
          <w:rFonts w:hint="eastAsia"/>
          <w:color w:val="auto"/>
          <w:highlight w:val="none"/>
          <w:lang w:val="en-US" w:eastAsia="zh-CN"/>
        </w:rPr>
        <w:t>23</w:t>
      </w:r>
      <w:r>
        <w:rPr>
          <w:rFonts w:hint="eastAsia"/>
          <w:color w:val="auto"/>
          <w:highlight w:val="none"/>
        </w:rPr>
        <w:t>年</w:t>
      </w:r>
      <w:r>
        <w:rPr>
          <w:rFonts w:hint="eastAsia"/>
          <w:color w:val="auto"/>
          <w:highlight w:val="none"/>
          <w:lang w:val="en-US" w:eastAsia="zh-CN"/>
        </w:rPr>
        <w:t>11</w:t>
      </w:r>
      <w:r>
        <w:rPr>
          <w:rFonts w:hint="eastAsia"/>
          <w:color w:val="auto"/>
          <w:highlight w:val="none"/>
        </w:rPr>
        <w:t>月</w:t>
      </w:r>
      <w:r>
        <w:rPr>
          <w:rFonts w:hint="eastAsia"/>
          <w:color w:val="auto"/>
          <w:highlight w:val="none"/>
          <w:lang w:val="en-US" w:eastAsia="zh-CN"/>
        </w:rPr>
        <w:t>9</w:t>
      </w:r>
      <w:r>
        <w:rPr>
          <w:rFonts w:hint="eastAsia"/>
          <w:color w:val="auto"/>
          <w:highlight w:val="none"/>
        </w:rPr>
        <w:t>日</w:t>
      </w:r>
    </w:p>
    <w:p>
      <w:pPr>
        <w:rPr>
          <w:color w:val="auto"/>
          <w:highlight w:val="none"/>
        </w:rPr>
      </w:pPr>
    </w:p>
    <w:sdt>
      <w:sdtPr>
        <w:rPr>
          <w:rFonts w:ascii="宋体" w:hAnsi="宋体" w:eastAsia="宋体" w:cs="Times New Roman"/>
          <w:kern w:val="2"/>
          <w:sz w:val="21"/>
          <w:szCs w:val="24"/>
          <w:lang w:val="en-US" w:eastAsia="zh-CN" w:bidi="ar-SA"/>
        </w:rPr>
        <w:id w:val="147478524"/>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bookmarkStart w:id="6" w:name="_Toc15377196"/>
          <w:bookmarkStart w:id="7" w:name="_Toc15396599"/>
        </w:p>
        <w:p>
          <w:pPr>
            <w:pStyle w:val="11"/>
            <w:tabs>
              <w:tab w:val="right" w:leader="dot" w:pos="8306"/>
              <w:tab w:val="clear" w:pos="8296"/>
            </w:tabs>
          </w:pPr>
          <w:r>
            <w:fldChar w:fldCharType="begin"/>
          </w:r>
          <w:r>
            <w:instrText xml:space="preserve">TOC \o "1-3" \h \u </w:instrText>
          </w:r>
          <w:r>
            <w:fldChar w:fldCharType="separate"/>
          </w:r>
          <w:r>
            <w:fldChar w:fldCharType="begin"/>
          </w:r>
          <w:r>
            <w:instrText xml:space="preserve"> HYPERLINK \l _Toc429 </w:instrText>
          </w:r>
          <w:r>
            <w:fldChar w:fldCharType="separate"/>
          </w:r>
          <w:r>
            <w:rPr>
              <w:rFonts w:hint="eastAsia" w:ascii="黑体" w:hAnsi="黑体" w:eastAsia="黑体"/>
              <w:highlight w:val="none"/>
            </w:rPr>
            <w:t xml:space="preserve">第一部分 </w:t>
          </w:r>
          <w:r>
            <w:rPr>
              <w:rFonts w:hint="eastAsia" w:ascii="黑体" w:hAnsi="黑体" w:eastAsia="黑体"/>
              <w:bCs w:val="0"/>
              <w:highlight w:val="none"/>
            </w:rPr>
            <w:t>部门概况</w:t>
          </w:r>
          <w:r>
            <w:tab/>
          </w:r>
          <w:r>
            <w:fldChar w:fldCharType="begin"/>
          </w:r>
          <w:r>
            <w:instrText xml:space="preserve"> PAGEREF _Toc429 \h </w:instrText>
          </w:r>
          <w:r>
            <w:fldChar w:fldCharType="separate"/>
          </w:r>
          <w:r>
            <w:t>4</w:t>
          </w:r>
          <w:r>
            <w:fldChar w:fldCharType="end"/>
          </w:r>
          <w:r>
            <w:fldChar w:fldCharType="end"/>
          </w:r>
        </w:p>
        <w:p>
          <w:pPr>
            <w:pStyle w:val="12"/>
            <w:tabs>
              <w:tab w:val="right" w:leader="dot" w:pos="8306"/>
              <w:tab w:val="clear" w:pos="8296"/>
            </w:tabs>
          </w:pPr>
          <w:r>
            <w:fldChar w:fldCharType="begin"/>
          </w:r>
          <w:r>
            <w:instrText xml:space="preserve"> HYPERLINK \l _Toc32482 </w:instrText>
          </w:r>
          <w:r>
            <w:fldChar w:fldCharType="separate"/>
          </w:r>
          <w:r>
            <w:rPr>
              <w:rFonts w:hint="eastAsia" w:ascii="黑体" w:hAnsi="黑体" w:eastAsia="黑体"/>
              <w:lang w:eastAsia="zh-CN"/>
            </w:rPr>
            <w:t xml:space="preserve">一、 </w:t>
          </w:r>
          <w:r>
            <w:rPr>
              <w:rFonts w:hint="eastAsia" w:ascii="黑体" w:hAnsi="黑体" w:eastAsia="黑体"/>
              <w:highlight w:val="none"/>
              <w:lang w:eastAsia="zh-CN"/>
            </w:rPr>
            <w:t>部门职责</w:t>
          </w:r>
          <w:r>
            <w:tab/>
          </w:r>
          <w:r>
            <w:fldChar w:fldCharType="begin"/>
          </w:r>
          <w:r>
            <w:instrText xml:space="preserve"> PAGEREF _Toc32482 \h </w:instrText>
          </w:r>
          <w:r>
            <w:fldChar w:fldCharType="separate"/>
          </w:r>
          <w:r>
            <w:t>4</w:t>
          </w:r>
          <w:r>
            <w:fldChar w:fldCharType="end"/>
          </w:r>
          <w:r>
            <w:fldChar w:fldCharType="end"/>
          </w:r>
        </w:p>
        <w:p>
          <w:pPr>
            <w:pStyle w:val="12"/>
            <w:tabs>
              <w:tab w:val="right" w:leader="dot" w:pos="8306"/>
              <w:tab w:val="clear" w:pos="8296"/>
            </w:tabs>
          </w:pPr>
          <w:r>
            <w:fldChar w:fldCharType="begin"/>
          </w:r>
          <w:r>
            <w:instrText xml:space="preserve"> HYPERLINK \l _Toc21256 </w:instrText>
          </w:r>
          <w:r>
            <w:fldChar w:fldCharType="separate"/>
          </w:r>
          <w:r>
            <w:rPr>
              <w:rFonts w:hint="eastAsia" w:ascii="黑体" w:eastAsia="黑体"/>
              <w:highlight w:val="none"/>
            </w:rPr>
            <w:t>二、</w:t>
          </w:r>
          <w:r>
            <w:rPr>
              <w:rFonts w:hint="eastAsia" w:ascii="黑体" w:hAnsi="黑体" w:eastAsia="黑体"/>
              <w:highlight w:val="none"/>
            </w:rPr>
            <w:t>机</w:t>
          </w:r>
          <w:r>
            <w:rPr>
              <w:rFonts w:hint="eastAsia" w:ascii="黑体" w:hAnsi="黑体" w:eastAsia="黑体"/>
              <w:bCs w:val="0"/>
              <w:highlight w:val="none"/>
            </w:rPr>
            <w:t>构设置</w:t>
          </w:r>
          <w:r>
            <w:tab/>
          </w:r>
          <w:r>
            <w:fldChar w:fldCharType="begin"/>
          </w:r>
          <w:r>
            <w:instrText xml:space="preserve"> PAGEREF _Toc21256 \h </w:instrText>
          </w:r>
          <w:r>
            <w:fldChar w:fldCharType="separate"/>
          </w:r>
          <w:r>
            <w:t>4</w:t>
          </w:r>
          <w:r>
            <w:fldChar w:fldCharType="end"/>
          </w:r>
          <w:r>
            <w:fldChar w:fldCharType="end"/>
          </w:r>
        </w:p>
        <w:p>
          <w:pPr>
            <w:pStyle w:val="11"/>
            <w:tabs>
              <w:tab w:val="right" w:leader="dot" w:pos="8306"/>
              <w:tab w:val="clear" w:pos="8296"/>
            </w:tabs>
          </w:pPr>
          <w:r>
            <w:fldChar w:fldCharType="begin"/>
          </w:r>
          <w:r>
            <w:instrText xml:space="preserve"> HYPERLINK \l _Toc27635 </w:instrText>
          </w:r>
          <w:r>
            <w:fldChar w:fldCharType="separate"/>
          </w:r>
          <w:r>
            <w:rPr>
              <w:rFonts w:hint="eastAsia" w:ascii="黑体" w:hAnsi="黑体" w:eastAsia="黑体"/>
              <w:bCs/>
              <w:highlight w:val="none"/>
            </w:rPr>
            <w:t xml:space="preserve">第二部分 </w:t>
          </w:r>
          <w:r>
            <w:rPr>
              <w:rFonts w:hint="eastAsia" w:ascii="黑体" w:hAnsi="黑体" w:eastAsia="黑体"/>
              <w:bCs/>
              <w:highlight w:val="none"/>
              <w:lang w:val="en-US" w:eastAsia="zh-CN"/>
            </w:rPr>
            <w:t>2022年度</w:t>
          </w:r>
          <w:r>
            <w:rPr>
              <w:rFonts w:hint="eastAsia" w:ascii="黑体" w:hAnsi="黑体" w:eastAsia="黑体"/>
              <w:bCs/>
              <w:highlight w:val="none"/>
            </w:rPr>
            <w:t>部门决算情况说明</w:t>
          </w:r>
          <w:r>
            <w:tab/>
          </w:r>
          <w:r>
            <w:fldChar w:fldCharType="begin"/>
          </w:r>
          <w:r>
            <w:instrText xml:space="preserve"> PAGEREF _Toc27635 \h </w:instrText>
          </w:r>
          <w:r>
            <w:fldChar w:fldCharType="separate"/>
          </w:r>
          <w:r>
            <w:t>6</w:t>
          </w:r>
          <w:r>
            <w:fldChar w:fldCharType="end"/>
          </w:r>
          <w:r>
            <w:fldChar w:fldCharType="end"/>
          </w:r>
        </w:p>
        <w:p>
          <w:pPr>
            <w:pStyle w:val="12"/>
            <w:tabs>
              <w:tab w:val="right" w:leader="dot" w:pos="8306"/>
              <w:tab w:val="clear" w:pos="8296"/>
            </w:tabs>
          </w:pPr>
          <w:r>
            <w:fldChar w:fldCharType="begin"/>
          </w:r>
          <w:r>
            <w:instrText xml:space="preserve"> HYPERLINK \l _Toc14091 </w:instrText>
          </w:r>
          <w:r>
            <w:fldChar w:fldCharType="separate"/>
          </w:r>
          <w:r>
            <w:rPr>
              <w:rFonts w:hint="default" w:ascii="黑体" w:hAnsi="黑体" w:eastAsia="黑体"/>
            </w:rPr>
            <w:t xml:space="preserve">一、 </w:t>
          </w:r>
          <w:r>
            <w:rPr>
              <w:rFonts w:hint="eastAsia" w:ascii="黑体" w:hAnsi="黑体" w:eastAsia="黑体"/>
              <w:szCs w:val="32"/>
              <w:highlight w:val="none"/>
            </w:rPr>
            <w:t>收</w:t>
          </w:r>
          <w:r>
            <w:rPr>
              <w:rFonts w:hint="eastAsia" w:ascii="黑体" w:hAnsi="黑体" w:eastAsia="黑体"/>
              <w:highlight w:val="none"/>
            </w:rPr>
            <w:t>入支出决算总体情况说明</w:t>
          </w:r>
          <w:r>
            <w:tab/>
          </w:r>
          <w:r>
            <w:fldChar w:fldCharType="begin"/>
          </w:r>
          <w:r>
            <w:instrText xml:space="preserve"> PAGEREF _Toc14091 \h </w:instrText>
          </w:r>
          <w:r>
            <w:fldChar w:fldCharType="separate"/>
          </w:r>
          <w:r>
            <w:t>6</w:t>
          </w:r>
          <w:r>
            <w:fldChar w:fldCharType="end"/>
          </w:r>
          <w:r>
            <w:fldChar w:fldCharType="end"/>
          </w:r>
        </w:p>
        <w:p>
          <w:pPr>
            <w:pStyle w:val="12"/>
            <w:tabs>
              <w:tab w:val="right" w:leader="dot" w:pos="8306"/>
              <w:tab w:val="clear" w:pos="8296"/>
            </w:tabs>
          </w:pPr>
          <w:r>
            <w:fldChar w:fldCharType="begin"/>
          </w:r>
          <w:r>
            <w:instrText xml:space="preserve"> HYPERLINK \l _Toc21093 </w:instrText>
          </w:r>
          <w:r>
            <w:fldChar w:fldCharType="separate"/>
          </w:r>
          <w:r>
            <w:rPr>
              <w:rFonts w:hint="default" w:ascii="黑体" w:hAnsi="黑体" w:eastAsia="黑体"/>
            </w:rPr>
            <w:t xml:space="preserve">二、 </w:t>
          </w:r>
          <w:r>
            <w:rPr>
              <w:rFonts w:hint="eastAsia" w:ascii="黑体" w:hAnsi="黑体" w:eastAsia="黑体"/>
              <w:szCs w:val="32"/>
              <w:highlight w:val="none"/>
            </w:rPr>
            <w:t>收</w:t>
          </w:r>
          <w:r>
            <w:rPr>
              <w:rFonts w:hint="eastAsia" w:ascii="黑体" w:hAnsi="黑体" w:eastAsia="黑体"/>
              <w:highlight w:val="none"/>
            </w:rPr>
            <w:t>入决算情况说明</w:t>
          </w:r>
          <w:r>
            <w:tab/>
          </w:r>
          <w:r>
            <w:fldChar w:fldCharType="begin"/>
          </w:r>
          <w:r>
            <w:instrText xml:space="preserve"> PAGEREF _Toc21093 \h </w:instrText>
          </w:r>
          <w:r>
            <w:fldChar w:fldCharType="separate"/>
          </w:r>
          <w:r>
            <w:t>6</w:t>
          </w:r>
          <w:r>
            <w:fldChar w:fldCharType="end"/>
          </w:r>
          <w:r>
            <w:fldChar w:fldCharType="end"/>
          </w:r>
        </w:p>
        <w:p>
          <w:pPr>
            <w:pStyle w:val="12"/>
            <w:tabs>
              <w:tab w:val="right" w:leader="dot" w:pos="8306"/>
              <w:tab w:val="clear" w:pos="8296"/>
            </w:tabs>
          </w:pPr>
          <w:r>
            <w:fldChar w:fldCharType="begin"/>
          </w:r>
          <w:r>
            <w:instrText xml:space="preserve"> HYPERLINK \l _Toc4064 </w:instrText>
          </w:r>
          <w:r>
            <w:fldChar w:fldCharType="separate"/>
          </w:r>
          <w:r>
            <w:rPr>
              <w:rFonts w:hint="default" w:ascii="黑体" w:hAnsi="黑体" w:eastAsia="黑体"/>
            </w:rPr>
            <w:t xml:space="preserve">三、 </w:t>
          </w:r>
          <w:r>
            <w:rPr>
              <w:rFonts w:hint="eastAsia" w:ascii="黑体" w:hAnsi="黑体" w:eastAsia="黑体"/>
              <w:szCs w:val="32"/>
              <w:highlight w:val="none"/>
            </w:rPr>
            <w:t>支</w:t>
          </w:r>
          <w:r>
            <w:rPr>
              <w:rFonts w:hint="eastAsia" w:ascii="黑体" w:hAnsi="黑体" w:eastAsia="黑体"/>
              <w:highlight w:val="none"/>
            </w:rPr>
            <w:t>出决算情况说明</w:t>
          </w:r>
          <w:r>
            <w:tab/>
          </w:r>
          <w:r>
            <w:fldChar w:fldCharType="begin"/>
          </w:r>
          <w:r>
            <w:instrText xml:space="preserve"> PAGEREF _Toc4064 \h </w:instrText>
          </w:r>
          <w:r>
            <w:fldChar w:fldCharType="separate"/>
          </w:r>
          <w:r>
            <w:t>7</w:t>
          </w:r>
          <w:r>
            <w:fldChar w:fldCharType="end"/>
          </w:r>
          <w:r>
            <w:fldChar w:fldCharType="end"/>
          </w:r>
        </w:p>
        <w:p>
          <w:pPr>
            <w:pStyle w:val="12"/>
            <w:tabs>
              <w:tab w:val="right" w:leader="dot" w:pos="8306"/>
              <w:tab w:val="clear" w:pos="8296"/>
            </w:tabs>
          </w:pPr>
          <w:r>
            <w:fldChar w:fldCharType="begin"/>
          </w:r>
          <w:r>
            <w:instrText xml:space="preserve"> HYPERLINK \l _Toc22665 </w:instrText>
          </w:r>
          <w:r>
            <w:fldChar w:fldCharType="separate"/>
          </w:r>
          <w:r>
            <w:rPr>
              <w:rFonts w:hint="eastAsia" w:ascii="黑体" w:hAnsi="黑体" w:eastAsia="黑体"/>
              <w:szCs w:val="32"/>
              <w:highlight w:val="none"/>
            </w:rPr>
            <w:t>四、财</w:t>
          </w:r>
          <w:r>
            <w:rPr>
              <w:rFonts w:hint="eastAsia" w:ascii="黑体" w:hAnsi="黑体" w:eastAsia="黑体"/>
              <w:highlight w:val="none"/>
            </w:rPr>
            <w:t>政拨款收入支出决算总体情况说明</w:t>
          </w:r>
          <w:r>
            <w:tab/>
          </w:r>
          <w:r>
            <w:fldChar w:fldCharType="begin"/>
          </w:r>
          <w:r>
            <w:instrText xml:space="preserve"> PAGEREF _Toc22665 \h </w:instrText>
          </w:r>
          <w:r>
            <w:fldChar w:fldCharType="separate"/>
          </w:r>
          <w:r>
            <w:t>8</w:t>
          </w:r>
          <w:r>
            <w:fldChar w:fldCharType="end"/>
          </w:r>
          <w:r>
            <w:fldChar w:fldCharType="end"/>
          </w:r>
        </w:p>
        <w:p>
          <w:pPr>
            <w:pStyle w:val="12"/>
            <w:tabs>
              <w:tab w:val="right" w:leader="dot" w:pos="8306"/>
              <w:tab w:val="clear" w:pos="8296"/>
            </w:tabs>
          </w:pPr>
          <w:r>
            <w:fldChar w:fldCharType="begin"/>
          </w:r>
          <w:r>
            <w:instrText xml:space="preserve"> HYPERLINK \l _Toc11318 </w:instrText>
          </w:r>
          <w:r>
            <w:fldChar w:fldCharType="separate"/>
          </w:r>
          <w:r>
            <w:rPr>
              <w:rFonts w:hint="eastAsia" w:ascii="黑体" w:hAnsi="黑体" w:eastAsia="黑体"/>
              <w:szCs w:val="32"/>
              <w:highlight w:val="none"/>
            </w:rPr>
            <w:t>五、一</w:t>
          </w:r>
          <w:r>
            <w:rPr>
              <w:rFonts w:hint="eastAsia" w:ascii="黑体" w:hAnsi="黑体" w:eastAsia="黑体"/>
              <w:highlight w:val="none"/>
            </w:rPr>
            <w:t>般公共预算财政拨款支出决算情况说明</w:t>
          </w:r>
          <w:r>
            <w:tab/>
          </w:r>
          <w:r>
            <w:fldChar w:fldCharType="begin"/>
          </w:r>
          <w:r>
            <w:instrText xml:space="preserve"> PAGEREF _Toc11318 \h </w:instrText>
          </w:r>
          <w:r>
            <w:fldChar w:fldCharType="separate"/>
          </w:r>
          <w:r>
            <w:t>9</w:t>
          </w:r>
          <w:r>
            <w:fldChar w:fldCharType="end"/>
          </w:r>
          <w:r>
            <w:fldChar w:fldCharType="end"/>
          </w:r>
        </w:p>
        <w:p>
          <w:pPr>
            <w:pStyle w:val="7"/>
            <w:tabs>
              <w:tab w:val="right" w:leader="dot" w:pos="8306"/>
              <w:tab w:val="clear" w:pos="8296"/>
            </w:tabs>
          </w:pPr>
          <w:r>
            <w:fldChar w:fldCharType="begin"/>
          </w:r>
          <w:r>
            <w:instrText xml:space="preserve"> HYPERLINK \l _Toc21858 </w:instrText>
          </w:r>
          <w:r>
            <w:fldChar w:fldCharType="separate"/>
          </w:r>
          <w:r>
            <w:rPr>
              <w:rFonts w:hint="eastAsia" w:ascii="仿宋" w:hAnsi="仿宋" w:eastAsia="仿宋"/>
              <w:szCs w:val="32"/>
              <w:highlight w:val="none"/>
            </w:rPr>
            <w:t>（一）一般公共预算财政拨款支出决算总体情况</w:t>
          </w:r>
          <w:r>
            <w:tab/>
          </w:r>
          <w:r>
            <w:fldChar w:fldCharType="begin"/>
          </w:r>
          <w:r>
            <w:instrText xml:space="preserve"> PAGEREF _Toc21858 \h </w:instrText>
          </w:r>
          <w:r>
            <w:fldChar w:fldCharType="separate"/>
          </w:r>
          <w:r>
            <w:t>9</w:t>
          </w:r>
          <w:r>
            <w:fldChar w:fldCharType="end"/>
          </w:r>
          <w:r>
            <w:fldChar w:fldCharType="end"/>
          </w:r>
        </w:p>
        <w:p>
          <w:pPr>
            <w:pStyle w:val="7"/>
            <w:tabs>
              <w:tab w:val="right" w:leader="dot" w:pos="8306"/>
              <w:tab w:val="clear" w:pos="8296"/>
            </w:tabs>
          </w:pPr>
          <w:r>
            <w:fldChar w:fldCharType="begin"/>
          </w:r>
          <w:r>
            <w:instrText xml:space="preserve"> HYPERLINK \l _Toc9654 </w:instrText>
          </w:r>
          <w:r>
            <w:fldChar w:fldCharType="separate"/>
          </w:r>
          <w:r>
            <w:rPr>
              <w:rFonts w:hint="eastAsia" w:ascii="仿宋" w:hAnsi="仿宋" w:eastAsia="仿宋"/>
              <w:szCs w:val="32"/>
              <w:highlight w:val="none"/>
            </w:rPr>
            <w:t>（二）一般公共预算财政拨款支出决算结构情况</w:t>
          </w:r>
          <w:r>
            <w:tab/>
          </w:r>
          <w:r>
            <w:fldChar w:fldCharType="begin"/>
          </w:r>
          <w:r>
            <w:instrText xml:space="preserve"> PAGEREF _Toc9654 \h </w:instrText>
          </w:r>
          <w:r>
            <w:fldChar w:fldCharType="separate"/>
          </w:r>
          <w:r>
            <w:t>9</w:t>
          </w:r>
          <w:r>
            <w:fldChar w:fldCharType="end"/>
          </w:r>
          <w:r>
            <w:fldChar w:fldCharType="end"/>
          </w:r>
        </w:p>
        <w:p>
          <w:pPr>
            <w:pStyle w:val="7"/>
            <w:tabs>
              <w:tab w:val="right" w:leader="dot" w:pos="8306"/>
              <w:tab w:val="clear" w:pos="8296"/>
            </w:tabs>
          </w:pPr>
          <w:r>
            <w:fldChar w:fldCharType="begin"/>
          </w:r>
          <w:r>
            <w:instrText xml:space="preserve"> HYPERLINK \l _Toc26600 </w:instrText>
          </w:r>
          <w:r>
            <w:fldChar w:fldCharType="separate"/>
          </w:r>
          <w:r>
            <w:rPr>
              <w:rFonts w:hint="eastAsia" w:ascii="仿宋" w:hAnsi="仿宋" w:eastAsia="仿宋"/>
              <w:szCs w:val="32"/>
              <w:highlight w:val="none"/>
            </w:rPr>
            <w:t>（三）一般公共预算财政拨款支出决算具体情况</w:t>
          </w:r>
          <w:r>
            <w:tab/>
          </w:r>
          <w:r>
            <w:fldChar w:fldCharType="begin"/>
          </w:r>
          <w:r>
            <w:instrText xml:space="preserve"> PAGEREF _Toc26600 \h </w:instrText>
          </w:r>
          <w:r>
            <w:fldChar w:fldCharType="separate"/>
          </w:r>
          <w:r>
            <w:t>10</w:t>
          </w:r>
          <w:r>
            <w:fldChar w:fldCharType="end"/>
          </w:r>
          <w:r>
            <w:fldChar w:fldCharType="end"/>
          </w:r>
        </w:p>
        <w:p>
          <w:pPr>
            <w:pStyle w:val="12"/>
            <w:tabs>
              <w:tab w:val="right" w:leader="dot" w:pos="8306"/>
              <w:tab w:val="clear" w:pos="8296"/>
            </w:tabs>
          </w:pPr>
          <w:r>
            <w:fldChar w:fldCharType="begin"/>
          </w:r>
          <w:r>
            <w:instrText xml:space="preserve"> HYPERLINK \l _Toc951 </w:instrText>
          </w:r>
          <w:r>
            <w:fldChar w:fldCharType="separate"/>
          </w:r>
          <w:r>
            <w:rPr>
              <w:rFonts w:hint="eastAsia" w:ascii="黑体" w:eastAsia="黑体"/>
              <w:szCs w:val="32"/>
              <w:highlight w:val="none"/>
            </w:rPr>
            <w:t>六、</w:t>
          </w:r>
          <w:r>
            <w:rPr>
              <w:rFonts w:hint="eastAsia" w:ascii="黑体" w:hAnsi="黑体" w:eastAsia="黑体"/>
              <w:szCs w:val="32"/>
              <w:highlight w:val="none"/>
            </w:rPr>
            <w:t>一</w:t>
          </w:r>
          <w:r>
            <w:rPr>
              <w:rFonts w:hint="eastAsia" w:ascii="黑体" w:hAnsi="黑体" w:eastAsia="黑体"/>
              <w:highlight w:val="none"/>
            </w:rPr>
            <w:t>般公共预算财政拨款基本支出决算情况说明</w:t>
          </w:r>
          <w:r>
            <w:tab/>
          </w:r>
          <w:r>
            <w:fldChar w:fldCharType="begin"/>
          </w:r>
          <w:r>
            <w:instrText xml:space="preserve"> PAGEREF _Toc951 \h </w:instrText>
          </w:r>
          <w:r>
            <w:fldChar w:fldCharType="separate"/>
          </w:r>
          <w:r>
            <w:t>13</w:t>
          </w:r>
          <w:r>
            <w:fldChar w:fldCharType="end"/>
          </w:r>
          <w:r>
            <w:fldChar w:fldCharType="end"/>
          </w:r>
        </w:p>
        <w:p>
          <w:pPr>
            <w:pStyle w:val="12"/>
            <w:tabs>
              <w:tab w:val="right" w:leader="dot" w:pos="8306"/>
              <w:tab w:val="clear" w:pos="8296"/>
            </w:tabs>
          </w:pPr>
          <w:r>
            <w:fldChar w:fldCharType="begin"/>
          </w:r>
          <w:r>
            <w:instrText xml:space="preserve"> HYPERLINK \l _Toc21832 </w:instrText>
          </w:r>
          <w:r>
            <w:fldChar w:fldCharType="separate"/>
          </w:r>
          <w:r>
            <w:rPr>
              <w:rFonts w:hint="eastAsia" w:ascii="黑体" w:eastAsia="黑体"/>
              <w:szCs w:val="32"/>
              <w:highlight w:val="none"/>
            </w:rPr>
            <w:t>七、</w:t>
          </w:r>
          <w:r>
            <w:rPr>
              <w:rFonts w:hint="eastAsia" w:ascii="黑体" w:hAnsi="黑体" w:eastAsia="黑体"/>
              <w:highlight w:val="none"/>
            </w:rPr>
            <w:t>财政拨款“三公”经费支出决算情况说明</w:t>
          </w:r>
          <w:r>
            <w:tab/>
          </w:r>
          <w:r>
            <w:fldChar w:fldCharType="begin"/>
          </w:r>
          <w:r>
            <w:instrText xml:space="preserve"> PAGEREF _Toc21832 \h </w:instrText>
          </w:r>
          <w:r>
            <w:fldChar w:fldCharType="separate"/>
          </w:r>
          <w:r>
            <w:t>13</w:t>
          </w:r>
          <w:r>
            <w:fldChar w:fldCharType="end"/>
          </w:r>
          <w:r>
            <w:fldChar w:fldCharType="end"/>
          </w:r>
        </w:p>
        <w:p>
          <w:pPr>
            <w:pStyle w:val="7"/>
            <w:tabs>
              <w:tab w:val="right" w:leader="dot" w:pos="8306"/>
              <w:tab w:val="clear" w:pos="8296"/>
            </w:tabs>
          </w:pPr>
          <w:r>
            <w:fldChar w:fldCharType="begin"/>
          </w:r>
          <w:r>
            <w:instrText xml:space="preserve"> HYPERLINK \l _Toc19717 </w:instrText>
          </w:r>
          <w:r>
            <w:fldChar w:fldCharType="separate"/>
          </w:r>
          <w:r>
            <w:rPr>
              <w:rFonts w:hint="eastAsia" w:ascii="仿宋" w:hAnsi="仿宋" w:eastAsia="仿宋"/>
              <w:szCs w:val="32"/>
              <w:highlight w:val="none"/>
            </w:rPr>
            <w:t>（一）“三公”经费财政拨款支出决算总体情况说明</w:t>
          </w:r>
          <w:r>
            <w:tab/>
          </w:r>
          <w:r>
            <w:fldChar w:fldCharType="begin"/>
          </w:r>
          <w:r>
            <w:instrText xml:space="preserve"> PAGEREF _Toc19717 \h </w:instrText>
          </w:r>
          <w:r>
            <w:fldChar w:fldCharType="separate"/>
          </w:r>
          <w:r>
            <w:t>13</w:t>
          </w:r>
          <w:r>
            <w:fldChar w:fldCharType="end"/>
          </w:r>
          <w:r>
            <w:fldChar w:fldCharType="end"/>
          </w:r>
        </w:p>
        <w:p>
          <w:pPr>
            <w:pStyle w:val="7"/>
            <w:tabs>
              <w:tab w:val="right" w:leader="dot" w:pos="8306"/>
              <w:tab w:val="clear" w:pos="8296"/>
            </w:tabs>
          </w:pPr>
          <w:r>
            <w:fldChar w:fldCharType="begin"/>
          </w:r>
          <w:r>
            <w:instrText xml:space="preserve"> HYPERLINK \l _Toc20017 </w:instrText>
          </w:r>
          <w:r>
            <w:fldChar w:fldCharType="separate"/>
          </w:r>
          <w:r>
            <w:rPr>
              <w:rFonts w:hint="eastAsia" w:ascii="仿宋" w:hAnsi="仿宋" w:eastAsia="仿宋"/>
              <w:szCs w:val="32"/>
              <w:highlight w:val="none"/>
            </w:rPr>
            <w:t>（二）“三公”经费财政拨款支出决算具体情况说明</w:t>
          </w:r>
          <w:r>
            <w:tab/>
          </w:r>
          <w:r>
            <w:fldChar w:fldCharType="begin"/>
          </w:r>
          <w:r>
            <w:instrText xml:space="preserve"> PAGEREF _Toc20017 \h </w:instrText>
          </w:r>
          <w:r>
            <w:fldChar w:fldCharType="separate"/>
          </w:r>
          <w:r>
            <w:t>14</w:t>
          </w:r>
          <w:r>
            <w:fldChar w:fldCharType="end"/>
          </w:r>
          <w:r>
            <w:fldChar w:fldCharType="end"/>
          </w:r>
        </w:p>
        <w:p>
          <w:pPr>
            <w:pStyle w:val="12"/>
            <w:tabs>
              <w:tab w:val="right" w:leader="dot" w:pos="8306"/>
              <w:tab w:val="clear" w:pos="8296"/>
            </w:tabs>
          </w:pPr>
          <w:r>
            <w:fldChar w:fldCharType="begin"/>
          </w:r>
          <w:r>
            <w:instrText xml:space="preserve"> HYPERLINK \l _Toc18553 </w:instrText>
          </w:r>
          <w:r>
            <w:fldChar w:fldCharType="separate"/>
          </w:r>
          <w:r>
            <w:rPr>
              <w:rFonts w:hint="eastAsia" w:ascii="黑体" w:eastAsia="黑体"/>
              <w:szCs w:val="32"/>
              <w:highlight w:val="none"/>
            </w:rPr>
            <w:t>八、</w:t>
          </w:r>
          <w:r>
            <w:rPr>
              <w:rFonts w:hint="eastAsia" w:ascii="黑体" w:hAnsi="黑体" w:eastAsia="黑体"/>
              <w:highlight w:val="none"/>
            </w:rPr>
            <w:t>政府性基金预算支出决算情况说明</w:t>
          </w:r>
          <w:r>
            <w:tab/>
          </w:r>
          <w:r>
            <w:fldChar w:fldCharType="begin"/>
          </w:r>
          <w:r>
            <w:instrText xml:space="preserve"> PAGEREF _Toc18553 \h </w:instrText>
          </w:r>
          <w:r>
            <w:fldChar w:fldCharType="separate"/>
          </w:r>
          <w:r>
            <w:t>15</w:t>
          </w:r>
          <w:r>
            <w:fldChar w:fldCharType="end"/>
          </w:r>
          <w:r>
            <w:fldChar w:fldCharType="end"/>
          </w:r>
        </w:p>
        <w:p>
          <w:pPr>
            <w:pStyle w:val="12"/>
            <w:tabs>
              <w:tab w:val="right" w:leader="dot" w:pos="8306"/>
              <w:tab w:val="clear" w:pos="8296"/>
            </w:tabs>
          </w:pPr>
          <w:r>
            <w:fldChar w:fldCharType="begin"/>
          </w:r>
          <w:r>
            <w:instrText xml:space="preserve"> HYPERLINK \l _Toc31592 </w:instrText>
          </w:r>
          <w:r>
            <w:fldChar w:fldCharType="separate"/>
          </w:r>
          <w:r>
            <w:rPr>
              <w:rFonts w:hint="eastAsia" w:ascii="黑体" w:hAnsi="黑体" w:eastAsia="黑体"/>
            </w:rPr>
            <w:t xml:space="preserve">九、 </w:t>
          </w:r>
          <w:r>
            <w:rPr>
              <w:rFonts w:hint="eastAsia" w:ascii="黑体" w:hAnsi="黑体" w:eastAsia="黑体"/>
              <w:highlight w:val="none"/>
            </w:rPr>
            <w:t>国有资本经营预算支出决算情况说明</w:t>
          </w:r>
          <w:r>
            <w:tab/>
          </w:r>
          <w:r>
            <w:fldChar w:fldCharType="begin"/>
          </w:r>
          <w:r>
            <w:instrText xml:space="preserve"> PAGEREF _Toc31592 \h </w:instrText>
          </w:r>
          <w:r>
            <w:fldChar w:fldCharType="separate"/>
          </w:r>
          <w:r>
            <w:t>15</w:t>
          </w:r>
          <w:r>
            <w:fldChar w:fldCharType="end"/>
          </w:r>
          <w:r>
            <w:fldChar w:fldCharType="end"/>
          </w:r>
        </w:p>
        <w:p>
          <w:pPr>
            <w:pStyle w:val="12"/>
            <w:tabs>
              <w:tab w:val="right" w:leader="dot" w:pos="8306"/>
              <w:tab w:val="clear" w:pos="8296"/>
            </w:tabs>
          </w:pPr>
          <w:r>
            <w:fldChar w:fldCharType="begin"/>
          </w:r>
          <w:r>
            <w:instrText xml:space="preserve"> HYPERLINK \l _Toc27570 </w:instrText>
          </w:r>
          <w:r>
            <w:fldChar w:fldCharType="separate"/>
          </w:r>
          <w:r>
            <w:rPr>
              <w:rFonts w:hint="eastAsia" w:ascii="黑体" w:hAnsi="黑体" w:eastAsia="黑体"/>
            </w:rPr>
            <w:t xml:space="preserve">十、 </w:t>
          </w:r>
          <w:r>
            <w:rPr>
              <w:rFonts w:hint="eastAsia" w:ascii="黑体" w:hAnsi="黑体" w:eastAsia="黑体"/>
              <w:highlight w:val="none"/>
            </w:rPr>
            <w:t>其他重要事项的情况说明</w:t>
          </w:r>
          <w:r>
            <w:tab/>
          </w:r>
          <w:r>
            <w:fldChar w:fldCharType="begin"/>
          </w:r>
          <w:r>
            <w:instrText xml:space="preserve"> PAGEREF _Toc27570 \h </w:instrText>
          </w:r>
          <w:r>
            <w:fldChar w:fldCharType="separate"/>
          </w:r>
          <w:r>
            <w:t>15</w:t>
          </w:r>
          <w:r>
            <w:fldChar w:fldCharType="end"/>
          </w:r>
          <w:r>
            <w:fldChar w:fldCharType="end"/>
          </w:r>
        </w:p>
        <w:p>
          <w:pPr>
            <w:pStyle w:val="7"/>
            <w:tabs>
              <w:tab w:val="right" w:leader="dot" w:pos="8306"/>
              <w:tab w:val="clear" w:pos="8296"/>
            </w:tabs>
          </w:pPr>
          <w:r>
            <w:fldChar w:fldCharType="begin"/>
          </w:r>
          <w:r>
            <w:instrText xml:space="preserve"> HYPERLINK \l _Toc29764 </w:instrText>
          </w:r>
          <w:r>
            <w:fldChar w:fldCharType="separate"/>
          </w:r>
          <w:r>
            <w:rPr>
              <w:rFonts w:hint="eastAsia" w:ascii="仿宋" w:hAnsi="仿宋" w:eastAsia="仿宋"/>
              <w:szCs w:val="32"/>
              <w:highlight w:val="none"/>
            </w:rPr>
            <w:t>（一）机关运行经费支出情况</w:t>
          </w:r>
          <w:r>
            <w:tab/>
          </w:r>
          <w:r>
            <w:fldChar w:fldCharType="begin"/>
          </w:r>
          <w:r>
            <w:instrText xml:space="preserve"> PAGEREF _Toc29764 \h </w:instrText>
          </w:r>
          <w:r>
            <w:fldChar w:fldCharType="separate"/>
          </w:r>
          <w:r>
            <w:t>15</w:t>
          </w:r>
          <w:r>
            <w:fldChar w:fldCharType="end"/>
          </w:r>
          <w:r>
            <w:fldChar w:fldCharType="end"/>
          </w:r>
        </w:p>
        <w:p>
          <w:pPr>
            <w:pStyle w:val="7"/>
            <w:tabs>
              <w:tab w:val="right" w:leader="dot" w:pos="8306"/>
              <w:tab w:val="clear" w:pos="8296"/>
            </w:tabs>
          </w:pPr>
          <w:r>
            <w:fldChar w:fldCharType="begin"/>
          </w:r>
          <w:r>
            <w:instrText xml:space="preserve"> HYPERLINK \l _Toc12334 </w:instrText>
          </w:r>
          <w:r>
            <w:fldChar w:fldCharType="separate"/>
          </w:r>
          <w:r>
            <w:rPr>
              <w:rFonts w:hint="eastAsia" w:ascii="仿宋" w:hAnsi="仿宋" w:eastAsia="仿宋"/>
              <w:szCs w:val="32"/>
              <w:highlight w:val="none"/>
            </w:rPr>
            <w:t>（二）政府采购支出情况</w:t>
          </w:r>
          <w:r>
            <w:tab/>
          </w:r>
          <w:r>
            <w:fldChar w:fldCharType="begin"/>
          </w:r>
          <w:r>
            <w:instrText xml:space="preserve"> PAGEREF _Toc12334 \h </w:instrText>
          </w:r>
          <w:r>
            <w:fldChar w:fldCharType="separate"/>
          </w:r>
          <w:r>
            <w:t>15</w:t>
          </w:r>
          <w:r>
            <w:fldChar w:fldCharType="end"/>
          </w:r>
          <w:r>
            <w:fldChar w:fldCharType="end"/>
          </w:r>
        </w:p>
        <w:p>
          <w:pPr>
            <w:pStyle w:val="7"/>
            <w:tabs>
              <w:tab w:val="right" w:leader="dot" w:pos="8306"/>
              <w:tab w:val="clear" w:pos="8296"/>
            </w:tabs>
          </w:pPr>
          <w:r>
            <w:fldChar w:fldCharType="begin"/>
          </w:r>
          <w:r>
            <w:instrText xml:space="preserve"> HYPERLINK \l _Toc5567 </w:instrText>
          </w:r>
          <w:r>
            <w:fldChar w:fldCharType="separate"/>
          </w:r>
          <w:r>
            <w:rPr>
              <w:rFonts w:hint="eastAsia" w:ascii="仿宋" w:hAnsi="仿宋" w:eastAsia="仿宋"/>
              <w:szCs w:val="32"/>
              <w:highlight w:val="none"/>
            </w:rPr>
            <w:t>（三）国有资产占有使用情况</w:t>
          </w:r>
          <w:r>
            <w:tab/>
          </w:r>
          <w:r>
            <w:fldChar w:fldCharType="begin"/>
          </w:r>
          <w:r>
            <w:instrText xml:space="preserve"> PAGEREF _Toc5567 \h </w:instrText>
          </w:r>
          <w:r>
            <w:fldChar w:fldCharType="separate"/>
          </w:r>
          <w:r>
            <w:t>15</w:t>
          </w:r>
          <w:r>
            <w:fldChar w:fldCharType="end"/>
          </w:r>
          <w:r>
            <w:fldChar w:fldCharType="end"/>
          </w:r>
        </w:p>
        <w:p>
          <w:pPr>
            <w:pStyle w:val="7"/>
            <w:tabs>
              <w:tab w:val="right" w:leader="dot" w:pos="8306"/>
              <w:tab w:val="clear" w:pos="8296"/>
            </w:tabs>
          </w:pPr>
          <w:r>
            <w:fldChar w:fldCharType="begin"/>
          </w:r>
          <w:r>
            <w:instrText xml:space="preserve"> HYPERLINK \l _Toc2706 </w:instrText>
          </w:r>
          <w:r>
            <w:fldChar w:fldCharType="separate"/>
          </w:r>
          <w:r>
            <w:rPr>
              <w:rFonts w:hint="eastAsia" w:ascii="仿宋" w:hAnsi="仿宋" w:eastAsia="仿宋"/>
              <w:szCs w:val="32"/>
              <w:highlight w:val="none"/>
            </w:rPr>
            <w:t>（四）预算绩效管理情况</w:t>
          </w:r>
          <w:r>
            <w:tab/>
          </w:r>
          <w:r>
            <w:fldChar w:fldCharType="begin"/>
          </w:r>
          <w:r>
            <w:instrText xml:space="preserve"> PAGEREF _Toc2706 \h </w:instrText>
          </w:r>
          <w:r>
            <w:fldChar w:fldCharType="separate"/>
          </w:r>
          <w:r>
            <w:t>15</w:t>
          </w:r>
          <w:r>
            <w:fldChar w:fldCharType="end"/>
          </w:r>
          <w:r>
            <w:fldChar w:fldCharType="end"/>
          </w:r>
        </w:p>
        <w:p>
          <w:pPr>
            <w:pStyle w:val="11"/>
            <w:tabs>
              <w:tab w:val="right" w:leader="dot" w:pos="8306"/>
              <w:tab w:val="clear" w:pos="8296"/>
            </w:tabs>
          </w:pPr>
          <w:r>
            <w:fldChar w:fldCharType="begin"/>
          </w:r>
          <w:r>
            <w:instrText xml:space="preserve"> HYPERLINK \l _Toc10036 </w:instrText>
          </w:r>
          <w:r>
            <w:fldChar w:fldCharType="separate"/>
          </w:r>
          <w:r>
            <w:rPr>
              <w:rFonts w:hint="eastAsia" w:ascii="黑体" w:hAnsi="黑体" w:eastAsia="黑体"/>
            </w:rPr>
            <w:t xml:space="preserve">第三部分 </w:t>
          </w:r>
          <w:r>
            <w:rPr>
              <w:rFonts w:hint="eastAsia" w:ascii="黑体" w:hAnsi="黑体" w:eastAsia="黑体"/>
              <w:szCs w:val="44"/>
              <w:highlight w:val="none"/>
            </w:rPr>
            <w:t>名</w:t>
          </w:r>
          <w:r>
            <w:rPr>
              <w:rFonts w:hint="eastAsia" w:ascii="黑体" w:hAnsi="黑体" w:eastAsia="黑体"/>
              <w:highlight w:val="none"/>
            </w:rPr>
            <w:t>词解释</w:t>
          </w:r>
          <w:r>
            <w:tab/>
          </w:r>
          <w:r>
            <w:fldChar w:fldCharType="begin"/>
          </w:r>
          <w:r>
            <w:instrText xml:space="preserve"> PAGEREF _Toc10036 \h </w:instrText>
          </w:r>
          <w:r>
            <w:fldChar w:fldCharType="separate"/>
          </w:r>
          <w:r>
            <w:t>17</w:t>
          </w:r>
          <w:r>
            <w:fldChar w:fldCharType="end"/>
          </w:r>
          <w:r>
            <w:fldChar w:fldCharType="end"/>
          </w:r>
        </w:p>
        <w:p>
          <w:pPr>
            <w:pStyle w:val="11"/>
            <w:tabs>
              <w:tab w:val="right" w:leader="dot" w:pos="8306"/>
              <w:tab w:val="clear" w:pos="8296"/>
            </w:tabs>
          </w:pPr>
          <w:r>
            <w:fldChar w:fldCharType="begin"/>
          </w:r>
          <w:r>
            <w:instrText xml:space="preserve"> HYPERLINK \l _Toc23789 </w:instrText>
          </w:r>
          <w:r>
            <w:fldChar w:fldCharType="separate"/>
          </w:r>
          <w:r>
            <w:rPr>
              <w:rFonts w:hint="eastAsia" w:ascii="黑体" w:hAnsi="黑体" w:eastAsia="黑体"/>
              <w:szCs w:val="44"/>
              <w:highlight w:val="none"/>
            </w:rPr>
            <w:t>第</w:t>
          </w:r>
          <w:r>
            <w:rPr>
              <w:rFonts w:hint="eastAsia" w:ascii="黑体" w:hAnsi="黑体" w:eastAsia="黑体"/>
              <w:highlight w:val="none"/>
            </w:rPr>
            <w:t>四部分 附件</w:t>
          </w:r>
          <w:r>
            <w:tab/>
          </w:r>
          <w:r>
            <w:fldChar w:fldCharType="begin"/>
          </w:r>
          <w:r>
            <w:instrText xml:space="preserve"> PAGEREF _Toc23789 \h </w:instrText>
          </w:r>
          <w:r>
            <w:fldChar w:fldCharType="separate"/>
          </w:r>
          <w:r>
            <w:t>23</w:t>
          </w:r>
          <w:r>
            <w:fldChar w:fldCharType="end"/>
          </w:r>
          <w:r>
            <w:fldChar w:fldCharType="end"/>
          </w:r>
        </w:p>
        <w:p>
          <w:pPr>
            <w:pStyle w:val="11"/>
            <w:tabs>
              <w:tab w:val="right" w:leader="dot" w:pos="8306"/>
              <w:tab w:val="clear" w:pos="8296"/>
            </w:tabs>
          </w:pPr>
          <w:r>
            <w:fldChar w:fldCharType="begin"/>
          </w:r>
          <w:r>
            <w:instrText xml:space="preserve"> HYPERLINK \l _Toc25104 </w:instrText>
          </w:r>
          <w:r>
            <w:fldChar w:fldCharType="separate"/>
          </w:r>
          <w:r>
            <w:rPr>
              <w:rFonts w:hint="eastAsia" w:ascii="黑体" w:hAnsi="黑体" w:eastAsia="黑体"/>
              <w:szCs w:val="44"/>
              <w:highlight w:val="none"/>
            </w:rPr>
            <w:t>第</w:t>
          </w:r>
          <w:r>
            <w:rPr>
              <w:rFonts w:hint="eastAsia" w:ascii="黑体" w:hAnsi="黑体" w:eastAsia="黑体"/>
              <w:highlight w:val="none"/>
            </w:rPr>
            <w:t>五部分 附表</w:t>
          </w:r>
          <w:r>
            <w:tab/>
          </w:r>
          <w:r>
            <w:fldChar w:fldCharType="begin"/>
          </w:r>
          <w:r>
            <w:instrText xml:space="preserve"> PAGEREF _Toc25104 \h </w:instrText>
          </w:r>
          <w:r>
            <w:fldChar w:fldCharType="separate"/>
          </w:r>
          <w:r>
            <w:t>39</w:t>
          </w:r>
          <w:r>
            <w:fldChar w:fldCharType="end"/>
          </w:r>
          <w:r>
            <w:fldChar w:fldCharType="end"/>
          </w:r>
        </w:p>
        <w:p>
          <w:pPr>
            <w:pStyle w:val="12"/>
            <w:tabs>
              <w:tab w:val="right" w:leader="dot" w:pos="8306"/>
              <w:tab w:val="clear" w:pos="8296"/>
            </w:tabs>
          </w:pPr>
          <w:r>
            <w:fldChar w:fldCharType="begin"/>
          </w:r>
          <w:r>
            <w:instrText xml:space="preserve"> HYPERLINK \l _Toc17453 </w:instrText>
          </w:r>
          <w:r>
            <w:fldChar w:fldCharType="separate"/>
          </w:r>
          <w:r>
            <w:rPr>
              <w:rFonts w:hint="eastAsia" w:ascii="仿宋_GB2312" w:hAnsi="仿宋_GB2312" w:eastAsia="仿宋_GB2312" w:cs="仿宋_GB2312"/>
              <w:highlight w:val="none"/>
            </w:rPr>
            <w:t>一、收</w:t>
          </w:r>
          <w:r>
            <w:rPr>
              <w:rFonts w:hint="eastAsia" w:ascii="仿宋_GB2312" w:hAnsi="仿宋_GB2312" w:eastAsia="仿宋_GB2312" w:cs="仿宋_GB2312"/>
              <w:bCs w:val="0"/>
              <w:highlight w:val="none"/>
            </w:rPr>
            <w:t>入支出决算总表</w:t>
          </w:r>
          <w:r>
            <w:tab/>
          </w:r>
          <w:r>
            <w:fldChar w:fldCharType="begin"/>
          </w:r>
          <w:r>
            <w:instrText xml:space="preserve"> PAGEREF _Toc17453 \h </w:instrText>
          </w:r>
          <w:r>
            <w:fldChar w:fldCharType="separate"/>
          </w:r>
          <w:r>
            <w:t>39</w:t>
          </w:r>
          <w:r>
            <w:fldChar w:fldCharType="end"/>
          </w:r>
          <w:r>
            <w:fldChar w:fldCharType="end"/>
          </w:r>
        </w:p>
        <w:p>
          <w:pPr>
            <w:pStyle w:val="12"/>
            <w:tabs>
              <w:tab w:val="right" w:leader="dot" w:pos="8306"/>
              <w:tab w:val="clear" w:pos="8296"/>
            </w:tabs>
          </w:pPr>
          <w:r>
            <w:fldChar w:fldCharType="begin"/>
          </w:r>
          <w:r>
            <w:instrText xml:space="preserve"> HYPERLINK \l _Toc23545 </w:instrText>
          </w:r>
          <w:r>
            <w:fldChar w:fldCharType="separate"/>
          </w:r>
          <w:r>
            <w:rPr>
              <w:rFonts w:hint="eastAsia" w:ascii="仿宋_GB2312" w:hAnsi="仿宋_GB2312" w:eastAsia="仿宋_GB2312" w:cs="仿宋_GB2312"/>
              <w:highlight w:val="none"/>
            </w:rPr>
            <w:t>二、收</w:t>
          </w:r>
          <w:r>
            <w:rPr>
              <w:rFonts w:hint="eastAsia" w:ascii="仿宋_GB2312" w:hAnsi="仿宋_GB2312" w:eastAsia="仿宋_GB2312" w:cs="仿宋_GB2312"/>
              <w:bCs w:val="0"/>
              <w:highlight w:val="none"/>
            </w:rPr>
            <w:t>入决算表</w:t>
          </w:r>
          <w:r>
            <w:tab/>
          </w:r>
          <w:r>
            <w:fldChar w:fldCharType="begin"/>
          </w:r>
          <w:r>
            <w:instrText xml:space="preserve"> PAGEREF _Toc23545 \h </w:instrText>
          </w:r>
          <w:r>
            <w:fldChar w:fldCharType="separate"/>
          </w:r>
          <w:r>
            <w:t>39</w:t>
          </w:r>
          <w:r>
            <w:fldChar w:fldCharType="end"/>
          </w:r>
          <w:r>
            <w:fldChar w:fldCharType="end"/>
          </w:r>
        </w:p>
        <w:p>
          <w:pPr>
            <w:pStyle w:val="12"/>
            <w:tabs>
              <w:tab w:val="right" w:leader="dot" w:pos="8306"/>
              <w:tab w:val="clear" w:pos="8296"/>
            </w:tabs>
          </w:pPr>
          <w:r>
            <w:fldChar w:fldCharType="begin"/>
          </w:r>
          <w:r>
            <w:instrText xml:space="preserve"> HYPERLINK \l _Toc25120 </w:instrText>
          </w:r>
          <w:r>
            <w:fldChar w:fldCharType="separate"/>
          </w:r>
          <w:r>
            <w:rPr>
              <w:rFonts w:hint="eastAsia" w:ascii="仿宋_GB2312" w:hAnsi="仿宋_GB2312" w:eastAsia="仿宋_GB2312" w:cs="仿宋_GB2312"/>
              <w:bCs w:val="0"/>
              <w:highlight w:val="none"/>
            </w:rPr>
            <w:t>三、</w:t>
          </w:r>
          <w:r>
            <w:rPr>
              <w:rFonts w:hint="eastAsia" w:ascii="仿宋_GB2312" w:hAnsi="仿宋_GB2312" w:eastAsia="仿宋_GB2312" w:cs="仿宋_GB2312"/>
              <w:highlight w:val="none"/>
            </w:rPr>
            <w:t>支</w:t>
          </w:r>
          <w:r>
            <w:rPr>
              <w:rFonts w:hint="eastAsia" w:ascii="仿宋_GB2312" w:hAnsi="仿宋_GB2312" w:eastAsia="仿宋_GB2312" w:cs="仿宋_GB2312"/>
              <w:bCs w:val="0"/>
              <w:highlight w:val="none"/>
            </w:rPr>
            <w:t>出决算表</w:t>
          </w:r>
          <w:r>
            <w:tab/>
          </w:r>
          <w:r>
            <w:fldChar w:fldCharType="begin"/>
          </w:r>
          <w:r>
            <w:instrText xml:space="preserve"> PAGEREF _Toc25120 \h </w:instrText>
          </w:r>
          <w:r>
            <w:fldChar w:fldCharType="separate"/>
          </w:r>
          <w:r>
            <w:t>39</w:t>
          </w:r>
          <w:r>
            <w:fldChar w:fldCharType="end"/>
          </w:r>
          <w:r>
            <w:fldChar w:fldCharType="end"/>
          </w:r>
        </w:p>
        <w:p>
          <w:pPr>
            <w:pStyle w:val="12"/>
            <w:tabs>
              <w:tab w:val="right" w:leader="dot" w:pos="8306"/>
              <w:tab w:val="clear" w:pos="8296"/>
            </w:tabs>
          </w:pPr>
          <w:r>
            <w:fldChar w:fldCharType="begin"/>
          </w:r>
          <w:r>
            <w:instrText xml:space="preserve"> HYPERLINK \l _Toc3895 </w:instrText>
          </w:r>
          <w:r>
            <w:fldChar w:fldCharType="separate"/>
          </w:r>
          <w:r>
            <w:rPr>
              <w:rFonts w:hint="eastAsia" w:ascii="仿宋_GB2312" w:hAnsi="仿宋_GB2312" w:eastAsia="仿宋_GB2312" w:cs="仿宋_GB2312"/>
              <w:bCs w:val="0"/>
              <w:highlight w:val="none"/>
            </w:rPr>
            <w:t>四、</w:t>
          </w:r>
          <w:r>
            <w:rPr>
              <w:rFonts w:hint="eastAsia" w:ascii="仿宋_GB2312" w:hAnsi="仿宋_GB2312" w:eastAsia="仿宋_GB2312" w:cs="仿宋_GB2312"/>
              <w:highlight w:val="none"/>
            </w:rPr>
            <w:t>财</w:t>
          </w:r>
          <w:r>
            <w:rPr>
              <w:rFonts w:hint="eastAsia" w:ascii="仿宋_GB2312" w:hAnsi="仿宋_GB2312" w:eastAsia="仿宋_GB2312" w:cs="仿宋_GB2312"/>
              <w:bCs w:val="0"/>
              <w:highlight w:val="none"/>
            </w:rPr>
            <w:t>政拨款收入支出决算总表</w:t>
          </w:r>
          <w:r>
            <w:tab/>
          </w:r>
          <w:r>
            <w:fldChar w:fldCharType="begin"/>
          </w:r>
          <w:r>
            <w:instrText xml:space="preserve"> PAGEREF _Toc3895 \h </w:instrText>
          </w:r>
          <w:r>
            <w:fldChar w:fldCharType="separate"/>
          </w:r>
          <w:r>
            <w:t>39</w:t>
          </w:r>
          <w:r>
            <w:fldChar w:fldCharType="end"/>
          </w:r>
          <w:r>
            <w:fldChar w:fldCharType="end"/>
          </w:r>
        </w:p>
        <w:p>
          <w:pPr>
            <w:pStyle w:val="12"/>
            <w:tabs>
              <w:tab w:val="right" w:leader="dot" w:pos="8306"/>
              <w:tab w:val="clear" w:pos="8296"/>
            </w:tabs>
          </w:pPr>
          <w:r>
            <w:fldChar w:fldCharType="begin"/>
          </w:r>
          <w:r>
            <w:instrText xml:space="preserve"> HYPERLINK \l _Toc4289 </w:instrText>
          </w:r>
          <w:r>
            <w:fldChar w:fldCharType="separate"/>
          </w:r>
          <w:r>
            <w:rPr>
              <w:rFonts w:hint="eastAsia" w:ascii="仿宋_GB2312" w:hAnsi="仿宋_GB2312" w:eastAsia="仿宋_GB2312" w:cs="仿宋_GB2312"/>
              <w:bCs w:val="0"/>
              <w:highlight w:val="none"/>
            </w:rPr>
            <w:t>五、</w:t>
          </w:r>
          <w:r>
            <w:rPr>
              <w:rFonts w:hint="eastAsia" w:ascii="仿宋_GB2312" w:hAnsi="仿宋_GB2312" w:eastAsia="仿宋_GB2312" w:cs="仿宋_GB2312"/>
              <w:highlight w:val="none"/>
            </w:rPr>
            <w:t>财</w:t>
          </w:r>
          <w:r>
            <w:rPr>
              <w:rFonts w:hint="eastAsia" w:ascii="仿宋_GB2312" w:hAnsi="仿宋_GB2312" w:eastAsia="仿宋_GB2312" w:cs="仿宋_GB2312"/>
              <w:bCs w:val="0"/>
              <w:highlight w:val="none"/>
            </w:rPr>
            <w:t>政拨款支出决算明细表</w:t>
          </w:r>
          <w:r>
            <w:tab/>
          </w:r>
          <w:r>
            <w:fldChar w:fldCharType="begin"/>
          </w:r>
          <w:r>
            <w:instrText xml:space="preserve"> PAGEREF _Toc4289 \h </w:instrText>
          </w:r>
          <w:r>
            <w:fldChar w:fldCharType="separate"/>
          </w:r>
          <w:r>
            <w:t>39</w:t>
          </w:r>
          <w:r>
            <w:fldChar w:fldCharType="end"/>
          </w:r>
          <w:r>
            <w:fldChar w:fldCharType="end"/>
          </w:r>
        </w:p>
        <w:p>
          <w:pPr>
            <w:pStyle w:val="12"/>
            <w:tabs>
              <w:tab w:val="right" w:leader="dot" w:pos="8306"/>
              <w:tab w:val="clear" w:pos="8296"/>
            </w:tabs>
          </w:pPr>
          <w:r>
            <w:fldChar w:fldCharType="begin"/>
          </w:r>
          <w:r>
            <w:instrText xml:space="preserve"> HYPERLINK \l _Toc23397 </w:instrText>
          </w:r>
          <w:r>
            <w:fldChar w:fldCharType="separate"/>
          </w:r>
          <w:r>
            <w:rPr>
              <w:rFonts w:hint="eastAsia" w:ascii="仿宋_GB2312" w:hAnsi="仿宋_GB2312" w:eastAsia="仿宋_GB2312" w:cs="仿宋_GB2312"/>
              <w:bCs w:val="0"/>
              <w:highlight w:val="none"/>
            </w:rPr>
            <w:t>六、</w:t>
          </w:r>
          <w:r>
            <w:rPr>
              <w:rFonts w:hint="eastAsia" w:ascii="仿宋_GB2312" w:hAnsi="仿宋_GB2312" w:eastAsia="仿宋_GB2312" w:cs="仿宋_GB2312"/>
              <w:highlight w:val="none"/>
            </w:rPr>
            <w:t>一</w:t>
          </w:r>
          <w:r>
            <w:rPr>
              <w:rFonts w:hint="eastAsia" w:ascii="仿宋_GB2312" w:hAnsi="仿宋_GB2312" w:eastAsia="仿宋_GB2312" w:cs="仿宋_GB2312"/>
              <w:bCs w:val="0"/>
              <w:highlight w:val="none"/>
            </w:rPr>
            <w:t>般公共预算财政拨款支出决算表</w:t>
          </w:r>
          <w:r>
            <w:tab/>
          </w:r>
          <w:r>
            <w:fldChar w:fldCharType="begin"/>
          </w:r>
          <w:r>
            <w:instrText xml:space="preserve"> PAGEREF _Toc23397 \h </w:instrText>
          </w:r>
          <w:r>
            <w:fldChar w:fldCharType="separate"/>
          </w:r>
          <w:r>
            <w:t>39</w:t>
          </w:r>
          <w:r>
            <w:fldChar w:fldCharType="end"/>
          </w:r>
          <w:r>
            <w:fldChar w:fldCharType="end"/>
          </w:r>
        </w:p>
        <w:p>
          <w:pPr>
            <w:pStyle w:val="12"/>
            <w:tabs>
              <w:tab w:val="right" w:leader="dot" w:pos="8306"/>
              <w:tab w:val="clear" w:pos="8296"/>
            </w:tabs>
          </w:pPr>
          <w:r>
            <w:fldChar w:fldCharType="begin"/>
          </w:r>
          <w:r>
            <w:instrText xml:space="preserve"> HYPERLINK \l _Toc4253 </w:instrText>
          </w:r>
          <w:r>
            <w:fldChar w:fldCharType="separate"/>
          </w:r>
          <w:r>
            <w:rPr>
              <w:rFonts w:hint="eastAsia" w:ascii="仿宋_GB2312" w:hAnsi="仿宋_GB2312" w:eastAsia="仿宋_GB2312" w:cs="仿宋_GB2312"/>
              <w:bCs w:val="0"/>
              <w:highlight w:val="none"/>
            </w:rPr>
            <w:t>七、</w:t>
          </w:r>
          <w:r>
            <w:rPr>
              <w:rFonts w:hint="eastAsia" w:ascii="仿宋_GB2312" w:hAnsi="仿宋_GB2312" w:eastAsia="仿宋_GB2312" w:cs="仿宋_GB2312"/>
              <w:highlight w:val="none"/>
            </w:rPr>
            <w:t>一</w:t>
          </w:r>
          <w:r>
            <w:rPr>
              <w:rFonts w:hint="eastAsia" w:ascii="仿宋_GB2312" w:hAnsi="仿宋_GB2312" w:eastAsia="仿宋_GB2312" w:cs="仿宋_GB2312"/>
              <w:bCs w:val="0"/>
              <w:highlight w:val="none"/>
            </w:rPr>
            <w:t>般公共预算财政拨款支出决算明细表</w:t>
          </w:r>
          <w:r>
            <w:tab/>
          </w:r>
          <w:r>
            <w:fldChar w:fldCharType="begin"/>
          </w:r>
          <w:r>
            <w:instrText xml:space="preserve"> PAGEREF _Toc4253 \h </w:instrText>
          </w:r>
          <w:r>
            <w:fldChar w:fldCharType="separate"/>
          </w:r>
          <w:r>
            <w:t>39</w:t>
          </w:r>
          <w:r>
            <w:fldChar w:fldCharType="end"/>
          </w:r>
          <w:r>
            <w:fldChar w:fldCharType="end"/>
          </w:r>
        </w:p>
        <w:p>
          <w:pPr>
            <w:pStyle w:val="12"/>
            <w:tabs>
              <w:tab w:val="right" w:leader="dot" w:pos="8306"/>
              <w:tab w:val="clear" w:pos="8296"/>
            </w:tabs>
          </w:pPr>
          <w:r>
            <w:fldChar w:fldCharType="begin"/>
          </w:r>
          <w:r>
            <w:instrText xml:space="preserve"> HYPERLINK \l _Toc26809 </w:instrText>
          </w:r>
          <w:r>
            <w:fldChar w:fldCharType="separate"/>
          </w:r>
          <w:r>
            <w:rPr>
              <w:rFonts w:hint="eastAsia" w:ascii="仿宋_GB2312" w:hAnsi="仿宋_GB2312" w:eastAsia="仿宋_GB2312" w:cs="仿宋_GB2312"/>
              <w:bCs w:val="0"/>
              <w:highlight w:val="none"/>
            </w:rPr>
            <w:t>八、</w:t>
          </w:r>
          <w:r>
            <w:rPr>
              <w:rFonts w:hint="eastAsia" w:ascii="仿宋_GB2312" w:hAnsi="仿宋_GB2312" w:eastAsia="仿宋_GB2312" w:cs="仿宋_GB2312"/>
              <w:highlight w:val="none"/>
            </w:rPr>
            <w:t>一</w:t>
          </w:r>
          <w:r>
            <w:rPr>
              <w:rFonts w:hint="eastAsia" w:ascii="仿宋_GB2312" w:hAnsi="仿宋_GB2312" w:eastAsia="仿宋_GB2312" w:cs="仿宋_GB2312"/>
              <w:bCs w:val="0"/>
              <w:highlight w:val="none"/>
            </w:rPr>
            <w:t>般公共预算财政拨款基本支出决算表</w:t>
          </w:r>
          <w:r>
            <w:tab/>
          </w:r>
          <w:r>
            <w:fldChar w:fldCharType="begin"/>
          </w:r>
          <w:r>
            <w:instrText xml:space="preserve"> PAGEREF _Toc26809 \h </w:instrText>
          </w:r>
          <w:r>
            <w:fldChar w:fldCharType="separate"/>
          </w:r>
          <w:r>
            <w:t>39</w:t>
          </w:r>
          <w:r>
            <w:fldChar w:fldCharType="end"/>
          </w:r>
          <w:r>
            <w:fldChar w:fldCharType="end"/>
          </w:r>
        </w:p>
        <w:p>
          <w:pPr>
            <w:pStyle w:val="12"/>
            <w:tabs>
              <w:tab w:val="right" w:leader="dot" w:pos="8306"/>
              <w:tab w:val="clear" w:pos="8296"/>
            </w:tabs>
          </w:pPr>
          <w:r>
            <w:fldChar w:fldCharType="begin"/>
          </w:r>
          <w:r>
            <w:instrText xml:space="preserve"> HYPERLINK \l _Toc5002 </w:instrText>
          </w:r>
          <w:r>
            <w:fldChar w:fldCharType="separate"/>
          </w:r>
          <w:r>
            <w:rPr>
              <w:rFonts w:hint="eastAsia" w:ascii="仿宋_GB2312" w:hAnsi="仿宋_GB2312" w:eastAsia="仿宋_GB2312" w:cs="仿宋_GB2312"/>
              <w:bCs w:val="0"/>
              <w:highlight w:val="none"/>
            </w:rPr>
            <w:t>九、</w:t>
          </w:r>
          <w:r>
            <w:rPr>
              <w:rFonts w:hint="eastAsia" w:ascii="仿宋_GB2312" w:hAnsi="仿宋_GB2312" w:eastAsia="仿宋_GB2312" w:cs="仿宋_GB2312"/>
              <w:highlight w:val="none"/>
            </w:rPr>
            <w:t>一</w:t>
          </w:r>
          <w:r>
            <w:rPr>
              <w:rFonts w:hint="eastAsia" w:ascii="仿宋_GB2312" w:hAnsi="仿宋_GB2312" w:eastAsia="仿宋_GB2312" w:cs="仿宋_GB2312"/>
              <w:bCs w:val="0"/>
              <w:highlight w:val="none"/>
            </w:rPr>
            <w:t>般公共预算财政拨款项目支出决算表</w:t>
          </w:r>
          <w:r>
            <w:tab/>
          </w:r>
          <w:r>
            <w:fldChar w:fldCharType="begin"/>
          </w:r>
          <w:r>
            <w:instrText xml:space="preserve"> PAGEREF _Toc5002 \h </w:instrText>
          </w:r>
          <w:r>
            <w:fldChar w:fldCharType="separate"/>
          </w:r>
          <w:r>
            <w:t>39</w:t>
          </w:r>
          <w:r>
            <w:fldChar w:fldCharType="end"/>
          </w:r>
          <w:r>
            <w:fldChar w:fldCharType="end"/>
          </w:r>
        </w:p>
        <w:p>
          <w:pPr>
            <w:pStyle w:val="12"/>
            <w:tabs>
              <w:tab w:val="right" w:leader="dot" w:pos="8306"/>
              <w:tab w:val="clear" w:pos="8296"/>
            </w:tabs>
          </w:pPr>
          <w:r>
            <w:fldChar w:fldCharType="begin"/>
          </w:r>
          <w:r>
            <w:instrText xml:space="preserve"> HYPERLINK \l _Toc27226 </w:instrText>
          </w:r>
          <w:r>
            <w:fldChar w:fldCharType="separate"/>
          </w:r>
          <w:r>
            <w:rPr>
              <w:rFonts w:hint="eastAsia" w:ascii="仿宋_GB2312" w:hAnsi="仿宋_GB2312" w:eastAsia="仿宋_GB2312" w:cs="仿宋_GB2312"/>
              <w:bCs w:val="0"/>
              <w:highlight w:val="none"/>
            </w:rPr>
            <w:t>十、</w:t>
          </w:r>
          <w:r>
            <w:rPr>
              <w:rFonts w:hint="eastAsia" w:ascii="仿宋_GB2312" w:hAnsi="仿宋_GB2312" w:eastAsia="仿宋_GB2312" w:cs="仿宋_GB2312"/>
              <w:highlight w:val="none"/>
            </w:rPr>
            <w:t>政</w:t>
          </w:r>
          <w:r>
            <w:rPr>
              <w:rFonts w:hint="eastAsia" w:ascii="仿宋_GB2312" w:hAnsi="仿宋_GB2312" w:eastAsia="仿宋_GB2312" w:cs="仿宋_GB2312"/>
              <w:bCs w:val="0"/>
              <w:highlight w:val="none"/>
            </w:rPr>
            <w:t>府性基金预算财政拨款收入支出决算表</w:t>
          </w:r>
          <w:r>
            <w:tab/>
          </w:r>
          <w:r>
            <w:fldChar w:fldCharType="begin"/>
          </w:r>
          <w:r>
            <w:instrText xml:space="preserve"> PAGEREF _Toc27226 \h </w:instrText>
          </w:r>
          <w:r>
            <w:fldChar w:fldCharType="separate"/>
          </w:r>
          <w:r>
            <w:t>39</w:t>
          </w:r>
          <w:r>
            <w:fldChar w:fldCharType="end"/>
          </w:r>
          <w:r>
            <w:fldChar w:fldCharType="end"/>
          </w:r>
        </w:p>
        <w:p>
          <w:pPr>
            <w:pStyle w:val="12"/>
            <w:tabs>
              <w:tab w:val="right" w:leader="dot" w:pos="8306"/>
              <w:tab w:val="clear" w:pos="8296"/>
            </w:tabs>
          </w:pPr>
          <w:r>
            <w:fldChar w:fldCharType="begin"/>
          </w:r>
          <w:r>
            <w:instrText xml:space="preserve"> HYPERLINK \l _Toc19987 </w:instrText>
          </w:r>
          <w:r>
            <w:fldChar w:fldCharType="separate"/>
          </w:r>
          <w:r>
            <w:rPr>
              <w:rFonts w:hint="eastAsia" w:ascii="仿宋_GB2312" w:hAnsi="仿宋_GB2312" w:eastAsia="仿宋_GB2312" w:cs="仿宋_GB2312"/>
              <w:bCs w:val="0"/>
              <w:highlight w:val="none"/>
            </w:rPr>
            <w:t>十一、</w:t>
          </w:r>
          <w:r>
            <w:rPr>
              <w:rFonts w:hint="eastAsia" w:ascii="仿宋_GB2312" w:hAnsi="仿宋_GB2312" w:eastAsia="仿宋_GB2312" w:cs="仿宋_GB2312"/>
              <w:highlight w:val="none"/>
            </w:rPr>
            <w:t>国</w:t>
          </w:r>
          <w:r>
            <w:rPr>
              <w:rFonts w:hint="eastAsia" w:ascii="仿宋_GB2312" w:hAnsi="仿宋_GB2312" w:eastAsia="仿宋_GB2312" w:cs="仿宋_GB2312"/>
              <w:bCs w:val="0"/>
              <w:highlight w:val="none"/>
            </w:rPr>
            <w:t>有资本经营预算</w:t>
          </w:r>
          <w:r>
            <w:rPr>
              <w:rFonts w:hint="eastAsia" w:ascii="仿宋_GB2312" w:hAnsi="仿宋_GB2312" w:eastAsia="仿宋_GB2312" w:cs="仿宋_GB2312"/>
              <w:bCs w:val="0"/>
              <w:highlight w:val="none"/>
              <w:lang w:eastAsia="zh-CN"/>
            </w:rPr>
            <w:t>财政拨款收入</w:t>
          </w:r>
          <w:r>
            <w:rPr>
              <w:rFonts w:hint="eastAsia" w:ascii="仿宋_GB2312" w:hAnsi="仿宋_GB2312" w:eastAsia="仿宋_GB2312" w:cs="仿宋_GB2312"/>
              <w:bCs w:val="0"/>
              <w:highlight w:val="none"/>
            </w:rPr>
            <w:t>支出决算表</w:t>
          </w:r>
          <w:r>
            <w:tab/>
          </w:r>
          <w:r>
            <w:fldChar w:fldCharType="begin"/>
          </w:r>
          <w:r>
            <w:instrText xml:space="preserve"> PAGEREF _Toc19987 \h </w:instrText>
          </w:r>
          <w:r>
            <w:fldChar w:fldCharType="separate"/>
          </w:r>
          <w:r>
            <w:t>39</w:t>
          </w:r>
          <w:r>
            <w:fldChar w:fldCharType="end"/>
          </w:r>
          <w:r>
            <w:fldChar w:fldCharType="end"/>
          </w:r>
        </w:p>
        <w:p>
          <w:pPr>
            <w:pStyle w:val="12"/>
            <w:tabs>
              <w:tab w:val="right" w:leader="dot" w:pos="8306"/>
              <w:tab w:val="clear" w:pos="8296"/>
            </w:tabs>
          </w:pPr>
          <w:r>
            <w:fldChar w:fldCharType="begin"/>
          </w:r>
          <w:r>
            <w:instrText xml:space="preserve"> HYPERLINK \l _Toc24735 </w:instrText>
          </w:r>
          <w:r>
            <w:fldChar w:fldCharType="separate"/>
          </w:r>
          <w:r>
            <w:rPr>
              <w:rFonts w:hint="eastAsia" w:ascii="仿宋_GB2312" w:hAnsi="仿宋_GB2312" w:eastAsia="仿宋_GB2312" w:cs="仿宋_GB2312"/>
              <w:bCs w:val="0"/>
              <w:highlight w:val="none"/>
            </w:rPr>
            <w:t>十二、</w:t>
          </w:r>
          <w:r>
            <w:rPr>
              <w:rFonts w:hint="eastAsia" w:ascii="仿宋_GB2312" w:hAnsi="仿宋_GB2312" w:eastAsia="仿宋_GB2312" w:cs="仿宋_GB2312"/>
              <w:bCs w:val="0"/>
              <w:highlight w:val="none"/>
              <w:lang w:eastAsia="zh-CN"/>
            </w:rPr>
            <w:t>国有资本经营预算财政拨款支出决算表</w:t>
          </w:r>
          <w:r>
            <w:tab/>
          </w:r>
          <w:r>
            <w:fldChar w:fldCharType="begin"/>
          </w:r>
          <w:r>
            <w:instrText xml:space="preserve"> PAGEREF _Toc24735 \h </w:instrText>
          </w:r>
          <w:r>
            <w:fldChar w:fldCharType="separate"/>
          </w:r>
          <w:r>
            <w:t>39</w:t>
          </w:r>
          <w:r>
            <w:fldChar w:fldCharType="end"/>
          </w:r>
          <w:r>
            <w:fldChar w:fldCharType="end"/>
          </w:r>
        </w:p>
        <w:p>
          <w:pPr>
            <w:pStyle w:val="12"/>
            <w:tabs>
              <w:tab w:val="right" w:leader="dot" w:pos="8306"/>
              <w:tab w:val="clear" w:pos="8296"/>
            </w:tabs>
          </w:pPr>
          <w:r>
            <w:fldChar w:fldCharType="begin"/>
          </w:r>
          <w:r>
            <w:instrText xml:space="preserve"> HYPERLINK \l _Toc19777 </w:instrText>
          </w:r>
          <w:r>
            <w:fldChar w:fldCharType="separate"/>
          </w:r>
          <w:r>
            <w:rPr>
              <w:rFonts w:hint="eastAsia" w:ascii="仿宋_GB2312" w:hAnsi="仿宋_GB2312" w:eastAsia="仿宋_GB2312" w:cs="仿宋_GB2312"/>
              <w:bCs w:val="0"/>
              <w:highlight w:val="none"/>
            </w:rPr>
            <w:t>十三、</w:t>
          </w:r>
          <w:r>
            <w:rPr>
              <w:rFonts w:hint="eastAsia" w:ascii="仿宋_GB2312" w:hAnsi="仿宋_GB2312" w:eastAsia="仿宋_GB2312" w:cs="仿宋_GB2312"/>
              <w:bCs w:val="0"/>
              <w:highlight w:val="none"/>
              <w:lang w:eastAsia="zh-CN"/>
            </w:rPr>
            <w:t>财政拨款“三公”经费支出决算表</w:t>
          </w:r>
          <w:r>
            <w:tab/>
          </w:r>
          <w:r>
            <w:fldChar w:fldCharType="begin"/>
          </w:r>
          <w:r>
            <w:instrText xml:space="preserve"> PAGEREF _Toc19777 \h </w:instrText>
          </w:r>
          <w:r>
            <w:fldChar w:fldCharType="separate"/>
          </w:r>
          <w:r>
            <w:t>39</w:t>
          </w:r>
          <w:r>
            <w:fldChar w:fldCharType="end"/>
          </w:r>
          <w:r>
            <w:fldChar w:fldCharType="end"/>
          </w:r>
        </w:p>
        <w:p>
          <w:r>
            <w:fldChar w:fldCharType="end"/>
          </w:r>
        </w:p>
      </w:sdtContent>
    </w:sdt>
    <w:p>
      <w:pPr>
        <w:rPr>
          <w:rFonts w:hint="eastAsia" w:ascii="黑体" w:hAnsi="黑体" w:eastAsia="黑体"/>
          <w:b w:val="0"/>
          <w:color w:val="auto"/>
          <w:highlight w:val="none"/>
        </w:rPr>
      </w:pPr>
      <w:r>
        <w:rPr>
          <w:rFonts w:hint="eastAsia" w:ascii="黑体" w:hAnsi="黑体" w:eastAsia="黑体"/>
          <w:b w:val="0"/>
          <w:color w:val="auto"/>
          <w:highlight w:val="none"/>
        </w:rPr>
        <w:br w:type="page"/>
      </w:r>
    </w:p>
    <w:p>
      <w:pPr>
        <w:pStyle w:val="3"/>
        <w:jc w:val="center"/>
        <w:rPr>
          <w:rFonts w:ascii="黑体" w:eastAsia="黑体"/>
          <w:color w:val="auto"/>
          <w:sz w:val="32"/>
          <w:szCs w:val="32"/>
          <w:highlight w:val="none"/>
        </w:rPr>
      </w:pPr>
      <w:bookmarkStart w:id="8" w:name="_Toc429"/>
      <w:r>
        <w:rPr>
          <w:rFonts w:hint="eastAsia" w:ascii="黑体" w:hAnsi="黑体" w:eastAsia="黑体"/>
          <w:b w:val="0"/>
          <w:color w:val="auto"/>
          <w:highlight w:val="none"/>
        </w:rPr>
        <w:t xml:space="preserve">第一部分 </w:t>
      </w:r>
      <w:r>
        <w:rPr>
          <w:rStyle w:val="27"/>
          <w:rFonts w:hint="eastAsia" w:ascii="黑体" w:hAnsi="黑体" w:eastAsia="黑体"/>
          <w:b w:val="0"/>
          <w:bCs w:val="0"/>
          <w:color w:val="auto"/>
          <w:highlight w:val="none"/>
        </w:rPr>
        <w:t>部门概况</w:t>
      </w:r>
      <w:bookmarkEnd w:id="6"/>
      <w:bookmarkEnd w:id="7"/>
      <w:bookmarkEnd w:id="8"/>
    </w:p>
    <w:p>
      <w:pPr>
        <w:pStyle w:val="4"/>
        <w:numPr>
          <w:ilvl w:val="0"/>
          <w:numId w:val="1"/>
        </w:numPr>
        <w:rPr>
          <w:rFonts w:hint="eastAsia" w:ascii="黑体" w:hAnsi="黑体" w:eastAsia="黑体"/>
          <w:b w:val="0"/>
          <w:color w:val="auto"/>
          <w:highlight w:val="none"/>
          <w:lang w:eastAsia="zh-CN"/>
        </w:rPr>
      </w:pPr>
      <w:bookmarkStart w:id="9" w:name="_Toc32482"/>
      <w:r>
        <w:rPr>
          <w:rFonts w:hint="eastAsia" w:ascii="黑体" w:hAnsi="黑体" w:eastAsia="黑体"/>
          <w:b w:val="0"/>
          <w:color w:val="auto"/>
          <w:highlight w:val="none"/>
          <w:lang w:eastAsia="zh-CN"/>
        </w:rPr>
        <w:t>部门职责</w:t>
      </w:r>
      <w:bookmarkEnd w:id="9"/>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1.</w:t>
      </w:r>
      <w:r>
        <w:rPr>
          <w:rFonts w:hint="eastAsia" w:ascii="仿宋_GB2312" w:hAnsi="仿宋" w:eastAsia="仿宋_GB2312"/>
          <w:sz w:val="32"/>
          <w:szCs w:val="32"/>
        </w:rPr>
        <w:t>制定和组织我乡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2.</w:t>
      </w:r>
      <w:r>
        <w:rPr>
          <w:rFonts w:hint="eastAsia" w:ascii="仿宋_GB2312" w:hAnsi="仿宋" w:eastAsia="仿宋_GB2312"/>
          <w:sz w:val="32"/>
          <w:szCs w:val="32"/>
        </w:rPr>
        <w:t>制定并组织实施我乡村镇建设规划，部署重点工程建设，地方道路建设及公共设施，水利设施的管理，负责土地、林木、水等自然资源和生态环境的保护，做好护林防火工作。</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3.</w:t>
      </w:r>
      <w:r>
        <w:rPr>
          <w:rFonts w:hint="eastAsia" w:ascii="仿宋_GB2312" w:hAnsi="仿宋" w:eastAsia="仿宋_GB2312"/>
          <w:sz w:val="32"/>
          <w:szCs w:val="32"/>
        </w:rPr>
        <w:t>负责我乡行政区域内的民政、计划生育、文化教育、卫生、体育等社会公益事业的综合性工作，维护一切经济单位和个人的正当经济权益，取缔非法经济活动，调解和处理民事纠纷，打击刑事犯罪维护社会稳定。</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4.</w:t>
      </w:r>
      <w:r>
        <w:rPr>
          <w:rFonts w:hint="eastAsia" w:ascii="仿宋_GB2312" w:hAnsi="仿宋" w:eastAsia="仿宋_GB2312"/>
          <w:sz w:val="32"/>
          <w:szCs w:val="32"/>
        </w:rPr>
        <w:t>按计划组织我乡本级财政收入，完成国家财政计划，不断培植税源，管好财政资金，增强财政实力。</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5.</w:t>
      </w:r>
      <w:r>
        <w:rPr>
          <w:rFonts w:hint="eastAsia" w:ascii="仿宋_GB2312" w:hAnsi="仿宋" w:eastAsia="仿宋_GB2312"/>
          <w:sz w:val="32"/>
          <w:szCs w:val="32"/>
        </w:rPr>
        <w:t>抓好我乡精神文明建设，丰富群众文化生活，提倡移风易俗，反对封建迷信，破除陈规陋习，树立社会主义新风尚。</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6.</w:t>
      </w:r>
      <w:r>
        <w:rPr>
          <w:rFonts w:hint="eastAsia" w:ascii="仿宋_GB2312" w:hAnsi="仿宋" w:eastAsia="仿宋_GB2312"/>
          <w:sz w:val="32"/>
          <w:szCs w:val="32"/>
        </w:rPr>
        <w:t>完成上级政府交办的其他事项。</w:t>
      </w:r>
    </w:p>
    <w:p>
      <w:pPr>
        <w:numPr>
          <w:ilvl w:val="0"/>
          <w:numId w:val="0"/>
        </w:numPr>
        <w:rPr>
          <w:rFonts w:hint="eastAsia"/>
          <w:lang w:eastAsia="zh-CN"/>
        </w:rPr>
      </w:pPr>
    </w:p>
    <w:p>
      <w:pPr>
        <w:pStyle w:val="4"/>
        <w:rPr>
          <w:rStyle w:val="28"/>
          <w:b w:val="0"/>
          <w:bCs w:val="0"/>
          <w:color w:val="auto"/>
          <w:highlight w:val="none"/>
        </w:rPr>
      </w:pPr>
      <w:bookmarkStart w:id="10" w:name="_Toc15396601"/>
      <w:bookmarkStart w:id="11" w:name="_Toc15377200"/>
      <w:bookmarkStart w:id="12" w:name="_Toc21256"/>
      <w:r>
        <w:rPr>
          <w:rFonts w:hint="eastAsia" w:ascii="黑体" w:eastAsia="黑体"/>
          <w:b w:val="0"/>
          <w:color w:val="auto"/>
          <w:highlight w:val="none"/>
        </w:rPr>
        <w:t>二、</w:t>
      </w:r>
      <w:r>
        <w:rPr>
          <w:rFonts w:hint="eastAsia" w:ascii="黑体" w:hAnsi="黑体" w:eastAsia="黑体"/>
          <w:b w:val="0"/>
          <w:color w:val="auto"/>
          <w:highlight w:val="none"/>
        </w:rPr>
        <w:t>机</w:t>
      </w:r>
      <w:r>
        <w:rPr>
          <w:rStyle w:val="28"/>
          <w:rFonts w:hint="eastAsia" w:ascii="黑体" w:hAnsi="黑体" w:eastAsia="黑体"/>
          <w:b w:val="0"/>
          <w:bCs w:val="0"/>
          <w:color w:val="auto"/>
          <w:highlight w:val="none"/>
        </w:rPr>
        <w:t>构设置</w:t>
      </w:r>
      <w:bookmarkEnd w:id="10"/>
      <w:bookmarkEnd w:id="11"/>
      <w:bookmarkEnd w:id="12"/>
    </w:p>
    <w:p>
      <w:pPr>
        <w:snapToGrid w:val="0"/>
        <w:spacing w:line="520" w:lineRule="exact"/>
        <w:ind w:firstLine="640" w:firstLineChars="200"/>
        <w:rPr>
          <w:rFonts w:ascii="仿宋" w:hAnsi="仿宋" w:eastAsia="仿宋"/>
          <w:color w:val="auto"/>
          <w:sz w:val="32"/>
          <w:szCs w:val="32"/>
          <w:highlight w:val="none"/>
        </w:rPr>
      </w:pPr>
      <w:r>
        <w:rPr>
          <w:rFonts w:hint="eastAsia" w:ascii="仿宋_GB2312" w:hAnsi="仿宋" w:eastAsia="仿宋_GB2312"/>
          <w:sz w:val="32"/>
          <w:szCs w:val="32"/>
        </w:rPr>
        <w:t>宣汉县三墩土家族乡下属二级单位 2 个，其中行政单位 1 个，参照公务员法管理的事业单位 0 个，其他事业单位1 个。政府内设办公室、党建办公室、综合执法办公室、经济发展办公室、社会事务办公室、财政所、城乡基层治理办公室、便民服务中心、退役军人服务站、农民工服务中心、农业综合服务中心、村镇综合建设服务中心、退役军人服务站。</w:t>
      </w:r>
    </w:p>
    <w:p>
      <w:pPr>
        <w:pStyle w:val="2"/>
        <w:adjustRightInd w:val="0"/>
        <w:snapToGrid w:val="0"/>
        <w:spacing w:before="93" w:line="600" w:lineRule="exact"/>
        <w:ind w:firstLine="672" w:firstLineChars="21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纳入</w:t>
      </w:r>
      <w:r>
        <w:rPr>
          <w:rFonts w:hint="eastAsia" w:ascii="仿宋_GB2312" w:hAnsi="仿宋_GB2312" w:eastAsia="仿宋_GB2312" w:cs="仿宋_GB2312"/>
          <w:sz w:val="32"/>
          <w:szCs w:val="32"/>
        </w:rPr>
        <w:t>宣汉县三墩土家族乡</w:t>
      </w: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年度部门决算编制范围的二级预算单位包括：</w:t>
      </w:r>
    </w:p>
    <w:p>
      <w:pPr>
        <w:pStyle w:val="2"/>
        <w:numPr>
          <w:ilvl w:val="0"/>
          <w:numId w:val="2"/>
        </w:numPr>
        <w:adjustRightInd w:val="0"/>
        <w:snapToGrid w:val="0"/>
        <w:spacing w:before="93" w:line="600" w:lineRule="exact"/>
        <w:outlineLvl w:val="9"/>
        <w:rPr>
          <w:rFonts w:hint="eastAsia" w:ascii="仿宋_GB2312" w:hAnsi="仿宋_GB2312" w:eastAsia="仿宋_GB2312" w:cs="仿宋_GB2312"/>
          <w:color w:val="auto"/>
          <w:sz w:val="32"/>
          <w:szCs w:val="32"/>
          <w:highlight w:val="none"/>
        </w:rPr>
      </w:pPr>
      <w:bookmarkStart w:id="13" w:name="_Toc15377202"/>
      <w:bookmarkStart w:id="14" w:name="_Toc15306276"/>
      <w:bookmarkStart w:id="15" w:name="_Toc15377433"/>
      <w:bookmarkStart w:id="16" w:name="_Toc15378449"/>
      <w:r>
        <w:rPr>
          <w:rFonts w:hint="eastAsia" w:ascii="仿宋_GB2312" w:hAnsi="仿宋_GB2312" w:eastAsia="仿宋_GB2312" w:cs="仿宋_GB2312"/>
          <w:color w:val="auto"/>
          <w:sz w:val="32"/>
          <w:szCs w:val="32"/>
          <w:highlight w:val="none"/>
          <w:lang w:val="en-US" w:eastAsia="zh-CN"/>
        </w:rPr>
        <w:t>宣汉县三墩土家族乡人民政府</w:t>
      </w:r>
      <w:bookmarkEnd w:id="13"/>
      <w:bookmarkEnd w:id="14"/>
      <w:bookmarkEnd w:id="15"/>
      <w:bookmarkEnd w:id="16"/>
    </w:p>
    <w:p>
      <w:pPr>
        <w:pStyle w:val="2"/>
        <w:numPr>
          <w:ilvl w:val="0"/>
          <w:numId w:val="2"/>
        </w:numPr>
        <w:adjustRightInd w:val="0"/>
        <w:snapToGrid w:val="0"/>
        <w:spacing w:before="93" w:line="600" w:lineRule="exact"/>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宣汉县三墩土家族乡便民服务中心</w:t>
      </w:r>
    </w:p>
    <w:p>
      <w:pPr>
        <w:widowControl/>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pPr>
        <w:pStyle w:val="3"/>
        <w:ind w:right="440"/>
        <w:jc w:val="center"/>
        <w:rPr>
          <w:rStyle w:val="27"/>
          <w:rFonts w:ascii="黑体" w:hAnsi="黑体" w:eastAsia="黑体"/>
          <w:b w:val="0"/>
          <w:bCs/>
          <w:color w:val="auto"/>
          <w:highlight w:val="none"/>
        </w:rPr>
      </w:pPr>
      <w:bookmarkStart w:id="17" w:name="_Toc15377204"/>
      <w:bookmarkStart w:id="18" w:name="_Toc15396602"/>
      <w:bookmarkStart w:id="19" w:name="_Toc27635"/>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2022年度</w:t>
      </w:r>
      <w:r>
        <w:rPr>
          <w:rStyle w:val="27"/>
          <w:rFonts w:hint="eastAsia" w:ascii="黑体" w:hAnsi="黑体" w:eastAsia="黑体"/>
          <w:b w:val="0"/>
          <w:bCs/>
          <w:color w:val="auto"/>
          <w:highlight w:val="none"/>
        </w:rPr>
        <w:t>部门决算情况说明</w:t>
      </w:r>
      <w:bookmarkEnd w:id="17"/>
      <w:bookmarkEnd w:id="18"/>
      <w:bookmarkEnd w:id="19"/>
    </w:p>
    <w:p>
      <w:pPr>
        <w:rPr>
          <w:color w:val="auto"/>
          <w:highlight w:val="none"/>
        </w:rPr>
      </w:pPr>
    </w:p>
    <w:p>
      <w:pPr>
        <w:pStyle w:val="26"/>
        <w:numPr>
          <w:ilvl w:val="0"/>
          <w:numId w:val="3"/>
        </w:numPr>
        <w:spacing w:line="600" w:lineRule="exact"/>
        <w:ind w:firstLineChars="0"/>
        <w:outlineLvl w:val="1"/>
        <w:rPr>
          <w:rStyle w:val="28"/>
          <w:rFonts w:ascii="黑体" w:hAnsi="黑体" w:eastAsia="黑体"/>
          <w:b w:val="0"/>
          <w:color w:val="auto"/>
          <w:highlight w:val="none"/>
        </w:rPr>
      </w:pPr>
      <w:bookmarkStart w:id="20" w:name="_Toc15396603"/>
      <w:bookmarkStart w:id="21" w:name="_Toc15377205"/>
      <w:bookmarkStart w:id="22" w:name="_Toc14091"/>
      <w:r>
        <w:rPr>
          <w:rFonts w:hint="eastAsia" w:ascii="黑体" w:hAnsi="黑体" w:eastAsia="黑体"/>
          <w:color w:val="auto"/>
          <w:sz w:val="32"/>
          <w:szCs w:val="32"/>
          <w:highlight w:val="none"/>
        </w:rPr>
        <w:t>收</w:t>
      </w:r>
      <w:r>
        <w:rPr>
          <w:rStyle w:val="28"/>
          <w:rFonts w:hint="eastAsia" w:ascii="黑体" w:hAnsi="黑体" w:eastAsia="黑体"/>
          <w:b w:val="0"/>
          <w:color w:val="auto"/>
          <w:highlight w:val="none"/>
        </w:rPr>
        <w:t>入支出决算总体情况说明</w:t>
      </w:r>
      <w:bookmarkEnd w:id="20"/>
      <w:bookmarkEnd w:id="21"/>
      <w:bookmarkEnd w:id="22"/>
    </w:p>
    <w:p>
      <w:pPr>
        <w:spacing w:line="600" w:lineRule="exact"/>
        <w:ind w:firstLine="640" w:firstLineChars="200"/>
        <w:rPr>
          <w:rFonts w:hint="eastAsia" w:ascii="仿宋_GB2312" w:hAnsi="仿宋_GB2312" w:eastAsia="仿宋_GB2312" w:cs="仿宋_GB231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年度收、支</w:t>
      </w:r>
      <w:r>
        <w:rPr>
          <w:rFonts w:hint="eastAsia" w:ascii="仿宋_GB2312" w:hAnsi="仿宋_GB2312" w:eastAsia="仿宋_GB2312" w:cs="仿宋_GB2312"/>
          <w:sz w:val="32"/>
          <w:szCs w:val="32"/>
          <w:lang w:val="en-US" w:eastAsia="zh-CN"/>
        </w:rPr>
        <w:t>预算</w:t>
      </w:r>
      <w:r>
        <w:rPr>
          <w:rFonts w:hint="eastAsia" w:ascii="仿宋_GB2312" w:hAnsi="仿宋_GB2312" w:eastAsia="仿宋_GB2312" w:cs="仿宋_GB2312"/>
          <w:sz w:val="32"/>
          <w:szCs w:val="32"/>
        </w:rPr>
        <w:t>总计</w:t>
      </w:r>
      <w:r>
        <w:rPr>
          <w:rFonts w:hint="eastAsia" w:ascii="仿宋_GB2312" w:hAnsi="仿宋_GB2312" w:eastAsia="仿宋_GB2312" w:cs="仿宋_GB2312"/>
          <w:sz w:val="32"/>
          <w:szCs w:val="32"/>
          <w:lang w:val="en-US" w:eastAsia="zh-CN"/>
        </w:rPr>
        <w:t>1274.45</w:t>
      </w:r>
      <w:r>
        <w:rPr>
          <w:rFonts w:hint="eastAsia" w:ascii="仿宋_GB2312" w:hAnsi="仿宋_GB2312" w:eastAsia="仿宋_GB2312" w:cs="仿宋_GB2312"/>
          <w:sz w:val="32"/>
          <w:szCs w:val="32"/>
        </w:rPr>
        <w:t xml:space="preserve"> 万元。与202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年相比，收、支</w:t>
      </w:r>
      <w:r>
        <w:rPr>
          <w:rFonts w:hint="eastAsia" w:ascii="仿宋_GB2312" w:hAnsi="仿宋_GB2312" w:eastAsia="仿宋_GB2312" w:cs="仿宋_GB2312"/>
          <w:sz w:val="32"/>
          <w:szCs w:val="32"/>
          <w:lang w:val="en-US" w:eastAsia="zh-CN"/>
        </w:rPr>
        <w:t>预算</w:t>
      </w:r>
      <w:r>
        <w:rPr>
          <w:rFonts w:hint="eastAsia" w:ascii="仿宋_GB2312" w:hAnsi="仿宋_GB2312" w:eastAsia="仿宋_GB2312" w:cs="仿宋_GB2312"/>
          <w:sz w:val="32"/>
          <w:szCs w:val="32"/>
        </w:rPr>
        <w:t>总计</w:t>
      </w:r>
      <w:r>
        <w:rPr>
          <w:rFonts w:hint="eastAsia" w:ascii="仿宋_GB2312" w:hAnsi="仿宋_GB2312" w:eastAsia="仿宋_GB2312" w:cs="仿宋_GB2312"/>
          <w:sz w:val="32"/>
          <w:szCs w:val="32"/>
          <w:lang w:val="en-US" w:eastAsia="zh-CN"/>
        </w:rPr>
        <w:t>增加82.99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上升</w:t>
      </w:r>
      <w:r>
        <w:rPr>
          <w:rFonts w:hint="eastAsia" w:ascii="仿宋_GB2312" w:hAnsi="仿宋_GB2312" w:eastAsia="仿宋_GB2312" w:cs="仿宋_GB2312"/>
          <w:sz w:val="32"/>
          <w:szCs w:val="32"/>
        </w:rPr>
        <w:t>6.97%。主要变动原因是项目</w:t>
      </w:r>
      <w:r>
        <w:rPr>
          <w:rFonts w:hint="eastAsia" w:ascii="仿宋_GB2312" w:hAnsi="仿宋_GB2312" w:eastAsia="仿宋_GB2312" w:cs="仿宋_GB2312"/>
          <w:sz w:val="32"/>
          <w:szCs w:val="32"/>
          <w:lang w:val="en-US" w:eastAsia="zh-CN"/>
        </w:rPr>
        <w:t>增加</w:t>
      </w:r>
      <w:r>
        <w:rPr>
          <w:rFonts w:hint="eastAsia" w:ascii="仿宋_GB2312" w:hAnsi="仿宋_GB2312" w:eastAsia="仿宋_GB2312" w:cs="仿宋_GB2312"/>
          <w:sz w:val="32"/>
          <w:szCs w:val="32"/>
        </w:rPr>
        <w:t>。</w:t>
      </w:r>
    </w:p>
    <w:p>
      <w:pPr>
        <w:spacing w:line="600" w:lineRule="exact"/>
        <w:ind w:firstLine="420" w:firstLineChars="200"/>
        <w:jc w:val="center"/>
        <w:rPr>
          <w:rFonts w:ascii="仿宋_GB2312" w:eastAsia="仿宋_GB2312"/>
          <w:color w:val="auto"/>
          <w:sz w:val="32"/>
          <w:szCs w:val="32"/>
          <w:highlight w:val="none"/>
        </w:rPr>
      </w:pPr>
      <w:r>
        <w:rPr>
          <w:rFonts w:hint="eastAsia" w:ascii="仿宋_GB2312" w:hAnsi="仿宋_GB2312" w:eastAsia="仿宋_GB2312" w:cs="仿宋_GB2312"/>
          <w:lang w:eastAsia="zh-CN"/>
        </w:rPr>
        <w:drawing>
          <wp:anchor distT="0" distB="0" distL="114300" distR="114300" simplePos="0" relativeHeight="251665408" behindDoc="0" locked="0" layoutInCell="1" allowOverlap="1">
            <wp:simplePos x="0" y="0"/>
            <wp:positionH relativeFrom="column">
              <wp:posOffset>220345</wp:posOffset>
            </wp:positionH>
            <wp:positionV relativeFrom="paragraph">
              <wp:posOffset>276225</wp:posOffset>
            </wp:positionV>
            <wp:extent cx="5080000" cy="3810000"/>
            <wp:effectExtent l="4445" t="4445" r="20955" b="14605"/>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w:t>
      </w:r>
      <w:r>
        <w:rPr>
          <w:rFonts w:hint="eastAsia" w:ascii="仿宋" w:hAnsi="仿宋" w:eastAsia="仿宋"/>
          <w:sz w:val="32"/>
          <w:szCs w:val="32"/>
          <w:lang w:val="en-US" w:eastAsia="zh-CN"/>
        </w:rPr>
        <w:t>预</w:t>
      </w:r>
      <w:r>
        <w:rPr>
          <w:rFonts w:hint="eastAsia" w:ascii="仿宋" w:hAnsi="仿宋" w:eastAsia="仿宋"/>
          <w:sz w:val="32"/>
          <w:szCs w:val="32"/>
        </w:rPr>
        <w:t>算总计变动情况图）（柱状图）</w:t>
      </w:r>
    </w:p>
    <w:p>
      <w:pPr>
        <w:pStyle w:val="26"/>
        <w:numPr>
          <w:ilvl w:val="0"/>
          <w:numId w:val="3"/>
        </w:numPr>
        <w:spacing w:line="600" w:lineRule="exact"/>
        <w:ind w:firstLineChars="0"/>
        <w:outlineLvl w:val="1"/>
        <w:rPr>
          <w:rStyle w:val="28"/>
          <w:rFonts w:ascii="黑体" w:hAnsi="黑体" w:eastAsia="黑体"/>
          <w:b w:val="0"/>
          <w:color w:val="auto"/>
          <w:highlight w:val="none"/>
        </w:rPr>
      </w:pPr>
      <w:bookmarkStart w:id="23" w:name="_Toc15396604"/>
      <w:bookmarkStart w:id="24" w:name="_Toc15377206"/>
      <w:bookmarkStart w:id="25" w:name="_Toc21093"/>
      <w:r>
        <w:rPr>
          <w:rFonts w:hint="eastAsia" w:ascii="黑体" w:hAnsi="黑体" w:eastAsia="黑体"/>
          <w:color w:val="auto"/>
          <w:sz w:val="32"/>
          <w:szCs w:val="32"/>
          <w:highlight w:val="none"/>
        </w:rPr>
        <w:t>收</w:t>
      </w:r>
      <w:r>
        <w:rPr>
          <w:rStyle w:val="28"/>
          <w:rFonts w:hint="eastAsia" w:ascii="黑体" w:hAnsi="黑体" w:eastAsia="黑体"/>
          <w:b w:val="0"/>
          <w:color w:val="auto"/>
          <w:highlight w:val="none"/>
        </w:rPr>
        <w:t>入决算情况说明</w:t>
      </w:r>
      <w:bookmarkEnd w:id="23"/>
      <w:bookmarkEnd w:id="24"/>
      <w:bookmarkEnd w:id="25"/>
    </w:p>
    <w:p>
      <w:pPr>
        <w:spacing w:line="600" w:lineRule="exact"/>
        <w:ind w:firstLine="640" w:firstLineChars="200"/>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年本年收入合计1,274.45万元，其中：一般公共预算财政拨款收入1,110.86万元，占</w:t>
      </w:r>
      <w:r>
        <w:rPr>
          <w:rFonts w:hint="eastAsia" w:ascii="仿宋_GB2312" w:hAnsi="仿宋_GB2312" w:eastAsia="仿宋_GB2312" w:cs="仿宋_GB2312"/>
          <w:color w:val="auto"/>
          <w:sz w:val="32"/>
          <w:szCs w:val="32"/>
          <w:highlight w:val="none"/>
          <w:lang w:val="en-US" w:eastAsia="zh-CN"/>
        </w:rPr>
        <w:t>87.16</w:t>
      </w:r>
      <w:r>
        <w:rPr>
          <w:rFonts w:hint="eastAsia" w:ascii="仿宋_GB2312" w:hAnsi="仿宋_GB2312" w:eastAsia="仿宋_GB2312" w:cs="仿宋_GB2312"/>
          <w:color w:val="auto"/>
          <w:sz w:val="32"/>
          <w:szCs w:val="32"/>
          <w:highlight w:val="none"/>
        </w:rPr>
        <w:t>%；政府性基金预算财政拨款收入163.59万元，占</w:t>
      </w:r>
      <w:r>
        <w:rPr>
          <w:rFonts w:hint="eastAsia" w:ascii="仿宋_GB2312" w:hAnsi="仿宋_GB2312" w:eastAsia="仿宋_GB2312" w:cs="仿宋_GB2312"/>
          <w:color w:val="auto"/>
          <w:sz w:val="32"/>
          <w:szCs w:val="32"/>
          <w:highlight w:val="none"/>
          <w:lang w:val="en-US" w:eastAsia="zh-CN"/>
        </w:rPr>
        <w:t>12.84</w:t>
      </w:r>
      <w:r>
        <w:rPr>
          <w:rFonts w:hint="eastAsia" w:ascii="仿宋_GB2312" w:hAnsi="仿宋_GB2312" w:eastAsia="仿宋_GB2312" w:cs="仿宋_GB2312"/>
          <w:color w:val="auto"/>
          <w:sz w:val="32"/>
          <w:szCs w:val="32"/>
          <w:highlight w:val="none"/>
        </w:rPr>
        <w:t>%。</w:t>
      </w:r>
    </w:p>
    <w:p>
      <w:pPr>
        <w:spacing w:line="600" w:lineRule="exact"/>
        <w:jc w:val="center"/>
        <w:outlineLvl w:val="9"/>
        <w:rPr>
          <w:rFonts w:ascii="仿宋_GB2312" w:eastAsia="仿宋_GB2312"/>
          <w:color w:val="auto"/>
          <w:sz w:val="32"/>
          <w:szCs w:val="32"/>
          <w:highlight w:val="none"/>
        </w:rPr>
      </w:pPr>
      <w:r>
        <w:rPr>
          <w:rFonts w:hint="eastAsia" w:ascii="仿宋" w:hAnsi="仿宋" w:eastAsia="仿宋"/>
          <w:sz w:val="32"/>
          <w:szCs w:val="32"/>
        </w:rPr>
        <w:drawing>
          <wp:anchor distT="0" distB="0" distL="114300" distR="114300" simplePos="0" relativeHeight="251659264" behindDoc="0" locked="0" layoutInCell="1" allowOverlap="1">
            <wp:simplePos x="0" y="0"/>
            <wp:positionH relativeFrom="column">
              <wp:posOffset>334645</wp:posOffset>
            </wp:positionH>
            <wp:positionV relativeFrom="paragraph">
              <wp:posOffset>213360</wp:posOffset>
            </wp:positionV>
            <wp:extent cx="4565650" cy="3086735"/>
            <wp:effectExtent l="4445" t="4445" r="20955" b="13970"/>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仿宋" w:hAnsi="仿宋" w:eastAsia="仿宋"/>
          <w:color w:val="auto"/>
          <w:sz w:val="32"/>
          <w:szCs w:val="32"/>
          <w:highlight w:val="none"/>
        </w:rPr>
        <w:t>（图2：收入决算结构图）（饼状图）</w:t>
      </w:r>
    </w:p>
    <w:p>
      <w:pPr>
        <w:pStyle w:val="26"/>
        <w:numPr>
          <w:ilvl w:val="0"/>
          <w:numId w:val="3"/>
        </w:numPr>
        <w:spacing w:line="600" w:lineRule="exact"/>
        <w:ind w:firstLineChars="0"/>
        <w:outlineLvl w:val="1"/>
        <w:rPr>
          <w:rStyle w:val="28"/>
          <w:rFonts w:ascii="黑体" w:hAnsi="黑体" w:eastAsia="黑体"/>
          <w:b w:val="0"/>
          <w:color w:val="auto"/>
          <w:highlight w:val="none"/>
        </w:rPr>
      </w:pPr>
      <w:bookmarkStart w:id="26" w:name="_Toc15396605"/>
      <w:bookmarkStart w:id="27" w:name="_Toc15377207"/>
      <w:bookmarkStart w:id="28" w:name="_Toc4064"/>
      <w:r>
        <w:rPr>
          <w:rFonts w:hint="eastAsia" w:ascii="黑体" w:hAnsi="黑体" w:eastAsia="黑体"/>
          <w:color w:val="auto"/>
          <w:sz w:val="32"/>
          <w:szCs w:val="32"/>
          <w:highlight w:val="none"/>
        </w:rPr>
        <w:t>支</w:t>
      </w:r>
      <w:r>
        <w:rPr>
          <w:rStyle w:val="28"/>
          <w:rFonts w:hint="eastAsia" w:ascii="黑体" w:hAnsi="黑体" w:eastAsia="黑体"/>
          <w:b w:val="0"/>
          <w:color w:val="auto"/>
          <w:highlight w:val="none"/>
        </w:rPr>
        <w:t>出决算情况说明</w:t>
      </w:r>
      <w:bookmarkEnd w:id="26"/>
      <w:bookmarkEnd w:id="27"/>
      <w:bookmarkEnd w:id="28"/>
    </w:p>
    <w:p>
      <w:pPr>
        <w:spacing w:line="600" w:lineRule="exact"/>
        <w:ind w:firstLine="640" w:firstLineChars="200"/>
        <w:outlineLvl w:val="9"/>
        <w:rPr>
          <w:rFonts w:hint="eastAsia" w:ascii="仿宋_GB2312" w:hAnsi="仿宋_GB2312" w:eastAsia="仿宋_GB2312" w:cs="仿宋_GB2312"/>
          <w:color w:val="auto"/>
          <w:sz w:val="32"/>
          <w:szCs w:val="32"/>
          <w:highlight w:val="none"/>
          <w:shd w:val="pct10" w:color="auto" w:fill="FFFFFF"/>
          <w:lang w:eastAsia="zh-CN"/>
        </w:rPr>
      </w:pPr>
      <w:r>
        <w:rPr>
          <w:rFonts w:hint="eastAsia" w:ascii="仿宋_GB2312" w:hAnsi="仿宋_GB2312" w:eastAsia="仿宋_GB2312" w:cs="仿宋_GB2312"/>
          <w:color w:val="auto"/>
          <w:sz w:val="32"/>
          <w:szCs w:val="32"/>
          <w:highlight w:val="none"/>
          <w:shd w:val="pct10" w:color="auto" w:fill="FFFFFF"/>
          <w:lang w:eastAsia="zh-CN"/>
        </w:rPr>
        <w:drawing>
          <wp:anchor distT="0" distB="0" distL="114300" distR="114300" simplePos="0" relativeHeight="251660288" behindDoc="0" locked="0" layoutInCell="1" allowOverlap="1">
            <wp:simplePos x="0" y="0"/>
            <wp:positionH relativeFrom="column">
              <wp:posOffset>134620</wp:posOffset>
            </wp:positionH>
            <wp:positionV relativeFrom="paragraph">
              <wp:posOffset>804545</wp:posOffset>
            </wp:positionV>
            <wp:extent cx="4766310" cy="3286760"/>
            <wp:effectExtent l="4445" t="4445" r="10795" b="23495"/>
            <wp:wrapTopAndBottom/>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年本年支出合计1,274.45万元，其中：基本支出972.44万元，占</w:t>
      </w:r>
      <w:r>
        <w:rPr>
          <w:rFonts w:hint="eastAsia" w:ascii="仿宋_GB2312" w:hAnsi="仿宋_GB2312" w:eastAsia="仿宋_GB2312" w:cs="仿宋_GB2312"/>
          <w:color w:val="auto"/>
          <w:sz w:val="32"/>
          <w:szCs w:val="32"/>
          <w:highlight w:val="none"/>
          <w:lang w:val="en-US" w:eastAsia="zh-CN"/>
        </w:rPr>
        <w:t>76.3</w:t>
      </w:r>
      <w:r>
        <w:rPr>
          <w:rFonts w:hint="eastAsia" w:ascii="仿宋_GB2312" w:hAnsi="仿宋_GB2312" w:eastAsia="仿宋_GB2312" w:cs="仿宋_GB2312"/>
          <w:color w:val="auto"/>
          <w:sz w:val="32"/>
          <w:szCs w:val="32"/>
          <w:highlight w:val="none"/>
        </w:rPr>
        <w:t>%；项目支出302.01万元，占</w:t>
      </w:r>
      <w:r>
        <w:rPr>
          <w:rFonts w:hint="eastAsia" w:ascii="仿宋_GB2312" w:hAnsi="仿宋_GB2312" w:eastAsia="仿宋_GB2312" w:cs="仿宋_GB2312"/>
          <w:color w:val="auto"/>
          <w:sz w:val="32"/>
          <w:szCs w:val="32"/>
          <w:highlight w:val="none"/>
          <w:lang w:val="en-US" w:eastAsia="zh-CN"/>
        </w:rPr>
        <w:t>23.7</w:t>
      </w:r>
      <w:r>
        <w:rPr>
          <w:rFonts w:hint="eastAsia" w:ascii="仿宋_GB2312" w:hAnsi="仿宋_GB2312" w:eastAsia="仿宋_GB2312" w:cs="仿宋_GB2312"/>
          <w:color w:val="auto"/>
          <w:sz w:val="32"/>
          <w:szCs w:val="32"/>
          <w:highlight w:val="none"/>
        </w:rPr>
        <w:t>%。</w:t>
      </w:r>
    </w:p>
    <w:p>
      <w:pPr>
        <w:spacing w:line="600" w:lineRule="exact"/>
        <w:ind w:firstLine="640" w:firstLineChars="200"/>
        <w:jc w:val="center"/>
        <w:rPr>
          <w:rFonts w:ascii="仿宋_GB2312" w:eastAsia="仿宋_GB2312"/>
          <w:color w:val="auto"/>
          <w:sz w:val="32"/>
          <w:szCs w:val="32"/>
          <w:highlight w:val="none"/>
        </w:rPr>
      </w:pPr>
      <w:r>
        <w:rPr>
          <w:rFonts w:hint="eastAsia" w:ascii="仿宋" w:hAnsi="仿宋" w:eastAsia="仿宋"/>
          <w:color w:val="auto"/>
          <w:sz w:val="32"/>
          <w:szCs w:val="32"/>
          <w:highlight w:val="none"/>
        </w:rPr>
        <w:t>（图3：支出决算结构图）（饼状图）</w:t>
      </w:r>
    </w:p>
    <w:p>
      <w:pPr>
        <w:spacing w:line="600" w:lineRule="exact"/>
        <w:ind w:firstLine="640" w:firstLineChars="200"/>
        <w:outlineLvl w:val="1"/>
        <w:rPr>
          <w:rStyle w:val="28"/>
          <w:rFonts w:ascii="黑体" w:hAnsi="黑体" w:eastAsia="黑体"/>
          <w:b w:val="0"/>
          <w:color w:val="auto"/>
          <w:highlight w:val="none"/>
        </w:rPr>
      </w:pPr>
      <w:bookmarkStart w:id="29" w:name="_Toc15377208"/>
      <w:bookmarkStart w:id="30" w:name="_Toc15396606"/>
      <w:bookmarkStart w:id="31" w:name="_Toc22665"/>
      <w:r>
        <w:rPr>
          <w:rFonts w:hint="eastAsia" w:ascii="黑体" w:hAnsi="黑体" w:eastAsia="黑体"/>
          <w:color w:val="auto"/>
          <w:sz w:val="32"/>
          <w:szCs w:val="32"/>
          <w:highlight w:val="none"/>
        </w:rPr>
        <w:t>四、财</w:t>
      </w:r>
      <w:r>
        <w:rPr>
          <w:rStyle w:val="28"/>
          <w:rFonts w:hint="eastAsia" w:ascii="黑体" w:hAnsi="黑体" w:eastAsia="黑体"/>
          <w:b w:val="0"/>
          <w:color w:val="auto"/>
          <w:highlight w:val="none"/>
        </w:rPr>
        <w:t>政拨款收入支出决算总体情况说明</w:t>
      </w:r>
      <w:bookmarkEnd w:id="29"/>
      <w:bookmarkEnd w:id="30"/>
      <w:bookmarkEnd w:id="31"/>
    </w:p>
    <w:p>
      <w:pPr>
        <w:spacing w:line="600" w:lineRule="exact"/>
        <w:ind w:firstLine="640" w:firstLineChars="200"/>
        <w:rPr>
          <w:rFonts w:hint="eastAsia" w:ascii="仿宋" w:hAnsi="仿宋" w:eastAsia="仿宋"/>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年度收</w:t>
      </w:r>
      <w:r>
        <w:rPr>
          <w:rFonts w:hint="eastAsia" w:ascii="仿宋_GB2312" w:hAnsi="仿宋_GB2312" w:eastAsia="仿宋_GB2312" w:cs="仿宋_GB2312"/>
          <w:sz w:val="32"/>
          <w:szCs w:val="32"/>
          <w:lang w:val="en-US" w:eastAsia="zh-CN"/>
        </w:rPr>
        <w:t>入</w:t>
      </w:r>
      <w:r>
        <w:rPr>
          <w:rFonts w:hint="eastAsia" w:ascii="仿宋_GB2312" w:hAnsi="仿宋_GB2312" w:eastAsia="仿宋_GB2312" w:cs="仿宋_GB2312"/>
          <w:sz w:val="32"/>
          <w:szCs w:val="32"/>
        </w:rPr>
        <w:t>总计1,274.45 万元。与202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年相比，收</w:t>
      </w:r>
      <w:r>
        <w:rPr>
          <w:rFonts w:hint="eastAsia" w:ascii="仿宋_GB2312" w:hAnsi="仿宋_GB2312" w:eastAsia="仿宋_GB2312" w:cs="仿宋_GB2312"/>
          <w:sz w:val="32"/>
          <w:szCs w:val="32"/>
          <w:lang w:val="en-US" w:eastAsia="zh-CN"/>
        </w:rPr>
        <w:t>入</w:t>
      </w:r>
      <w:r>
        <w:rPr>
          <w:rFonts w:hint="eastAsia" w:ascii="仿宋_GB2312" w:hAnsi="仿宋_GB2312" w:eastAsia="仿宋_GB2312" w:cs="仿宋_GB2312"/>
          <w:sz w:val="32"/>
          <w:szCs w:val="32"/>
        </w:rPr>
        <w:t>总计</w:t>
      </w:r>
      <w:r>
        <w:rPr>
          <w:rFonts w:hint="eastAsia" w:ascii="仿宋_GB2312" w:hAnsi="仿宋_GB2312" w:eastAsia="仿宋_GB2312" w:cs="仿宋_GB2312"/>
          <w:sz w:val="32"/>
          <w:szCs w:val="32"/>
          <w:lang w:val="en-US" w:eastAsia="zh-CN"/>
        </w:rPr>
        <w:t>增加</w:t>
      </w:r>
      <w:r>
        <w:rPr>
          <w:rFonts w:hint="eastAsia" w:ascii="仿宋_GB2312" w:hAnsi="仿宋_GB2312" w:eastAsia="仿宋_GB2312" w:cs="仿宋_GB2312"/>
          <w:sz w:val="32"/>
          <w:szCs w:val="32"/>
        </w:rPr>
        <w:t>82.99万元，</w:t>
      </w:r>
      <w:r>
        <w:rPr>
          <w:rFonts w:hint="eastAsia" w:ascii="仿宋_GB2312" w:hAnsi="仿宋_GB2312" w:eastAsia="仿宋_GB2312" w:cs="仿宋_GB2312"/>
          <w:sz w:val="32"/>
          <w:szCs w:val="32"/>
          <w:lang w:val="en-US" w:eastAsia="zh-CN"/>
        </w:rPr>
        <w:t>上升</w:t>
      </w:r>
      <w:r>
        <w:rPr>
          <w:rFonts w:hint="eastAsia" w:ascii="仿宋_GB2312" w:hAnsi="仿宋_GB2312" w:eastAsia="仿宋_GB2312" w:cs="仿宋_GB2312"/>
          <w:sz w:val="32"/>
          <w:szCs w:val="32"/>
        </w:rPr>
        <w:t>6.97%。主要变动原因是项目</w:t>
      </w:r>
      <w:r>
        <w:rPr>
          <w:rFonts w:hint="eastAsia" w:ascii="仿宋_GB2312" w:hAnsi="仿宋_GB2312" w:eastAsia="仿宋_GB2312" w:cs="仿宋_GB2312"/>
          <w:sz w:val="32"/>
          <w:szCs w:val="32"/>
          <w:lang w:val="en-US" w:eastAsia="zh-CN"/>
        </w:rPr>
        <w:t>增加</w:t>
      </w:r>
      <w:r>
        <w:rPr>
          <w:rFonts w:hint="eastAsia" w:ascii="仿宋_GB2312" w:hAnsi="仿宋_GB2312" w:eastAsia="仿宋_GB2312" w:cs="仿宋_GB2312"/>
          <w:sz w:val="32"/>
          <w:szCs w:val="32"/>
        </w:rPr>
        <w:t>。</w:t>
      </w:r>
    </w:p>
    <w:p>
      <w:pPr>
        <w:pStyle w:val="2"/>
        <w:jc w:val="center"/>
        <w:rPr>
          <w:rFonts w:hint="eastAsia" w:ascii="仿宋" w:hAnsi="仿宋" w:eastAsia="仿宋"/>
          <w:sz w:val="32"/>
          <w:szCs w:val="32"/>
        </w:rPr>
      </w:pPr>
      <w:r>
        <w:drawing>
          <wp:inline distT="0" distB="0" distL="114300" distR="114300">
            <wp:extent cx="4180840" cy="2424430"/>
            <wp:effectExtent l="0" t="0" r="10160" b="13970"/>
            <wp:docPr id="6" name="图表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2"/>
        <w:jc w:val="both"/>
        <w:rPr>
          <w:rFonts w:hint="eastAsia" w:ascii="仿宋" w:hAnsi="仿宋" w:eastAsia="仿宋"/>
          <w:sz w:val="32"/>
          <w:szCs w:val="32"/>
        </w:rPr>
      </w:pPr>
      <w:r>
        <w:drawing>
          <wp:anchor distT="0" distB="0" distL="114300" distR="114300" simplePos="0" relativeHeight="251661312" behindDoc="0" locked="0" layoutInCell="1" allowOverlap="1">
            <wp:simplePos x="0" y="0"/>
            <wp:positionH relativeFrom="column">
              <wp:posOffset>638175</wp:posOffset>
            </wp:positionH>
            <wp:positionV relativeFrom="paragraph">
              <wp:posOffset>1844675</wp:posOffset>
            </wp:positionV>
            <wp:extent cx="4159250" cy="2337435"/>
            <wp:effectExtent l="0" t="0" r="12700" b="5715"/>
            <wp:wrapTopAndBottom/>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pStyle w:val="2"/>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val="en-US" w:eastAsia="zh-CN"/>
        </w:rPr>
        <w:t>支出</w:t>
      </w:r>
      <w:r>
        <w:rPr>
          <w:rFonts w:hint="eastAsia" w:ascii="仿宋_GB2312" w:hAnsi="仿宋_GB2312" w:eastAsia="仿宋_GB2312" w:cs="仿宋_GB2312"/>
          <w:sz w:val="32"/>
          <w:szCs w:val="32"/>
        </w:rPr>
        <w:t>总计1,274.45 万元。与202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年相比，</w:t>
      </w:r>
      <w:r>
        <w:rPr>
          <w:rFonts w:hint="eastAsia" w:ascii="仿宋_GB2312" w:hAnsi="仿宋_GB2312" w:eastAsia="仿宋_GB2312" w:cs="仿宋_GB2312"/>
          <w:sz w:val="32"/>
          <w:szCs w:val="32"/>
          <w:lang w:val="en-US" w:eastAsia="zh-CN"/>
        </w:rPr>
        <w:t>支出</w:t>
      </w:r>
      <w:r>
        <w:rPr>
          <w:rFonts w:hint="eastAsia" w:ascii="仿宋_GB2312" w:hAnsi="仿宋_GB2312" w:eastAsia="仿宋_GB2312" w:cs="仿宋_GB2312"/>
          <w:sz w:val="32"/>
          <w:szCs w:val="32"/>
        </w:rPr>
        <w:t>总计</w:t>
      </w:r>
      <w:r>
        <w:rPr>
          <w:rFonts w:hint="eastAsia" w:ascii="仿宋_GB2312" w:hAnsi="仿宋_GB2312" w:eastAsia="仿宋_GB2312" w:cs="仿宋_GB2312"/>
          <w:sz w:val="32"/>
          <w:szCs w:val="32"/>
          <w:lang w:val="en-US" w:eastAsia="zh-CN"/>
        </w:rPr>
        <w:t>增加</w:t>
      </w:r>
      <w:r>
        <w:rPr>
          <w:rFonts w:hint="eastAsia" w:ascii="仿宋_GB2312" w:hAnsi="仿宋_GB2312" w:eastAsia="仿宋_GB2312" w:cs="仿宋_GB2312"/>
          <w:sz w:val="32"/>
          <w:szCs w:val="32"/>
        </w:rPr>
        <w:t>82.99万元，</w:t>
      </w:r>
      <w:r>
        <w:rPr>
          <w:rFonts w:hint="eastAsia" w:ascii="仿宋_GB2312" w:hAnsi="仿宋_GB2312" w:eastAsia="仿宋_GB2312" w:cs="仿宋_GB2312"/>
          <w:sz w:val="32"/>
          <w:szCs w:val="32"/>
          <w:lang w:val="en-US" w:eastAsia="zh-CN"/>
        </w:rPr>
        <w:t>上升</w:t>
      </w:r>
      <w:r>
        <w:rPr>
          <w:rFonts w:hint="eastAsia" w:ascii="仿宋_GB2312" w:hAnsi="仿宋_GB2312" w:eastAsia="仿宋_GB2312" w:cs="仿宋_GB2312"/>
          <w:sz w:val="32"/>
          <w:szCs w:val="32"/>
        </w:rPr>
        <w:t>6.97%。主要变动原因是项目</w:t>
      </w:r>
      <w:r>
        <w:rPr>
          <w:rFonts w:hint="eastAsia" w:ascii="仿宋_GB2312" w:hAnsi="仿宋_GB2312" w:eastAsia="仿宋_GB2312" w:cs="仿宋_GB2312"/>
          <w:sz w:val="32"/>
          <w:szCs w:val="32"/>
          <w:lang w:val="en-US" w:eastAsia="zh-CN"/>
        </w:rPr>
        <w:t>增加</w:t>
      </w:r>
      <w:r>
        <w:rPr>
          <w:rFonts w:hint="eastAsia" w:ascii="仿宋_GB2312" w:hAnsi="仿宋_GB2312" w:eastAsia="仿宋_GB2312" w:cs="仿宋_GB2312"/>
          <w:sz w:val="32"/>
          <w:szCs w:val="32"/>
        </w:rPr>
        <w:t>。</w:t>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（图4：财政拨款收、支决算总计变动情况）（柱状图）</w:t>
      </w:r>
    </w:p>
    <w:p>
      <w:pPr>
        <w:spacing w:line="600" w:lineRule="exact"/>
        <w:ind w:firstLine="640"/>
        <w:rPr>
          <w:rFonts w:ascii="仿宋" w:hAnsi="仿宋" w:eastAsia="仿宋"/>
          <w:b/>
          <w:color w:val="auto"/>
          <w:sz w:val="32"/>
          <w:szCs w:val="32"/>
          <w:highlight w:val="none"/>
        </w:rPr>
      </w:pPr>
    </w:p>
    <w:p>
      <w:pPr>
        <w:spacing w:line="600" w:lineRule="exact"/>
        <w:ind w:firstLine="640" w:firstLineChars="200"/>
        <w:outlineLvl w:val="1"/>
        <w:rPr>
          <w:rStyle w:val="28"/>
          <w:rFonts w:ascii="黑体" w:hAnsi="黑体" w:eastAsia="黑体"/>
          <w:b w:val="0"/>
          <w:color w:val="auto"/>
          <w:highlight w:val="none"/>
        </w:rPr>
      </w:pPr>
      <w:bookmarkStart w:id="32" w:name="_Toc15396607"/>
      <w:bookmarkStart w:id="33" w:name="_Toc15377209"/>
      <w:bookmarkStart w:id="34" w:name="_Toc11318"/>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8"/>
          <w:rFonts w:hint="eastAsia" w:ascii="黑体" w:hAnsi="黑体" w:eastAsia="黑体"/>
          <w:b w:val="0"/>
          <w:color w:val="auto"/>
          <w:highlight w:val="none"/>
        </w:rPr>
        <w:t>般公共预算财政拨款支出决算情况说明</w:t>
      </w:r>
      <w:bookmarkEnd w:id="32"/>
      <w:bookmarkEnd w:id="33"/>
      <w:bookmarkEnd w:id="34"/>
    </w:p>
    <w:p>
      <w:pPr>
        <w:spacing w:line="600" w:lineRule="exact"/>
        <w:ind w:firstLine="643" w:firstLineChars="200"/>
        <w:outlineLvl w:val="2"/>
        <w:rPr>
          <w:rFonts w:ascii="仿宋" w:hAnsi="仿宋" w:eastAsia="仿宋"/>
          <w:b/>
          <w:color w:val="auto"/>
          <w:sz w:val="32"/>
          <w:szCs w:val="32"/>
          <w:highlight w:val="none"/>
        </w:rPr>
      </w:pPr>
      <w:bookmarkStart w:id="35" w:name="_Toc15377210"/>
      <w:bookmarkStart w:id="36" w:name="_Toc21858"/>
      <w:r>
        <w:rPr>
          <w:rFonts w:hint="eastAsia" w:ascii="仿宋" w:hAnsi="仿宋" w:eastAsia="仿宋"/>
          <w:b/>
          <w:color w:val="auto"/>
          <w:sz w:val="32"/>
          <w:szCs w:val="32"/>
          <w:highlight w:val="none"/>
        </w:rPr>
        <w:t>（一）一般公共预算财政拨款支出决算总体情况</w:t>
      </w:r>
      <w:bookmarkEnd w:id="35"/>
      <w:bookmarkEnd w:id="36"/>
    </w:p>
    <w:p>
      <w:pPr>
        <w:spacing w:line="60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年一般公共预算财政拨款支出1,110.86万元，占本年支出合计的</w:t>
      </w:r>
      <w:r>
        <w:rPr>
          <w:rFonts w:hint="eastAsia" w:ascii="仿宋_GB2312" w:hAnsi="仿宋_GB2312" w:eastAsia="仿宋_GB2312" w:cs="仿宋_GB2312"/>
          <w:color w:val="auto"/>
          <w:sz w:val="32"/>
          <w:szCs w:val="32"/>
          <w:highlight w:val="none"/>
          <w:lang w:val="en-US" w:eastAsia="zh-CN"/>
        </w:rPr>
        <w:t>87.16</w:t>
      </w:r>
      <w:r>
        <w:rPr>
          <w:rFonts w:hint="eastAsia" w:ascii="仿宋_GB2312" w:hAnsi="仿宋_GB2312" w:eastAsia="仿宋_GB2312" w:cs="仿宋_GB2312"/>
          <w:color w:val="auto"/>
          <w:sz w:val="32"/>
          <w:szCs w:val="32"/>
          <w:highlight w:val="none"/>
        </w:rPr>
        <w:t>%。与20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年相比，一般公共预算财政拨款</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rPr>
        <w:t>减少</w:t>
      </w:r>
      <w:r>
        <w:rPr>
          <w:rFonts w:hint="eastAsia" w:ascii="仿宋_GB2312" w:hAnsi="仿宋_GB2312" w:eastAsia="仿宋_GB2312" w:cs="仿宋_GB2312"/>
          <w:color w:val="auto"/>
          <w:sz w:val="32"/>
          <w:szCs w:val="32"/>
          <w:highlight w:val="none"/>
          <w:lang w:val="en-US" w:eastAsia="zh-CN"/>
        </w:rPr>
        <w:t>17.6</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1.58</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color w:val="auto"/>
          <w:sz w:val="32"/>
          <w:szCs w:val="32"/>
          <w:highlight w:val="none"/>
          <w:lang w:val="en-US" w:eastAsia="zh-CN"/>
        </w:rPr>
        <w:t>项目支出减少</w:t>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drawing>
          <wp:anchor distT="0" distB="0" distL="114300" distR="114300" simplePos="0" relativeHeight="251662336" behindDoc="0" locked="0" layoutInCell="1" allowOverlap="1">
            <wp:simplePos x="0" y="0"/>
            <wp:positionH relativeFrom="column">
              <wp:posOffset>506095</wp:posOffset>
            </wp:positionH>
            <wp:positionV relativeFrom="paragraph">
              <wp:posOffset>337820</wp:posOffset>
            </wp:positionV>
            <wp:extent cx="4718685" cy="3153410"/>
            <wp:effectExtent l="4445" t="4445" r="20320" b="23495"/>
            <wp:wrapTopAndBottom/>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 w:hAnsi="仿宋" w:eastAsia="仿宋"/>
          <w:color w:val="auto"/>
          <w:sz w:val="32"/>
          <w:szCs w:val="32"/>
          <w:highlight w:val="none"/>
        </w:rPr>
        <w:t>（图5：一般公共预算财政拨款支出决算变动情况）（柱状图）</w:t>
      </w:r>
    </w:p>
    <w:p>
      <w:pPr>
        <w:spacing w:line="600" w:lineRule="exact"/>
        <w:ind w:firstLine="643" w:firstLineChars="200"/>
        <w:outlineLvl w:val="2"/>
        <w:rPr>
          <w:rFonts w:ascii="仿宋" w:hAnsi="仿宋" w:eastAsia="仿宋"/>
          <w:b/>
          <w:color w:val="auto"/>
          <w:sz w:val="32"/>
          <w:szCs w:val="32"/>
          <w:highlight w:val="none"/>
        </w:rPr>
      </w:pPr>
      <w:bookmarkStart w:id="37" w:name="_Toc15377211"/>
      <w:bookmarkStart w:id="38" w:name="_Toc9654"/>
      <w:r>
        <w:rPr>
          <w:rFonts w:hint="eastAsia" w:ascii="仿宋" w:hAnsi="仿宋" w:eastAsia="仿宋"/>
          <w:b/>
          <w:color w:val="auto"/>
          <w:sz w:val="32"/>
          <w:szCs w:val="32"/>
          <w:highlight w:val="none"/>
        </w:rPr>
        <w:t>（二）一般公共预算财政拨款支出决算结构情况</w:t>
      </w:r>
      <w:bookmarkEnd w:id="37"/>
      <w:bookmarkEnd w:id="38"/>
    </w:p>
    <w:p>
      <w:pPr>
        <w:spacing w:line="600" w:lineRule="exact"/>
        <w:ind w:firstLine="640"/>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年一般公共预算财政拨款支出1,110.86万元，主要用于以下方面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一般公共服务</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rPr>
        <w:t>750.34万元，占</w:t>
      </w:r>
      <w:r>
        <w:rPr>
          <w:rFonts w:hint="eastAsia" w:ascii="仿宋" w:hAnsi="仿宋" w:eastAsia="仿宋"/>
          <w:color w:val="auto"/>
          <w:sz w:val="32"/>
          <w:szCs w:val="32"/>
          <w:highlight w:val="none"/>
          <w:lang w:val="en-US" w:eastAsia="zh-CN"/>
        </w:rPr>
        <w:t>67.55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rPr>
        <w:t>77.00万元，占</w:t>
      </w:r>
      <w:r>
        <w:rPr>
          <w:rFonts w:hint="eastAsia" w:ascii="仿宋" w:hAnsi="仿宋" w:eastAsia="仿宋"/>
          <w:color w:val="auto"/>
          <w:sz w:val="32"/>
          <w:szCs w:val="32"/>
          <w:highlight w:val="none"/>
          <w:lang w:val="en-US" w:eastAsia="zh-CN"/>
        </w:rPr>
        <w:t>6.93</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rPr>
        <w:t>33.58万元，占</w:t>
      </w:r>
      <w:r>
        <w:rPr>
          <w:rFonts w:hint="eastAsia" w:ascii="仿宋" w:hAnsi="仿宋" w:eastAsia="仿宋"/>
          <w:color w:val="auto"/>
          <w:sz w:val="32"/>
          <w:szCs w:val="32"/>
          <w:highlight w:val="none"/>
          <w:lang w:val="en-US" w:eastAsia="zh-CN"/>
        </w:rPr>
        <w:t>3.02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住房保障支出</w:t>
      </w:r>
      <w:r>
        <w:rPr>
          <w:rFonts w:hint="eastAsia" w:ascii="仿宋" w:hAnsi="仿宋" w:eastAsia="仿宋"/>
          <w:color w:val="auto"/>
          <w:sz w:val="32"/>
          <w:szCs w:val="32"/>
          <w:highlight w:val="none"/>
        </w:rPr>
        <w:t>44.32万元，占</w:t>
      </w:r>
      <w:r>
        <w:rPr>
          <w:rFonts w:hint="eastAsia" w:ascii="仿宋" w:hAnsi="仿宋" w:eastAsia="仿宋"/>
          <w:color w:val="auto"/>
          <w:sz w:val="32"/>
          <w:szCs w:val="32"/>
          <w:highlight w:val="none"/>
          <w:lang w:val="en-US" w:eastAsia="zh-CN"/>
        </w:rPr>
        <w:t>3.99</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drawing>
          <wp:anchor distT="0" distB="0" distL="114300" distR="114300" simplePos="0" relativeHeight="251663360" behindDoc="0" locked="0" layoutInCell="1" allowOverlap="1">
            <wp:simplePos x="0" y="0"/>
            <wp:positionH relativeFrom="column">
              <wp:posOffset>128270</wp:posOffset>
            </wp:positionH>
            <wp:positionV relativeFrom="paragraph">
              <wp:posOffset>870585</wp:posOffset>
            </wp:positionV>
            <wp:extent cx="4803775" cy="3362960"/>
            <wp:effectExtent l="4445" t="5080" r="11430" b="22860"/>
            <wp:wrapTopAndBottom/>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仿宋" w:hAnsi="仿宋" w:eastAsia="仿宋"/>
          <w:b/>
          <w:bCs/>
          <w:color w:val="auto"/>
          <w:sz w:val="32"/>
          <w:szCs w:val="32"/>
          <w:highlight w:val="none"/>
          <w:lang w:val="en-US" w:eastAsia="zh-CN"/>
        </w:rPr>
        <w:t>城乡社区支出</w:t>
      </w:r>
      <w:r>
        <w:rPr>
          <w:rFonts w:hint="eastAsia" w:ascii="仿宋" w:hAnsi="仿宋" w:eastAsia="仿宋"/>
          <w:color w:val="auto"/>
          <w:sz w:val="32"/>
          <w:szCs w:val="32"/>
          <w:highlight w:val="none"/>
        </w:rPr>
        <w:t>13.00</w:t>
      </w:r>
      <w:r>
        <w:rPr>
          <w:rFonts w:hint="eastAsia" w:ascii="仿宋" w:hAnsi="仿宋" w:eastAsia="仿宋"/>
          <w:color w:val="auto"/>
          <w:sz w:val="32"/>
          <w:szCs w:val="32"/>
          <w:highlight w:val="none"/>
          <w:lang w:val="en-US" w:eastAsia="zh-CN"/>
        </w:rPr>
        <w:t>万元，占1.17%；</w:t>
      </w:r>
      <w:r>
        <w:rPr>
          <w:rFonts w:hint="eastAsia" w:ascii="仿宋" w:hAnsi="仿宋" w:eastAsia="仿宋"/>
          <w:b/>
          <w:bCs/>
          <w:color w:val="auto"/>
          <w:sz w:val="32"/>
          <w:szCs w:val="32"/>
          <w:highlight w:val="none"/>
          <w:lang w:val="en-US" w:eastAsia="zh-CN"/>
        </w:rPr>
        <w:t>农林水支出</w:t>
      </w:r>
      <w:r>
        <w:rPr>
          <w:rFonts w:hint="eastAsia" w:ascii="仿宋" w:hAnsi="仿宋" w:eastAsia="仿宋"/>
          <w:b w:val="0"/>
          <w:bCs w:val="0"/>
          <w:color w:val="auto"/>
          <w:sz w:val="32"/>
          <w:szCs w:val="32"/>
          <w:highlight w:val="none"/>
          <w:lang w:val="en-US" w:eastAsia="zh-CN"/>
        </w:rPr>
        <w:t>192.63</w:t>
      </w:r>
      <w:r>
        <w:rPr>
          <w:rFonts w:hint="eastAsia" w:ascii="仿宋" w:hAnsi="仿宋" w:eastAsia="仿宋"/>
          <w:color w:val="auto"/>
          <w:sz w:val="32"/>
          <w:szCs w:val="32"/>
          <w:highlight w:val="none"/>
          <w:lang w:val="en-US" w:eastAsia="zh-CN"/>
        </w:rPr>
        <w:t>万元，占17.34%</w:t>
      </w:r>
      <w:r>
        <w:rPr>
          <w:rFonts w:hint="eastAsia" w:ascii="仿宋" w:hAnsi="仿宋" w:eastAsia="仿宋"/>
          <w:color w:val="auto"/>
          <w:sz w:val="32"/>
          <w:szCs w:val="32"/>
          <w:highlight w:val="none"/>
        </w:rPr>
        <w:t>。</w:t>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（图6：一般公共预算财政拨款支出决算结构）（饼状图）</w:t>
      </w:r>
    </w:p>
    <w:p>
      <w:pPr>
        <w:spacing w:line="600" w:lineRule="exact"/>
        <w:ind w:firstLine="643" w:firstLineChars="200"/>
        <w:outlineLvl w:val="2"/>
        <w:rPr>
          <w:rFonts w:ascii="仿宋" w:hAnsi="仿宋" w:eastAsia="仿宋"/>
          <w:b/>
          <w:color w:val="auto"/>
          <w:sz w:val="32"/>
          <w:szCs w:val="32"/>
          <w:highlight w:val="none"/>
        </w:rPr>
      </w:pPr>
      <w:bookmarkStart w:id="39" w:name="_Toc15377212"/>
      <w:bookmarkStart w:id="40" w:name="_Toc26600"/>
      <w:r>
        <w:rPr>
          <w:rFonts w:hint="eastAsia" w:ascii="仿宋" w:hAnsi="仿宋" w:eastAsia="仿宋"/>
          <w:b/>
          <w:color w:val="auto"/>
          <w:sz w:val="32"/>
          <w:szCs w:val="32"/>
          <w:highlight w:val="none"/>
        </w:rPr>
        <w:t>（三）一般公共预算财政拨款支出决算具体情况</w:t>
      </w:r>
      <w:bookmarkEnd w:id="39"/>
      <w:bookmarkEnd w:id="40"/>
    </w:p>
    <w:p>
      <w:pPr>
        <w:spacing w:line="600" w:lineRule="exact"/>
        <w:ind w:firstLine="643" w:firstLineChars="200"/>
        <w:outlineLvl w:val="9"/>
        <w:rPr>
          <w:rFonts w:ascii="仿宋" w:hAnsi="仿宋" w:eastAsia="仿宋"/>
          <w:color w:val="auto"/>
          <w:sz w:val="32"/>
          <w:szCs w:val="32"/>
          <w:highlight w:val="none"/>
        </w:rPr>
      </w:pPr>
      <w:bookmarkStart w:id="41" w:name="_Toc15378460"/>
      <w:bookmarkStart w:id="42" w:name="_Toc15377444"/>
      <w:bookmarkStart w:id="43" w:name="_Toc15377213"/>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22</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般公共预算支出决算数为1,110.86</w:t>
      </w:r>
      <w:r>
        <w:rPr>
          <w:rFonts w:hint="eastAsia" w:ascii="仿宋" w:hAnsi="仿宋" w:eastAsia="仿宋"/>
          <w:color w:val="auto"/>
          <w:sz w:val="32"/>
          <w:szCs w:val="32"/>
          <w:highlight w:val="none"/>
        </w:rPr>
        <w:t>，</w:t>
      </w:r>
      <w:r>
        <w:rPr>
          <w:rStyle w:val="16"/>
          <w:rFonts w:hint="eastAsia" w:ascii="仿宋" w:hAnsi="仿宋" w:eastAsia="仿宋"/>
          <w:bCs/>
          <w:color w:val="auto"/>
          <w:sz w:val="32"/>
          <w:szCs w:val="32"/>
          <w:highlight w:val="none"/>
        </w:rPr>
        <w:t>完成预算</w:t>
      </w:r>
      <w:r>
        <w:rPr>
          <w:rStyle w:val="16"/>
          <w:rFonts w:hint="eastAsia" w:ascii="仿宋" w:hAnsi="仿宋" w:eastAsia="仿宋"/>
          <w:bCs/>
          <w:color w:val="auto"/>
          <w:sz w:val="32"/>
          <w:szCs w:val="32"/>
          <w:highlight w:val="none"/>
          <w:lang w:val="en-US" w:eastAsia="zh-CN"/>
        </w:rPr>
        <w:t>100</w:t>
      </w:r>
      <w:r>
        <w:rPr>
          <w:rStyle w:val="16"/>
          <w:rFonts w:ascii="仿宋" w:hAnsi="仿宋" w:eastAsia="仿宋"/>
          <w:bCs/>
          <w:color w:val="auto"/>
          <w:sz w:val="32"/>
          <w:szCs w:val="32"/>
          <w:highlight w:val="none"/>
        </w:rPr>
        <w:t>%</w:t>
      </w:r>
      <w:r>
        <w:rPr>
          <w:rStyle w:val="16"/>
          <w:rFonts w:hint="eastAsia" w:ascii="仿宋" w:hAnsi="仿宋" w:eastAsia="仿宋"/>
          <w:bCs/>
          <w:color w:val="auto"/>
          <w:sz w:val="32"/>
          <w:szCs w:val="32"/>
          <w:highlight w:val="none"/>
        </w:rPr>
        <w:t>。其中：</w:t>
      </w:r>
      <w:bookmarkEnd w:id="41"/>
      <w:bookmarkEnd w:id="42"/>
      <w:bookmarkEnd w:id="43"/>
    </w:p>
    <w:p>
      <w:pPr>
        <w:spacing w:line="600" w:lineRule="exact"/>
        <w:ind w:firstLine="643" w:firstLineChars="200"/>
        <w:rPr>
          <w:rStyle w:val="16"/>
          <w:rFonts w:ascii="仿宋" w:hAnsi="仿宋" w:eastAsia="仿宋"/>
          <w:b w:val="0"/>
          <w:bCs/>
          <w:sz w:val="32"/>
          <w:szCs w:val="32"/>
        </w:rPr>
      </w:pPr>
      <w:r>
        <w:rPr>
          <w:rStyle w:val="16"/>
          <w:rFonts w:ascii="仿宋" w:hAnsi="仿宋" w:eastAsia="仿宋"/>
          <w:bCs/>
          <w:sz w:val="32"/>
          <w:szCs w:val="32"/>
        </w:rPr>
        <w:t>1.</w:t>
      </w:r>
      <w:r>
        <w:rPr>
          <w:rFonts w:hint="eastAsia"/>
        </w:rPr>
        <w:t xml:space="preserve"> </w:t>
      </w:r>
      <w:r>
        <w:rPr>
          <w:rStyle w:val="16"/>
          <w:rFonts w:hint="eastAsia" w:ascii="仿宋" w:hAnsi="仿宋" w:eastAsia="仿宋"/>
          <w:bCs/>
          <w:sz w:val="32"/>
          <w:szCs w:val="32"/>
        </w:rPr>
        <w:t>一般公共服务（类）人大事务（款）事业运行（项）（</w:t>
      </w:r>
      <w:r>
        <w:rPr>
          <w:rStyle w:val="16"/>
          <w:rFonts w:ascii="仿宋" w:hAnsi="仿宋" w:eastAsia="仿宋"/>
          <w:bCs/>
          <w:sz w:val="32"/>
          <w:szCs w:val="32"/>
        </w:rPr>
        <w:t>20101</w:t>
      </w:r>
      <w:r>
        <w:rPr>
          <w:rStyle w:val="16"/>
          <w:rFonts w:hint="eastAsia" w:ascii="仿宋" w:hAnsi="仿宋" w:eastAsia="仿宋"/>
          <w:bCs/>
          <w:sz w:val="32"/>
          <w:szCs w:val="32"/>
          <w:lang w:val="en-US" w:eastAsia="zh-CN"/>
        </w:rPr>
        <w:t>50</w:t>
      </w:r>
      <w:r>
        <w:rPr>
          <w:rStyle w:val="16"/>
          <w:rFonts w:hint="eastAsia" w:ascii="仿宋" w:hAnsi="仿宋" w:eastAsia="仿宋"/>
          <w:bCs/>
          <w:sz w:val="32"/>
          <w:szCs w:val="32"/>
        </w:rPr>
        <w:t xml:space="preserve">）: </w:t>
      </w:r>
      <w:r>
        <w:rPr>
          <w:rStyle w:val="16"/>
          <w:rFonts w:hint="eastAsia" w:ascii="仿宋" w:hAnsi="仿宋" w:eastAsia="仿宋"/>
          <w:b w:val="0"/>
          <w:bCs/>
          <w:sz w:val="32"/>
          <w:szCs w:val="32"/>
        </w:rPr>
        <w:t>支出决算为2.35万元，完成预算100%，决算数等于预算数。</w:t>
      </w:r>
    </w:p>
    <w:p>
      <w:pPr>
        <w:spacing w:line="600" w:lineRule="exact"/>
        <w:ind w:firstLine="643" w:firstLineChars="200"/>
        <w:rPr>
          <w:rFonts w:ascii="仿宋" w:hAnsi="仿宋" w:eastAsia="仿宋"/>
          <w:b/>
          <w:sz w:val="32"/>
          <w:szCs w:val="32"/>
        </w:rPr>
      </w:pPr>
      <w:r>
        <w:rPr>
          <w:rStyle w:val="16"/>
          <w:rFonts w:ascii="仿宋" w:hAnsi="仿宋" w:eastAsia="仿宋"/>
          <w:bCs/>
          <w:sz w:val="32"/>
          <w:szCs w:val="32"/>
        </w:rPr>
        <w:t>2.</w:t>
      </w:r>
      <w:r>
        <w:rPr>
          <w:rFonts w:hint="eastAsia"/>
        </w:rPr>
        <w:t xml:space="preserve"> </w:t>
      </w:r>
      <w:r>
        <w:rPr>
          <w:rStyle w:val="16"/>
          <w:rFonts w:hint="eastAsia" w:ascii="仿宋" w:hAnsi="仿宋" w:eastAsia="仿宋"/>
          <w:bCs/>
          <w:sz w:val="32"/>
          <w:szCs w:val="32"/>
        </w:rPr>
        <w:t>一般公共服务（类）政府办公厅（室）及相关机构事务（款）行政运行（项）（</w:t>
      </w:r>
      <w:r>
        <w:rPr>
          <w:rStyle w:val="16"/>
          <w:rFonts w:ascii="仿宋" w:hAnsi="仿宋" w:eastAsia="仿宋"/>
          <w:bCs/>
          <w:sz w:val="32"/>
          <w:szCs w:val="32"/>
        </w:rPr>
        <w:t>2010301</w:t>
      </w:r>
      <w:r>
        <w:rPr>
          <w:rStyle w:val="16"/>
          <w:rFonts w:hint="eastAsia" w:ascii="仿宋" w:hAnsi="仿宋" w:eastAsia="仿宋"/>
          <w:bCs/>
          <w:sz w:val="32"/>
          <w:szCs w:val="32"/>
        </w:rPr>
        <w:t xml:space="preserve">）: </w:t>
      </w:r>
      <w:r>
        <w:rPr>
          <w:rStyle w:val="16"/>
          <w:rFonts w:hint="eastAsia" w:ascii="仿宋" w:hAnsi="仿宋" w:eastAsia="仿宋"/>
          <w:b w:val="0"/>
          <w:bCs/>
          <w:sz w:val="32"/>
          <w:szCs w:val="32"/>
        </w:rPr>
        <w:t>支出决算为499.94万元，完成预算100%，决算数等于预算数。</w:t>
      </w:r>
    </w:p>
    <w:p>
      <w:pPr>
        <w:spacing w:line="600" w:lineRule="exact"/>
        <w:ind w:firstLine="643" w:firstLineChars="200"/>
        <w:rPr>
          <w:rFonts w:ascii="仿宋" w:hAnsi="仿宋" w:eastAsia="仿宋"/>
          <w:b/>
          <w:sz w:val="32"/>
          <w:szCs w:val="32"/>
        </w:rPr>
      </w:pPr>
      <w:r>
        <w:rPr>
          <w:rStyle w:val="16"/>
          <w:rFonts w:ascii="仿宋" w:hAnsi="仿宋" w:eastAsia="仿宋"/>
          <w:bCs/>
          <w:sz w:val="32"/>
          <w:szCs w:val="32"/>
        </w:rPr>
        <w:t>3.</w:t>
      </w:r>
      <w:r>
        <w:rPr>
          <w:rFonts w:hint="eastAsia"/>
        </w:rPr>
        <w:t xml:space="preserve"> </w:t>
      </w:r>
      <w:r>
        <w:rPr>
          <w:rStyle w:val="16"/>
          <w:rFonts w:hint="eastAsia" w:ascii="仿宋" w:hAnsi="仿宋" w:eastAsia="仿宋"/>
          <w:bCs/>
          <w:sz w:val="32"/>
          <w:szCs w:val="32"/>
        </w:rPr>
        <w:t>一般公共服务（类）政府办公厅（室）及相关机构事务（款）一般行政管理事务（项）（</w:t>
      </w:r>
      <w:r>
        <w:rPr>
          <w:rStyle w:val="16"/>
          <w:rFonts w:ascii="仿宋" w:hAnsi="仿宋" w:eastAsia="仿宋"/>
          <w:bCs/>
          <w:sz w:val="32"/>
          <w:szCs w:val="32"/>
        </w:rPr>
        <w:t>2010302</w:t>
      </w:r>
      <w:r>
        <w:rPr>
          <w:rStyle w:val="16"/>
          <w:rFonts w:hint="eastAsia" w:ascii="仿宋" w:hAnsi="仿宋" w:eastAsia="仿宋"/>
          <w:bCs/>
          <w:sz w:val="32"/>
          <w:szCs w:val="32"/>
        </w:rPr>
        <w:t xml:space="preserve">）: </w:t>
      </w:r>
      <w:r>
        <w:rPr>
          <w:rStyle w:val="16"/>
          <w:rFonts w:hint="eastAsia" w:ascii="仿宋" w:hAnsi="仿宋" w:eastAsia="仿宋"/>
          <w:b w:val="0"/>
          <w:bCs/>
          <w:sz w:val="32"/>
          <w:szCs w:val="32"/>
        </w:rPr>
        <w:t>支出决算为61.80万元，完成预算100%，决算数等于预算数。</w:t>
      </w:r>
    </w:p>
    <w:p>
      <w:pPr>
        <w:spacing w:line="600" w:lineRule="exact"/>
        <w:ind w:firstLine="643" w:firstLineChars="200"/>
        <w:rPr>
          <w:rFonts w:ascii="仿宋" w:hAnsi="仿宋" w:eastAsia="仿宋"/>
          <w:b/>
          <w:sz w:val="32"/>
          <w:szCs w:val="32"/>
        </w:rPr>
      </w:pPr>
      <w:r>
        <w:rPr>
          <w:rStyle w:val="16"/>
          <w:rFonts w:ascii="仿宋" w:hAnsi="仿宋" w:eastAsia="仿宋"/>
          <w:bCs/>
          <w:sz w:val="32"/>
          <w:szCs w:val="32"/>
        </w:rPr>
        <w:t>4.</w:t>
      </w:r>
      <w:r>
        <w:rPr>
          <w:rFonts w:hint="eastAsia"/>
        </w:rPr>
        <w:t xml:space="preserve"> </w:t>
      </w:r>
      <w:r>
        <w:rPr>
          <w:rStyle w:val="16"/>
          <w:rFonts w:hint="eastAsia" w:ascii="仿宋" w:hAnsi="仿宋" w:eastAsia="仿宋"/>
          <w:bCs/>
          <w:sz w:val="32"/>
          <w:szCs w:val="32"/>
        </w:rPr>
        <w:t>一般公共服务（类）政府办公厅（室）及相关机构事务（款）其他政府办公厅（室）及相关机构事务支出（项）（</w:t>
      </w:r>
      <w:r>
        <w:rPr>
          <w:rStyle w:val="16"/>
          <w:rFonts w:ascii="仿宋" w:hAnsi="仿宋" w:eastAsia="仿宋"/>
          <w:bCs/>
          <w:sz w:val="32"/>
          <w:szCs w:val="32"/>
        </w:rPr>
        <w:t>20103</w:t>
      </w:r>
      <w:r>
        <w:rPr>
          <w:rStyle w:val="16"/>
          <w:rFonts w:hint="eastAsia" w:ascii="仿宋" w:hAnsi="仿宋" w:eastAsia="仿宋"/>
          <w:bCs/>
          <w:sz w:val="32"/>
          <w:szCs w:val="32"/>
          <w:lang w:val="en-US" w:eastAsia="zh-CN"/>
        </w:rPr>
        <w:t>99</w:t>
      </w:r>
      <w:r>
        <w:rPr>
          <w:rStyle w:val="16"/>
          <w:rFonts w:hint="eastAsia" w:ascii="仿宋" w:hAnsi="仿宋" w:eastAsia="仿宋"/>
          <w:bCs/>
          <w:sz w:val="32"/>
          <w:szCs w:val="32"/>
        </w:rPr>
        <w:t xml:space="preserve">）: </w:t>
      </w:r>
      <w:r>
        <w:rPr>
          <w:rStyle w:val="16"/>
          <w:rFonts w:hint="eastAsia" w:ascii="仿宋" w:hAnsi="仿宋" w:eastAsia="仿宋"/>
          <w:b w:val="0"/>
          <w:bCs/>
          <w:sz w:val="32"/>
          <w:szCs w:val="32"/>
        </w:rPr>
        <w:t>支出决算为178.25万元，完成预算100%，决算数等于预算数。</w:t>
      </w:r>
    </w:p>
    <w:p>
      <w:pPr>
        <w:spacing w:line="600" w:lineRule="exact"/>
        <w:ind w:firstLine="643" w:firstLineChars="200"/>
        <w:rPr>
          <w:rFonts w:ascii="仿宋" w:hAnsi="仿宋" w:eastAsia="仿宋"/>
          <w:b/>
          <w:sz w:val="32"/>
          <w:szCs w:val="32"/>
        </w:rPr>
      </w:pPr>
      <w:r>
        <w:rPr>
          <w:rStyle w:val="16"/>
          <w:rFonts w:hint="eastAsia" w:ascii="仿宋" w:hAnsi="仿宋" w:eastAsia="仿宋"/>
          <w:bCs/>
          <w:sz w:val="32"/>
          <w:szCs w:val="32"/>
          <w:lang w:val="en-US" w:eastAsia="zh-CN"/>
        </w:rPr>
        <w:t>5</w:t>
      </w:r>
      <w:r>
        <w:rPr>
          <w:rStyle w:val="16"/>
          <w:rFonts w:ascii="仿宋" w:hAnsi="仿宋" w:eastAsia="仿宋"/>
          <w:bCs/>
          <w:sz w:val="32"/>
          <w:szCs w:val="32"/>
        </w:rPr>
        <w:t>.</w:t>
      </w:r>
      <w:r>
        <w:rPr>
          <w:rFonts w:hint="eastAsia"/>
        </w:rPr>
        <w:t xml:space="preserve"> </w:t>
      </w:r>
      <w:r>
        <w:rPr>
          <w:rStyle w:val="16"/>
          <w:rFonts w:hint="eastAsia" w:ascii="仿宋" w:hAnsi="仿宋" w:eastAsia="仿宋"/>
          <w:bCs/>
          <w:sz w:val="32"/>
          <w:szCs w:val="32"/>
        </w:rPr>
        <w:t>一般公共服务（类）纪检监察事务（款）其他纪检监察事务支出（项）（</w:t>
      </w:r>
      <w:r>
        <w:rPr>
          <w:rStyle w:val="16"/>
          <w:rFonts w:ascii="仿宋" w:hAnsi="仿宋" w:eastAsia="仿宋"/>
          <w:bCs/>
          <w:sz w:val="32"/>
          <w:szCs w:val="32"/>
        </w:rPr>
        <w:t>2011199</w:t>
      </w:r>
      <w:r>
        <w:rPr>
          <w:rStyle w:val="16"/>
          <w:rFonts w:hint="eastAsia" w:ascii="仿宋" w:hAnsi="仿宋" w:eastAsia="仿宋"/>
          <w:bCs/>
          <w:sz w:val="32"/>
          <w:szCs w:val="32"/>
        </w:rPr>
        <w:t xml:space="preserve">）: </w:t>
      </w:r>
      <w:r>
        <w:rPr>
          <w:rStyle w:val="16"/>
          <w:rFonts w:hint="eastAsia" w:ascii="仿宋" w:hAnsi="仿宋" w:eastAsia="仿宋"/>
          <w:b w:val="0"/>
          <w:bCs/>
          <w:sz w:val="32"/>
          <w:szCs w:val="32"/>
        </w:rPr>
        <w:t>支出决算为8.00万元，完成预算100%，决算数等于预算数。</w:t>
      </w:r>
    </w:p>
    <w:p>
      <w:pPr>
        <w:spacing w:line="600" w:lineRule="exact"/>
        <w:ind w:firstLine="643" w:firstLineChars="200"/>
        <w:rPr>
          <w:rFonts w:ascii="仿宋" w:hAnsi="仿宋" w:eastAsia="仿宋"/>
          <w:b/>
          <w:sz w:val="32"/>
          <w:szCs w:val="32"/>
        </w:rPr>
      </w:pPr>
      <w:r>
        <w:rPr>
          <w:rStyle w:val="16"/>
          <w:rFonts w:hint="eastAsia" w:ascii="仿宋" w:hAnsi="仿宋" w:eastAsia="仿宋"/>
          <w:bCs/>
          <w:sz w:val="32"/>
          <w:szCs w:val="32"/>
          <w:lang w:val="en-US" w:eastAsia="zh-CN"/>
        </w:rPr>
        <w:t>6</w:t>
      </w:r>
      <w:r>
        <w:rPr>
          <w:rStyle w:val="16"/>
          <w:rFonts w:ascii="仿宋" w:hAnsi="仿宋" w:eastAsia="仿宋"/>
          <w:bCs/>
          <w:sz w:val="32"/>
          <w:szCs w:val="32"/>
        </w:rPr>
        <w:t>.</w:t>
      </w:r>
      <w:r>
        <w:rPr>
          <w:rFonts w:hint="eastAsia"/>
        </w:rPr>
        <w:t xml:space="preserve"> </w:t>
      </w:r>
      <w:r>
        <w:rPr>
          <w:rStyle w:val="16"/>
          <w:rFonts w:hint="eastAsia" w:ascii="仿宋" w:hAnsi="仿宋" w:eastAsia="仿宋"/>
          <w:bCs/>
          <w:sz w:val="32"/>
          <w:szCs w:val="32"/>
        </w:rPr>
        <w:t>社会保障和就业支出（类）行政事业单位养老支出（款）行政单位离退休（项）（</w:t>
      </w:r>
      <w:r>
        <w:rPr>
          <w:rStyle w:val="16"/>
          <w:rFonts w:ascii="仿宋" w:hAnsi="仿宋" w:eastAsia="仿宋"/>
          <w:bCs/>
          <w:sz w:val="32"/>
          <w:szCs w:val="32"/>
        </w:rPr>
        <w:t>2080501</w:t>
      </w:r>
      <w:r>
        <w:rPr>
          <w:rStyle w:val="16"/>
          <w:rFonts w:hint="eastAsia" w:ascii="仿宋" w:hAnsi="仿宋" w:eastAsia="仿宋"/>
          <w:bCs/>
          <w:sz w:val="32"/>
          <w:szCs w:val="32"/>
        </w:rPr>
        <w:t xml:space="preserve">）: </w:t>
      </w:r>
      <w:r>
        <w:rPr>
          <w:rStyle w:val="16"/>
          <w:rFonts w:hint="eastAsia" w:ascii="仿宋" w:hAnsi="仿宋" w:eastAsia="仿宋"/>
          <w:b w:val="0"/>
          <w:bCs/>
          <w:sz w:val="32"/>
          <w:szCs w:val="32"/>
        </w:rPr>
        <w:t>支出决算为2.80万元，完成预算100%，决算数等于预算数。</w:t>
      </w:r>
    </w:p>
    <w:p>
      <w:pPr>
        <w:spacing w:line="600" w:lineRule="exact"/>
        <w:ind w:firstLine="643" w:firstLineChars="200"/>
        <w:rPr>
          <w:rFonts w:ascii="仿宋" w:hAnsi="仿宋" w:eastAsia="仿宋"/>
          <w:b/>
          <w:sz w:val="32"/>
          <w:szCs w:val="32"/>
        </w:rPr>
      </w:pPr>
      <w:r>
        <w:rPr>
          <w:rStyle w:val="16"/>
          <w:rFonts w:hint="eastAsia" w:ascii="仿宋" w:hAnsi="仿宋" w:eastAsia="仿宋"/>
          <w:bCs/>
          <w:sz w:val="32"/>
          <w:szCs w:val="32"/>
          <w:lang w:val="en-US" w:eastAsia="zh-CN"/>
        </w:rPr>
        <w:t>7</w:t>
      </w:r>
      <w:r>
        <w:rPr>
          <w:rStyle w:val="16"/>
          <w:rFonts w:ascii="仿宋" w:hAnsi="仿宋" w:eastAsia="仿宋"/>
          <w:bCs/>
          <w:sz w:val="32"/>
          <w:szCs w:val="32"/>
        </w:rPr>
        <w:t>.</w:t>
      </w:r>
      <w:r>
        <w:rPr>
          <w:rFonts w:hint="eastAsia"/>
        </w:rPr>
        <w:t xml:space="preserve"> </w:t>
      </w:r>
      <w:r>
        <w:rPr>
          <w:rStyle w:val="16"/>
          <w:rFonts w:hint="eastAsia" w:ascii="仿宋" w:hAnsi="仿宋" w:eastAsia="仿宋"/>
          <w:bCs/>
          <w:sz w:val="32"/>
          <w:szCs w:val="32"/>
        </w:rPr>
        <w:t>社会保障和就业支出（类）行政事业单位养老支出（款）机关事业单位基本养老保险缴费支出（项）（</w:t>
      </w:r>
      <w:r>
        <w:rPr>
          <w:rStyle w:val="16"/>
          <w:rFonts w:ascii="仿宋" w:hAnsi="仿宋" w:eastAsia="仿宋"/>
          <w:bCs/>
          <w:sz w:val="32"/>
          <w:szCs w:val="32"/>
        </w:rPr>
        <w:t>2080505</w:t>
      </w:r>
      <w:r>
        <w:rPr>
          <w:rStyle w:val="16"/>
          <w:rFonts w:hint="eastAsia" w:ascii="仿宋" w:hAnsi="仿宋" w:eastAsia="仿宋"/>
          <w:bCs/>
          <w:sz w:val="32"/>
          <w:szCs w:val="32"/>
        </w:rPr>
        <w:t xml:space="preserve">）: </w:t>
      </w:r>
      <w:r>
        <w:rPr>
          <w:rStyle w:val="16"/>
          <w:rFonts w:hint="eastAsia" w:ascii="仿宋" w:hAnsi="仿宋" w:eastAsia="仿宋"/>
          <w:b w:val="0"/>
          <w:bCs/>
          <w:sz w:val="32"/>
          <w:szCs w:val="32"/>
        </w:rPr>
        <w:t>支出决算为55.71万元，完成预算100%，决算数等于预算数。</w:t>
      </w:r>
    </w:p>
    <w:p>
      <w:pPr>
        <w:spacing w:line="600" w:lineRule="exact"/>
        <w:ind w:firstLine="643" w:firstLineChars="200"/>
        <w:rPr>
          <w:rFonts w:ascii="仿宋" w:hAnsi="仿宋" w:eastAsia="仿宋"/>
          <w:b/>
          <w:sz w:val="32"/>
          <w:szCs w:val="32"/>
        </w:rPr>
      </w:pPr>
      <w:r>
        <w:rPr>
          <w:rStyle w:val="16"/>
          <w:rFonts w:hint="eastAsia" w:ascii="仿宋" w:hAnsi="仿宋" w:eastAsia="仿宋"/>
          <w:bCs/>
          <w:sz w:val="32"/>
          <w:szCs w:val="32"/>
          <w:lang w:val="en-US" w:eastAsia="zh-CN"/>
        </w:rPr>
        <w:t>8</w:t>
      </w:r>
      <w:r>
        <w:rPr>
          <w:rStyle w:val="16"/>
          <w:rFonts w:ascii="仿宋" w:hAnsi="仿宋" w:eastAsia="仿宋"/>
          <w:bCs/>
          <w:sz w:val="32"/>
          <w:szCs w:val="32"/>
        </w:rPr>
        <w:t>.</w:t>
      </w:r>
      <w:r>
        <w:rPr>
          <w:rFonts w:hint="eastAsia"/>
        </w:rPr>
        <w:t xml:space="preserve"> </w:t>
      </w:r>
      <w:r>
        <w:rPr>
          <w:rStyle w:val="16"/>
          <w:rFonts w:hint="eastAsia" w:ascii="仿宋" w:hAnsi="仿宋" w:eastAsia="仿宋"/>
          <w:bCs/>
          <w:sz w:val="32"/>
          <w:szCs w:val="32"/>
        </w:rPr>
        <w:t>社会保障和就业支出（类）行政事业单位养老支出（款）机关事业单位职业年金缴费支出（项）（</w:t>
      </w:r>
      <w:r>
        <w:rPr>
          <w:rStyle w:val="16"/>
          <w:rFonts w:ascii="仿宋" w:hAnsi="仿宋" w:eastAsia="仿宋"/>
          <w:bCs/>
          <w:sz w:val="32"/>
          <w:szCs w:val="32"/>
        </w:rPr>
        <w:t>2080506</w:t>
      </w:r>
      <w:r>
        <w:rPr>
          <w:rStyle w:val="16"/>
          <w:rFonts w:hint="eastAsia" w:ascii="仿宋" w:hAnsi="仿宋" w:eastAsia="仿宋"/>
          <w:bCs/>
          <w:sz w:val="32"/>
          <w:szCs w:val="32"/>
        </w:rPr>
        <w:t xml:space="preserve">）: </w:t>
      </w:r>
      <w:r>
        <w:rPr>
          <w:rStyle w:val="16"/>
          <w:rFonts w:hint="eastAsia" w:ascii="仿宋" w:hAnsi="仿宋" w:eastAsia="仿宋"/>
          <w:b w:val="0"/>
          <w:bCs/>
          <w:sz w:val="32"/>
          <w:szCs w:val="32"/>
        </w:rPr>
        <w:t>支出决算为1.73万元，完成预算100%，决算数等于预算数。</w:t>
      </w:r>
    </w:p>
    <w:p>
      <w:pPr>
        <w:spacing w:line="600" w:lineRule="exact"/>
        <w:ind w:firstLine="643" w:firstLineChars="200"/>
        <w:rPr>
          <w:rFonts w:ascii="仿宋" w:hAnsi="仿宋" w:eastAsia="仿宋"/>
          <w:b/>
          <w:sz w:val="32"/>
          <w:szCs w:val="32"/>
        </w:rPr>
      </w:pPr>
      <w:r>
        <w:rPr>
          <w:rStyle w:val="16"/>
          <w:rFonts w:hint="eastAsia" w:ascii="仿宋" w:hAnsi="仿宋" w:eastAsia="仿宋"/>
          <w:bCs/>
          <w:sz w:val="32"/>
          <w:szCs w:val="32"/>
          <w:lang w:val="en-US" w:eastAsia="zh-CN"/>
        </w:rPr>
        <w:t>9</w:t>
      </w:r>
      <w:r>
        <w:rPr>
          <w:rStyle w:val="16"/>
          <w:rFonts w:ascii="仿宋" w:hAnsi="仿宋" w:eastAsia="仿宋"/>
          <w:bCs/>
          <w:sz w:val="32"/>
          <w:szCs w:val="32"/>
        </w:rPr>
        <w:t>.</w:t>
      </w:r>
      <w:r>
        <w:rPr>
          <w:rFonts w:hint="eastAsia"/>
        </w:rPr>
        <w:t xml:space="preserve"> </w:t>
      </w:r>
      <w:r>
        <w:rPr>
          <w:rStyle w:val="16"/>
          <w:rFonts w:hint="eastAsia" w:ascii="仿宋" w:hAnsi="仿宋" w:eastAsia="仿宋"/>
          <w:bCs/>
          <w:sz w:val="32"/>
          <w:szCs w:val="32"/>
        </w:rPr>
        <w:t>社会保障和就业支出（类）行政事业单位养老支出（款）其他行政事业单位养老支出（项）（</w:t>
      </w:r>
      <w:r>
        <w:rPr>
          <w:rStyle w:val="16"/>
          <w:rFonts w:ascii="仿宋" w:hAnsi="仿宋" w:eastAsia="仿宋"/>
          <w:bCs/>
          <w:sz w:val="32"/>
          <w:szCs w:val="32"/>
        </w:rPr>
        <w:t>2080599</w:t>
      </w:r>
      <w:r>
        <w:rPr>
          <w:rStyle w:val="16"/>
          <w:rFonts w:hint="eastAsia" w:ascii="仿宋" w:hAnsi="仿宋" w:eastAsia="仿宋"/>
          <w:bCs/>
          <w:sz w:val="32"/>
          <w:szCs w:val="32"/>
        </w:rPr>
        <w:t xml:space="preserve">）: </w:t>
      </w:r>
      <w:r>
        <w:rPr>
          <w:rStyle w:val="16"/>
          <w:rFonts w:hint="eastAsia" w:ascii="仿宋" w:hAnsi="仿宋" w:eastAsia="仿宋"/>
          <w:b w:val="0"/>
          <w:bCs/>
          <w:sz w:val="32"/>
          <w:szCs w:val="32"/>
        </w:rPr>
        <w:t>支出决算为12.50万元，完成预算100%，决算数等于预算数。</w:t>
      </w:r>
    </w:p>
    <w:p>
      <w:pPr>
        <w:spacing w:line="600" w:lineRule="exact"/>
        <w:ind w:firstLine="643" w:firstLineChars="200"/>
        <w:rPr>
          <w:rFonts w:ascii="仿宋" w:hAnsi="仿宋" w:eastAsia="仿宋"/>
          <w:b/>
          <w:sz w:val="32"/>
          <w:szCs w:val="32"/>
        </w:rPr>
      </w:pPr>
      <w:r>
        <w:rPr>
          <w:rStyle w:val="16"/>
          <w:rFonts w:ascii="仿宋" w:hAnsi="仿宋" w:eastAsia="仿宋"/>
          <w:bCs/>
          <w:sz w:val="32"/>
          <w:szCs w:val="32"/>
        </w:rPr>
        <w:t>1</w:t>
      </w:r>
      <w:r>
        <w:rPr>
          <w:rStyle w:val="16"/>
          <w:rFonts w:hint="eastAsia" w:ascii="仿宋" w:hAnsi="仿宋" w:eastAsia="仿宋"/>
          <w:bCs/>
          <w:sz w:val="32"/>
          <w:szCs w:val="32"/>
          <w:lang w:val="en-US" w:eastAsia="zh-CN"/>
        </w:rPr>
        <w:t>0</w:t>
      </w:r>
      <w:r>
        <w:rPr>
          <w:rStyle w:val="16"/>
          <w:rFonts w:ascii="仿宋" w:hAnsi="仿宋" w:eastAsia="仿宋"/>
          <w:bCs/>
          <w:sz w:val="32"/>
          <w:szCs w:val="32"/>
        </w:rPr>
        <w:t>.</w:t>
      </w:r>
      <w:r>
        <w:rPr>
          <w:rFonts w:hint="eastAsia"/>
        </w:rPr>
        <w:t xml:space="preserve"> </w:t>
      </w:r>
      <w:r>
        <w:rPr>
          <w:rStyle w:val="16"/>
          <w:rFonts w:hint="eastAsia" w:ascii="仿宋" w:hAnsi="仿宋" w:eastAsia="仿宋"/>
          <w:bCs/>
          <w:sz w:val="32"/>
          <w:szCs w:val="32"/>
        </w:rPr>
        <w:t>社会保障和就业支出（类）  其他社会保障和就业支出（款）其他社会保障和就业支出（项）（</w:t>
      </w:r>
      <w:r>
        <w:rPr>
          <w:rStyle w:val="16"/>
          <w:rFonts w:ascii="仿宋" w:hAnsi="仿宋" w:eastAsia="仿宋"/>
          <w:bCs/>
          <w:sz w:val="32"/>
          <w:szCs w:val="32"/>
        </w:rPr>
        <w:t>208</w:t>
      </w:r>
      <w:r>
        <w:rPr>
          <w:rStyle w:val="16"/>
          <w:rFonts w:hint="eastAsia" w:ascii="仿宋" w:hAnsi="仿宋" w:eastAsia="仿宋"/>
          <w:bCs/>
          <w:sz w:val="32"/>
          <w:szCs w:val="32"/>
          <w:lang w:val="en-US" w:eastAsia="zh-CN"/>
        </w:rPr>
        <w:t>9999</w:t>
      </w:r>
      <w:r>
        <w:rPr>
          <w:rStyle w:val="16"/>
          <w:rFonts w:hint="eastAsia" w:ascii="仿宋" w:hAnsi="仿宋" w:eastAsia="仿宋"/>
          <w:bCs/>
          <w:sz w:val="32"/>
          <w:szCs w:val="32"/>
        </w:rPr>
        <w:t xml:space="preserve">）: </w:t>
      </w:r>
      <w:r>
        <w:rPr>
          <w:rStyle w:val="16"/>
          <w:rFonts w:hint="eastAsia" w:ascii="仿宋" w:hAnsi="仿宋" w:eastAsia="仿宋"/>
          <w:b w:val="0"/>
          <w:bCs/>
          <w:sz w:val="32"/>
          <w:szCs w:val="32"/>
        </w:rPr>
        <w:t>支出决算为4.25万元，完成预算100%，决算数等于预算数。</w:t>
      </w:r>
    </w:p>
    <w:p>
      <w:pPr>
        <w:spacing w:line="600" w:lineRule="exact"/>
        <w:ind w:firstLine="643" w:firstLineChars="200"/>
        <w:rPr>
          <w:rStyle w:val="16"/>
          <w:rFonts w:ascii="仿宋" w:hAnsi="仿宋" w:eastAsia="仿宋"/>
          <w:b w:val="0"/>
          <w:bCs/>
          <w:sz w:val="32"/>
          <w:szCs w:val="32"/>
        </w:rPr>
      </w:pPr>
      <w:r>
        <w:rPr>
          <w:rStyle w:val="16"/>
          <w:rFonts w:ascii="仿宋" w:hAnsi="仿宋" w:eastAsia="仿宋"/>
          <w:bCs/>
          <w:sz w:val="32"/>
          <w:szCs w:val="32"/>
        </w:rPr>
        <w:t>1</w:t>
      </w:r>
      <w:r>
        <w:rPr>
          <w:rStyle w:val="16"/>
          <w:rFonts w:hint="eastAsia" w:ascii="仿宋" w:hAnsi="仿宋" w:eastAsia="仿宋"/>
          <w:bCs/>
          <w:sz w:val="32"/>
          <w:szCs w:val="32"/>
          <w:lang w:val="en-US" w:eastAsia="zh-CN"/>
        </w:rPr>
        <w:t>1</w:t>
      </w:r>
      <w:r>
        <w:rPr>
          <w:rStyle w:val="16"/>
          <w:rFonts w:ascii="仿宋" w:hAnsi="仿宋" w:eastAsia="仿宋"/>
          <w:bCs/>
          <w:sz w:val="32"/>
          <w:szCs w:val="32"/>
        </w:rPr>
        <w:t>.</w:t>
      </w:r>
      <w:r>
        <w:rPr>
          <w:rFonts w:hint="eastAsia"/>
        </w:rPr>
        <w:t xml:space="preserve"> </w:t>
      </w:r>
      <w:r>
        <w:rPr>
          <w:rStyle w:val="16"/>
          <w:rFonts w:hint="eastAsia" w:ascii="仿宋" w:hAnsi="仿宋" w:eastAsia="仿宋"/>
          <w:bCs/>
          <w:sz w:val="32"/>
          <w:szCs w:val="32"/>
        </w:rPr>
        <w:t>卫生健康支出（类）公共卫生（款）重大公共卫生服务（项）（</w:t>
      </w:r>
      <w:r>
        <w:rPr>
          <w:rStyle w:val="16"/>
          <w:rFonts w:ascii="仿宋" w:hAnsi="仿宋" w:eastAsia="仿宋"/>
          <w:bCs/>
          <w:sz w:val="32"/>
          <w:szCs w:val="32"/>
        </w:rPr>
        <w:t>2100409</w:t>
      </w:r>
      <w:r>
        <w:rPr>
          <w:rStyle w:val="16"/>
          <w:rFonts w:hint="eastAsia" w:ascii="仿宋" w:hAnsi="仿宋" w:eastAsia="仿宋"/>
          <w:bCs/>
          <w:sz w:val="32"/>
          <w:szCs w:val="32"/>
        </w:rPr>
        <w:t xml:space="preserve">）: </w:t>
      </w:r>
      <w:r>
        <w:rPr>
          <w:rStyle w:val="16"/>
          <w:rFonts w:hint="eastAsia" w:ascii="仿宋" w:hAnsi="仿宋" w:eastAsia="仿宋"/>
          <w:b w:val="0"/>
          <w:bCs/>
          <w:sz w:val="32"/>
          <w:szCs w:val="32"/>
        </w:rPr>
        <w:t>支出决算为2.62万元，完成预算100%，决算数等于预算数。</w:t>
      </w:r>
    </w:p>
    <w:p>
      <w:pPr>
        <w:spacing w:line="600" w:lineRule="exact"/>
        <w:ind w:firstLine="643" w:firstLineChars="200"/>
        <w:rPr>
          <w:rFonts w:ascii="仿宋" w:hAnsi="仿宋" w:eastAsia="仿宋"/>
          <w:b/>
          <w:sz w:val="32"/>
          <w:szCs w:val="32"/>
        </w:rPr>
      </w:pPr>
      <w:r>
        <w:rPr>
          <w:rStyle w:val="16"/>
          <w:rFonts w:ascii="仿宋" w:hAnsi="仿宋" w:eastAsia="仿宋"/>
          <w:bCs/>
          <w:sz w:val="32"/>
          <w:szCs w:val="32"/>
        </w:rPr>
        <w:t>1</w:t>
      </w:r>
      <w:r>
        <w:rPr>
          <w:rStyle w:val="16"/>
          <w:rFonts w:hint="eastAsia" w:ascii="仿宋" w:hAnsi="仿宋" w:eastAsia="仿宋"/>
          <w:bCs/>
          <w:sz w:val="32"/>
          <w:szCs w:val="32"/>
          <w:lang w:val="en-US" w:eastAsia="zh-CN"/>
        </w:rPr>
        <w:t>2</w:t>
      </w:r>
      <w:r>
        <w:rPr>
          <w:rStyle w:val="16"/>
          <w:rFonts w:ascii="仿宋" w:hAnsi="仿宋" w:eastAsia="仿宋"/>
          <w:bCs/>
          <w:sz w:val="32"/>
          <w:szCs w:val="32"/>
        </w:rPr>
        <w:t>.</w:t>
      </w:r>
      <w:r>
        <w:rPr>
          <w:rFonts w:hint="eastAsia"/>
        </w:rPr>
        <w:t xml:space="preserve"> </w:t>
      </w:r>
      <w:r>
        <w:rPr>
          <w:rStyle w:val="16"/>
          <w:rFonts w:hint="eastAsia" w:ascii="仿宋" w:hAnsi="仿宋" w:eastAsia="仿宋"/>
          <w:bCs/>
          <w:sz w:val="32"/>
          <w:szCs w:val="32"/>
        </w:rPr>
        <w:t>卫生健康支出（类）行政事业单位医疗（款）行政单位医疗（项）（</w:t>
      </w:r>
      <w:r>
        <w:rPr>
          <w:rStyle w:val="16"/>
          <w:rFonts w:ascii="仿宋" w:hAnsi="仿宋" w:eastAsia="仿宋"/>
          <w:bCs/>
          <w:sz w:val="32"/>
          <w:szCs w:val="32"/>
        </w:rPr>
        <w:t>2101101</w:t>
      </w:r>
      <w:r>
        <w:rPr>
          <w:rStyle w:val="16"/>
          <w:rFonts w:hint="eastAsia" w:ascii="仿宋" w:hAnsi="仿宋" w:eastAsia="仿宋"/>
          <w:bCs/>
          <w:sz w:val="32"/>
          <w:szCs w:val="32"/>
        </w:rPr>
        <w:t xml:space="preserve">）: </w:t>
      </w:r>
      <w:r>
        <w:rPr>
          <w:rStyle w:val="16"/>
          <w:rFonts w:hint="eastAsia" w:ascii="仿宋" w:hAnsi="仿宋" w:eastAsia="仿宋"/>
          <w:b w:val="0"/>
          <w:bCs/>
          <w:sz w:val="32"/>
          <w:szCs w:val="32"/>
        </w:rPr>
        <w:t>支出决算为13.91万元，完成预算100%，决算数等于预算数。</w:t>
      </w:r>
    </w:p>
    <w:p>
      <w:pPr>
        <w:spacing w:line="600" w:lineRule="exact"/>
        <w:ind w:firstLine="643" w:firstLineChars="200"/>
        <w:rPr>
          <w:rStyle w:val="16"/>
          <w:rFonts w:ascii="仿宋" w:hAnsi="仿宋" w:eastAsia="仿宋"/>
          <w:b w:val="0"/>
          <w:bCs/>
          <w:sz w:val="32"/>
          <w:szCs w:val="32"/>
        </w:rPr>
      </w:pPr>
      <w:r>
        <w:rPr>
          <w:rStyle w:val="16"/>
          <w:rFonts w:ascii="仿宋" w:hAnsi="仿宋" w:eastAsia="仿宋"/>
          <w:bCs/>
          <w:sz w:val="32"/>
          <w:szCs w:val="32"/>
        </w:rPr>
        <w:t>1</w:t>
      </w:r>
      <w:r>
        <w:rPr>
          <w:rStyle w:val="16"/>
          <w:rFonts w:hint="eastAsia" w:ascii="仿宋" w:hAnsi="仿宋" w:eastAsia="仿宋"/>
          <w:bCs/>
          <w:sz w:val="32"/>
          <w:szCs w:val="32"/>
          <w:lang w:val="en-US" w:eastAsia="zh-CN"/>
        </w:rPr>
        <w:t>3</w:t>
      </w:r>
      <w:r>
        <w:rPr>
          <w:rStyle w:val="16"/>
          <w:rFonts w:ascii="仿宋" w:hAnsi="仿宋" w:eastAsia="仿宋"/>
          <w:bCs/>
          <w:sz w:val="32"/>
          <w:szCs w:val="32"/>
        </w:rPr>
        <w:t>.</w:t>
      </w:r>
      <w:r>
        <w:rPr>
          <w:rFonts w:hint="eastAsia"/>
        </w:rPr>
        <w:t xml:space="preserve"> </w:t>
      </w:r>
      <w:r>
        <w:rPr>
          <w:rStyle w:val="16"/>
          <w:rFonts w:hint="eastAsia" w:ascii="仿宋" w:hAnsi="仿宋" w:eastAsia="仿宋"/>
          <w:bCs/>
          <w:sz w:val="32"/>
          <w:szCs w:val="32"/>
        </w:rPr>
        <w:t>卫生健康支出（类）行政事业单位医疗（款）事业单位医疗（项）（</w:t>
      </w:r>
      <w:r>
        <w:rPr>
          <w:rStyle w:val="16"/>
          <w:rFonts w:ascii="仿宋" w:hAnsi="仿宋" w:eastAsia="仿宋"/>
          <w:bCs/>
          <w:sz w:val="32"/>
          <w:szCs w:val="32"/>
        </w:rPr>
        <w:t>2101102</w:t>
      </w:r>
      <w:r>
        <w:rPr>
          <w:rStyle w:val="16"/>
          <w:rFonts w:hint="eastAsia" w:ascii="仿宋" w:hAnsi="仿宋" w:eastAsia="仿宋"/>
          <w:bCs/>
          <w:sz w:val="32"/>
          <w:szCs w:val="32"/>
        </w:rPr>
        <w:t xml:space="preserve">）: </w:t>
      </w:r>
      <w:r>
        <w:rPr>
          <w:rStyle w:val="16"/>
          <w:rFonts w:hint="eastAsia" w:ascii="仿宋" w:hAnsi="仿宋" w:eastAsia="仿宋"/>
          <w:b w:val="0"/>
          <w:bCs/>
          <w:sz w:val="32"/>
          <w:szCs w:val="32"/>
        </w:rPr>
        <w:t>支出决算为13.07万元，完成预算100%，决算数等于预算数。</w:t>
      </w:r>
    </w:p>
    <w:p>
      <w:pPr>
        <w:spacing w:line="600" w:lineRule="exact"/>
        <w:ind w:firstLine="643" w:firstLineChars="200"/>
        <w:rPr>
          <w:rFonts w:ascii="仿宋" w:hAnsi="仿宋" w:eastAsia="仿宋"/>
          <w:b/>
          <w:sz w:val="32"/>
          <w:szCs w:val="32"/>
        </w:rPr>
      </w:pPr>
      <w:r>
        <w:rPr>
          <w:rStyle w:val="16"/>
          <w:rFonts w:ascii="仿宋" w:hAnsi="仿宋" w:eastAsia="仿宋"/>
          <w:bCs/>
          <w:sz w:val="32"/>
          <w:szCs w:val="32"/>
        </w:rPr>
        <w:t>1</w:t>
      </w:r>
      <w:r>
        <w:rPr>
          <w:rStyle w:val="16"/>
          <w:rFonts w:hint="eastAsia" w:ascii="仿宋" w:hAnsi="仿宋" w:eastAsia="仿宋"/>
          <w:bCs/>
          <w:sz w:val="32"/>
          <w:szCs w:val="32"/>
          <w:lang w:val="en-US" w:eastAsia="zh-CN"/>
        </w:rPr>
        <w:t>4</w:t>
      </w:r>
      <w:r>
        <w:rPr>
          <w:rStyle w:val="16"/>
          <w:rFonts w:ascii="仿宋" w:hAnsi="仿宋" w:eastAsia="仿宋"/>
          <w:bCs/>
          <w:sz w:val="32"/>
          <w:szCs w:val="32"/>
        </w:rPr>
        <w:t>.</w:t>
      </w:r>
      <w:r>
        <w:rPr>
          <w:rFonts w:hint="eastAsia"/>
        </w:rPr>
        <w:t xml:space="preserve"> </w:t>
      </w:r>
      <w:r>
        <w:rPr>
          <w:rStyle w:val="16"/>
          <w:rFonts w:hint="eastAsia" w:ascii="仿宋" w:hAnsi="仿宋" w:eastAsia="仿宋"/>
          <w:bCs/>
          <w:sz w:val="32"/>
          <w:szCs w:val="32"/>
        </w:rPr>
        <w:t>卫生健康支出（类）行政事业单位医疗（款）公务员医疗补助（项）（</w:t>
      </w:r>
      <w:r>
        <w:rPr>
          <w:rStyle w:val="16"/>
          <w:rFonts w:ascii="仿宋" w:hAnsi="仿宋" w:eastAsia="仿宋"/>
          <w:bCs/>
          <w:sz w:val="32"/>
          <w:szCs w:val="32"/>
        </w:rPr>
        <w:t>2101103</w:t>
      </w:r>
      <w:r>
        <w:rPr>
          <w:rStyle w:val="16"/>
          <w:rFonts w:hint="eastAsia" w:ascii="仿宋" w:hAnsi="仿宋" w:eastAsia="仿宋"/>
          <w:bCs/>
          <w:sz w:val="32"/>
          <w:szCs w:val="32"/>
        </w:rPr>
        <w:t xml:space="preserve">）: </w:t>
      </w:r>
      <w:r>
        <w:rPr>
          <w:rStyle w:val="16"/>
          <w:rFonts w:hint="eastAsia" w:ascii="仿宋" w:hAnsi="仿宋" w:eastAsia="仿宋"/>
          <w:b w:val="0"/>
          <w:bCs/>
          <w:sz w:val="32"/>
          <w:szCs w:val="32"/>
        </w:rPr>
        <w:t>支出决算为3.97万元，完成预算100%，决算数等于预算数。</w:t>
      </w:r>
    </w:p>
    <w:p>
      <w:pPr>
        <w:spacing w:line="600" w:lineRule="exact"/>
        <w:ind w:firstLine="643" w:firstLineChars="200"/>
        <w:rPr>
          <w:rFonts w:ascii="仿宋" w:hAnsi="仿宋" w:eastAsia="仿宋"/>
          <w:b/>
          <w:sz w:val="32"/>
          <w:szCs w:val="32"/>
        </w:rPr>
      </w:pPr>
      <w:r>
        <w:rPr>
          <w:rStyle w:val="16"/>
          <w:rFonts w:hint="eastAsia" w:ascii="仿宋" w:hAnsi="仿宋" w:eastAsia="仿宋"/>
          <w:bCs/>
          <w:sz w:val="32"/>
          <w:szCs w:val="32"/>
          <w:lang w:val="en-US" w:eastAsia="zh-CN"/>
        </w:rPr>
        <w:t>15</w:t>
      </w:r>
      <w:r>
        <w:rPr>
          <w:rStyle w:val="16"/>
          <w:rFonts w:ascii="仿宋" w:hAnsi="仿宋" w:eastAsia="仿宋"/>
          <w:bCs/>
          <w:sz w:val="32"/>
          <w:szCs w:val="32"/>
        </w:rPr>
        <w:t>.</w:t>
      </w:r>
      <w:r>
        <w:rPr>
          <w:rFonts w:hint="eastAsia"/>
        </w:rPr>
        <w:t xml:space="preserve"> </w:t>
      </w:r>
      <w:r>
        <w:rPr>
          <w:rStyle w:val="16"/>
          <w:rFonts w:hint="eastAsia" w:ascii="仿宋" w:hAnsi="仿宋" w:eastAsia="仿宋"/>
          <w:bCs/>
          <w:sz w:val="32"/>
          <w:szCs w:val="32"/>
        </w:rPr>
        <w:t>城乡社区支出（类）城乡社区管理事务（款）其他城乡社区管理事务支出（项）（</w:t>
      </w:r>
      <w:r>
        <w:rPr>
          <w:rStyle w:val="16"/>
          <w:rFonts w:ascii="仿宋" w:hAnsi="仿宋" w:eastAsia="仿宋"/>
          <w:bCs/>
          <w:sz w:val="32"/>
          <w:szCs w:val="32"/>
        </w:rPr>
        <w:t>2120199</w:t>
      </w:r>
      <w:r>
        <w:rPr>
          <w:rStyle w:val="16"/>
          <w:rFonts w:hint="eastAsia" w:ascii="仿宋" w:hAnsi="仿宋" w:eastAsia="仿宋"/>
          <w:bCs/>
          <w:sz w:val="32"/>
          <w:szCs w:val="32"/>
        </w:rPr>
        <w:t>）:</w:t>
      </w:r>
      <w:r>
        <w:rPr>
          <w:rStyle w:val="16"/>
          <w:rFonts w:hint="eastAsia" w:ascii="仿宋" w:hAnsi="仿宋" w:eastAsia="仿宋"/>
          <w:b w:val="0"/>
          <w:bCs/>
          <w:sz w:val="32"/>
          <w:szCs w:val="32"/>
        </w:rPr>
        <w:t>支出决算为13.00万元，完成预算100%，决算数等于预算数。</w:t>
      </w:r>
    </w:p>
    <w:p>
      <w:pPr>
        <w:spacing w:line="600" w:lineRule="exact"/>
        <w:ind w:firstLine="643" w:firstLineChars="200"/>
        <w:rPr>
          <w:rFonts w:ascii="仿宋" w:hAnsi="仿宋" w:eastAsia="仿宋"/>
          <w:b/>
          <w:sz w:val="32"/>
          <w:szCs w:val="32"/>
        </w:rPr>
      </w:pPr>
      <w:r>
        <w:rPr>
          <w:rStyle w:val="16"/>
          <w:rFonts w:hint="eastAsia" w:ascii="仿宋" w:hAnsi="仿宋" w:eastAsia="仿宋"/>
          <w:bCs/>
          <w:sz w:val="32"/>
          <w:szCs w:val="32"/>
          <w:lang w:val="en-US" w:eastAsia="zh-CN"/>
        </w:rPr>
        <w:t>16</w:t>
      </w:r>
      <w:r>
        <w:rPr>
          <w:rStyle w:val="16"/>
          <w:rFonts w:ascii="仿宋" w:hAnsi="仿宋" w:eastAsia="仿宋"/>
          <w:bCs/>
          <w:sz w:val="32"/>
          <w:szCs w:val="32"/>
        </w:rPr>
        <w:t>.</w:t>
      </w:r>
      <w:r>
        <w:rPr>
          <w:rFonts w:hint="eastAsia"/>
        </w:rPr>
        <w:t xml:space="preserve"> </w:t>
      </w:r>
      <w:r>
        <w:rPr>
          <w:rStyle w:val="16"/>
          <w:rFonts w:hint="eastAsia" w:ascii="仿宋" w:hAnsi="仿宋" w:eastAsia="仿宋"/>
          <w:bCs/>
          <w:sz w:val="32"/>
          <w:szCs w:val="32"/>
        </w:rPr>
        <w:t>农林水支出（类）扶贫（款）农村基础设施建设（项）（</w:t>
      </w:r>
      <w:r>
        <w:rPr>
          <w:rStyle w:val="16"/>
          <w:rFonts w:ascii="仿宋" w:hAnsi="仿宋" w:eastAsia="仿宋"/>
          <w:bCs/>
          <w:sz w:val="32"/>
          <w:szCs w:val="32"/>
        </w:rPr>
        <w:t>2130504</w:t>
      </w:r>
      <w:r>
        <w:rPr>
          <w:rStyle w:val="16"/>
          <w:rFonts w:hint="eastAsia" w:ascii="仿宋" w:hAnsi="仿宋" w:eastAsia="仿宋"/>
          <w:bCs/>
          <w:sz w:val="32"/>
          <w:szCs w:val="32"/>
        </w:rPr>
        <w:t xml:space="preserve">）: </w:t>
      </w:r>
      <w:r>
        <w:rPr>
          <w:rStyle w:val="16"/>
          <w:rFonts w:hint="eastAsia" w:ascii="仿宋" w:hAnsi="仿宋" w:eastAsia="仿宋"/>
          <w:b w:val="0"/>
          <w:bCs/>
          <w:sz w:val="32"/>
          <w:szCs w:val="32"/>
        </w:rPr>
        <w:t>支出决算为12.00万元，完成预算100%，决算数等于预算数。</w:t>
      </w:r>
    </w:p>
    <w:p>
      <w:pPr>
        <w:spacing w:line="600" w:lineRule="exact"/>
        <w:ind w:firstLine="643" w:firstLineChars="200"/>
        <w:rPr>
          <w:rFonts w:ascii="仿宋" w:hAnsi="仿宋" w:eastAsia="仿宋"/>
          <w:b/>
          <w:sz w:val="32"/>
          <w:szCs w:val="32"/>
        </w:rPr>
      </w:pPr>
      <w:r>
        <w:rPr>
          <w:rStyle w:val="16"/>
          <w:rFonts w:hint="eastAsia" w:ascii="仿宋" w:hAnsi="仿宋" w:eastAsia="仿宋"/>
          <w:bCs/>
          <w:sz w:val="32"/>
          <w:szCs w:val="32"/>
          <w:lang w:val="en-US" w:eastAsia="zh-CN"/>
        </w:rPr>
        <w:t>17</w:t>
      </w:r>
      <w:r>
        <w:rPr>
          <w:rStyle w:val="16"/>
          <w:rFonts w:ascii="仿宋" w:hAnsi="仿宋" w:eastAsia="仿宋"/>
          <w:bCs/>
          <w:sz w:val="32"/>
          <w:szCs w:val="32"/>
        </w:rPr>
        <w:t>.</w:t>
      </w:r>
      <w:r>
        <w:rPr>
          <w:rFonts w:hint="eastAsia"/>
        </w:rPr>
        <w:t xml:space="preserve"> </w:t>
      </w:r>
      <w:r>
        <w:rPr>
          <w:rStyle w:val="16"/>
          <w:rFonts w:hint="eastAsia" w:ascii="仿宋" w:hAnsi="仿宋" w:eastAsia="仿宋"/>
          <w:bCs/>
          <w:sz w:val="32"/>
          <w:szCs w:val="32"/>
        </w:rPr>
        <w:t>农林水支出（类）扶贫（款）其他扶贫支出（项）（</w:t>
      </w:r>
      <w:r>
        <w:rPr>
          <w:rStyle w:val="16"/>
          <w:rFonts w:ascii="仿宋" w:hAnsi="仿宋" w:eastAsia="仿宋"/>
          <w:bCs/>
          <w:sz w:val="32"/>
          <w:szCs w:val="32"/>
        </w:rPr>
        <w:t>2130599</w:t>
      </w:r>
      <w:r>
        <w:rPr>
          <w:rStyle w:val="16"/>
          <w:rFonts w:hint="eastAsia" w:ascii="仿宋" w:hAnsi="仿宋" w:eastAsia="仿宋"/>
          <w:bCs/>
          <w:sz w:val="32"/>
          <w:szCs w:val="32"/>
        </w:rPr>
        <w:t xml:space="preserve">）: </w:t>
      </w:r>
      <w:r>
        <w:rPr>
          <w:rStyle w:val="16"/>
          <w:rFonts w:hint="eastAsia" w:ascii="仿宋" w:hAnsi="仿宋" w:eastAsia="仿宋"/>
          <w:b w:val="0"/>
          <w:bCs/>
          <w:sz w:val="32"/>
          <w:szCs w:val="32"/>
        </w:rPr>
        <w:t>支出决算为8.00万元，完成预算100%，决算数等于预算数。</w:t>
      </w:r>
    </w:p>
    <w:p>
      <w:pPr>
        <w:spacing w:line="600" w:lineRule="exact"/>
        <w:ind w:firstLine="643" w:firstLineChars="200"/>
        <w:rPr>
          <w:rFonts w:ascii="仿宋" w:hAnsi="仿宋" w:eastAsia="仿宋"/>
          <w:b/>
          <w:sz w:val="32"/>
          <w:szCs w:val="32"/>
        </w:rPr>
      </w:pPr>
      <w:r>
        <w:rPr>
          <w:rStyle w:val="16"/>
          <w:rFonts w:hint="eastAsia" w:ascii="仿宋" w:hAnsi="仿宋" w:eastAsia="仿宋"/>
          <w:bCs/>
          <w:sz w:val="32"/>
          <w:szCs w:val="32"/>
          <w:lang w:val="en-US" w:eastAsia="zh-CN"/>
        </w:rPr>
        <w:t>18</w:t>
      </w:r>
      <w:r>
        <w:rPr>
          <w:rStyle w:val="16"/>
          <w:rFonts w:ascii="仿宋" w:hAnsi="仿宋" w:eastAsia="仿宋"/>
          <w:bCs/>
          <w:sz w:val="32"/>
          <w:szCs w:val="32"/>
        </w:rPr>
        <w:t>.</w:t>
      </w:r>
      <w:r>
        <w:rPr>
          <w:rFonts w:hint="eastAsia"/>
        </w:rPr>
        <w:t xml:space="preserve"> </w:t>
      </w:r>
      <w:r>
        <w:rPr>
          <w:rStyle w:val="16"/>
          <w:rFonts w:hint="eastAsia" w:ascii="仿宋" w:hAnsi="仿宋" w:eastAsia="仿宋"/>
          <w:bCs/>
          <w:sz w:val="32"/>
          <w:szCs w:val="32"/>
        </w:rPr>
        <w:t>农林水支出（类）农村综合改革（款）对村民委员会和村党支部的补助（项）（</w:t>
      </w:r>
      <w:r>
        <w:rPr>
          <w:rStyle w:val="16"/>
          <w:rFonts w:ascii="仿宋" w:hAnsi="仿宋" w:eastAsia="仿宋"/>
          <w:bCs/>
          <w:sz w:val="32"/>
          <w:szCs w:val="32"/>
        </w:rPr>
        <w:t>2130705</w:t>
      </w:r>
      <w:r>
        <w:rPr>
          <w:rStyle w:val="16"/>
          <w:rFonts w:hint="eastAsia" w:ascii="仿宋" w:hAnsi="仿宋" w:eastAsia="仿宋"/>
          <w:bCs/>
          <w:sz w:val="32"/>
          <w:szCs w:val="32"/>
        </w:rPr>
        <w:t>）:</w:t>
      </w:r>
      <w:r>
        <w:rPr>
          <w:rStyle w:val="16"/>
          <w:rFonts w:hint="eastAsia" w:ascii="仿宋" w:hAnsi="仿宋" w:eastAsia="仿宋"/>
          <w:b w:val="0"/>
          <w:bCs/>
          <w:sz w:val="32"/>
          <w:szCs w:val="32"/>
        </w:rPr>
        <w:t>支出决算为172.63万元，完成预算100%，决算数等于预算数。</w:t>
      </w:r>
    </w:p>
    <w:p>
      <w:pPr>
        <w:spacing w:line="600" w:lineRule="exact"/>
        <w:ind w:firstLine="643" w:firstLineChars="200"/>
        <w:rPr>
          <w:rFonts w:hint="eastAsia" w:ascii="仿宋_GB2312" w:hAnsi="仿宋_GB2312" w:eastAsia="仿宋_GB2312" w:cs="仿宋_GB2312"/>
          <w:b/>
          <w:color w:val="auto"/>
          <w:sz w:val="32"/>
          <w:szCs w:val="32"/>
          <w:highlight w:val="none"/>
        </w:rPr>
      </w:pPr>
      <w:r>
        <w:rPr>
          <w:rStyle w:val="16"/>
          <w:rFonts w:hint="eastAsia" w:ascii="仿宋" w:hAnsi="仿宋" w:eastAsia="仿宋"/>
          <w:bCs/>
          <w:sz w:val="32"/>
          <w:szCs w:val="32"/>
          <w:lang w:val="en-US" w:eastAsia="zh-CN"/>
        </w:rPr>
        <w:t>19</w:t>
      </w:r>
      <w:r>
        <w:rPr>
          <w:rStyle w:val="16"/>
          <w:rFonts w:ascii="仿宋" w:hAnsi="仿宋" w:eastAsia="仿宋"/>
          <w:bCs/>
          <w:sz w:val="32"/>
          <w:szCs w:val="32"/>
        </w:rPr>
        <w:t>.</w:t>
      </w:r>
      <w:r>
        <w:rPr>
          <w:rStyle w:val="16"/>
          <w:rFonts w:hint="eastAsia" w:ascii="仿宋" w:hAnsi="仿宋" w:eastAsia="仿宋"/>
          <w:bCs/>
          <w:sz w:val="32"/>
          <w:szCs w:val="32"/>
        </w:rPr>
        <w:t xml:space="preserve"> 住房保障支出（类）住房改革支出（款）住房公积金（项）（</w:t>
      </w:r>
      <w:r>
        <w:rPr>
          <w:rStyle w:val="16"/>
          <w:rFonts w:ascii="仿宋" w:hAnsi="仿宋" w:eastAsia="仿宋"/>
          <w:bCs/>
          <w:sz w:val="32"/>
          <w:szCs w:val="32"/>
        </w:rPr>
        <w:t>2210201</w:t>
      </w:r>
      <w:r>
        <w:rPr>
          <w:rStyle w:val="16"/>
          <w:rFonts w:hint="eastAsia" w:ascii="仿宋" w:hAnsi="仿宋" w:eastAsia="仿宋"/>
          <w:bCs/>
          <w:sz w:val="32"/>
          <w:szCs w:val="32"/>
        </w:rPr>
        <w:t xml:space="preserve">）: </w:t>
      </w:r>
      <w:r>
        <w:rPr>
          <w:rStyle w:val="16"/>
          <w:rFonts w:hint="eastAsia" w:ascii="仿宋_GB2312" w:hAnsi="仿宋_GB2312" w:eastAsia="仿宋_GB2312" w:cs="仿宋_GB2312"/>
          <w:b w:val="0"/>
          <w:bCs/>
          <w:sz w:val="32"/>
          <w:szCs w:val="32"/>
        </w:rPr>
        <w:t>支出决算为44.32万元，完成预算100%，决算数等于预算数。</w:t>
      </w:r>
    </w:p>
    <w:p>
      <w:pPr>
        <w:tabs>
          <w:tab w:val="right" w:pos="8306"/>
        </w:tabs>
        <w:spacing w:line="600" w:lineRule="exact"/>
        <w:ind w:firstLine="640"/>
        <w:outlineLvl w:val="1"/>
        <w:rPr>
          <w:rStyle w:val="28"/>
          <w:color w:val="auto"/>
          <w:highlight w:val="none"/>
        </w:rPr>
      </w:pPr>
      <w:bookmarkStart w:id="44" w:name="_Toc15377214"/>
      <w:bookmarkStart w:id="45" w:name="_Toc15396608"/>
      <w:bookmarkStart w:id="46" w:name="_Toc951"/>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8"/>
          <w:rFonts w:hint="eastAsia" w:ascii="黑体" w:hAnsi="黑体" w:eastAsia="黑体"/>
          <w:b w:val="0"/>
          <w:color w:val="auto"/>
          <w:highlight w:val="none"/>
        </w:rPr>
        <w:t>般公共预算财政拨款基本支出决算情况说明</w:t>
      </w:r>
      <w:bookmarkEnd w:id="44"/>
      <w:bookmarkEnd w:id="45"/>
      <w:bookmarkEnd w:id="46"/>
      <w:r>
        <w:rPr>
          <w:rStyle w:val="28"/>
          <w:rFonts w:ascii="黑体" w:hAnsi="黑体" w:eastAsia="黑体"/>
          <w:b w:val="0"/>
          <w:color w:val="auto"/>
          <w:highlight w:val="none"/>
        </w:rPr>
        <w:tab/>
      </w:r>
    </w:p>
    <w:p>
      <w:pPr>
        <w:spacing w:line="600" w:lineRule="exact"/>
        <w:ind w:firstLine="645"/>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年一般公共预算财政拨款基本支出972.44万元，其中：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人员经费877.82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公用经费94.62万元，主要包括：办公费、印刷费、咨询费、手续费、水费、电费、邮电费、取暖费、差旅费、维修（护）费、租赁费、会议费、培训费、公务接待费、劳务费、委托业务费、工会经费、福利费、其他交通费、其他商品和服务支出、办公设备购置、专用设备购置、其他资本性支出等。</w:t>
      </w:r>
    </w:p>
    <w:p>
      <w:pPr>
        <w:spacing w:line="600" w:lineRule="exact"/>
        <w:ind w:firstLine="640"/>
        <w:outlineLvl w:val="1"/>
        <w:rPr>
          <w:rStyle w:val="28"/>
          <w:rFonts w:ascii="黑体" w:hAnsi="黑体" w:eastAsia="黑体"/>
          <w:b w:val="0"/>
          <w:color w:val="auto"/>
          <w:highlight w:val="none"/>
        </w:rPr>
      </w:pPr>
      <w:bookmarkStart w:id="47" w:name="_Toc15396609"/>
      <w:bookmarkStart w:id="48" w:name="_Toc15377215"/>
      <w:bookmarkStart w:id="49" w:name="_Toc21832"/>
      <w:r>
        <w:rPr>
          <w:rFonts w:hint="eastAsia" w:ascii="黑体" w:eastAsia="黑体"/>
          <w:color w:val="auto"/>
          <w:sz w:val="32"/>
          <w:szCs w:val="32"/>
          <w:highlight w:val="none"/>
        </w:rPr>
        <w:t>七、</w:t>
      </w:r>
      <w:r>
        <w:rPr>
          <w:rStyle w:val="28"/>
          <w:rFonts w:hint="eastAsia" w:ascii="黑体" w:hAnsi="黑体" w:eastAsia="黑体"/>
          <w:b w:val="0"/>
          <w:color w:val="auto"/>
          <w:highlight w:val="none"/>
        </w:rPr>
        <w:t>财政拨款</w:t>
      </w:r>
      <w:r>
        <w:rPr>
          <w:rStyle w:val="28"/>
          <w:rFonts w:hint="eastAsia" w:ascii="黑体" w:hAnsi="黑体" w:eastAsia="黑体"/>
          <w:color w:val="auto"/>
          <w:highlight w:val="none"/>
        </w:rPr>
        <w:t>“</w:t>
      </w:r>
      <w:r>
        <w:rPr>
          <w:rStyle w:val="28"/>
          <w:rFonts w:hint="eastAsia" w:ascii="黑体" w:hAnsi="黑体" w:eastAsia="黑体"/>
          <w:b w:val="0"/>
          <w:color w:val="auto"/>
          <w:highlight w:val="none"/>
        </w:rPr>
        <w:t>三公”经费支出决算情况说明</w:t>
      </w:r>
      <w:bookmarkEnd w:id="47"/>
      <w:bookmarkEnd w:id="48"/>
      <w:bookmarkEnd w:id="49"/>
    </w:p>
    <w:p>
      <w:pPr>
        <w:spacing w:line="600" w:lineRule="exact"/>
        <w:ind w:firstLine="640"/>
        <w:outlineLvl w:val="2"/>
        <w:rPr>
          <w:rFonts w:ascii="仿宋" w:hAnsi="仿宋" w:eastAsia="仿宋"/>
          <w:b/>
          <w:color w:val="auto"/>
          <w:sz w:val="32"/>
          <w:szCs w:val="32"/>
          <w:highlight w:val="none"/>
        </w:rPr>
      </w:pPr>
      <w:bookmarkStart w:id="50" w:name="_Toc15377216"/>
      <w:bookmarkStart w:id="51" w:name="_Toc19717"/>
      <w:r>
        <w:rPr>
          <w:rFonts w:hint="eastAsia" w:ascii="仿宋" w:hAnsi="仿宋" w:eastAsia="仿宋"/>
          <w:b/>
          <w:color w:val="auto"/>
          <w:sz w:val="32"/>
          <w:szCs w:val="32"/>
          <w:highlight w:val="none"/>
        </w:rPr>
        <w:t>（一）“三公”经费财政拨款支出决算总体情况说明</w:t>
      </w:r>
      <w:bookmarkEnd w:id="50"/>
      <w:bookmarkEnd w:id="51"/>
    </w:p>
    <w:p>
      <w:pPr>
        <w:spacing w:line="600" w:lineRule="exact"/>
        <w:ind w:firstLine="640"/>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年“三公”经费财政拨款支出决算为</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较上年增加</w:t>
      </w:r>
      <w:r>
        <w:rPr>
          <w:rFonts w:hint="eastAsia" w:ascii="仿宋_GB2312" w:hAnsi="仿宋_GB2312" w:eastAsia="仿宋_GB2312" w:cs="仿宋_GB2312"/>
          <w:color w:val="auto"/>
          <w:sz w:val="32"/>
          <w:szCs w:val="32"/>
          <w:highlight w:val="none"/>
          <w:lang w:val="en-US" w:eastAsia="zh-CN"/>
        </w:rPr>
        <w:t>0.8万元，增长25%。</w:t>
      </w:r>
    </w:p>
    <w:p>
      <w:pPr>
        <w:spacing w:line="600" w:lineRule="exact"/>
        <w:ind w:firstLine="640"/>
        <w:outlineLvl w:val="2"/>
        <w:rPr>
          <w:rFonts w:ascii="仿宋" w:hAnsi="仿宋" w:eastAsia="仿宋"/>
          <w:b/>
          <w:color w:val="auto"/>
          <w:sz w:val="32"/>
          <w:szCs w:val="32"/>
          <w:highlight w:val="none"/>
        </w:rPr>
      </w:pPr>
      <w:bookmarkStart w:id="52" w:name="_Toc15377217"/>
      <w:bookmarkStart w:id="53" w:name="_Toc20017"/>
      <w:r>
        <w:rPr>
          <w:rFonts w:hint="eastAsia" w:ascii="仿宋" w:hAnsi="仿宋" w:eastAsia="仿宋"/>
          <w:b/>
          <w:color w:val="auto"/>
          <w:sz w:val="32"/>
          <w:szCs w:val="32"/>
          <w:highlight w:val="none"/>
        </w:rPr>
        <w:t>（二）“三公”经费财政拨款支出决算具体情况说明</w:t>
      </w:r>
      <w:bookmarkEnd w:id="52"/>
      <w:bookmarkEnd w:id="53"/>
    </w:p>
    <w:p>
      <w:pPr>
        <w:spacing w:line="600" w:lineRule="exact"/>
        <w:ind w:firstLine="64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drawing>
          <wp:anchor distT="0" distB="0" distL="114300" distR="114300" simplePos="0" relativeHeight="251664384" behindDoc="0" locked="0" layoutInCell="1" allowOverlap="1">
            <wp:simplePos x="0" y="0"/>
            <wp:positionH relativeFrom="column">
              <wp:posOffset>480695</wp:posOffset>
            </wp:positionH>
            <wp:positionV relativeFrom="paragraph">
              <wp:posOffset>1680845</wp:posOffset>
            </wp:positionV>
            <wp:extent cx="4403725" cy="3400425"/>
            <wp:effectExtent l="4445" t="4445" r="11430" b="5080"/>
            <wp:wrapTopAndBottom/>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年“三公”经费财政拨款支出决算中，因公出国（境）费支出决算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%；公务用车购置及运行维护费支出决算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%；公务接待费支出决算</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%。具体情况如下：</w:t>
      </w:r>
    </w:p>
    <w:p>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（图7：“三公”经费财政拨款支出结构）（饼状图）</w:t>
      </w:r>
    </w:p>
    <w:p>
      <w:pPr>
        <w:spacing w:line="600" w:lineRule="exact"/>
        <w:ind w:firstLine="640"/>
        <w:rPr>
          <w:rFonts w:ascii="仿宋_GB2312" w:eastAsia="仿宋_GB2312"/>
          <w:color w:val="auto"/>
          <w:sz w:val="32"/>
          <w:szCs w:val="32"/>
          <w:highlight w:val="none"/>
        </w:rPr>
      </w:pP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万元，</w:t>
      </w:r>
      <w:r>
        <w:rPr>
          <w:rStyle w:val="16"/>
          <w:rFonts w:hint="eastAsia" w:ascii="仿宋_GB2312" w:hAnsi="仿宋_GB2312" w:eastAsia="仿宋_GB2312" w:cs="仿宋_GB2312"/>
          <w:b w:val="0"/>
          <w:bCs/>
          <w:color w:val="auto"/>
          <w:sz w:val="32"/>
          <w:szCs w:val="32"/>
          <w:highlight w:val="none"/>
        </w:rPr>
        <w:t>完成预算</w:t>
      </w:r>
      <w:r>
        <w:rPr>
          <w:rStyle w:val="16"/>
          <w:rFonts w:hint="eastAsia" w:ascii="仿宋_GB2312" w:hAnsi="仿宋_GB2312" w:eastAsia="仿宋_GB2312" w:cs="仿宋_GB2312"/>
          <w:b w:val="0"/>
          <w:bCs/>
          <w:color w:val="auto"/>
          <w:sz w:val="32"/>
          <w:szCs w:val="32"/>
          <w:highlight w:val="none"/>
          <w:lang w:val="en-US" w:eastAsia="zh-CN"/>
        </w:rPr>
        <w:t>100</w:t>
      </w:r>
      <w:r>
        <w:rPr>
          <w:rStyle w:val="16"/>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color w:val="auto"/>
          <w:sz w:val="32"/>
          <w:szCs w:val="32"/>
          <w:highlight w:val="none"/>
        </w:rPr>
        <w:t>公</w:t>
      </w:r>
      <w:r>
        <w:rPr>
          <w:rFonts w:hint="eastAsia" w:ascii="仿宋_GB2312" w:eastAsia="仿宋_GB2312"/>
          <w:color w:val="auto"/>
          <w:sz w:val="32"/>
          <w:szCs w:val="32"/>
          <w:highlight w:val="none"/>
        </w:rPr>
        <w:t>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0.8</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25</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公务接待增加</w:t>
      </w:r>
      <w:r>
        <w:rPr>
          <w:rFonts w:hint="eastAsia" w:ascii="仿宋_GB2312" w:eastAsia="仿宋_GB2312"/>
          <w:color w:val="auto"/>
          <w:sz w:val="32"/>
          <w:szCs w:val="32"/>
          <w:highlight w:val="none"/>
        </w:rPr>
        <w:t>。其中：</w:t>
      </w:r>
    </w:p>
    <w:p>
      <w:pPr>
        <w:spacing w:line="600" w:lineRule="exact"/>
        <w:ind w:firstLine="640"/>
        <w:rPr>
          <w:rFonts w:ascii="仿宋_GB2312" w:eastAsia="仿宋_GB2312"/>
          <w:sz w:val="32"/>
          <w:szCs w:val="32"/>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4</w:t>
      </w:r>
      <w:r>
        <w:rPr>
          <w:rFonts w:hint="eastAsia" w:ascii="仿宋_GB2312" w:eastAsia="仿宋_GB2312"/>
          <w:color w:val="auto"/>
          <w:sz w:val="32"/>
          <w:szCs w:val="32"/>
          <w:highlight w:val="none"/>
        </w:rPr>
        <w:t>万元，主要用于执行公务、开展业务活动开支的交通费、住宿费、用餐费等。国内公务接待</w:t>
      </w:r>
      <w:r>
        <w:rPr>
          <w:rFonts w:hint="eastAsia" w:ascii="仿宋_GB2312" w:eastAsia="仿宋_GB2312"/>
          <w:color w:val="auto"/>
          <w:sz w:val="32"/>
          <w:szCs w:val="32"/>
          <w:highlight w:val="none"/>
          <w:lang w:val="en-US" w:eastAsia="zh-CN"/>
        </w:rPr>
        <w:t>50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500</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万元，具体内容包括：。</w:t>
      </w:r>
      <w:bookmarkStart w:id="54" w:name="_Toc15377218"/>
      <w:bookmarkStart w:id="55" w:name="_Toc15396610"/>
      <w:r>
        <w:rPr>
          <w:rFonts w:hint="eastAsia" w:ascii="仿宋_GB2312" w:eastAsia="仿宋_GB2312"/>
          <w:sz w:val="32"/>
          <w:szCs w:val="32"/>
        </w:rPr>
        <w:t>景区建设支出</w:t>
      </w:r>
      <w:r>
        <w:rPr>
          <w:rFonts w:hint="eastAsia" w:ascii="仿宋_GB2312" w:eastAsia="仿宋_GB2312"/>
          <w:sz w:val="32"/>
          <w:szCs w:val="32"/>
          <w:lang w:val="en-US" w:eastAsia="zh-CN"/>
        </w:rPr>
        <w:t>2.5</w:t>
      </w:r>
      <w:r>
        <w:rPr>
          <w:rFonts w:hint="eastAsia" w:ascii="仿宋_GB2312" w:eastAsia="仿宋_GB2312"/>
          <w:sz w:val="32"/>
          <w:szCs w:val="32"/>
        </w:rPr>
        <w:t>万元，上级部门督查检查支出</w:t>
      </w:r>
      <w:r>
        <w:rPr>
          <w:rFonts w:hint="eastAsia" w:ascii="仿宋_GB2312" w:eastAsia="仿宋_GB2312"/>
          <w:sz w:val="32"/>
          <w:szCs w:val="32"/>
          <w:lang w:val="en-US" w:eastAsia="zh-CN"/>
        </w:rPr>
        <w:t>1.7</w:t>
      </w:r>
      <w:r>
        <w:rPr>
          <w:rFonts w:hint="eastAsia" w:ascii="仿宋_GB2312" w:eastAsia="仿宋_GB2312"/>
          <w:sz w:val="32"/>
          <w:szCs w:val="32"/>
        </w:rPr>
        <w:t>万元，其他支出0</w:t>
      </w:r>
      <w:r>
        <w:rPr>
          <w:rFonts w:ascii="仿宋_GB2312" w:eastAsia="仿宋_GB2312"/>
          <w:sz w:val="32"/>
          <w:szCs w:val="32"/>
        </w:rPr>
        <w:t>.2</w:t>
      </w:r>
      <w:r>
        <w:rPr>
          <w:rFonts w:hint="eastAsia" w:ascii="仿宋_GB2312" w:eastAsia="仿宋_GB2312"/>
          <w:sz w:val="32"/>
          <w:szCs w:val="32"/>
        </w:rPr>
        <w:t>万元。</w:t>
      </w:r>
    </w:p>
    <w:p>
      <w:pPr>
        <w:spacing w:line="600" w:lineRule="exact"/>
        <w:ind w:firstLine="640"/>
        <w:rPr>
          <w:rFonts w:ascii="黑体" w:eastAsia="黑体"/>
          <w:color w:val="auto"/>
          <w:sz w:val="32"/>
          <w:szCs w:val="32"/>
          <w:highlight w:val="none"/>
        </w:rPr>
      </w:pPr>
    </w:p>
    <w:p>
      <w:pPr>
        <w:spacing w:line="600" w:lineRule="exact"/>
        <w:ind w:firstLine="640"/>
        <w:outlineLvl w:val="1"/>
        <w:rPr>
          <w:rStyle w:val="28"/>
          <w:rFonts w:ascii="黑体" w:hAnsi="黑体" w:eastAsia="黑体"/>
          <w:color w:val="auto"/>
          <w:highlight w:val="none"/>
        </w:rPr>
      </w:pPr>
      <w:bookmarkStart w:id="56" w:name="_Toc18553"/>
      <w:r>
        <w:rPr>
          <w:rFonts w:hint="eastAsia" w:ascii="黑体" w:eastAsia="黑体"/>
          <w:color w:val="auto"/>
          <w:sz w:val="32"/>
          <w:szCs w:val="32"/>
          <w:highlight w:val="none"/>
        </w:rPr>
        <w:t>八、</w:t>
      </w:r>
      <w:r>
        <w:rPr>
          <w:rStyle w:val="28"/>
          <w:rFonts w:hint="eastAsia" w:ascii="黑体" w:hAnsi="黑体" w:eastAsia="黑体"/>
          <w:b w:val="0"/>
          <w:color w:val="auto"/>
          <w:highlight w:val="none"/>
        </w:rPr>
        <w:t>政府性基金预算支出决算情况说明</w:t>
      </w:r>
      <w:bookmarkEnd w:id="54"/>
      <w:bookmarkEnd w:id="55"/>
      <w:bookmarkEnd w:id="56"/>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拨款支出163.59万元。</w:t>
      </w:r>
    </w:p>
    <w:p>
      <w:pPr>
        <w:spacing w:line="600" w:lineRule="exact"/>
        <w:ind w:firstLine="640"/>
        <w:rPr>
          <w:rFonts w:ascii="仿宋_GB2312" w:eastAsia="仿宋_GB2312"/>
          <w:color w:val="auto"/>
          <w:sz w:val="32"/>
          <w:szCs w:val="32"/>
          <w:highlight w:val="none"/>
        </w:rPr>
      </w:pPr>
    </w:p>
    <w:p>
      <w:pPr>
        <w:numPr>
          <w:ilvl w:val="0"/>
          <w:numId w:val="4"/>
        </w:numPr>
        <w:spacing w:line="600" w:lineRule="exact"/>
        <w:ind w:firstLine="640"/>
        <w:outlineLvl w:val="1"/>
        <w:rPr>
          <w:rStyle w:val="28"/>
          <w:rFonts w:ascii="黑体" w:hAnsi="黑体" w:eastAsia="黑体"/>
          <w:b w:val="0"/>
          <w:color w:val="auto"/>
          <w:highlight w:val="none"/>
        </w:rPr>
      </w:pPr>
      <w:bookmarkStart w:id="57" w:name="_Toc15396611"/>
      <w:bookmarkStart w:id="58" w:name="_Toc15377219"/>
      <w:bookmarkStart w:id="59" w:name="_Toc31592"/>
      <w:r>
        <w:rPr>
          <w:rStyle w:val="28"/>
          <w:rFonts w:hint="eastAsia" w:ascii="黑体" w:hAnsi="黑体" w:eastAsia="黑体"/>
          <w:b w:val="0"/>
          <w:color w:val="auto"/>
          <w:highlight w:val="none"/>
        </w:rPr>
        <w:t>国有资本经营预算支出决算情况说明</w:t>
      </w:r>
      <w:bookmarkEnd w:id="57"/>
      <w:bookmarkEnd w:id="58"/>
      <w:bookmarkEnd w:id="59"/>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580" w:lineRule="exact"/>
        <w:jc w:val="center"/>
        <w:rPr>
          <w:rFonts w:ascii="方正小标宋简体" w:hAnsi="方正小标宋简体" w:eastAsia="方正小标宋简体" w:cs="方正小标宋简体"/>
          <w:color w:val="auto"/>
          <w:sz w:val="44"/>
          <w:szCs w:val="44"/>
          <w:highlight w:val="none"/>
        </w:rPr>
      </w:pPr>
    </w:p>
    <w:p>
      <w:pPr>
        <w:numPr>
          <w:ilvl w:val="0"/>
          <w:numId w:val="4"/>
        </w:numPr>
        <w:spacing w:line="600" w:lineRule="exact"/>
        <w:ind w:firstLine="640"/>
        <w:outlineLvl w:val="1"/>
        <w:rPr>
          <w:rStyle w:val="28"/>
          <w:rFonts w:hint="eastAsia" w:ascii="黑体" w:hAnsi="黑体" w:eastAsia="黑体"/>
          <w:b w:val="0"/>
          <w:color w:val="auto"/>
          <w:highlight w:val="none"/>
        </w:rPr>
      </w:pPr>
      <w:bookmarkStart w:id="60" w:name="_Toc15396612"/>
      <w:bookmarkStart w:id="61" w:name="_Toc15377221"/>
      <w:bookmarkStart w:id="62" w:name="_Toc27570"/>
      <w:r>
        <w:rPr>
          <w:rStyle w:val="28"/>
          <w:rFonts w:hint="eastAsia" w:ascii="黑体" w:hAnsi="黑体" w:eastAsia="黑体"/>
          <w:b w:val="0"/>
          <w:color w:val="auto"/>
          <w:highlight w:val="none"/>
        </w:rPr>
        <w:t>其他重要事项的情况说明</w:t>
      </w:r>
      <w:bookmarkEnd w:id="60"/>
      <w:bookmarkEnd w:id="61"/>
      <w:bookmarkEnd w:id="62"/>
    </w:p>
    <w:p>
      <w:pPr>
        <w:spacing w:line="600" w:lineRule="exact"/>
        <w:ind w:firstLine="643" w:firstLineChars="200"/>
        <w:outlineLvl w:val="2"/>
        <w:rPr>
          <w:rFonts w:ascii="仿宋" w:hAnsi="仿宋" w:eastAsia="仿宋"/>
          <w:color w:val="auto"/>
          <w:sz w:val="32"/>
          <w:szCs w:val="32"/>
          <w:highlight w:val="none"/>
        </w:rPr>
      </w:pPr>
      <w:bookmarkStart w:id="63" w:name="_Toc15377222"/>
      <w:bookmarkStart w:id="64" w:name="_Toc29764"/>
      <w:r>
        <w:rPr>
          <w:rFonts w:hint="eastAsia" w:ascii="仿宋" w:hAnsi="仿宋" w:eastAsia="仿宋"/>
          <w:b/>
          <w:color w:val="auto"/>
          <w:sz w:val="32"/>
          <w:szCs w:val="32"/>
          <w:highlight w:val="none"/>
        </w:rPr>
        <w:t>（一）机关运行经费支出情况</w:t>
      </w:r>
      <w:bookmarkEnd w:id="63"/>
      <w:bookmarkEnd w:id="64"/>
    </w:p>
    <w:p>
      <w:pPr>
        <w:spacing w:line="600" w:lineRule="exact"/>
        <w:ind w:firstLine="640" w:firstLineChars="200"/>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sz w:val="32"/>
          <w:szCs w:val="32"/>
        </w:rPr>
        <w:t>三墩土家族乡人民政府机关运行经费支出预算完成率1</w:t>
      </w:r>
      <w:r>
        <w:rPr>
          <w:rFonts w:ascii="仿宋_GB2312" w:eastAsia="仿宋_GB2312"/>
          <w:sz w:val="32"/>
          <w:szCs w:val="32"/>
        </w:rPr>
        <w:t>00%</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65" w:name="_Toc15377223"/>
      <w:bookmarkStart w:id="66" w:name="_Toc12334"/>
      <w:r>
        <w:rPr>
          <w:rFonts w:hint="eastAsia" w:ascii="仿宋" w:hAnsi="仿宋" w:eastAsia="仿宋"/>
          <w:b/>
          <w:color w:val="auto"/>
          <w:sz w:val="32"/>
          <w:szCs w:val="32"/>
          <w:highlight w:val="none"/>
        </w:rPr>
        <w:t>（二）政府采购支出情况</w:t>
      </w:r>
      <w:bookmarkEnd w:id="65"/>
      <w:bookmarkEnd w:id="66"/>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sz w:val="32"/>
          <w:szCs w:val="32"/>
        </w:rPr>
        <w:t>三墩土家族乡人民政府政府采购支出总额</w:t>
      </w:r>
      <w:r>
        <w:rPr>
          <w:rFonts w:ascii="仿宋_GB2312" w:eastAsia="仿宋_GB2312"/>
          <w:sz w:val="32"/>
          <w:szCs w:val="32"/>
        </w:rPr>
        <w:t>0</w:t>
      </w:r>
      <w:r>
        <w:rPr>
          <w:rFonts w:hint="eastAsia" w:ascii="仿宋_GB2312" w:eastAsia="仿宋_GB2312"/>
          <w:sz w:val="32"/>
          <w:szCs w:val="32"/>
        </w:rPr>
        <w:t>万元。</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67" w:name="_Toc15377224"/>
      <w:bookmarkStart w:id="68" w:name="_Toc5567"/>
      <w:r>
        <w:rPr>
          <w:rFonts w:hint="eastAsia" w:ascii="仿宋" w:hAnsi="仿宋" w:eastAsia="仿宋"/>
          <w:b/>
          <w:color w:val="auto"/>
          <w:sz w:val="32"/>
          <w:szCs w:val="32"/>
          <w:highlight w:val="none"/>
        </w:rPr>
        <w:t>（三）国有资产占有使用情况</w:t>
      </w:r>
      <w:bookmarkEnd w:id="67"/>
      <w:bookmarkEnd w:id="68"/>
    </w:p>
    <w:p>
      <w:pPr>
        <w:autoSpaceDE w:val="0"/>
        <w:autoSpaceDN w:val="0"/>
        <w:adjustRightInd w:val="0"/>
        <w:spacing w:line="600" w:lineRule="exact"/>
        <w:ind w:firstLine="640" w:firstLineChars="200"/>
        <w:jc w:val="left"/>
        <w:rPr>
          <w:rFonts w:ascii="仿宋" w:hAnsi="仿宋" w:eastAsia="仿宋"/>
          <w:b/>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w:t>
      </w:r>
      <w:r>
        <w:rPr>
          <w:rFonts w:hint="eastAsia" w:ascii="仿宋_GB2312" w:eastAsia="仿宋_GB2312"/>
          <w:sz w:val="32"/>
          <w:szCs w:val="32"/>
        </w:rPr>
        <w:t>三墩土家族乡人民政府共有车辆</w:t>
      </w:r>
      <w:r>
        <w:rPr>
          <w:rFonts w:ascii="仿宋_GB2312" w:eastAsia="仿宋_GB2312"/>
          <w:sz w:val="32"/>
          <w:szCs w:val="32"/>
        </w:rPr>
        <w:t>0</w:t>
      </w:r>
      <w:r>
        <w:rPr>
          <w:rFonts w:hint="eastAsia" w:ascii="仿宋_GB2312" w:eastAsia="仿宋_GB2312"/>
          <w:sz w:val="32"/>
          <w:szCs w:val="32"/>
        </w:rPr>
        <w:t>辆。</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69" w:name="_Toc2706"/>
      <w:r>
        <w:rPr>
          <w:rFonts w:hint="eastAsia" w:ascii="仿宋" w:hAnsi="仿宋" w:eastAsia="仿宋"/>
          <w:b/>
          <w:color w:val="auto"/>
          <w:sz w:val="32"/>
          <w:szCs w:val="32"/>
          <w:highlight w:val="none"/>
        </w:rPr>
        <w:t>（四）预算绩效管理情况</w:t>
      </w:r>
      <w:bookmarkEnd w:id="69"/>
    </w:p>
    <w:p>
      <w:pPr>
        <w:widowControl/>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根据预算绩效管理要求，本部门在202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年度预算编制阶段，组织对</w:t>
      </w:r>
      <w:r>
        <w:rPr>
          <w:rFonts w:hint="eastAsia" w:ascii="仿宋_GB2312" w:hAnsi="仿宋_GB2312" w:eastAsia="仿宋_GB2312" w:cs="仿宋_GB2312"/>
          <w:color w:val="auto"/>
          <w:sz w:val="32"/>
          <w:szCs w:val="32"/>
          <w:highlight w:val="none"/>
          <w:lang w:val="en-US" w:eastAsia="zh-CN"/>
        </w:rPr>
        <w:t>基层组织活动和公共服务运行经费</w:t>
      </w:r>
      <w:r>
        <w:rPr>
          <w:rFonts w:hint="eastAsia" w:ascii="仿宋_GB2312" w:hAnsi="仿宋_GB2312" w:eastAsia="仿宋_GB2312" w:cs="仿宋_GB2312"/>
          <w:color w:val="auto"/>
          <w:sz w:val="32"/>
          <w:szCs w:val="32"/>
          <w:highlight w:val="none"/>
        </w:rPr>
        <w:t>项目等</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个项目开展了预算事前绩效评估，对</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个项目开展绩效监控。</w:t>
      </w:r>
    </w:p>
    <w:p>
      <w:pPr>
        <w:widowControl/>
        <w:ind w:firstLine="640" w:firstLineChars="200"/>
        <w:jc w:val="left"/>
        <w:rPr>
          <w:rFonts w:ascii="仿宋_GB2312" w:eastAsia="仿宋_GB2312"/>
          <w:b/>
          <w:color w:val="auto"/>
          <w:sz w:val="32"/>
          <w:szCs w:val="32"/>
          <w:highlight w:val="none"/>
        </w:rPr>
      </w:pPr>
      <w:r>
        <w:rPr>
          <w:rFonts w:hint="eastAsia" w:ascii="仿宋_GB2312" w:hAnsi="仿宋_GB2312" w:eastAsia="仿宋_GB2312" w:cs="仿宋_GB2312"/>
          <w:color w:val="auto"/>
          <w:sz w:val="32"/>
          <w:szCs w:val="32"/>
          <w:highlight w:val="none"/>
        </w:rPr>
        <w:t>组织对2022年度一般公共预算开展绩效自评，形成</w:t>
      </w:r>
      <w:r>
        <w:rPr>
          <w:rFonts w:hint="eastAsia" w:ascii="仿宋_GB2312" w:hAnsi="仿宋_GB2312" w:eastAsia="仿宋_GB2312" w:cs="仿宋_GB2312"/>
          <w:color w:val="auto"/>
          <w:sz w:val="32"/>
          <w:szCs w:val="32"/>
          <w:highlight w:val="none"/>
          <w:lang w:val="en-US" w:eastAsia="zh-CN"/>
        </w:rPr>
        <w:t>部门预算</w:t>
      </w:r>
      <w:r>
        <w:rPr>
          <w:rFonts w:hint="eastAsia" w:ascii="仿宋_GB2312" w:hAnsi="仿宋_GB2312" w:eastAsia="仿宋_GB2312" w:cs="仿宋_GB2312"/>
          <w:color w:val="auto"/>
          <w:sz w:val="32"/>
          <w:szCs w:val="32"/>
          <w:highlight w:val="none"/>
        </w:rPr>
        <w:t>绩效自评报告</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绩效自评得分为</w:t>
      </w:r>
      <w:r>
        <w:rPr>
          <w:rFonts w:hint="eastAsia" w:ascii="仿宋_GB2312" w:hAnsi="仿宋_GB2312" w:eastAsia="仿宋_GB2312" w:cs="仿宋_GB2312"/>
          <w:color w:val="auto"/>
          <w:sz w:val="32"/>
          <w:szCs w:val="32"/>
          <w:highlight w:val="none"/>
          <w:lang w:val="en-US" w:eastAsia="zh-CN"/>
        </w:rPr>
        <w:t>97</w:t>
      </w:r>
      <w:r>
        <w:rPr>
          <w:rFonts w:hint="eastAsia" w:ascii="仿宋_GB2312" w:hAnsi="仿宋_GB2312" w:eastAsia="仿宋_GB2312" w:cs="仿宋_GB2312"/>
          <w:color w:val="auto"/>
          <w:sz w:val="32"/>
          <w:szCs w:val="32"/>
          <w:highlight w:val="none"/>
        </w:rPr>
        <w:t>分，绩效自评综述：</w:t>
      </w:r>
      <w:r>
        <w:rPr>
          <w:rFonts w:hint="eastAsia" w:ascii="仿宋_GB2312" w:hAnsi="仿宋_GB2312" w:eastAsia="仿宋_GB2312" w:cs="仿宋_GB2312"/>
          <w:color w:val="auto"/>
          <w:sz w:val="32"/>
          <w:szCs w:val="32"/>
          <w:highlight w:val="none"/>
          <w:lang w:val="en-US" w:eastAsia="zh-CN"/>
        </w:rPr>
        <w:t>我乡在部门预算绩效管理、综合管理、绩效指标结果应用等方面严格按照</w:t>
      </w:r>
      <w:r>
        <w:rPr>
          <w:rFonts w:hint="default" w:ascii="仿宋_GB2312" w:hAnsi="仿宋_GB2312" w:eastAsia="仿宋_GB2312" w:cs="仿宋_GB2312"/>
          <w:color w:val="auto"/>
          <w:sz w:val="32"/>
          <w:szCs w:val="32"/>
          <w:highlight w:val="none"/>
        </w:rPr>
        <w:t>预算绩效管理</w:t>
      </w:r>
      <w:r>
        <w:rPr>
          <w:rFonts w:hint="eastAsia" w:ascii="仿宋_GB2312" w:hAnsi="仿宋_GB2312" w:eastAsia="仿宋_GB2312" w:cs="仿宋_GB2312"/>
          <w:color w:val="auto"/>
          <w:sz w:val="32"/>
          <w:szCs w:val="32"/>
          <w:highlight w:val="none"/>
          <w:lang w:val="en-US" w:eastAsia="zh-CN"/>
        </w:rPr>
        <w:t>要求执行，强化预算支出责任，优化支出结构，提高财政资金使用效益，</w:t>
      </w:r>
      <w:r>
        <w:rPr>
          <w:rFonts w:hint="eastAsia" w:ascii="仿宋_GB2312" w:hAnsi="仿宋_GB2312" w:eastAsia="仿宋_GB2312" w:cs="仿宋_GB2312"/>
          <w:color w:val="auto"/>
          <w:sz w:val="32"/>
          <w:szCs w:val="32"/>
          <w:highlight w:val="none"/>
        </w:rPr>
        <w:t>绩效自评报告详见附件。</w:t>
      </w:r>
      <w:r>
        <w:rPr>
          <w:rFonts w:ascii="仿宋_GB2312" w:eastAsia="仿宋_GB2312"/>
          <w:b/>
          <w:color w:val="auto"/>
          <w:sz w:val="32"/>
          <w:szCs w:val="32"/>
          <w:highlight w:val="none"/>
        </w:rPr>
        <w:br w:type="page"/>
      </w:r>
    </w:p>
    <w:p>
      <w:pPr>
        <w:numPr>
          <w:ilvl w:val="0"/>
          <w:numId w:val="5"/>
        </w:numPr>
        <w:spacing w:line="600" w:lineRule="exact"/>
        <w:ind w:firstLine="660" w:firstLineChars="150"/>
        <w:jc w:val="center"/>
        <w:outlineLvl w:val="0"/>
        <w:rPr>
          <w:rStyle w:val="27"/>
          <w:rFonts w:ascii="黑体" w:hAnsi="黑体" w:eastAsia="黑体"/>
          <w:b w:val="0"/>
          <w:color w:val="auto"/>
          <w:highlight w:val="none"/>
        </w:rPr>
      </w:pPr>
      <w:bookmarkStart w:id="70" w:name="_Toc15377225"/>
      <w:bookmarkStart w:id="71" w:name="_Toc15396613"/>
      <w:bookmarkStart w:id="72" w:name="_Toc10036"/>
      <w:r>
        <w:rPr>
          <w:rFonts w:hint="eastAsia" w:ascii="黑体" w:hAnsi="黑体" w:eastAsia="黑体"/>
          <w:color w:val="auto"/>
          <w:sz w:val="44"/>
          <w:szCs w:val="44"/>
          <w:highlight w:val="none"/>
        </w:rPr>
        <w:t>名</w:t>
      </w:r>
      <w:r>
        <w:rPr>
          <w:rStyle w:val="27"/>
          <w:rFonts w:hint="eastAsia" w:ascii="黑体" w:hAnsi="黑体" w:eastAsia="黑体"/>
          <w:b w:val="0"/>
          <w:color w:val="auto"/>
          <w:highlight w:val="none"/>
        </w:rPr>
        <w:t>词解释</w:t>
      </w:r>
      <w:bookmarkEnd w:id="70"/>
      <w:bookmarkEnd w:id="71"/>
      <w:bookmarkEnd w:id="72"/>
    </w:p>
    <w:p>
      <w:pPr>
        <w:spacing w:line="600" w:lineRule="exact"/>
        <w:jc w:val="left"/>
        <w:rPr>
          <w:rFonts w:ascii="宋体"/>
          <w:b/>
          <w:color w:val="auto"/>
          <w:sz w:val="44"/>
          <w:szCs w:val="44"/>
          <w:highlight w:val="none"/>
        </w:rPr>
      </w:pP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r>
        <w:rPr>
          <w:rFonts w:ascii="仿宋_GB2312" w:eastAsia="仿宋_GB2312"/>
          <w:color w:val="auto"/>
          <w:sz w:val="32"/>
          <w:szCs w:val="32"/>
        </w:rPr>
        <w:t xml:space="preserve"> </w:t>
      </w: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使用非财政拨款结余：指事业单位使用以前年度积累的非财政拨款结余弥补当年收支差额的金额。</w:t>
      </w:r>
      <w:r>
        <w:rPr>
          <w:rFonts w:ascii="仿宋_GB2312" w:eastAsia="仿宋_GB2312"/>
          <w:color w:val="auto"/>
          <w:sz w:val="32"/>
          <w:szCs w:val="32"/>
        </w:rPr>
        <w:t xml:space="preserve"> </w:t>
      </w: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pPr>
        <w:ind w:firstLine="640" w:firstLineChars="200"/>
        <w:rPr>
          <w:rFonts w:ascii="仿宋_GB2312" w:eastAsia="仿宋_GB2312"/>
          <w:sz w:val="32"/>
          <w:szCs w:val="32"/>
        </w:rPr>
      </w:pPr>
      <w:r>
        <w:rPr>
          <w:rFonts w:ascii="仿宋_GB2312" w:eastAsia="仿宋_GB2312"/>
          <w:sz w:val="32"/>
          <w:szCs w:val="32"/>
        </w:rPr>
        <w:t>9.</w:t>
      </w:r>
      <w:r>
        <w:rPr>
          <w:rFonts w:hint="eastAsia"/>
        </w:rPr>
        <w:t xml:space="preserve"> </w:t>
      </w:r>
      <w:r>
        <w:rPr>
          <w:rFonts w:hint="eastAsia" w:ascii="仿宋_GB2312" w:eastAsia="仿宋_GB2312"/>
          <w:sz w:val="32"/>
          <w:szCs w:val="32"/>
        </w:rPr>
        <w:t>一般公共服务（类）人大事务（款）人大代表履职能力提升（项）（2010107）：指反映单位人大为提高代表履职能力所发生的各项支出。</w:t>
      </w:r>
    </w:p>
    <w:p>
      <w:pPr>
        <w:ind w:firstLine="640" w:firstLineChars="200"/>
        <w:rPr>
          <w:rFonts w:ascii="仿宋_GB2312" w:eastAsia="仿宋_GB2312"/>
          <w:sz w:val="32"/>
          <w:szCs w:val="32"/>
        </w:rPr>
      </w:pPr>
      <w:r>
        <w:rPr>
          <w:rFonts w:ascii="仿宋_GB2312" w:eastAsia="仿宋_GB2312"/>
          <w:sz w:val="32"/>
          <w:szCs w:val="32"/>
        </w:rPr>
        <w:t>10.</w:t>
      </w:r>
      <w:r>
        <w:rPr>
          <w:rFonts w:hint="eastAsia"/>
        </w:rPr>
        <w:t xml:space="preserve"> </w:t>
      </w:r>
      <w:r>
        <w:rPr>
          <w:rFonts w:hint="eastAsia" w:ascii="仿宋_GB2312" w:eastAsia="仿宋_GB2312"/>
          <w:sz w:val="32"/>
          <w:szCs w:val="32"/>
        </w:rPr>
        <w:t>一般公共服务（类）政府办公厅（室）及相关机构事务（款）行政运行（项）（2010301）：指反映行政单位（包括实行公务员管理的事业单位）的基本支出。</w:t>
      </w:r>
    </w:p>
    <w:p>
      <w:pPr>
        <w:ind w:firstLine="640" w:firstLineChars="200"/>
        <w:rPr>
          <w:rFonts w:ascii="仿宋_GB2312" w:eastAsia="仿宋_GB2312"/>
          <w:sz w:val="32"/>
          <w:szCs w:val="32"/>
        </w:rPr>
      </w:pPr>
      <w:r>
        <w:rPr>
          <w:rFonts w:ascii="仿宋_GB2312" w:eastAsia="仿宋_GB2312"/>
          <w:sz w:val="32"/>
          <w:szCs w:val="32"/>
        </w:rPr>
        <w:t>11.</w:t>
      </w:r>
      <w:r>
        <w:rPr>
          <w:rFonts w:hint="eastAsia" w:ascii="仿宋_GB2312" w:eastAsia="仿宋_GB2312"/>
          <w:sz w:val="32"/>
          <w:szCs w:val="32"/>
        </w:rPr>
        <w:t xml:space="preserve"> 一般公共服务（类）政府办公厅（室）及相关机构事务（款）一般行政管理事务（项）（2010302）：指反映行政单位（包括实行公务员管理的事业单位）未单独设置项级科目的其他项目支出。</w:t>
      </w:r>
    </w:p>
    <w:p>
      <w:pPr>
        <w:ind w:firstLine="640" w:firstLineChars="200"/>
        <w:rPr>
          <w:rFonts w:ascii="仿宋_GB2312" w:eastAsia="仿宋_GB2312"/>
          <w:sz w:val="32"/>
          <w:szCs w:val="32"/>
        </w:rPr>
      </w:pPr>
      <w:r>
        <w:rPr>
          <w:rFonts w:ascii="仿宋_GB2312" w:eastAsia="仿宋_GB2312"/>
          <w:sz w:val="32"/>
          <w:szCs w:val="32"/>
        </w:rPr>
        <w:t>12.</w:t>
      </w:r>
      <w:r>
        <w:rPr>
          <w:rFonts w:hint="eastAsia"/>
        </w:rPr>
        <w:t xml:space="preserve"> </w:t>
      </w:r>
      <w:r>
        <w:rPr>
          <w:rFonts w:hint="eastAsia" w:ascii="仿宋_GB2312" w:eastAsia="仿宋_GB2312"/>
          <w:sz w:val="32"/>
          <w:szCs w:val="32"/>
        </w:rPr>
        <w:t>一般公共服务（类）政府办公厅（室）及相关机构事务（款）信访事务（项）（2010308）：指反映各级政府用于接待群众来信来访方面的支出。</w:t>
      </w:r>
    </w:p>
    <w:p>
      <w:pPr>
        <w:ind w:firstLine="640" w:firstLineChars="200"/>
        <w:rPr>
          <w:rFonts w:ascii="仿宋_GB2312" w:eastAsia="仿宋_GB2312"/>
          <w:sz w:val="32"/>
          <w:szCs w:val="32"/>
        </w:rPr>
      </w:pPr>
      <w:r>
        <w:rPr>
          <w:rFonts w:ascii="仿宋_GB2312" w:eastAsia="仿宋_GB2312"/>
          <w:sz w:val="32"/>
          <w:szCs w:val="32"/>
        </w:rPr>
        <w:t>13.</w:t>
      </w:r>
      <w:r>
        <w:rPr>
          <w:rFonts w:hint="eastAsia"/>
        </w:rPr>
        <w:t xml:space="preserve"> </w:t>
      </w:r>
      <w:r>
        <w:rPr>
          <w:rFonts w:hint="eastAsia" w:ascii="仿宋_GB2312" w:eastAsia="仿宋_GB2312"/>
          <w:sz w:val="32"/>
          <w:szCs w:val="32"/>
        </w:rPr>
        <w:t>一般公共服务（类）政府办公厅（室）及相关机构事务（款）其他政府办公厅（室）及相关机构事务支出（项）（2010399）：指反映除上述项目以外的其他政府办公厅（室）及相关机构事务支出。</w:t>
      </w:r>
    </w:p>
    <w:p>
      <w:pPr>
        <w:ind w:firstLine="640" w:firstLineChars="200"/>
        <w:rPr>
          <w:rFonts w:ascii="仿宋_GB2312" w:eastAsia="仿宋_GB2312"/>
          <w:sz w:val="32"/>
          <w:szCs w:val="32"/>
        </w:rPr>
      </w:pPr>
      <w:r>
        <w:rPr>
          <w:rFonts w:ascii="仿宋_GB2312" w:eastAsia="仿宋_GB2312"/>
          <w:sz w:val="32"/>
          <w:szCs w:val="32"/>
        </w:rPr>
        <w:t>14.</w:t>
      </w:r>
      <w:r>
        <w:rPr>
          <w:rFonts w:hint="eastAsia"/>
        </w:rPr>
        <w:t xml:space="preserve"> </w:t>
      </w:r>
      <w:r>
        <w:rPr>
          <w:rFonts w:hint="eastAsia" w:ascii="仿宋_GB2312" w:eastAsia="仿宋_GB2312"/>
          <w:sz w:val="32"/>
          <w:szCs w:val="32"/>
        </w:rPr>
        <w:t>一般公共服务（类）纪检监察事务（款）其他纪检监察事务支出（项）（2011199）：指反映除上述项目以外的其他纪检监察事务支出。</w:t>
      </w:r>
    </w:p>
    <w:p>
      <w:pPr>
        <w:ind w:firstLine="640" w:firstLineChars="200"/>
        <w:rPr>
          <w:rFonts w:ascii="仿宋_GB2312" w:eastAsia="仿宋_GB2312"/>
          <w:sz w:val="32"/>
          <w:szCs w:val="32"/>
        </w:rPr>
      </w:pPr>
      <w:r>
        <w:rPr>
          <w:rFonts w:ascii="仿宋_GB2312" w:eastAsia="仿宋_GB2312"/>
          <w:sz w:val="32"/>
          <w:szCs w:val="32"/>
        </w:rPr>
        <w:t>15.</w:t>
      </w:r>
      <w:r>
        <w:rPr>
          <w:rFonts w:hint="eastAsia"/>
        </w:rPr>
        <w:t xml:space="preserve"> </w:t>
      </w:r>
      <w:r>
        <w:rPr>
          <w:rFonts w:hint="eastAsia" w:ascii="仿宋_GB2312" w:eastAsia="仿宋_GB2312"/>
          <w:sz w:val="32"/>
          <w:szCs w:val="32"/>
        </w:rPr>
        <w:t>一般公共服务（类）组织事务（款）其他组织事务支出（项）（2013299）：指反映除上述项目以外的其他组织事务支出。</w:t>
      </w:r>
    </w:p>
    <w:p>
      <w:pPr>
        <w:ind w:firstLine="640" w:firstLineChars="200"/>
        <w:rPr>
          <w:rFonts w:ascii="仿宋_GB2312" w:eastAsia="仿宋_GB2312"/>
          <w:sz w:val="32"/>
          <w:szCs w:val="32"/>
        </w:rPr>
      </w:pPr>
      <w:r>
        <w:rPr>
          <w:rFonts w:ascii="仿宋_GB2312" w:eastAsia="仿宋_GB2312"/>
          <w:sz w:val="32"/>
          <w:szCs w:val="32"/>
        </w:rPr>
        <w:t>16.</w:t>
      </w:r>
      <w:r>
        <w:rPr>
          <w:rFonts w:hint="eastAsia"/>
        </w:rPr>
        <w:t xml:space="preserve"> </w:t>
      </w:r>
      <w:r>
        <w:rPr>
          <w:rFonts w:hint="eastAsia" w:ascii="仿宋_GB2312" w:eastAsia="仿宋_GB2312"/>
          <w:sz w:val="32"/>
          <w:szCs w:val="32"/>
        </w:rPr>
        <w:t>教育支出（类）其他教育支出（款）其他教育支出（项）（2059999）：指反映除上述项目以外的其他教育支出。</w:t>
      </w:r>
    </w:p>
    <w:p>
      <w:pPr>
        <w:ind w:firstLine="640" w:firstLineChars="200"/>
        <w:rPr>
          <w:rFonts w:ascii="仿宋_GB2312" w:eastAsia="仿宋_GB2312"/>
          <w:sz w:val="32"/>
          <w:szCs w:val="32"/>
        </w:rPr>
      </w:pPr>
      <w:r>
        <w:rPr>
          <w:rFonts w:ascii="仿宋_GB2312" w:eastAsia="仿宋_GB2312"/>
          <w:sz w:val="32"/>
          <w:szCs w:val="32"/>
        </w:rPr>
        <w:t>17.</w:t>
      </w:r>
      <w:r>
        <w:rPr>
          <w:rFonts w:hint="eastAsia"/>
        </w:rPr>
        <w:t xml:space="preserve"> </w:t>
      </w:r>
      <w:r>
        <w:rPr>
          <w:rFonts w:hint="eastAsia" w:ascii="仿宋_GB2312" w:eastAsia="仿宋_GB2312"/>
          <w:sz w:val="32"/>
          <w:szCs w:val="32"/>
        </w:rPr>
        <w:t>文化旅游体育与传媒支出（类）文化和旅游（款）其他文化和旅游支出（项）（2070199）：指反映除上述项目以外的其他文化和旅游支出。</w:t>
      </w:r>
    </w:p>
    <w:p>
      <w:pPr>
        <w:ind w:firstLine="640" w:firstLineChars="200"/>
        <w:rPr>
          <w:rFonts w:ascii="仿宋_GB2312" w:eastAsia="仿宋_GB2312"/>
          <w:sz w:val="32"/>
          <w:szCs w:val="32"/>
        </w:rPr>
      </w:pPr>
      <w:r>
        <w:rPr>
          <w:rFonts w:ascii="仿宋_GB2312" w:eastAsia="仿宋_GB2312"/>
          <w:sz w:val="32"/>
          <w:szCs w:val="32"/>
        </w:rPr>
        <w:t>18.</w:t>
      </w:r>
      <w:r>
        <w:rPr>
          <w:rFonts w:hint="eastAsia"/>
        </w:rPr>
        <w:t xml:space="preserve"> </w:t>
      </w:r>
      <w:r>
        <w:rPr>
          <w:rFonts w:hint="eastAsia" w:ascii="仿宋_GB2312" w:eastAsia="仿宋_GB2312"/>
          <w:sz w:val="32"/>
          <w:szCs w:val="32"/>
        </w:rPr>
        <w:t>文化旅游体育与传媒支出（类）其他文化旅游体育与传媒支出（款）宣传文化发展专项支出（项）（2079902）：指反映除上述项目以外的宣传文化发展专项支出。</w:t>
      </w:r>
    </w:p>
    <w:p>
      <w:pPr>
        <w:ind w:firstLine="640" w:firstLineChars="200"/>
        <w:rPr>
          <w:rFonts w:ascii="仿宋_GB2312" w:eastAsia="仿宋_GB2312"/>
          <w:sz w:val="32"/>
          <w:szCs w:val="32"/>
        </w:rPr>
      </w:pPr>
      <w:r>
        <w:rPr>
          <w:rFonts w:ascii="仿宋_GB2312" w:eastAsia="仿宋_GB2312"/>
          <w:sz w:val="32"/>
          <w:szCs w:val="32"/>
        </w:rPr>
        <w:t>19.</w:t>
      </w:r>
      <w:r>
        <w:rPr>
          <w:rFonts w:hint="eastAsia"/>
        </w:rPr>
        <w:t xml:space="preserve"> </w:t>
      </w:r>
      <w:r>
        <w:rPr>
          <w:rFonts w:hint="eastAsia" w:ascii="仿宋_GB2312" w:eastAsia="仿宋_GB2312"/>
          <w:sz w:val="32"/>
          <w:szCs w:val="32"/>
        </w:rPr>
        <w:t>社会保障和就业支出（类）行政事业单位养老支出（款）行政单位离退休（项）（2080501）：指反映行政事业单位开支的离退休经费。</w:t>
      </w:r>
    </w:p>
    <w:p>
      <w:pPr>
        <w:ind w:firstLine="640" w:firstLineChars="200"/>
        <w:rPr>
          <w:rFonts w:ascii="仿宋_GB2312" w:eastAsia="仿宋_GB2312"/>
          <w:sz w:val="32"/>
          <w:szCs w:val="32"/>
        </w:rPr>
      </w:pPr>
      <w:r>
        <w:rPr>
          <w:rFonts w:ascii="仿宋_GB2312" w:eastAsia="仿宋_GB2312"/>
          <w:sz w:val="32"/>
          <w:szCs w:val="32"/>
        </w:rPr>
        <w:t>20.</w:t>
      </w:r>
      <w:r>
        <w:rPr>
          <w:rFonts w:hint="eastAsia"/>
        </w:rPr>
        <w:t xml:space="preserve"> </w:t>
      </w:r>
      <w:r>
        <w:rPr>
          <w:rFonts w:hint="eastAsia" w:ascii="仿宋_GB2312" w:eastAsia="仿宋_GB2312"/>
          <w:sz w:val="32"/>
          <w:szCs w:val="32"/>
        </w:rPr>
        <w:t>社会保障和就业支出（类）行政事业单位养老支出（款）机关事业单位基本养老保险缴费支出（项）（2080505）：指反映行政事业单位实施养老保险制度由单位缴纳的基本养老保险费支出。</w:t>
      </w:r>
    </w:p>
    <w:p>
      <w:pPr>
        <w:ind w:firstLine="640" w:firstLineChars="200"/>
        <w:rPr>
          <w:rFonts w:ascii="仿宋_GB2312" w:eastAsia="仿宋_GB2312"/>
          <w:sz w:val="32"/>
          <w:szCs w:val="32"/>
        </w:rPr>
      </w:pPr>
      <w:r>
        <w:rPr>
          <w:rFonts w:ascii="仿宋_GB2312" w:eastAsia="仿宋_GB2312"/>
          <w:sz w:val="32"/>
          <w:szCs w:val="32"/>
        </w:rPr>
        <w:t>21.</w:t>
      </w:r>
      <w:r>
        <w:rPr>
          <w:rFonts w:hint="eastAsia"/>
        </w:rPr>
        <w:t xml:space="preserve"> </w:t>
      </w:r>
      <w:r>
        <w:rPr>
          <w:rFonts w:hint="eastAsia" w:ascii="仿宋_GB2312" w:eastAsia="仿宋_GB2312"/>
          <w:sz w:val="32"/>
          <w:szCs w:val="32"/>
        </w:rPr>
        <w:t>社会保障和就业支出（类）行政事业单位养老支出（款）机关事业单位职业年金缴费支出（项）（2080506）：指反映行政事业单位实施养老保险制度由单位实际缴纳的职业年金支出。</w:t>
      </w:r>
    </w:p>
    <w:p>
      <w:pPr>
        <w:ind w:firstLine="640" w:firstLineChars="200"/>
        <w:rPr>
          <w:rFonts w:ascii="仿宋_GB2312" w:eastAsia="仿宋_GB2312"/>
          <w:sz w:val="32"/>
          <w:szCs w:val="32"/>
        </w:rPr>
      </w:pPr>
      <w:r>
        <w:rPr>
          <w:rFonts w:ascii="仿宋_GB2312" w:eastAsia="仿宋_GB2312"/>
          <w:sz w:val="32"/>
          <w:szCs w:val="32"/>
        </w:rPr>
        <w:t>22.</w:t>
      </w:r>
      <w:r>
        <w:rPr>
          <w:rFonts w:hint="eastAsia"/>
        </w:rPr>
        <w:t xml:space="preserve"> </w:t>
      </w:r>
      <w:r>
        <w:rPr>
          <w:rFonts w:hint="eastAsia" w:ascii="仿宋_GB2312" w:eastAsia="仿宋_GB2312"/>
          <w:sz w:val="32"/>
          <w:szCs w:val="32"/>
        </w:rPr>
        <w:t>社会保障和就业支出（类）行政事业单位养老支出（款）其他行政事业单位养老支出（项）（2080599）：指反映除上述项目以外的其他养老保险支出。</w:t>
      </w:r>
    </w:p>
    <w:p>
      <w:pPr>
        <w:ind w:firstLine="640" w:firstLineChars="200"/>
        <w:rPr>
          <w:rFonts w:ascii="仿宋_GB2312" w:eastAsia="仿宋_GB2312"/>
          <w:sz w:val="32"/>
          <w:szCs w:val="32"/>
        </w:rPr>
      </w:pPr>
      <w:r>
        <w:rPr>
          <w:rFonts w:ascii="仿宋_GB2312" w:eastAsia="仿宋_GB2312"/>
          <w:sz w:val="32"/>
          <w:szCs w:val="32"/>
        </w:rPr>
        <w:t>23.</w:t>
      </w:r>
      <w:r>
        <w:rPr>
          <w:rFonts w:hint="eastAsia"/>
        </w:rPr>
        <w:t xml:space="preserve"> </w:t>
      </w:r>
      <w:r>
        <w:rPr>
          <w:rFonts w:hint="eastAsia" w:ascii="仿宋_GB2312" w:eastAsia="仿宋_GB2312"/>
          <w:sz w:val="32"/>
          <w:szCs w:val="32"/>
        </w:rPr>
        <w:t>社会保障和就业支出（类）抚恤（款）死亡抚恤（项）（2080801）：指用于烈士和牺牲、病故人员家属的一次性和定期抚恤金以及丧葬补助费。</w:t>
      </w:r>
    </w:p>
    <w:p>
      <w:pPr>
        <w:ind w:firstLine="640" w:firstLineChars="200"/>
        <w:rPr>
          <w:rFonts w:ascii="仿宋_GB2312" w:eastAsia="仿宋_GB2312"/>
          <w:sz w:val="32"/>
          <w:szCs w:val="32"/>
        </w:rPr>
      </w:pPr>
      <w:r>
        <w:rPr>
          <w:rFonts w:ascii="仿宋_GB2312" w:eastAsia="仿宋_GB2312"/>
          <w:sz w:val="32"/>
          <w:szCs w:val="32"/>
        </w:rPr>
        <w:t>24.</w:t>
      </w:r>
      <w:r>
        <w:rPr>
          <w:rFonts w:hint="eastAsia"/>
        </w:rPr>
        <w:t xml:space="preserve"> </w:t>
      </w:r>
      <w:r>
        <w:rPr>
          <w:rFonts w:hint="eastAsia" w:ascii="仿宋_GB2312" w:eastAsia="仿宋_GB2312"/>
          <w:sz w:val="32"/>
          <w:szCs w:val="32"/>
        </w:rPr>
        <w:t>卫生健康支出（类）公共卫生（款）重大公共卫生服务（项）（2100409）：指反映行政事业单位重大疾病控制等重大公共卫生服务项目的支出。</w:t>
      </w:r>
    </w:p>
    <w:p>
      <w:pPr>
        <w:ind w:firstLine="640" w:firstLineChars="200"/>
        <w:rPr>
          <w:rFonts w:ascii="仿宋_GB2312" w:eastAsia="仿宋_GB2312"/>
          <w:sz w:val="32"/>
          <w:szCs w:val="32"/>
        </w:rPr>
      </w:pPr>
      <w:r>
        <w:rPr>
          <w:rFonts w:ascii="仿宋_GB2312" w:eastAsia="仿宋_GB2312"/>
          <w:sz w:val="32"/>
          <w:szCs w:val="32"/>
        </w:rPr>
        <w:t>25.</w:t>
      </w:r>
      <w:r>
        <w:rPr>
          <w:rFonts w:hint="eastAsia"/>
        </w:rPr>
        <w:t xml:space="preserve"> </w:t>
      </w:r>
      <w:r>
        <w:rPr>
          <w:rFonts w:hint="eastAsia" w:ascii="仿宋_GB2312" w:eastAsia="仿宋_GB2312"/>
          <w:sz w:val="32"/>
          <w:szCs w:val="32"/>
        </w:rPr>
        <w:t>卫生健康支出（类）行政事业单位医疗（款）行政单位医疗（项）（2101101）：指反映财政部门集中安排的行政单位基本医疗保险缴费经费、未参加医疗保险的行政单位的公费医疗经费，按国家规定享受离退休人员待遇人员的医疗经费。</w:t>
      </w:r>
    </w:p>
    <w:p>
      <w:pPr>
        <w:ind w:firstLine="640" w:firstLineChars="200"/>
        <w:rPr>
          <w:rFonts w:ascii="仿宋_GB2312" w:eastAsia="仿宋_GB2312"/>
          <w:sz w:val="32"/>
          <w:szCs w:val="32"/>
        </w:rPr>
      </w:pPr>
      <w:r>
        <w:rPr>
          <w:rFonts w:ascii="仿宋_GB2312" w:eastAsia="仿宋_GB2312"/>
          <w:sz w:val="32"/>
          <w:szCs w:val="32"/>
        </w:rPr>
        <w:t>26.</w:t>
      </w:r>
      <w:r>
        <w:rPr>
          <w:rFonts w:hint="eastAsia"/>
        </w:rPr>
        <w:t xml:space="preserve"> </w:t>
      </w:r>
      <w:r>
        <w:rPr>
          <w:rFonts w:hint="eastAsia" w:ascii="仿宋_GB2312" w:eastAsia="仿宋_GB2312"/>
          <w:sz w:val="32"/>
          <w:szCs w:val="32"/>
        </w:rPr>
        <w:t>卫生健康支出（类）行政事业单位医疗（款）事业单位医疗（项）（2101102）：指指反映财政部门集中安排的事业单位基本医疗保险缴费经费、未参加医疗保险的事业单位的公费医疗经费，按国家规定享受离退休人员待遇人员的医疗经费。</w:t>
      </w:r>
    </w:p>
    <w:p>
      <w:pPr>
        <w:ind w:firstLine="640" w:firstLineChars="200"/>
        <w:rPr>
          <w:rFonts w:ascii="仿宋_GB2312" w:eastAsia="仿宋_GB2312"/>
          <w:sz w:val="32"/>
          <w:szCs w:val="32"/>
        </w:rPr>
      </w:pPr>
      <w:r>
        <w:rPr>
          <w:rFonts w:ascii="仿宋_GB2312" w:eastAsia="仿宋_GB2312"/>
          <w:sz w:val="32"/>
          <w:szCs w:val="32"/>
        </w:rPr>
        <w:t>27.</w:t>
      </w:r>
      <w:r>
        <w:rPr>
          <w:rFonts w:hint="eastAsia"/>
        </w:rPr>
        <w:t xml:space="preserve"> </w:t>
      </w:r>
      <w:r>
        <w:rPr>
          <w:rFonts w:hint="eastAsia" w:ascii="仿宋_GB2312" w:eastAsia="仿宋_GB2312"/>
          <w:sz w:val="32"/>
          <w:szCs w:val="32"/>
        </w:rPr>
        <w:t>卫生健康支出（类）行政事业单位医疗（款）公务员医疗补助（项）（2101103）：指反映财政部门集中安排的公务员医疗补助经费。</w:t>
      </w:r>
    </w:p>
    <w:p>
      <w:pPr>
        <w:ind w:firstLine="640" w:firstLineChars="200"/>
        <w:rPr>
          <w:rFonts w:ascii="仿宋_GB2312" w:eastAsia="仿宋_GB2312"/>
          <w:sz w:val="32"/>
          <w:szCs w:val="32"/>
        </w:rPr>
      </w:pPr>
      <w:r>
        <w:rPr>
          <w:rFonts w:ascii="仿宋_GB2312" w:eastAsia="仿宋_GB2312"/>
          <w:sz w:val="32"/>
          <w:szCs w:val="32"/>
        </w:rPr>
        <w:t>28.</w:t>
      </w:r>
      <w:r>
        <w:rPr>
          <w:rFonts w:hint="eastAsia"/>
        </w:rPr>
        <w:t xml:space="preserve"> </w:t>
      </w:r>
      <w:r>
        <w:rPr>
          <w:rFonts w:hint="eastAsia" w:ascii="仿宋_GB2312" w:eastAsia="仿宋_GB2312"/>
          <w:sz w:val="32"/>
          <w:szCs w:val="32"/>
        </w:rPr>
        <w:t>城乡社区支出（类）城乡社区管理事务（款）其他城乡社区管理事务支出（项）（2120199）：指反映除上述项目以外的其他城乡社区管理事务支出。</w:t>
      </w:r>
    </w:p>
    <w:p>
      <w:pPr>
        <w:ind w:firstLine="640" w:firstLineChars="200"/>
        <w:rPr>
          <w:rFonts w:ascii="仿宋_GB2312" w:eastAsia="仿宋_GB2312"/>
          <w:sz w:val="32"/>
          <w:szCs w:val="32"/>
        </w:rPr>
      </w:pPr>
      <w:r>
        <w:rPr>
          <w:rFonts w:ascii="仿宋_GB2312" w:eastAsia="仿宋_GB2312"/>
          <w:sz w:val="32"/>
          <w:szCs w:val="32"/>
        </w:rPr>
        <w:t>29.</w:t>
      </w:r>
      <w:r>
        <w:rPr>
          <w:rFonts w:hint="eastAsia"/>
        </w:rPr>
        <w:t xml:space="preserve"> </w:t>
      </w:r>
      <w:r>
        <w:rPr>
          <w:rFonts w:hint="eastAsia" w:ascii="仿宋_GB2312" w:eastAsia="仿宋_GB2312"/>
          <w:sz w:val="32"/>
          <w:szCs w:val="32"/>
        </w:rPr>
        <w:t>农林水支出（类）农业农村（款）农村社会事业（项）（2130126）：指用于农村社会事业发展的支出。</w:t>
      </w:r>
    </w:p>
    <w:p>
      <w:pPr>
        <w:ind w:firstLine="640" w:firstLineChars="200"/>
        <w:rPr>
          <w:rFonts w:ascii="仿宋_GB2312" w:eastAsia="仿宋_GB2312"/>
          <w:sz w:val="32"/>
          <w:szCs w:val="32"/>
        </w:rPr>
      </w:pPr>
      <w:r>
        <w:rPr>
          <w:rFonts w:ascii="仿宋_GB2312" w:eastAsia="仿宋_GB2312"/>
          <w:sz w:val="32"/>
          <w:szCs w:val="32"/>
        </w:rPr>
        <w:t>30.</w:t>
      </w:r>
      <w:r>
        <w:rPr>
          <w:rFonts w:hint="eastAsia"/>
        </w:rPr>
        <w:t xml:space="preserve"> </w:t>
      </w:r>
      <w:r>
        <w:rPr>
          <w:rFonts w:hint="eastAsia" w:ascii="仿宋_GB2312" w:eastAsia="仿宋_GB2312"/>
          <w:sz w:val="32"/>
          <w:szCs w:val="32"/>
        </w:rPr>
        <w:t>农林水支出（类）农业农村（款）农村道路建设（项）（2130142）：指用于农村道路建设的支出。</w:t>
      </w:r>
    </w:p>
    <w:p>
      <w:pPr>
        <w:ind w:firstLine="640" w:firstLineChars="200"/>
        <w:rPr>
          <w:rFonts w:ascii="仿宋_GB2312" w:eastAsia="仿宋_GB2312"/>
          <w:sz w:val="32"/>
          <w:szCs w:val="32"/>
        </w:rPr>
      </w:pPr>
      <w:r>
        <w:rPr>
          <w:rFonts w:ascii="仿宋_GB2312" w:eastAsia="仿宋_GB2312"/>
          <w:sz w:val="32"/>
          <w:szCs w:val="32"/>
        </w:rPr>
        <w:t>31.</w:t>
      </w:r>
      <w:r>
        <w:rPr>
          <w:rFonts w:hint="eastAsia"/>
        </w:rPr>
        <w:t xml:space="preserve"> </w:t>
      </w:r>
      <w:r>
        <w:rPr>
          <w:rFonts w:hint="eastAsia" w:ascii="仿宋_GB2312" w:eastAsia="仿宋_GB2312"/>
          <w:sz w:val="32"/>
          <w:szCs w:val="32"/>
        </w:rPr>
        <w:t>农林水支出（类）农业农村（款）其他农业农村支出（项）（2130199）：指反映除上述项目以外的其他农业农村支出。</w:t>
      </w:r>
    </w:p>
    <w:p>
      <w:pPr>
        <w:ind w:firstLine="640" w:firstLineChars="200"/>
        <w:rPr>
          <w:rFonts w:ascii="仿宋_GB2312" w:eastAsia="仿宋_GB2312"/>
          <w:sz w:val="32"/>
          <w:szCs w:val="32"/>
        </w:rPr>
      </w:pPr>
      <w:r>
        <w:rPr>
          <w:rFonts w:ascii="仿宋_GB2312" w:eastAsia="仿宋_GB2312"/>
          <w:sz w:val="32"/>
          <w:szCs w:val="32"/>
        </w:rPr>
        <w:t>32.</w:t>
      </w:r>
      <w:r>
        <w:rPr>
          <w:rFonts w:hint="eastAsia"/>
        </w:rPr>
        <w:t xml:space="preserve"> </w:t>
      </w:r>
      <w:r>
        <w:rPr>
          <w:rFonts w:hint="eastAsia" w:ascii="仿宋_GB2312" w:eastAsia="仿宋_GB2312"/>
          <w:sz w:val="32"/>
          <w:szCs w:val="32"/>
        </w:rPr>
        <w:t>农林水支出（类）扶贫（款）农村基础设施建设（项）（2130504）：指用于农村基础设施建设的支出。</w:t>
      </w:r>
    </w:p>
    <w:p>
      <w:pPr>
        <w:ind w:firstLine="640" w:firstLineChars="200"/>
        <w:rPr>
          <w:rFonts w:ascii="仿宋_GB2312" w:eastAsia="仿宋_GB2312"/>
          <w:sz w:val="32"/>
          <w:szCs w:val="32"/>
        </w:rPr>
      </w:pPr>
      <w:r>
        <w:rPr>
          <w:rFonts w:ascii="仿宋_GB2312" w:eastAsia="仿宋_GB2312"/>
          <w:sz w:val="32"/>
          <w:szCs w:val="32"/>
        </w:rPr>
        <w:t>33.</w:t>
      </w:r>
      <w:r>
        <w:rPr>
          <w:rFonts w:hint="eastAsia"/>
        </w:rPr>
        <w:t xml:space="preserve"> </w:t>
      </w:r>
      <w:r>
        <w:rPr>
          <w:rFonts w:hint="eastAsia" w:ascii="仿宋_GB2312" w:eastAsia="仿宋_GB2312"/>
          <w:sz w:val="32"/>
          <w:szCs w:val="32"/>
        </w:rPr>
        <w:t>农林水支出（类）扶贫（款）其他扶贫支出（项）（2130599）：指反映除上述项目以外的其他扶贫支出。</w:t>
      </w:r>
    </w:p>
    <w:p>
      <w:pPr>
        <w:ind w:firstLine="640" w:firstLineChars="200"/>
        <w:rPr>
          <w:rFonts w:ascii="仿宋_GB2312" w:eastAsia="仿宋_GB2312"/>
          <w:sz w:val="32"/>
          <w:szCs w:val="32"/>
        </w:rPr>
      </w:pPr>
      <w:r>
        <w:rPr>
          <w:rFonts w:ascii="仿宋_GB2312" w:eastAsia="仿宋_GB2312"/>
          <w:sz w:val="32"/>
          <w:szCs w:val="32"/>
        </w:rPr>
        <w:t>34.</w:t>
      </w:r>
      <w:r>
        <w:rPr>
          <w:rFonts w:hint="eastAsia"/>
        </w:rPr>
        <w:t xml:space="preserve"> </w:t>
      </w:r>
      <w:r>
        <w:rPr>
          <w:rFonts w:hint="eastAsia" w:ascii="仿宋_GB2312" w:eastAsia="仿宋_GB2312"/>
          <w:sz w:val="32"/>
          <w:szCs w:val="32"/>
        </w:rPr>
        <w:t>农林水支出（类）农村综合改革（款）对村民委员会和村党支部的补助（项）（2130705）：反映各级财政对村民委员会和村党支部的补助支出，以及支持建立县级基本财力保障机制安排的村级组织运转奖补资金。</w:t>
      </w:r>
    </w:p>
    <w:p>
      <w:pPr>
        <w:ind w:firstLine="640" w:firstLineChars="200"/>
        <w:rPr>
          <w:rFonts w:ascii="仿宋_GB2312" w:eastAsia="仿宋_GB2312"/>
          <w:sz w:val="32"/>
          <w:szCs w:val="32"/>
        </w:rPr>
      </w:pPr>
      <w:r>
        <w:rPr>
          <w:rFonts w:ascii="仿宋_GB2312" w:eastAsia="仿宋_GB2312"/>
          <w:sz w:val="32"/>
          <w:szCs w:val="32"/>
        </w:rPr>
        <w:t>35.</w:t>
      </w:r>
      <w:r>
        <w:rPr>
          <w:rFonts w:hint="eastAsia"/>
        </w:rPr>
        <w:t xml:space="preserve"> </w:t>
      </w:r>
      <w:r>
        <w:rPr>
          <w:rFonts w:hint="eastAsia" w:ascii="仿宋_GB2312" w:eastAsia="仿宋_GB2312"/>
          <w:sz w:val="32"/>
          <w:szCs w:val="32"/>
        </w:rPr>
        <w:t>住房保障支出（类）住房改革支出（款）住房公积金（项）（2210201）：指行政事业单位按人力资源和社会保障部、财政部规定的基本工资和津贴补贴以及规定比例为职工缴纳的住房公积金。</w:t>
      </w:r>
    </w:p>
    <w:p>
      <w:pPr>
        <w:ind w:firstLine="640" w:firstLineChars="200"/>
        <w:rPr>
          <w:rFonts w:ascii="仿宋_GB2312" w:eastAsia="仿宋_GB2312"/>
          <w:sz w:val="32"/>
          <w:szCs w:val="32"/>
        </w:rPr>
      </w:pPr>
      <w:r>
        <w:rPr>
          <w:rFonts w:ascii="仿宋_GB2312" w:eastAsia="仿宋_GB2312"/>
          <w:sz w:val="32"/>
          <w:szCs w:val="32"/>
        </w:rPr>
        <w:t>36.</w:t>
      </w:r>
      <w:r>
        <w:rPr>
          <w:rFonts w:hint="eastAsia"/>
        </w:rPr>
        <w:t xml:space="preserve"> </w:t>
      </w:r>
      <w:r>
        <w:rPr>
          <w:rFonts w:hint="eastAsia" w:ascii="仿宋_GB2312" w:eastAsia="仿宋_GB2312"/>
          <w:sz w:val="32"/>
          <w:szCs w:val="32"/>
        </w:rPr>
        <w:t>灾害防治及应急管理支出（类）自然灾害救灾及恢复重建支出（款）自然灾害灾后重建补助（项）（2240704）：指用于自然灾害灾后重建的补助支出。</w:t>
      </w:r>
    </w:p>
    <w:p>
      <w:pPr>
        <w:ind w:firstLine="640" w:firstLineChars="200"/>
        <w:rPr>
          <w:rFonts w:ascii="仿宋_GB2312" w:eastAsia="仿宋_GB2312"/>
          <w:sz w:val="32"/>
          <w:szCs w:val="32"/>
        </w:rPr>
      </w:pPr>
      <w:r>
        <w:rPr>
          <w:rFonts w:ascii="仿宋_GB2312" w:eastAsia="仿宋_GB2312"/>
          <w:sz w:val="32"/>
          <w:szCs w:val="32"/>
        </w:rPr>
        <w:t>37.</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ascii="仿宋_GB2312" w:eastAsia="仿宋_GB2312"/>
          <w:sz w:val="32"/>
          <w:szCs w:val="32"/>
        </w:rPr>
        <w:t>38.</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ind w:firstLine="640" w:firstLineChars="200"/>
        <w:rPr>
          <w:rFonts w:ascii="仿宋_GB2312" w:eastAsia="仿宋_GB2312"/>
          <w:sz w:val="32"/>
          <w:szCs w:val="32"/>
        </w:rPr>
      </w:pPr>
      <w:r>
        <w:rPr>
          <w:rFonts w:ascii="仿宋_GB2312" w:eastAsia="仿宋_GB2312"/>
          <w:sz w:val="32"/>
          <w:szCs w:val="32"/>
        </w:rPr>
        <w:t>39.</w:t>
      </w:r>
      <w:r>
        <w:rPr>
          <w:rFonts w:hint="eastAsia" w:ascii="仿宋_GB2312" w:eastAsia="仿宋_GB2312"/>
          <w:sz w:val="32"/>
          <w:szCs w:val="32"/>
        </w:rPr>
        <w:t>经营支出：指事业单位在专业业务活动及其辅助活动之外开展非独立核算经营活动发生的支出。</w:t>
      </w: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40.</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5"/>
        <w:spacing w:line="560" w:lineRule="exact"/>
        <w:ind w:firstLine="640" w:firstLineChars="200"/>
        <w:rPr>
          <w:rFonts w:ascii="仿宋" w:hAnsi="仿宋" w:eastAsia="仿宋"/>
          <w:b/>
          <w:color w:val="auto"/>
          <w:sz w:val="32"/>
          <w:szCs w:val="32"/>
          <w:highlight w:val="none"/>
        </w:rPr>
      </w:pPr>
      <w:r>
        <w:rPr>
          <w:rFonts w:ascii="仿宋_GB2312" w:eastAsia="仿宋_GB2312"/>
          <w:color w:val="auto"/>
          <w:sz w:val="32"/>
          <w:szCs w:val="32"/>
        </w:rPr>
        <w:t>41.</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7"/>
          <w:rFonts w:hint="eastAsia" w:ascii="黑体" w:hAnsi="黑体" w:eastAsia="黑体"/>
          <w:b w:val="0"/>
          <w:color w:val="auto"/>
          <w:highlight w:val="none"/>
          <w:lang w:eastAsia="zh-CN"/>
        </w:rPr>
      </w:pPr>
      <w:bookmarkStart w:id="73" w:name="_Toc15377226"/>
      <w:r>
        <w:rPr>
          <w:rFonts w:ascii="宋体"/>
          <w:b/>
          <w:color w:val="auto"/>
          <w:sz w:val="44"/>
          <w:szCs w:val="44"/>
          <w:highlight w:val="none"/>
        </w:rPr>
        <w:br w:type="page"/>
      </w:r>
      <w:bookmarkStart w:id="74" w:name="_Toc15396614"/>
      <w:bookmarkStart w:id="75" w:name="_Toc23789"/>
      <w:bookmarkStart w:id="104" w:name="_GoBack"/>
      <w:bookmarkEnd w:id="104"/>
      <w:r>
        <w:rPr>
          <w:rFonts w:hint="eastAsia" w:ascii="黑体" w:hAnsi="黑体" w:eastAsia="黑体"/>
          <w:color w:val="auto"/>
          <w:sz w:val="44"/>
          <w:szCs w:val="44"/>
          <w:highlight w:val="none"/>
        </w:rPr>
        <w:t>第</w:t>
      </w:r>
      <w:r>
        <w:rPr>
          <w:rStyle w:val="27"/>
          <w:rFonts w:hint="eastAsia" w:ascii="黑体" w:hAnsi="黑体" w:eastAsia="黑体"/>
          <w:b w:val="0"/>
          <w:color w:val="auto"/>
          <w:highlight w:val="none"/>
        </w:rPr>
        <w:t>四部分 附件</w:t>
      </w:r>
      <w:bookmarkEnd w:id="74"/>
      <w:bookmarkEnd w:id="75"/>
    </w:p>
    <w:p>
      <w:pPr>
        <w:keepNext w:val="0"/>
        <w:keepLines w:val="0"/>
        <w:pageBreakBefore w:val="0"/>
        <w:kinsoku/>
        <w:wordWrap/>
        <w:overflowPunct/>
        <w:topLinePunct w:val="0"/>
        <w:autoSpaceDE/>
        <w:autoSpaceDN/>
        <w:bidi w:val="0"/>
        <w:spacing w:line="572" w:lineRule="exact"/>
        <w:jc w:val="left"/>
        <w:textAlignment w:val="auto"/>
        <w:outlineLvl w:val="9"/>
        <w:rPr>
          <w:rFonts w:hint="eastAsia" w:ascii="方正小标宋简体" w:hAnsi="方正小标宋简体" w:eastAsia="黑体" w:cs="方正小标宋简体"/>
          <w:color w:val="auto"/>
          <w:sz w:val="44"/>
          <w:szCs w:val="44"/>
          <w:highlight w:val="none"/>
          <w:lang w:val="en-US" w:eastAsia="zh-CN"/>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1</w:t>
      </w:r>
    </w:p>
    <w:p>
      <w:pPr>
        <w:keepNext w:val="0"/>
        <w:keepLines w:val="0"/>
        <w:pageBreakBefore w:val="0"/>
        <w:widowControl/>
        <w:kinsoku/>
        <w:wordWrap/>
        <w:overflowPunct/>
        <w:topLinePunct w:val="0"/>
        <w:autoSpaceDE/>
        <w:autoSpaceDN/>
        <w:bidi w:val="0"/>
        <w:spacing w:line="560" w:lineRule="exact"/>
        <w:contextualSpacing/>
        <w:jc w:val="center"/>
        <w:textAlignment w:val="auto"/>
        <w:rPr>
          <w:rFonts w:hint="eastAsia" w:ascii="仿宋_GB2312" w:hAnsi="仿宋_GB2312" w:eastAsia="仿宋_GB2312" w:cs="仿宋_GB2312"/>
          <w:color w:val="auto"/>
          <w:sz w:val="32"/>
          <w:szCs w:val="32"/>
          <w:highlight w:val="none"/>
          <w:shd w:val="clear" w:color="auto" w:fill="FFFFFF"/>
        </w:rPr>
      </w:pPr>
      <w:r>
        <w:rPr>
          <w:rFonts w:hint="eastAsia" w:ascii="宋体" w:hAnsi="宋体" w:eastAsia="宋体"/>
          <w:b/>
          <w:color w:val="auto"/>
          <w:sz w:val="32"/>
          <w:szCs w:val="32"/>
          <w:highlight w:val="none"/>
          <w:shd w:val="clear" w:color="auto" w:fill="FFFFFF"/>
        </w:rPr>
        <w:t>20</w:t>
      </w:r>
      <w:r>
        <w:rPr>
          <w:rFonts w:hint="eastAsia" w:ascii="宋体" w:hAnsi="宋体" w:eastAsia="宋体"/>
          <w:b/>
          <w:color w:val="auto"/>
          <w:sz w:val="32"/>
          <w:szCs w:val="32"/>
          <w:highlight w:val="none"/>
          <w:shd w:val="clear" w:color="auto" w:fill="FFFFFF"/>
          <w:lang w:val="en-US" w:eastAsia="zh-CN"/>
        </w:rPr>
        <w:t>23</w:t>
      </w:r>
      <w:r>
        <w:rPr>
          <w:rFonts w:hint="eastAsia" w:ascii="宋体" w:hAnsi="宋体" w:eastAsia="宋体"/>
          <w:b/>
          <w:color w:val="auto"/>
          <w:sz w:val="32"/>
          <w:szCs w:val="32"/>
          <w:highlight w:val="none"/>
          <w:shd w:val="clear" w:color="auto" w:fill="FFFFFF"/>
        </w:rPr>
        <w:t>年部门整体绩效评价报告</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p>
    <w:p>
      <w:pPr>
        <w:keepNext w:val="0"/>
        <w:keepLines w:val="0"/>
        <w:pageBreakBefore w:val="0"/>
        <w:widowControl/>
        <w:numPr>
          <w:ilvl w:val="0"/>
          <w:numId w:val="6"/>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黑体" w:hAnsi="宋体" w:eastAsia="黑体" w:cs="宋体"/>
          <w:color w:val="auto"/>
          <w:kern w:val="0"/>
          <w:sz w:val="32"/>
          <w:szCs w:val="32"/>
          <w:highlight w:val="none"/>
          <w:shd w:val="clear" w:color="auto" w:fill="FFFFFF"/>
          <w:lang w:val="zh-CN"/>
        </w:rPr>
      </w:pPr>
      <w:r>
        <w:rPr>
          <w:rFonts w:hint="eastAsia" w:ascii="黑体" w:hAnsi="宋体" w:eastAsia="黑体" w:cs="宋体"/>
          <w:color w:val="auto"/>
          <w:kern w:val="0"/>
          <w:sz w:val="32"/>
          <w:szCs w:val="32"/>
          <w:highlight w:val="none"/>
          <w:shd w:val="clear" w:color="auto" w:fill="FFFFFF"/>
          <w:lang w:val="zh-CN"/>
        </w:rPr>
        <w:t>部门（单位）基本情况</w:t>
      </w:r>
    </w:p>
    <w:p>
      <w:pPr>
        <w:keepNext w:val="0"/>
        <w:keepLines w:val="0"/>
        <w:pageBreakBefore w:val="0"/>
        <w:widowControl/>
        <w:numPr>
          <w:ilvl w:val="0"/>
          <w:numId w:val="7"/>
        </w:numPr>
        <w:kinsoku/>
        <w:wordWrap/>
        <w:overflowPunct/>
        <w:topLinePunct w:val="0"/>
        <w:autoSpaceDE/>
        <w:autoSpaceDN/>
        <w:bidi w:val="0"/>
        <w:adjustRightInd w:val="0"/>
        <w:snapToGrid w:val="0"/>
        <w:spacing w:line="579"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机构组成。</w:t>
      </w:r>
    </w:p>
    <w:p>
      <w:pPr>
        <w:keepNext w:val="0"/>
        <w:keepLines w:val="0"/>
        <w:pageBreakBefore w:val="0"/>
        <w:widowControl/>
        <w:numPr>
          <w:ilvl w:val="0"/>
          <w:numId w:val="0"/>
        </w:numPr>
        <w:kinsoku/>
        <w:wordWrap/>
        <w:overflowPunct/>
        <w:topLinePunct w:val="0"/>
        <w:autoSpaceDE/>
        <w:autoSpaceDN/>
        <w:bidi w:val="0"/>
        <w:adjustRightInd w:val="0"/>
        <w:snapToGrid w:val="0"/>
        <w:spacing w:line="579" w:lineRule="exact"/>
        <w:ind w:firstLine="640"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仿宋_GB2312" w:hAnsi="仿宋_GB2312" w:eastAsia="仿宋_GB2312" w:cs="仿宋_GB2312"/>
          <w:b w:val="0"/>
          <w:bCs w:val="0"/>
          <w:sz w:val="32"/>
          <w:szCs w:val="32"/>
          <w:lang w:val="en-US" w:eastAsia="zh-CN"/>
        </w:rPr>
        <w:t>我乡</w:t>
      </w:r>
      <w:r>
        <w:rPr>
          <w:rFonts w:hint="eastAsia" w:ascii="仿宋_GB2312" w:hAnsi="仿宋_GB2312" w:eastAsia="仿宋_GB2312" w:cs="仿宋_GB2312"/>
          <w:b w:val="0"/>
          <w:bCs w:val="0"/>
          <w:sz w:val="32"/>
          <w:szCs w:val="32"/>
          <w:lang w:val="zh-CN" w:eastAsia="zh-CN"/>
        </w:rPr>
        <w:t>下属二级单位 2 个，其中行政单位 1 个，参照公务员法管理的事业单位 0 个，其他事业单位1 个。政府内设党</w:t>
      </w:r>
      <w:r>
        <w:rPr>
          <w:rFonts w:hint="eastAsia" w:ascii="仿宋_GB2312" w:hAnsi="仿宋_GB2312" w:eastAsia="仿宋_GB2312" w:cs="仿宋_GB2312"/>
          <w:b w:val="0"/>
          <w:bCs w:val="0"/>
          <w:sz w:val="32"/>
          <w:szCs w:val="32"/>
          <w:lang w:val="en-US" w:eastAsia="zh-CN"/>
        </w:rPr>
        <w:t>政</w:t>
      </w:r>
      <w:r>
        <w:rPr>
          <w:rFonts w:hint="eastAsia" w:ascii="仿宋_GB2312" w:hAnsi="仿宋_GB2312" w:eastAsia="仿宋_GB2312" w:cs="仿宋_GB2312"/>
          <w:b w:val="0"/>
          <w:bCs w:val="0"/>
          <w:sz w:val="32"/>
          <w:szCs w:val="32"/>
          <w:lang w:val="zh-CN" w:eastAsia="zh-CN"/>
        </w:rPr>
        <w:t>办公室、党建办公室、综合执法办公室、经济发展办公室、社会事务办公室、财政所、城乡基层治理办公室、便民服务中心、退役军人服务站、农民工服务中心、农业综合服务中心、村镇综合建设服务中心。</w:t>
      </w:r>
    </w:p>
    <w:p>
      <w:pPr>
        <w:keepNext w:val="0"/>
        <w:keepLines w:val="0"/>
        <w:pageBreakBefore w:val="0"/>
        <w:widowControl/>
        <w:numPr>
          <w:ilvl w:val="0"/>
          <w:numId w:val="7"/>
        </w:numPr>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机构职能和人员概况。</w:t>
      </w:r>
    </w:p>
    <w:p>
      <w:pPr>
        <w:keepNext w:val="0"/>
        <w:keepLines w:val="0"/>
        <w:pageBreakBefore w:val="0"/>
        <w:widowControl/>
        <w:numPr>
          <w:ilvl w:val="0"/>
          <w:numId w:val="8"/>
        </w:numPr>
        <w:kinsoku/>
        <w:wordWrap/>
        <w:overflowPunct/>
        <w:topLinePunct w:val="0"/>
        <w:autoSpaceDE/>
        <w:autoSpaceDN/>
        <w:bidi w:val="0"/>
        <w:adjustRightInd w:val="0"/>
        <w:snapToGrid w:val="0"/>
        <w:spacing w:line="579" w:lineRule="exact"/>
        <w:ind w:firstLine="640" w:firstLineChars="200"/>
        <w:contextualSpacing/>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机构职能</w:t>
      </w:r>
    </w:p>
    <w:p>
      <w:pPr>
        <w:keepNext w:val="0"/>
        <w:keepLines w:val="0"/>
        <w:pageBreakBefore w:val="0"/>
        <w:widowControl/>
        <w:numPr>
          <w:ilvl w:val="0"/>
          <w:numId w:val="0"/>
        </w:numPr>
        <w:kinsoku/>
        <w:wordWrap/>
        <w:overflowPunct/>
        <w:topLinePunct w:val="0"/>
        <w:autoSpaceDE/>
        <w:autoSpaceDN/>
        <w:bidi w:val="0"/>
        <w:adjustRightInd w:val="0"/>
        <w:snapToGrid w:val="0"/>
        <w:spacing w:line="579" w:lineRule="exact"/>
        <w:ind w:firstLine="640" w:firstLineChars="200"/>
        <w:contextualSpacing/>
        <w:jc w:val="left"/>
        <w:textAlignment w:val="auto"/>
        <w:rPr>
          <w:rFonts w:hint="eastAsia"/>
          <w:lang w:val="en-US" w:eastAsia="zh-CN"/>
        </w:rPr>
      </w:pPr>
      <w:r>
        <w:rPr>
          <w:rFonts w:hint="eastAsia" w:ascii="仿宋_GB2312" w:hAnsi="仿宋_GB2312" w:eastAsia="仿宋_GB2312" w:cs="仿宋_GB2312"/>
          <w:b w:val="0"/>
          <w:bCs w:val="0"/>
          <w:sz w:val="32"/>
          <w:szCs w:val="32"/>
          <w:lang w:val="zh-CN" w:eastAsia="zh-CN"/>
        </w:rPr>
        <w:t>主要职责是执行本级人民代表大会决议以及上级国家行政机关的决定和命令；执行全乡的社会和经济发展计划、预算，管理本乡内的经济、教育、科技、文化、卫生、体育事业和财政、民政、治安、人民调解、安全生产监督管理、移民开发、计划生育等行政工作；保护社会主义的全民所有财产和劳动群众集体所有财产，保护公民私人所有的合法财产，维护社会秩序，保障公民的人身权利、民主权利和其他权利；保护各种经济组织的合法权益；贯彻执行党和国家的民族宗教政策，保障少数民族的权利和尊重少数民族的风俗习惯，尊重民族宗教信仰；保障宪法和法律赋予妇女的男女平等、婚姻自由等各项权利；办理上级人民政府交办的其他事项。</w:t>
      </w:r>
    </w:p>
    <w:p>
      <w:pPr>
        <w:keepNext w:val="0"/>
        <w:keepLines w:val="0"/>
        <w:pageBreakBefore w:val="0"/>
        <w:widowControl/>
        <w:numPr>
          <w:ilvl w:val="0"/>
          <w:numId w:val="8"/>
        </w:numPr>
        <w:kinsoku/>
        <w:wordWrap/>
        <w:overflowPunct/>
        <w:topLinePunct w:val="0"/>
        <w:autoSpaceDE/>
        <w:autoSpaceDN/>
        <w:bidi w:val="0"/>
        <w:adjustRightInd w:val="0"/>
        <w:snapToGrid w:val="0"/>
        <w:spacing w:line="579" w:lineRule="exact"/>
        <w:ind w:firstLine="640" w:firstLineChars="200"/>
        <w:contextualSpacing/>
        <w:jc w:val="left"/>
        <w:textAlignment w:val="auto"/>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val="0"/>
          <w:bCs w:val="0"/>
          <w:sz w:val="32"/>
          <w:szCs w:val="32"/>
          <w:lang w:val="en-US" w:eastAsia="zh-CN"/>
        </w:rPr>
        <w:t>人员概况</w:t>
      </w:r>
    </w:p>
    <w:p>
      <w:pPr>
        <w:keepNext w:val="0"/>
        <w:keepLines w:val="0"/>
        <w:pageBreakBefore w:val="0"/>
        <w:widowControl/>
        <w:kinsoku/>
        <w:wordWrap/>
        <w:overflowPunct/>
        <w:topLinePunct w:val="0"/>
        <w:autoSpaceDE/>
        <w:autoSpaceDN/>
        <w:bidi w:val="0"/>
        <w:adjustRightInd w:val="0"/>
        <w:snapToGrid w:val="0"/>
        <w:spacing w:line="579" w:lineRule="exact"/>
        <w:ind w:firstLine="640" w:firstLineChars="200"/>
        <w:contextualSpacing/>
        <w:jc w:val="left"/>
        <w:textAlignment w:val="auto"/>
        <w:rPr>
          <w:rFonts w:hint="eastAsia"/>
          <w:lang w:val="zh-CN"/>
        </w:rPr>
      </w:pPr>
      <w:r>
        <w:rPr>
          <w:rFonts w:hint="eastAsia" w:ascii="仿宋_GB2312" w:hAnsi="仿宋_GB2312" w:eastAsia="仿宋_GB2312" w:cs="仿宋_GB2312"/>
          <w:b w:val="0"/>
          <w:bCs w:val="0"/>
          <w:sz w:val="32"/>
          <w:szCs w:val="32"/>
          <w:lang w:val="zh-CN" w:eastAsia="zh-CN"/>
        </w:rPr>
        <w:t>我乡2022年年末人员在职人员54人,其中：行政编制26人，参公编制2人，事业编制23人，其他人员3人。退休职工16人，遗属人员4人。</w:t>
      </w:r>
    </w:p>
    <w:p>
      <w:pPr>
        <w:keepNext w:val="0"/>
        <w:keepLines w:val="0"/>
        <w:pageBreakBefore w:val="0"/>
        <w:widowControl/>
        <w:numPr>
          <w:ilvl w:val="0"/>
          <w:numId w:val="7"/>
        </w:numPr>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年度主要工作任务。</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rPr>
        <w:t>为了确保202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年部门决算工作的顺利完成，乡党委、政府高度重视，指派分管财政的副乡长监督指导，</w:t>
      </w:r>
      <w:r>
        <w:rPr>
          <w:rFonts w:hint="eastAsia" w:ascii="仿宋_GB2312" w:hAnsi="仿宋" w:eastAsia="仿宋_GB2312"/>
          <w:sz w:val="32"/>
          <w:szCs w:val="32"/>
          <w:lang w:val="en-US" w:eastAsia="zh-CN"/>
        </w:rPr>
        <w:t>年度主要人去如下：</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rPr>
          <w:rFonts w:hint="eastAsia" w:ascii="仿宋_GB2312" w:hAnsi="仿宋" w:eastAsia="仿宋_GB2312"/>
          <w:sz w:val="32"/>
          <w:szCs w:val="32"/>
        </w:rPr>
      </w:pPr>
      <w:r>
        <w:rPr>
          <w:rFonts w:hint="eastAsia" w:ascii="仿宋_GB2312" w:hAnsi="仿宋" w:eastAsia="仿宋_GB2312"/>
          <w:sz w:val="32"/>
          <w:szCs w:val="32"/>
        </w:rPr>
        <w:t>1、加强领导，抓好零散税收，并在非税收入上下功夫，取得一定</w:t>
      </w:r>
      <w:r>
        <w:rPr>
          <w:rFonts w:hint="eastAsia" w:ascii="仿宋_GB2312" w:hAnsi="仿宋" w:eastAsia="仿宋_GB2312"/>
          <w:sz w:val="32"/>
          <w:szCs w:val="32"/>
          <w:lang w:val="en-US" w:eastAsia="zh-CN"/>
        </w:rPr>
        <w:t>的</w:t>
      </w:r>
      <w:r>
        <w:rPr>
          <w:rFonts w:hint="eastAsia" w:ascii="仿宋_GB2312" w:hAnsi="仿宋" w:eastAsia="仿宋_GB2312"/>
          <w:sz w:val="32"/>
          <w:szCs w:val="32"/>
        </w:rPr>
        <w:t>成绩。</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rPr>
          <w:rFonts w:hint="eastAsia" w:ascii="仿宋_GB2312" w:hAnsi="仿宋" w:eastAsia="仿宋_GB2312"/>
          <w:sz w:val="32"/>
          <w:szCs w:val="32"/>
        </w:rPr>
      </w:pPr>
      <w:r>
        <w:rPr>
          <w:rFonts w:hint="eastAsia" w:ascii="仿宋_GB2312" w:hAnsi="仿宋" w:eastAsia="仿宋_GB2312"/>
          <w:sz w:val="32"/>
          <w:szCs w:val="32"/>
        </w:rPr>
        <w:t>2、严格按照年初预算，确保一般公共服务支出和村社干部工资发放。</w:t>
      </w:r>
    </w:p>
    <w:p>
      <w:pPr>
        <w:pStyle w:val="2"/>
        <w:keepNext w:val="0"/>
        <w:keepLines w:val="0"/>
        <w:pageBreakBefore w:val="0"/>
        <w:widowControl w:val="0"/>
        <w:numPr>
          <w:ilvl w:val="0"/>
          <w:numId w:val="0"/>
        </w:numPr>
        <w:kinsoku/>
        <w:wordWrap/>
        <w:overflowPunct/>
        <w:topLinePunct w:val="0"/>
        <w:autoSpaceDE/>
        <w:autoSpaceDN/>
        <w:bidi w:val="0"/>
        <w:adjustRightInd/>
        <w:ind w:firstLine="640" w:firstLineChars="200"/>
        <w:jc w:val="both"/>
        <w:textAlignment w:val="auto"/>
        <w:rPr>
          <w:rFonts w:hint="eastAsia"/>
          <w:lang w:val="zh-CN"/>
        </w:rPr>
      </w:pPr>
      <w:r>
        <w:rPr>
          <w:rFonts w:hint="eastAsia" w:ascii="仿宋_GB2312" w:hAnsi="仿宋" w:eastAsia="仿宋_GB2312"/>
          <w:sz w:val="32"/>
          <w:szCs w:val="32"/>
        </w:rPr>
        <w:t>3、对项目资金严格按照工作进度拨付资金，做到公平</w:t>
      </w:r>
      <w:r>
        <w:rPr>
          <w:rFonts w:hint="eastAsia" w:hAnsi="仿宋"/>
          <w:sz w:val="32"/>
          <w:szCs w:val="32"/>
          <w:lang w:eastAsia="zh-CN"/>
        </w:rPr>
        <w:t>、</w:t>
      </w:r>
      <w:r>
        <w:rPr>
          <w:rFonts w:hint="eastAsia" w:ascii="仿宋_GB2312" w:hAnsi="仿宋" w:eastAsia="仿宋_GB2312"/>
          <w:sz w:val="32"/>
          <w:szCs w:val="32"/>
        </w:rPr>
        <w:t>公正、公开的原则，不挪用和截留项目资金。</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（四）部门整体支出绩效目标。</w:t>
      </w:r>
    </w:p>
    <w:p>
      <w:pPr>
        <w:pStyle w:val="2"/>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lang w:val="zh-CN"/>
        </w:rPr>
      </w:pPr>
      <w:r>
        <w:rPr>
          <w:rFonts w:hint="eastAsia" w:ascii="仿宋_GB2312" w:hAnsi="仿宋_GB2312" w:eastAsia="仿宋_GB2312" w:cs="仿宋_GB2312"/>
          <w:kern w:val="2"/>
          <w:sz w:val="32"/>
          <w:szCs w:val="32"/>
          <w:lang w:val="en-US" w:eastAsia="zh-CN" w:bidi="ar-SA"/>
        </w:rPr>
        <w:t>在财政预算支出及项目支出方面，严格执行财经管理制度，项目实施进行跟踪检查，做到支出按进度拨款，财政项目资金落到实处，发挥财政资金的效益。</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r>
        <w:rPr>
          <w:rFonts w:hint="eastAsia" w:ascii="黑体" w:hAnsi="宋体" w:eastAsia="黑体" w:cs="宋体"/>
          <w:color w:val="auto"/>
          <w:kern w:val="0"/>
          <w:sz w:val="32"/>
          <w:szCs w:val="32"/>
          <w:highlight w:val="none"/>
          <w:shd w:val="clear" w:color="auto" w:fill="FFFFFF"/>
        </w:rPr>
        <w:t>二、</w:t>
      </w:r>
      <w:r>
        <w:rPr>
          <w:rFonts w:hint="eastAsia" w:ascii="黑体" w:hAnsi="宋体" w:eastAsia="黑体" w:cs="宋体"/>
          <w:color w:val="auto"/>
          <w:kern w:val="0"/>
          <w:sz w:val="32"/>
          <w:szCs w:val="32"/>
          <w:highlight w:val="none"/>
          <w:shd w:val="clear" w:color="auto" w:fill="FFFFFF"/>
          <w:lang w:eastAsia="zh-CN"/>
        </w:rPr>
        <w:t>部门</w:t>
      </w:r>
      <w:r>
        <w:rPr>
          <w:rFonts w:hint="eastAsia" w:ascii="黑体" w:hAnsi="宋体" w:eastAsia="黑体" w:cs="宋体"/>
          <w:color w:val="auto"/>
          <w:kern w:val="0"/>
          <w:sz w:val="32"/>
          <w:szCs w:val="32"/>
          <w:highlight w:val="none"/>
          <w:shd w:val="clear" w:color="auto" w:fill="FFFFFF"/>
        </w:rPr>
        <w:t>资金收支情况</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（一）部门总体收支情况。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1.部门总体收入情况</w:t>
      </w:r>
    </w:p>
    <w:p>
      <w:pPr>
        <w:keepNext w:val="0"/>
        <w:keepLines w:val="0"/>
        <w:pageBreakBefore w:val="0"/>
        <w:widowControl/>
        <w:kinsoku/>
        <w:wordWrap/>
        <w:overflowPunct/>
        <w:topLinePunct w:val="0"/>
        <w:autoSpaceDE/>
        <w:autoSpaceDN/>
        <w:bidi w:val="0"/>
        <w:adjustRightInd w:val="0"/>
        <w:snapToGrid w:val="0"/>
        <w:spacing w:line="579" w:lineRule="exact"/>
        <w:ind w:firstLine="640" w:firstLineChars="200"/>
        <w:contextualSpacing/>
        <w:jc w:val="left"/>
        <w:textAlignment w:val="auto"/>
        <w:rPr>
          <w:rFonts w:hint="eastAsia"/>
          <w:lang w:val="en-US" w:eastAsia="zh-CN"/>
        </w:rPr>
      </w:pPr>
      <w:r>
        <w:rPr>
          <w:rFonts w:hint="eastAsia" w:ascii="仿宋_GB2312" w:hAnsi="仿宋_GB2312" w:eastAsia="仿宋_GB2312" w:cs="仿宋_GB2312"/>
          <w:b w:val="0"/>
          <w:bCs w:val="0"/>
          <w:sz w:val="32"/>
          <w:szCs w:val="32"/>
          <w:lang w:val="zh-CN" w:eastAsia="zh-CN"/>
        </w:rPr>
        <w:t>2022年本年收入合计1,274.45万元，其中：一般公共预算财政拨款收入1,110.86万元，占87.16%；政府性基金预算财政拨款收入163.59万元，占14.73%。</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2.部门总体支出情况</w:t>
      </w:r>
    </w:p>
    <w:p>
      <w:pPr>
        <w:ind w:firstLine="640" w:firstLineChars="200"/>
        <w:rPr>
          <w:rFonts w:hint="eastAsia"/>
          <w:lang w:val="en-US" w:eastAsia="zh-CN"/>
        </w:rPr>
      </w:pPr>
      <w:r>
        <w:rPr>
          <w:rFonts w:hint="eastAsia" w:ascii="仿宋_GB2312" w:hAnsi="仿宋_GB2312" w:eastAsia="仿宋_GB2312" w:cs="仿宋_GB2312"/>
          <w:b w:val="0"/>
          <w:bCs w:val="0"/>
          <w:sz w:val="32"/>
          <w:szCs w:val="32"/>
          <w:lang w:val="zh-CN" w:eastAsia="zh-CN"/>
        </w:rPr>
        <w:t>202</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val="zh-CN" w:eastAsia="zh-CN"/>
        </w:rPr>
        <w:t>年本年支出合计1,274.45万元。基本支出972.44万元，占76.30%，项目支出302.01万元，占27.19%。</w:t>
      </w:r>
    </w:p>
    <w:p>
      <w:pPr>
        <w:keepNext w:val="0"/>
        <w:keepLines w:val="0"/>
        <w:pageBreakBefore w:val="0"/>
        <w:widowControl/>
        <w:numPr>
          <w:ilvl w:val="0"/>
          <w:numId w:val="8"/>
        </w:numPr>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部门总体结转结余情况</w:t>
      </w:r>
    </w:p>
    <w:p>
      <w:pPr>
        <w:pStyle w:val="2"/>
        <w:numPr>
          <w:ilvl w:val="0"/>
          <w:numId w:val="0"/>
        </w:numPr>
        <w:ind w:left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2022年本年总体结转结余为0万元，预算执行率100%。</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（二）部门财政拨款收支情况。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1.部门财政拨款收入情况</w:t>
      </w:r>
    </w:p>
    <w:p>
      <w:pPr>
        <w:keepNext w:val="0"/>
        <w:keepLines w:val="0"/>
        <w:pageBreakBefore w:val="0"/>
        <w:widowControl/>
        <w:kinsoku/>
        <w:wordWrap/>
        <w:overflowPunct/>
        <w:topLinePunct w:val="0"/>
        <w:autoSpaceDE/>
        <w:autoSpaceDN/>
        <w:bidi w:val="0"/>
        <w:adjustRightInd w:val="0"/>
        <w:snapToGrid w:val="0"/>
        <w:spacing w:line="579" w:lineRule="exact"/>
        <w:ind w:firstLine="640" w:firstLineChars="200"/>
        <w:contextualSpacing/>
        <w:jc w:val="left"/>
        <w:textAlignment w:val="auto"/>
        <w:rPr>
          <w:rFonts w:hint="eastAsia"/>
          <w:lang w:val="en-US" w:eastAsia="zh-CN"/>
        </w:rPr>
      </w:pPr>
      <w:r>
        <w:rPr>
          <w:rFonts w:hint="eastAsia" w:ascii="仿宋_GB2312" w:hAnsi="仿宋_GB2312" w:eastAsia="仿宋_GB2312" w:cs="仿宋_GB2312"/>
          <w:b w:val="0"/>
          <w:bCs w:val="0"/>
          <w:sz w:val="32"/>
          <w:szCs w:val="32"/>
          <w:lang w:val="zh-CN" w:eastAsia="zh-CN"/>
        </w:rPr>
        <w:t>2022年本年收入合计1,274.45万元，其中：一般公共预算财政拨款收入1,110.86万元，占87.16%；政府性基金预算财政拨款收入163.59万元，占14.73%。</w:t>
      </w:r>
    </w:p>
    <w:p>
      <w:pPr>
        <w:numPr>
          <w:ilvl w:val="0"/>
          <w:numId w:val="9"/>
        </w:numPr>
        <w:ind w:left="-10" w:leftChars="0" w:firstLine="640" w:firstLineChars="0"/>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部门财政拨款支出情况</w:t>
      </w:r>
    </w:p>
    <w:p>
      <w:pPr>
        <w:numPr>
          <w:ilvl w:val="0"/>
          <w:numId w:val="0"/>
        </w:numPr>
        <w:ind w:firstLine="640" w:firstLineChars="200"/>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sz w:val="32"/>
          <w:szCs w:val="32"/>
          <w:lang w:val="zh-CN" w:eastAsia="zh-CN"/>
        </w:rPr>
        <w:t>202</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val="zh-CN" w:eastAsia="zh-CN"/>
        </w:rPr>
        <w:t>年本年支出合计1,274.45万元。基本支出972.44万元，占76.30%，项目支出302.01万元，占27.19%。</w:t>
      </w:r>
    </w:p>
    <w:p>
      <w:pPr>
        <w:keepNext w:val="0"/>
        <w:keepLines w:val="0"/>
        <w:pageBreakBefore w:val="0"/>
        <w:widowControl/>
        <w:numPr>
          <w:ilvl w:val="0"/>
          <w:numId w:val="9"/>
        </w:numPr>
        <w:kinsoku/>
        <w:wordWrap/>
        <w:overflowPunct/>
        <w:topLinePunct w:val="0"/>
        <w:autoSpaceDE/>
        <w:autoSpaceDN/>
        <w:bidi w:val="0"/>
        <w:adjustRightInd w:val="0"/>
        <w:snapToGrid w:val="0"/>
        <w:spacing w:line="560" w:lineRule="exact"/>
        <w:ind w:left="-10" w:leftChars="0" w:firstLine="640" w:firstLineChars="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部门财政拨款结转结余情况</w:t>
      </w:r>
    </w:p>
    <w:p>
      <w:pPr>
        <w:pStyle w:val="2"/>
        <w:numPr>
          <w:ilvl w:val="0"/>
          <w:numId w:val="0"/>
        </w:numPr>
        <w:ind w:leftChars="200"/>
        <w:rPr>
          <w:rFonts w:hint="default"/>
          <w:lang w:val="en-US" w:eastAsia="zh-CN"/>
        </w:rPr>
      </w:pPr>
      <w:r>
        <w:rPr>
          <w:rFonts w:hint="eastAsia" w:ascii="仿宋_GB2312" w:hAnsi="仿宋_GB2312" w:eastAsia="仿宋_GB2312" w:cs="仿宋_GB2312"/>
          <w:sz w:val="32"/>
          <w:szCs w:val="32"/>
          <w:lang w:val="en-US" w:eastAsia="zh-CN"/>
        </w:rPr>
        <w:t>2022年本年</w:t>
      </w:r>
      <w:r>
        <w:rPr>
          <w:rFonts w:hint="eastAsia" w:hAnsi="仿宋_GB2312" w:cs="仿宋_GB2312"/>
          <w:sz w:val="32"/>
          <w:szCs w:val="32"/>
          <w:lang w:val="en-US" w:eastAsia="zh-CN"/>
        </w:rPr>
        <w:t>财政拨款</w:t>
      </w:r>
      <w:r>
        <w:rPr>
          <w:rFonts w:hint="eastAsia" w:ascii="仿宋_GB2312" w:hAnsi="仿宋_GB2312" w:eastAsia="仿宋_GB2312" w:cs="仿宋_GB2312"/>
          <w:sz w:val="32"/>
          <w:szCs w:val="32"/>
          <w:lang w:val="en-US" w:eastAsia="zh-CN"/>
        </w:rPr>
        <w:t>结转结余为0万元，预算执行率100%。</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r>
        <w:rPr>
          <w:rFonts w:hint="eastAsia" w:ascii="黑体" w:hAnsi="宋体" w:eastAsia="黑体" w:cs="宋体"/>
          <w:color w:val="auto"/>
          <w:kern w:val="0"/>
          <w:sz w:val="32"/>
          <w:szCs w:val="32"/>
          <w:highlight w:val="none"/>
          <w:shd w:val="clear" w:color="auto" w:fill="FFFFFF"/>
        </w:rPr>
        <w:t>三、</w:t>
      </w:r>
      <w:r>
        <w:rPr>
          <w:rFonts w:hint="eastAsia" w:ascii="黑体" w:hAnsi="宋体" w:eastAsia="黑体" w:cs="宋体"/>
          <w:color w:val="auto"/>
          <w:kern w:val="0"/>
          <w:sz w:val="32"/>
          <w:szCs w:val="32"/>
          <w:highlight w:val="none"/>
          <w:u w:val="none"/>
          <w:shd w:val="clear" w:color="auto" w:fill="FFFFFF"/>
        </w:rPr>
        <w:t>部门整体绩效</w:t>
      </w:r>
      <w:r>
        <w:rPr>
          <w:rFonts w:hint="eastAsia" w:ascii="黑体" w:hAnsi="宋体" w:eastAsia="黑体" w:cs="宋体"/>
          <w:color w:val="auto"/>
          <w:kern w:val="0"/>
          <w:sz w:val="32"/>
          <w:szCs w:val="32"/>
          <w:highlight w:val="none"/>
          <w:u w:val="none"/>
          <w:shd w:val="clear" w:color="auto" w:fill="FFFFFF"/>
          <w:lang w:eastAsia="zh-CN"/>
        </w:rPr>
        <w:t>分析</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eastAsia" w:ascii="楷体_GB2312" w:hAnsi="楷体_GB2312" w:eastAsia="楷体_GB2312" w:cs="楷体_GB2312"/>
          <w:b/>
          <w:bCs/>
          <w:color w:val="auto"/>
          <w:kern w:val="0"/>
          <w:sz w:val="32"/>
          <w:szCs w:val="32"/>
          <w:highlight w:val="none"/>
          <w:shd w:val="clear" w:color="auto" w:fill="FFFFFF"/>
          <w:lang w:val="zh-CN"/>
        </w:rPr>
        <w:t>（一）部门预算项目绩效分析。</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1.人员类项目绩效分析</w:t>
      </w:r>
    </w:p>
    <w:p>
      <w:pPr>
        <w:keepNext w:val="0"/>
        <w:keepLines w:val="0"/>
        <w:pageBreakBefore w:val="0"/>
        <w:widowControl/>
        <w:kinsoku/>
        <w:wordWrap/>
        <w:overflowPunct/>
        <w:topLinePunct w:val="0"/>
        <w:autoSpaceDE/>
        <w:autoSpaceDN/>
        <w:bidi w:val="0"/>
        <w:adjustRightInd w:val="0"/>
        <w:snapToGrid w:val="0"/>
        <w:spacing w:line="579"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zh-CN" w:eastAsia="zh-CN"/>
        </w:rPr>
        <w:t>目标制定</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方面，</w:t>
      </w:r>
      <w:r>
        <w:rPr>
          <w:rFonts w:hint="eastAsia" w:ascii="仿宋_GB2312" w:hAnsi="仿宋_GB2312" w:eastAsia="仿宋_GB2312" w:cs="仿宋_GB2312"/>
          <w:color w:val="000000"/>
          <w:kern w:val="0"/>
          <w:sz w:val="32"/>
          <w:szCs w:val="32"/>
          <w:highlight w:val="none"/>
          <w:shd w:val="clear" w:color="auto" w:fill="FFFFFF"/>
          <w:lang w:val="zh-CN"/>
        </w:rPr>
        <w:t>绩效目标编制要素完整、</w:t>
      </w:r>
      <w:r>
        <w:rPr>
          <w:rFonts w:hint="eastAsia" w:ascii="仿宋_GB2312" w:hAnsi="仿宋_GB2312" w:eastAsia="仿宋_GB2312" w:cs="仿宋_GB2312"/>
          <w:color w:val="000000"/>
          <w:kern w:val="0"/>
          <w:sz w:val="32"/>
          <w:szCs w:val="32"/>
          <w:highlight w:val="none"/>
          <w:shd w:val="clear" w:color="auto" w:fill="FFFFFF"/>
          <w:lang w:val="en-US" w:eastAsia="zh-CN"/>
        </w:rPr>
        <w:t>绩效</w:t>
      </w:r>
      <w:r>
        <w:rPr>
          <w:rFonts w:hint="eastAsia" w:ascii="仿宋_GB2312" w:hAnsi="仿宋_GB2312" w:eastAsia="仿宋_GB2312" w:cs="仿宋_GB2312"/>
          <w:color w:val="000000"/>
          <w:kern w:val="0"/>
          <w:sz w:val="32"/>
          <w:szCs w:val="32"/>
          <w:highlight w:val="none"/>
          <w:shd w:val="clear" w:color="auto" w:fill="FFFFFF"/>
          <w:lang w:val="zh-CN"/>
        </w:rPr>
        <w:t>指标细化量化、部门绩效目标纳入</w:t>
      </w:r>
      <w:r>
        <w:rPr>
          <w:rFonts w:hint="eastAsia" w:ascii="仿宋_GB2312" w:hAnsi="仿宋_GB2312" w:eastAsia="仿宋_GB2312" w:cs="仿宋_GB2312"/>
          <w:color w:val="000000"/>
          <w:kern w:val="0"/>
          <w:sz w:val="32"/>
          <w:szCs w:val="32"/>
          <w:highlight w:val="none"/>
          <w:shd w:val="clear" w:color="auto" w:fill="FFFFFF"/>
          <w:lang w:val="en-US" w:eastAsia="zh-CN"/>
        </w:rPr>
        <w:t>乡</w:t>
      </w:r>
      <w:r>
        <w:rPr>
          <w:rFonts w:hint="eastAsia" w:ascii="仿宋_GB2312" w:hAnsi="仿宋_GB2312" w:eastAsia="仿宋_GB2312" w:cs="仿宋_GB2312"/>
          <w:color w:val="000000"/>
          <w:kern w:val="0"/>
          <w:sz w:val="32"/>
          <w:szCs w:val="32"/>
          <w:highlight w:val="none"/>
          <w:shd w:val="clear" w:color="auto" w:fill="FFFFFF"/>
          <w:lang w:val="zh-CN"/>
        </w:rPr>
        <w:t>党组（委）会（办公会）集体决策范围；</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目标实现</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方面，</w:t>
      </w:r>
      <w:r>
        <w:rPr>
          <w:rFonts w:hint="eastAsia" w:ascii="仿宋_GB2312" w:hAnsi="仿宋_GB2312" w:eastAsia="仿宋_GB2312" w:cs="仿宋_GB2312"/>
          <w:color w:val="000000"/>
          <w:kern w:val="0"/>
          <w:sz w:val="32"/>
          <w:szCs w:val="32"/>
          <w:highlight w:val="none"/>
          <w:shd w:val="clear" w:color="auto" w:fill="FFFFFF"/>
          <w:lang w:val="en-US" w:eastAsia="zh-CN"/>
        </w:rPr>
        <w:t>人员</w:t>
      </w:r>
      <w:r>
        <w:rPr>
          <w:rFonts w:hint="eastAsia" w:ascii="仿宋_GB2312" w:hAnsi="仿宋_GB2312" w:eastAsia="仿宋_GB2312" w:cs="仿宋_GB2312"/>
          <w:color w:val="000000"/>
          <w:kern w:val="0"/>
          <w:sz w:val="32"/>
          <w:szCs w:val="32"/>
          <w:highlight w:val="none"/>
          <w:shd w:val="clear" w:color="auto" w:fill="FFFFFF"/>
          <w:lang w:val="zh-CN"/>
        </w:rPr>
        <w:t>类</w:t>
      </w:r>
      <w:r>
        <w:rPr>
          <w:rFonts w:hint="eastAsia" w:ascii="仿宋_GB2312" w:hAnsi="仿宋_GB2312" w:eastAsia="仿宋_GB2312" w:cs="仿宋_GB2312"/>
          <w:color w:val="000000"/>
          <w:kern w:val="0"/>
          <w:sz w:val="32"/>
          <w:szCs w:val="32"/>
          <w:highlight w:val="none"/>
          <w:shd w:val="clear" w:color="auto" w:fill="FFFFFF"/>
          <w:lang w:val="en-US" w:eastAsia="zh-CN"/>
        </w:rPr>
        <w:t>绩效目标实际实现程度与预期目标的无偏离度，编制精准，我乡年初预算编制科学准确；</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支出控制</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方面，</w:t>
      </w:r>
      <w:r>
        <w:rPr>
          <w:rFonts w:hint="eastAsia" w:ascii="仿宋_GB2312" w:hAnsi="仿宋_GB2312" w:eastAsia="仿宋_GB2312" w:cs="仿宋_GB2312"/>
          <w:color w:val="000000"/>
          <w:kern w:val="0"/>
          <w:sz w:val="32"/>
          <w:szCs w:val="32"/>
          <w:highlight w:val="none"/>
          <w:shd w:val="clear" w:color="auto" w:fill="FFFFFF"/>
          <w:lang w:val="zh-CN"/>
        </w:rPr>
        <w:t>人员经费合规，</w:t>
      </w:r>
      <w:r>
        <w:rPr>
          <w:rFonts w:hint="eastAsia" w:ascii="仿宋_GB2312" w:hAnsi="仿宋_GB2312" w:eastAsia="仿宋_GB2312" w:cs="仿宋_GB2312"/>
          <w:color w:val="000000"/>
          <w:kern w:val="0"/>
          <w:sz w:val="32"/>
          <w:szCs w:val="32"/>
          <w:highlight w:val="none"/>
          <w:shd w:val="clear" w:color="auto" w:fill="FFFFFF"/>
          <w:lang w:val="en-US" w:eastAsia="zh-CN"/>
        </w:rPr>
        <w:t>严格</w:t>
      </w:r>
      <w:r>
        <w:rPr>
          <w:rFonts w:hint="eastAsia" w:ascii="仿宋_GB2312" w:hAnsi="仿宋_GB2312" w:eastAsia="仿宋_GB2312" w:cs="仿宋_GB2312"/>
          <w:color w:val="000000"/>
          <w:kern w:val="0"/>
          <w:sz w:val="32"/>
          <w:szCs w:val="32"/>
          <w:highlight w:val="none"/>
          <w:shd w:val="clear" w:color="auto" w:fill="FFFFFF"/>
          <w:lang w:val="zh-CN"/>
        </w:rPr>
        <w:t>遵守“津补贴”等各项规定</w:t>
      </w:r>
      <w:r>
        <w:rPr>
          <w:rFonts w:hint="eastAsia" w:ascii="仿宋_GB2312" w:hAnsi="仿宋_GB2312" w:eastAsia="仿宋_GB2312" w:cs="仿宋_GB2312"/>
          <w:color w:val="000000"/>
          <w:kern w:val="0"/>
          <w:sz w:val="32"/>
          <w:szCs w:val="32"/>
          <w:highlight w:val="none"/>
          <w:shd w:val="clear" w:color="auto" w:fill="FFFFFF"/>
          <w:lang w:val="en-US" w:eastAsia="zh-CN"/>
        </w:rPr>
        <w:t>以及</w:t>
      </w:r>
      <w:r>
        <w:rPr>
          <w:rFonts w:hint="eastAsia" w:ascii="仿宋_GB2312" w:hAnsi="仿宋_GB2312" w:eastAsia="仿宋_GB2312" w:cs="仿宋_GB2312"/>
          <w:color w:val="000000"/>
          <w:kern w:val="0"/>
          <w:sz w:val="32"/>
          <w:szCs w:val="32"/>
          <w:highlight w:val="none"/>
          <w:shd w:val="clear" w:color="auto" w:fill="FFFFFF"/>
          <w:lang w:val="zh-CN"/>
        </w:rPr>
        <w:t>五险一金缴纳标准；</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执行进度</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方面，</w:t>
      </w:r>
      <w:r>
        <w:rPr>
          <w:rFonts w:hint="eastAsia" w:ascii="仿宋_GB2312" w:hAnsi="仿宋_GB2312" w:eastAsia="仿宋_GB2312" w:cs="仿宋_GB2312"/>
          <w:color w:val="000000"/>
          <w:kern w:val="0"/>
          <w:sz w:val="32"/>
          <w:szCs w:val="32"/>
          <w:highlight w:val="none"/>
          <w:shd w:val="clear" w:color="auto" w:fill="FFFFFF"/>
          <w:lang w:val="zh-CN"/>
        </w:rPr>
        <w:t>预算执行进度在6、9、11月</w:t>
      </w:r>
      <w:r>
        <w:rPr>
          <w:rFonts w:hint="eastAsia" w:ascii="仿宋_GB2312" w:hAnsi="仿宋_GB2312" w:eastAsia="仿宋_GB2312" w:cs="仿宋_GB2312"/>
          <w:color w:val="000000"/>
          <w:kern w:val="0"/>
          <w:sz w:val="32"/>
          <w:szCs w:val="32"/>
          <w:highlight w:val="none"/>
          <w:shd w:val="clear" w:color="auto" w:fill="FFFFFF"/>
          <w:lang w:val="en-US" w:eastAsia="zh-CN"/>
        </w:rPr>
        <w:t>未</w:t>
      </w:r>
      <w:r>
        <w:rPr>
          <w:rFonts w:hint="eastAsia" w:ascii="仿宋_GB2312" w:hAnsi="仿宋_GB2312" w:eastAsia="仿宋_GB2312" w:cs="仿宋_GB2312"/>
          <w:color w:val="000000"/>
          <w:kern w:val="0"/>
          <w:sz w:val="32"/>
          <w:szCs w:val="32"/>
          <w:highlight w:val="none"/>
          <w:shd w:val="clear" w:color="auto" w:fill="FFFFFF"/>
          <w:lang w:val="zh-CN"/>
        </w:rPr>
        <w:t>达到序时进度的</w:t>
      </w:r>
      <w:r>
        <w:rPr>
          <w:rFonts w:hint="eastAsia" w:ascii="仿宋_GB2312" w:hAnsi="仿宋_GB2312" w:eastAsia="仿宋_GB2312" w:cs="仿宋_GB2312"/>
          <w:color w:val="000000"/>
          <w:kern w:val="0"/>
          <w:sz w:val="32"/>
          <w:szCs w:val="32"/>
          <w:highlight w:val="none"/>
          <w:shd w:val="clear" w:color="auto" w:fill="FFFFFF"/>
          <w:lang w:val="en-US" w:eastAsia="zh-CN"/>
        </w:rPr>
        <w:t>50</w:t>
      </w:r>
      <w:r>
        <w:rPr>
          <w:rFonts w:hint="eastAsia" w:ascii="仿宋_GB2312" w:hAnsi="仿宋_GB2312" w:eastAsia="仿宋_GB2312" w:cs="仿宋_GB2312"/>
          <w:color w:val="000000"/>
          <w:kern w:val="0"/>
          <w:sz w:val="32"/>
          <w:szCs w:val="32"/>
          <w:highlight w:val="none"/>
          <w:shd w:val="clear" w:color="auto" w:fill="FFFFFF"/>
          <w:lang w:val="zh-CN"/>
        </w:rPr>
        <w:t>%、</w:t>
      </w:r>
      <w:r>
        <w:rPr>
          <w:rFonts w:hint="eastAsia" w:ascii="仿宋_GB2312" w:hAnsi="仿宋_GB2312" w:eastAsia="仿宋_GB2312" w:cs="仿宋_GB2312"/>
          <w:color w:val="000000"/>
          <w:kern w:val="0"/>
          <w:sz w:val="32"/>
          <w:szCs w:val="32"/>
          <w:highlight w:val="none"/>
          <w:shd w:val="clear" w:color="auto" w:fill="FFFFFF"/>
          <w:lang w:val="en-US" w:eastAsia="zh-CN"/>
        </w:rPr>
        <w:t>75</w:t>
      </w:r>
      <w:r>
        <w:rPr>
          <w:rFonts w:hint="eastAsia" w:ascii="仿宋_GB2312" w:hAnsi="仿宋_GB2312" w:eastAsia="仿宋_GB2312" w:cs="仿宋_GB2312"/>
          <w:color w:val="000000"/>
          <w:kern w:val="0"/>
          <w:sz w:val="32"/>
          <w:szCs w:val="32"/>
          <w:highlight w:val="none"/>
          <w:shd w:val="clear" w:color="auto" w:fill="FFFFFF"/>
          <w:lang w:val="zh-CN"/>
        </w:rPr>
        <w:t>%、90%，即实际支出进度</w:t>
      </w:r>
      <w:r>
        <w:rPr>
          <w:rFonts w:hint="eastAsia" w:ascii="仿宋_GB2312" w:hAnsi="仿宋_GB2312" w:eastAsia="仿宋_GB2312" w:cs="仿宋_GB2312"/>
          <w:color w:val="000000"/>
          <w:kern w:val="0"/>
          <w:sz w:val="32"/>
          <w:szCs w:val="32"/>
          <w:highlight w:val="none"/>
          <w:shd w:val="clear" w:color="auto" w:fill="FFFFFF"/>
          <w:lang w:val="en-US" w:eastAsia="zh-CN"/>
        </w:rPr>
        <w:t>未</w:t>
      </w:r>
      <w:r>
        <w:rPr>
          <w:rFonts w:hint="eastAsia" w:ascii="仿宋_GB2312" w:hAnsi="仿宋_GB2312" w:eastAsia="仿宋_GB2312" w:cs="仿宋_GB2312"/>
          <w:color w:val="000000"/>
          <w:kern w:val="0"/>
          <w:sz w:val="32"/>
          <w:szCs w:val="32"/>
          <w:highlight w:val="none"/>
          <w:shd w:val="clear" w:color="auto" w:fill="FFFFFF"/>
          <w:lang w:val="zh-CN"/>
        </w:rPr>
        <w:t>分别达到</w:t>
      </w:r>
      <w:r>
        <w:rPr>
          <w:rFonts w:hint="eastAsia" w:ascii="仿宋_GB2312" w:hAnsi="仿宋_GB2312" w:eastAsia="仿宋_GB2312" w:cs="仿宋_GB2312"/>
          <w:color w:val="000000"/>
          <w:kern w:val="0"/>
          <w:sz w:val="32"/>
          <w:szCs w:val="32"/>
          <w:highlight w:val="none"/>
          <w:shd w:val="clear" w:color="auto" w:fill="FFFFFF"/>
          <w:lang w:val="en-US" w:eastAsia="zh-CN"/>
        </w:rPr>
        <w:t>50</w:t>
      </w:r>
      <w:r>
        <w:rPr>
          <w:rFonts w:hint="eastAsia" w:ascii="仿宋_GB2312" w:hAnsi="仿宋_GB2312" w:eastAsia="仿宋_GB2312" w:cs="仿宋_GB2312"/>
          <w:color w:val="000000"/>
          <w:kern w:val="0"/>
          <w:sz w:val="32"/>
          <w:szCs w:val="32"/>
          <w:highlight w:val="none"/>
          <w:shd w:val="clear" w:color="auto" w:fill="FFFFFF"/>
          <w:lang w:val="zh-CN"/>
        </w:rPr>
        <w:t>%、</w:t>
      </w:r>
      <w:r>
        <w:rPr>
          <w:rFonts w:hint="eastAsia" w:ascii="仿宋_GB2312" w:hAnsi="仿宋_GB2312" w:eastAsia="仿宋_GB2312" w:cs="仿宋_GB2312"/>
          <w:color w:val="000000"/>
          <w:kern w:val="0"/>
          <w:sz w:val="32"/>
          <w:szCs w:val="32"/>
          <w:highlight w:val="none"/>
          <w:shd w:val="clear" w:color="auto" w:fill="FFFFFF"/>
          <w:lang w:val="en-US" w:eastAsia="zh-CN"/>
        </w:rPr>
        <w:t>70.31</w:t>
      </w:r>
      <w:r>
        <w:rPr>
          <w:rFonts w:hint="eastAsia" w:ascii="仿宋_GB2312" w:hAnsi="仿宋_GB2312" w:eastAsia="仿宋_GB2312" w:cs="仿宋_GB2312"/>
          <w:color w:val="000000"/>
          <w:kern w:val="0"/>
          <w:sz w:val="32"/>
          <w:szCs w:val="32"/>
          <w:highlight w:val="none"/>
          <w:shd w:val="clear" w:color="auto" w:fill="FFFFFF"/>
          <w:lang w:val="zh-CN"/>
        </w:rPr>
        <w:t>%、</w:t>
      </w:r>
      <w:r>
        <w:rPr>
          <w:rFonts w:hint="eastAsia" w:ascii="仿宋_GB2312" w:hAnsi="仿宋_GB2312" w:eastAsia="仿宋_GB2312" w:cs="仿宋_GB2312"/>
          <w:color w:val="000000"/>
          <w:kern w:val="0"/>
          <w:sz w:val="32"/>
          <w:szCs w:val="32"/>
          <w:highlight w:val="none"/>
          <w:shd w:val="clear" w:color="auto" w:fill="FFFFFF"/>
          <w:lang w:val="en-US" w:eastAsia="zh-CN"/>
        </w:rPr>
        <w:t>77.85</w:t>
      </w:r>
      <w:r>
        <w:rPr>
          <w:rFonts w:hint="eastAsia" w:ascii="仿宋_GB2312" w:hAnsi="仿宋_GB2312" w:eastAsia="仿宋_GB2312" w:cs="仿宋_GB2312"/>
          <w:color w:val="000000"/>
          <w:kern w:val="0"/>
          <w:sz w:val="32"/>
          <w:szCs w:val="32"/>
          <w:highlight w:val="none"/>
          <w:shd w:val="clear" w:color="auto" w:fill="FFFFFF"/>
          <w:lang w:val="zh-CN"/>
        </w:rPr>
        <w:t>%</w:t>
      </w:r>
      <w:r>
        <w:rPr>
          <w:rFonts w:hint="eastAsia" w:ascii="仿宋_GB2312" w:hAnsi="仿宋_GB2312" w:eastAsia="仿宋_GB2312" w:cs="仿宋_GB2312"/>
          <w:color w:val="000000"/>
          <w:kern w:val="0"/>
          <w:sz w:val="32"/>
          <w:szCs w:val="32"/>
          <w:highlight w:val="none"/>
          <w:shd w:val="clear" w:color="auto" w:fill="FFFFFF"/>
          <w:lang w:val="en-US" w:eastAsia="zh-CN"/>
        </w:rPr>
        <w:t>;</w:t>
      </w:r>
      <w:r>
        <w:rPr>
          <w:rFonts w:hint="eastAsia" w:ascii="仿宋_GB2312" w:hAnsi="仿宋_GB2312" w:eastAsia="仿宋_GB2312" w:cs="仿宋_GB2312"/>
          <w:color w:val="000000"/>
          <w:kern w:val="0"/>
          <w:sz w:val="32"/>
          <w:szCs w:val="32"/>
          <w:highlight w:val="none"/>
          <w:shd w:val="clear" w:color="auto" w:fill="FFFFFF"/>
          <w:lang w:val="zh-CN"/>
        </w:rPr>
        <w:t>预算完成</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方面</w:t>
      </w:r>
      <w:r>
        <w:rPr>
          <w:rFonts w:hint="eastAsia" w:ascii="仿宋_GB2312" w:hAnsi="仿宋_GB2312" w:eastAsia="仿宋_GB2312" w:cs="仿宋_GB2312"/>
          <w:color w:val="000000"/>
          <w:kern w:val="0"/>
          <w:sz w:val="32"/>
          <w:szCs w:val="32"/>
          <w:highlight w:val="none"/>
          <w:shd w:val="clear" w:color="auto" w:fill="FFFFFF"/>
          <w:lang w:val="zh-CN"/>
        </w:rPr>
        <w:t>，预算项目12月预算执行进度达到100%</w:t>
      </w:r>
      <w:r>
        <w:rPr>
          <w:rFonts w:hint="eastAsia" w:ascii="仿宋_GB2312" w:hAnsi="仿宋_GB2312" w:eastAsia="仿宋_GB2312" w:cs="仿宋_GB2312"/>
          <w:color w:val="000000"/>
          <w:kern w:val="0"/>
          <w:sz w:val="32"/>
          <w:szCs w:val="32"/>
          <w:highlight w:val="none"/>
          <w:shd w:val="clear" w:color="auto" w:fill="FFFFFF"/>
          <w:lang w:val="en-US" w:eastAsia="zh-CN"/>
        </w:rPr>
        <w:t>;</w:t>
      </w:r>
      <w:r>
        <w:rPr>
          <w:rFonts w:hint="eastAsia" w:ascii="仿宋_GB2312" w:hAnsi="仿宋_GB2312" w:eastAsia="仿宋_GB2312" w:cs="仿宋_GB2312"/>
          <w:color w:val="000000"/>
          <w:kern w:val="0"/>
          <w:sz w:val="32"/>
          <w:szCs w:val="32"/>
          <w:highlight w:val="none"/>
          <w:shd w:val="clear" w:color="auto" w:fill="FFFFFF"/>
          <w:lang w:val="zh-CN"/>
        </w:rPr>
        <w:t>结转结余控制</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方面</w:t>
      </w:r>
      <w:r>
        <w:rPr>
          <w:rFonts w:hint="eastAsia" w:ascii="仿宋_GB2312" w:hAnsi="仿宋_GB2312" w:eastAsia="仿宋_GB2312" w:cs="仿宋_GB2312"/>
          <w:color w:val="000000"/>
          <w:kern w:val="0"/>
          <w:sz w:val="32"/>
          <w:szCs w:val="32"/>
          <w:highlight w:val="none"/>
          <w:shd w:val="clear" w:color="auto" w:fill="FFFFFF"/>
          <w:lang w:val="zh-CN"/>
        </w:rPr>
        <w:t>，本年度结转结余总额与上年结转结余总额增减比例低</w:t>
      </w:r>
      <w:r>
        <w:rPr>
          <w:rFonts w:hint="eastAsia" w:ascii="仿宋_GB2312" w:hAnsi="仿宋_GB2312" w:eastAsia="仿宋_GB2312" w:cs="仿宋_GB2312"/>
          <w:color w:val="000000"/>
          <w:kern w:val="0"/>
          <w:sz w:val="32"/>
          <w:szCs w:val="32"/>
          <w:highlight w:val="none"/>
          <w:shd w:val="clear" w:color="auto" w:fill="FFFFFF"/>
          <w:lang w:val="en-US" w:eastAsia="zh-CN"/>
        </w:rPr>
        <w:t>于</w:t>
      </w:r>
      <w:r>
        <w:rPr>
          <w:rFonts w:hint="eastAsia" w:ascii="仿宋_GB2312" w:hAnsi="仿宋_GB2312" w:eastAsia="仿宋_GB2312" w:cs="仿宋_GB2312"/>
          <w:color w:val="000000"/>
          <w:kern w:val="0"/>
          <w:sz w:val="32"/>
          <w:szCs w:val="32"/>
          <w:highlight w:val="none"/>
          <w:shd w:val="clear" w:color="auto" w:fill="FFFFFF"/>
          <w:lang w:val="zh-CN"/>
        </w:rPr>
        <w:t>5%</w:t>
      </w:r>
      <w:r>
        <w:rPr>
          <w:rFonts w:hint="eastAsia" w:ascii="仿宋_GB2312" w:hAnsi="仿宋_GB2312" w:eastAsia="仿宋_GB2312" w:cs="仿宋_GB2312"/>
          <w:color w:val="000000"/>
          <w:kern w:val="0"/>
          <w:sz w:val="32"/>
          <w:szCs w:val="32"/>
          <w:highlight w:val="none"/>
          <w:shd w:val="clear" w:color="auto" w:fill="FFFFFF"/>
          <w:lang w:val="en-US" w:eastAsia="zh-CN"/>
        </w:rPr>
        <w:t>;</w:t>
      </w:r>
      <w:r>
        <w:rPr>
          <w:rFonts w:hint="eastAsia" w:ascii="仿宋_GB2312" w:hAnsi="仿宋_GB2312" w:eastAsia="仿宋_GB2312" w:cs="仿宋_GB2312"/>
          <w:color w:val="000000"/>
          <w:kern w:val="0"/>
          <w:sz w:val="32"/>
          <w:szCs w:val="32"/>
          <w:highlight w:val="none"/>
          <w:shd w:val="clear" w:color="auto" w:fill="FFFFFF"/>
          <w:lang w:val="zh-CN"/>
        </w:rPr>
        <w:t>违规记录</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方面</w:t>
      </w:r>
      <w:r>
        <w:rPr>
          <w:rFonts w:hint="eastAsia" w:ascii="仿宋_GB2312" w:hAnsi="仿宋_GB2312" w:eastAsia="仿宋_GB2312" w:cs="仿宋_GB2312"/>
          <w:color w:val="000000"/>
          <w:kern w:val="0"/>
          <w:sz w:val="32"/>
          <w:szCs w:val="32"/>
          <w:highlight w:val="none"/>
          <w:shd w:val="clear" w:color="auto" w:fill="FFFFFF"/>
          <w:lang w:val="zh-CN"/>
        </w:rPr>
        <w:t>，根据审计监督、财政检查结果反映部门上一年度部门预算管理合规。</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2.运转类项目绩效分析</w:t>
      </w:r>
    </w:p>
    <w:p>
      <w:pPr>
        <w:keepNext w:val="0"/>
        <w:keepLines w:val="0"/>
        <w:pageBreakBefore w:val="0"/>
        <w:widowControl/>
        <w:kinsoku/>
        <w:wordWrap/>
        <w:overflowPunct/>
        <w:topLinePunct w:val="0"/>
        <w:autoSpaceDE/>
        <w:autoSpaceDN/>
        <w:bidi w:val="0"/>
        <w:adjustRightInd w:val="0"/>
        <w:snapToGrid w:val="0"/>
        <w:spacing w:line="579"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zh-CN" w:eastAsia="zh-CN"/>
        </w:rPr>
        <w:t>目标制定</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方面，</w:t>
      </w:r>
      <w:r>
        <w:rPr>
          <w:rFonts w:hint="eastAsia" w:ascii="仿宋_GB2312" w:hAnsi="仿宋_GB2312" w:eastAsia="仿宋_GB2312" w:cs="仿宋_GB2312"/>
          <w:color w:val="000000"/>
          <w:kern w:val="0"/>
          <w:sz w:val="32"/>
          <w:szCs w:val="32"/>
          <w:highlight w:val="none"/>
          <w:shd w:val="clear" w:color="auto" w:fill="FFFFFF"/>
          <w:lang w:val="zh-CN"/>
        </w:rPr>
        <w:t>绩效目标编制要素完整、</w:t>
      </w:r>
      <w:r>
        <w:rPr>
          <w:rFonts w:hint="eastAsia" w:ascii="仿宋_GB2312" w:hAnsi="仿宋_GB2312" w:eastAsia="仿宋_GB2312" w:cs="仿宋_GB2312"/>
          <w:color w:val="000000"/>
          <w:kern w:val="0"/>
          <w:sz w:val="32"/>
          <w:szCs w:val="32"/>
          <w:highlight w:val="none"/>
          <w:shd w:val="clear" w:color="auto" w:fill="FFFFFF"/>
          <w:lang w:val="en-US" w:eastAsia="zh-CN"/>
        </w:rPr>
        <w:t>绩效</w:t>
      </w:r>
      <w:r>
        <w:rPr>
          <w:rFonts w:hint="eastAsia" w:ascii="仿宋_GB2312" w:hAnsi="仿宋_GB2312" w:eastAsia="仿宋_GB2312" w:cs="仿宋_GB2312"/>
          <w:color w:val="000000"/>
          <w:kern w:val="0"/>
          <w:sz w:val="32"/>
          <w:szCs w:val="32"/>
          <w:highlight w:val="none"/>
          <w:shd w:val="clear" w:color="auto" w:fill="FFFFFF"/>
          <w:lang w:val="zh-CN"/>
        </w:rPr>
        <w:t>指标细化量化、部门绩效目标纳入</w:t>
      </w:r>
      <w:r>
        <w:rPr>
          <w:rFonts w:hint="eastAsia" w:ascii="仿宋_GB2312" w:hAnsi="仿宋_GB2312" w:eastAsia="仿宋_GB2312" w:cs="仿宋_GB2312"/>
          <w:color w:val="000000"/>
          <w:kern w:val="0"/>
          <w:sz w:val="32"/>
          <w:szCs w:val="32"/>
          <w:highlight w:val="none"/>
          <w:shd w:val="clear" w:color="auto" w:fill="FFFFFF"/>
          <w:lang w:val="en-US" w:eastAsia="zh-CN"/>
        </w:rPr>
        <w:t>乡</w:t>
      </w:r>
      <w:r>
        <w:rPr>
          <w:rFonts w:hint="eastAsia" w:ascii="仿宋_GB2312" w:hAnsi="仿宋_GB2312" w:eastAsia="仿宋_GB2312" w:cs="仿宋_GB2312"/>
          <w:color w:val="000000"/>
          <w:kern w:val="0"/>
          <w:sz w:val="32"/>
          <w:szCs w:val="32"/>
          <w:highlight w:val="none"/>
          <w:shd w:val="clear" w:color="auto" w:fill="FFFFFF"/>
          <w:lang w:val="zh-CN"/>
        </w:rPr>
        <w:t>党组（委）会（办公会）集体决策范围；</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目标实现</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方面，</w:t>
      </w:r>
      <w:r>
        <w:rPr>
          <w:rFonts w:hint="eastAsia" w:ascii="仿宋_GB2312" w:hAnsi="仿宋_GB2312" w:eastAsia="仿宋_GB2312" w:cs="仿宋_GB2312"/>
          <w:color w:val="000000"/>
          <w:kern w:val="0"/>
          <w:sz w:val="32"/>
          <w:szCs w:val="32"/>
          <w:highlight w:val="none"/>
          <w:shd w:val="clear" w:color="auto" w:fill="FFFFFF"/>
          <w:lang w:val="zh-CN"/>
        </w:rPr>
        <w:t>运转类</w:t>
      </w:r>
      <w:r>
        <w:rPr>
          <w:rFonts w:hint="eastAsia" w:ascii="仿宋_GB2312" w:hAnsi="仿宋_GB2312" w:eastAsia="仿宋_GB2312" w:cs="仿宋_GB2312"/>
          <w:color w:val="000000"/>
          <w:kern w:val="0"/>
          <w:sz w:val="32"/>
          <w:szCs w:val="32"/>
          <w:highlight w:val="none"/>
          <w:shd w:val="clear" w:color="auto" w:fill="FFFFFF"/>
          <w:lang w:val="en-US" w:eastAsia="zh-CN"/>
        </w:rPr>
        <w:t>项目绩效目标实际实现程度与预期目标的偏离度较低；</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支出控制</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方面，</w:t>
      </w:r>
      <w:r>
        <w:rPr>
          <w:rFonts w:hint="eastAsia" w:ascii="仿宋_GB2312" w:hAnsi="仿宋_GB2312" w:eastAsia="仿宋_GB2312" w:cs="仿宋_GB2312"/>
          <w:color w:val="000000"/>
          <w:kern w:val="0"/>
          <w:sz w:val="32"/>
          <w:szCs w:val="32"/>
          <w:highlight w:val="none"/>
          <w:shd w:val="clear" w:color="auto" w:fill="FFFFFF"/>
          <w:lang w:val="zh-CN"/>
        </w:rPr>
        <w:t>日常公用经费、项目支出中“办公费、印刷费、水费、电费、物业管理费”等科目年初预算数与决算数</w:t>
      </w:r>
      <w:r>
        <w:rPr>
          <w:rFonts w:hint="eastAsia" w:ascii="仿宋_GB2312" w:hAnsi="仿宋_GB2312" w:eastAsia="仿宋_GB2312" w:cs="仿宋_GB2312"/>
          <w:color w:val="000000"/>
          <w:kern w:val="0"/>
          <w:sz w:val="32"/>
          <w:szCs w:val="32"/>
          <w:highlight w:val="none"/>
          <w:shd w:val="clear" w:color="auto" w:fill="FFFFFF"/>
          <w:lang w:val="en-US" w:eastAsia="zh-CN"/>
        </w:rPr>
        <w:t>无</w:t>
      </w:r>
      <w:r>
        <w:rPr>
          <w:rFonts w:hint="eastAsia" w:ascii="仿宋_GB2312" w:hAnsi="仿宋_GB2312" w:eastAsia="仿宋_GB2312" w:cs="仿宋_GB2312"/>
          <w:color w:val="000000"/>
          <w:kern w:val="0"/>
          <w:sz w:val="32"/>
          <w:szCs w:val="32"/>
          <w:highlight w:val="none"/>
          <w:shd w:val="clear" w:color="auto" w:fill="FFFFFF"/>
          <w:lang w:val="zh-CN"/>
        </w:rPr>
        <w:t>偏差。三公经费控制，财政拨款安排的“三公”经费年初部门预算编制较上年实现“零增长”，决算数未突破年初预算数；</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执行进度</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方面，</w:t>
      </w:r>
      <w:r>
        <w:rPr>
          <w:rFonts w:hint="eastAsia" w:ascii="仿宋_GB2312" w:hAnsi="仿宋_GB2312" w:eastAsia="仿宋_GB2312" w:cs="仿宋_GB2312"/>
          <w:color w:val="000000"/>
          <w:kern w:val="0"/>
          <w:sz w:val="32"/>
          <w:szCs w:val="32"/>
          <w:highlight w:val="none"/>
          <w:shd w:val="clear" w:color="auto" w:fill="FFFFFF"/>
          <w:lang w:val="zh-CN"/>
        </w:rPr>
        <w:t>预算执行进度在6、9、11月</w:t>
      </w:r>
      <w:r>
        <w:rPr>
          <w:rFonts w:hint="eastAsia" w:ascii="仿宋_GB2312" w:hAnsi="仿宋_GB2312" w:eastAsia="仿宋_GB2312" w:cs="仿宋_GB2312"/>
          <w:color w:val="000000"/>
          <w:kern w:val="0"/>
          <w:sz w:val="32"/>
          <w:szCs w:val="32"/>
          <w:highlight w:val="none"/>
          <w:shd w:val="clear" w:color="auto" w:fill="FFFFFF"/>
          <w:lang w:val="en-US" w:eastAsia="zh-CN"/>
        </w:rPr>
        <w:t>未</w:t>
      </w:r>
      <w:r>
        <w:rPr>
          <w:rFonts w:hint="eastAsia" w:ascii="仿宋_GB2312" w:hAnsi="仿宋_GB2312" w:eastAsia="仿宋_GB2312" w:cs="仿宋_GB2312"/>
          <w:color w:val="000000"/>
          <w:kern w:val="0"/>
          <w:sz w:val="32"/>
          <w:szCs w:val="32"/>
          <w:highlight w:val="none"/>
          <w:shd w:val="clear" w:color="auto" w:fill="FFFFFF"/>
          <w:lang w:val="zh-CN"/>
        </w:rPr>
        <w:t>达到序时进度的</w:t>
      </w:r>
      <w:r>
        <w:rPr>
          <w:rFonts w:hint="eastAsia" w:ascii="仿宋_GB2312" w:hAnsi="仿宋_GB2312" w:eastAsia="仿宋_GB2312" w:cs="仿宋_GB2312"/>
          <w:color w:val="000000"/>
          <w:kern w:val="0"/>
          <w:sz w:val="32"/>
          <w:szCs w:val="32"/>
          <w:highlight w:val="none"/>
          <w:shd w:val="clear" w:color="auto" w:fill="FFFFFF"/>
          <w:lang w:val="en-US" w:eastAsia="zh-CN"/>
        </w:rPr>
        <w:t>50</w:t>
      </w:r>
      <w:r>
        <w:rPr>
          <w:rFonts w:hint="eastAsia" w:ascii="仿宋_GB2312" w:hAnsi="仿宋_GB2312" w:eastAsia="仿宋_GB2312" w:cs="仿宋_GB2312"/>
          <w:color w:val="000000"/>
          <w:kern w:val="0"/>
          <w:sz w:val="32"/>
          <w:szCs w:val="32"/>
          <w:highlight w:val="none"/>
          <w:shd w:val="clear" w:color="auto" w:fill="FFFFFF"/>
          <w:lang w:val="zh-CN"/>
        </w:rPr>
        <w:t>%、</w:t>
      </w:r>
      <w:r>
        <w:rPr>
          <w:rFonts w:hint="eastAsia" w:ascii="仿宋_GB2312" w:hAnsi="仿宋_GB2312" w:eastAsia="仿宋_GB2312" w:cs="仿宋_GB2312"/>
          <w:color w:val="000000"/>
          <w:kern w:val="0"/>
          <w:sz w:val="32"/>
          <w:szCs w:val="32"/>
          <w:highlight w:val="none"/>
          <w:shd w:val="clear" w:color="auto" w:fill="FFFFFF"/>
          <w:lang w:val="en-US" w:eastAsia="zh-CN"/>
        </w:rPr>
        <w:t>75</w:t>
      </w:r>
      <w:r>
        <w:rPr>
          <w:rFonts w:hint="eastAsia" w:ascii="仿宋_GB2312" w:hAnsi="仿宋_GB2312" w:eastAsia="仿宋_GB2312" w:cs="仿宋_GB2312"/>
          <w:color w:val="000000"/>
          <w:kern w:val="0"/>
          <w:sz w:val="32"/>
          <w:szCs w:val="32"/>
          <w:highlight w:val="none"/>
          <w:shd w:val="clear" w:color="auto" w:fill="FFFFFF"/>
          <w:lang w:val="zh-CN"/>
        </w:rPr>
        <w:t>%、90%，即实际支出进度</w:t>
      </w:r>
      <w:r>
        <w:rPr>
          <w:rFonts w:hint="eastAsia" w:ascii="仿宋_GB2312" w:hAnsi="仿宋_GB2312" w:eastAsia="仿宋_GB2312" w:cs="仿宋_GB2312"/>
          <w:color w:val="000000"/>
          <w:kern w:val="0"/>
          <w:sz w:val="32"/>
          <w:szCs w:val="32"/>
          <w:highlight w:val="none"/>
          <w:shd w:val="clear" w:color="auto" w:fill="FFFFFF"/>
          <w:lang w:val="en-US" w:eastAsia="zh-CN"/>
        </w:rPr>
        <w:t>未</w:t>
      </w:r>
      <w:r>
        <w:rPr>
          <w:rFonts w:hint="eastAsia" w:ascii="仿宋_GB2312" w:hAnsi="仿宋_GB2312" w:eastAsia="仿宋_GB2312" w:cs="仿宋_GB2312"/>
          <w:color w:val="000000"/>
          <w:kern w:val="0"/>
          <w:sz w:val="32"/>
          <w:szCs w:val="32"/>
          <w:highlight w:val="none"/>
          <w:shd w:val="clear" w:color="auto" w:fill="FFFFFF"/>
          <w:lang w:val="zh-CN"/>
        </w:rPr>
        <w:t>分别达到</w:t>
      </w:r>
      <w:r>
        <w:rPr>
          <w:rFonts w:hint="eastAsia" w:ascii="仿宋_GB2312" w:hAnsi="仿宋_GB2312" w:eastAsia="仿宋_GB2312" w:cs="仿宋_GB2312"/>
          <w:color w:val="000000"/>
          <w:kern w:val="0"/>
          <w:sz w:val="32"/>
          <w:szCs w:val="32"/>
          <w:highlight w:val="none"/>
          <w:shd w:val="clear" w:color="auto" w:fill="FFFFFF"/>
          <w:lang w:val="en-US" w:eastAsia="zh-CN"/>
        </w:rPr>
        <w:t>35.14</w:t>
      </w:r>
      <w:r>
        <w:rPr>
          <w:rFonts w:hint="eastAsia" w:ascii="仿宋_GB2312" w:hAnsi="仿宋_GB2312" w:eastAsia="仿宋_GB2312" w:cs="仿宋_GB2312"/>
          <w:color w:val="000000"/>
          <w:kern w:val="0"/>
          <w:sz w:val="32"/>
          <w:szCs w:val="32"/>
          <w:highlight w:val="none"/>
          <w:shd w:val="clear" w:color="auto" w:fill="FFFFFF"/>
          <w:lang w:val="zh-CN"/>
        </w:rPr>
        <w:t>%、</w:t>
      </w:r>
      <w:r>
        <w:rPr>
          <w:rFonts w:hint="eastAsia" w:ascii="仿宋_GB2312" w:hAnsi="仿宋_GB2312" w:eastAsia="仿宋_GB2312" w:cs="仿宋_GB2312"/>
          <w:color w:val="000000"/>
          <w:kern w:val="0"/>
          <w:sz w:val="32"/>
          <w:szCs w:val="32"/>
          <w:highlight w:val="none"/>
          <w:shd w:val="clear" w:color="auto" w:fill="FFFFFF"/>
          <w:lang w:val="en-US" w:eastAsia="zh-CN"/>
        </w:rPr>
        <w:t>35.14</w:t>
      </w:r>
      <w:r>
        <w:rPr>
          <w:rFonts w:hint="eastAsia" w:ascii="仿宋_GB2312" w:hAnsi="仿宋_GB2312" w:eastAsia="仿宋_GB2312" w:cs="仿宋_GB2312"/>
          <w:color w:val="000000"/>
          <w:kern w:val="0"/>
          <w:sz w:val="32"/>
          <w:szCs w:val="32"/>
          <w:highlight w:val="none"/>
          <w:shd w:val="clear" w:color="auto" w:fill="FFFFFF"/>
          <w:lang w:val="zh-CN"/>
        </w:rPr>
        <w:t>%、</w:t>
      </w:r>
      <w:r>
        <w:rPr>
          <w:rFonts w:hint="eastAsia" w:ascii="仿宋_GB2312" w:hAnsi="仿宋_GB2312" w:eastAsia="仿宋_GB2312" w:cs="仿宋_GB2312"/>
          <w:color w:val="000000"/>
          <w:kern w:val="0"/>
          <w:sz w:val="32"/>
          <w:szCs w:val="32"/>
          <w:highlight w:val="none"/>
          <w:shd w:val="clear" w:color="auto" w:fill="FFFFFF"/>
          <w:lang w:val="en-US" w:eastAsia="zh-CN"/>
        </w:rPr>
        <w:t>56.49</w:t>
      </w:r>
      <w:r>
        <w:rPr>
          <w:rFonts w:hint="eastAsia" w:ascii="仿宋_GB2312" w:hAnsi="仿宋_GB2312" w:eastAsia="仿宋_GB2312" w:cs="仿宋_GB2312"/>
          <w:color w:val="000000"/>
          <w:kern w:val="0"/>
          <w:sz w:val="32"/>
          <w:szCs w:val="32"/>
          <w:highlight w:val="none"/>
          <w:shd w:val="clear" w:color="auto" w:fill="FFFFFF"/>
          <w:lang w:val="zh-CN"/>
        </w:rPr>
        <w:t>%</w:t>
      </w:r>
      <w:r>
        <w:rPr>
          <w:rFonts w:hint="eastAsia" w:ascii="仿宋_GB2312" w:hAnsi="仿宋_GB2312" w:eastAsia="仿宋_GB2312" w:cs="仿宋_GB2312"/>
          <w:color w:val="000000"/>
          <w:kern w:val="0"/>
          <w:sz w:val="32"/>
          <w:szCs w:val="32"/>
          <w:highlight w:val="none"/>
          <w:shd w:val="clear" w:color="auto" w:fill="FFFFFF"/>
          <w:lang w:val="en-US" w:eastAsia="zh-CN"/>
        </w:rPr>
        <w:t>;</w:t>
      </w:r>
      <w:r>
        <w:rPr>
          <w:rFonts w:hint="eastAsia" w:ascii="仿宋_GB2312" w:hAnsi="仿宋_GB2312" w:eastAsia="仿宋_GB2312" w:cs="仿宋_GB2312"/>
          <w:color w:val="000000"/>
          <w:kern w:val="0"/>
          <w:sz w:val="32"/>
          <w:szCs w:val="32"/>
          <w:highlight w:val="none"/>
          <w:shd w:val="clear" w:color="auto" w:fill="FFFFFF"/>
          <w:lang w:val="zh-CN"/>
        </w:rPr>
        <w:t>预算完成</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方面</w:t>
      </w:r>
      <w:r>
        <w:rPr>
          <w:rFonts w:hint="eastAsia" w:ascii="仿宋_GB2312" w:hAnsi="仿宋_GB2312" w:eastAsia="仿宋_GB2312" w:cs="仿宋_GB2312"/>
          <w:color w:val="000000"/>
          <w:kern w:val="0"/>
          <w:sz w:val="32"/>
          <w:szCs w:val="32"/>
          <w:highlight w:val="none"/>
          <w:shd w:val="clear" w:color="auto" w:fill="FFFFFF"/>
          <w:lang w:val="zh-CN"/>
        </w:rPr>
        <w:t>，预算项目12月预算执行进度达到100%</w:t>
      </w:r>
      <w:r>
        <w:rPr>
          <w:rFonts w:hint="eastAsia" w:ascii="仿宋_GB2312" w:hAnsi="仿宋_GB2312" w:eastAsia="仿宋_GB2312" w:cs="仿宋_GB2312"/>
          <w:color w:val="000000"/>
          <w:kern w:val="0"/>
          <w:sz w:val="32"/>
          <w:szCs w:val="32"/>
          <w:highlight w:val="none"/>
          <w:shd w:val="clear" w:color="auto" w:fill="FFFFFF"/>
          <w:lang w:val="en-US" w:eastAsia="zh-CN"/>
        </w:rPr>
        <w:t>;</w:t>
      </w:r>
      <w:r>
        <w:rPr>
          <w:rFonts w:hint="eastAsia" w:ascii="仿宋_GB2312" w:hAnsi="仿宋_GB2312" w:eastAsia="仿宋_GB2312" w:cs="仿宋_GB2312"/>
          <w:color w:val="000000"/>
          <w:kern w:val="0"/>
          <w:sz w:val="32"/>
          <w:szCs w:val="32"/>
          <w:highlight w:val="none"/>
          <w:shd w:val="clear" w:color="auto" w:fill="FFFFFF"/>
          <w:lang w:val="zh-CN"/>
        </w:rPr>
        <w:t>结转结余控制</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方面</w:t>
      </w:r>
      <w:r>
        <w:rPr>
          <w:rFonts w:hint="eastAsia" w:ascii="仿宋_GB2312" w:hAnsi="仿宋_GB2312" w:eastAsia="仿宋_GB2312" w:cs="仿宋_GB2312"/>
          <w:color w:val="000000"/>
          <w:kern w:val="0"/>
          <w:sz w:val="32"/>
          <w:szCs w:val="32"/>
          <w:highlight w:val="none"/>
          <w:shd w:val="clear" w:color="auto" w:fill="FFFFFF"/>
          <w:lang w:val="zh-CN"/>
        </w:rPr>
        <w:t>，本年度结转结余总额与上年结转结余总额增减比例低</w:t>
      </w:r>
      <w:r>
        <w:rPr>
          <w:rFonts w:hint="eastAsia" w:ascii="仿宋_GB2312" w:hAnsi="仿宋_GB2312" w:eastAsia="仿宋_GB2312" w:cs="仿宋_GB2312"/>
          <w:color w:val="000000"/>
          <w:kern w:val="0"/>
          <w:sz w:val="32"/>
          <w:szCs w:val="32"/>
          <w:highlight w:val="none"/>
          <w:shd w:val="clear" w:color="auto" w:fill="FFFFFF"/>
          <w:lang w:val="en-US" w:eastAsia="zh-CN"/>
        </w:rPr>
        <w:t>于</w:t>
      </w:r>
      <w:r>
        <w:rPr>
          <w:rFonts w:hint="eastAsia" w:ascii="仿宋_GB2312" w:hAnsi="仿宋_GB2312" w:eastAsia="仿宋_GB2312" w:cs="仿宋_GB2312"/>
          <w:color w:val="000000"/>
          <w:kern w:val="0"/>
          <w:sz w:val="32"/>
          <w:szCs w:val="32"/>
          <w:highlight w:val="none"/>
          <w:shd w:val="clear" w:color="auto" w:fill="FFFFFF"/>
          <w:lang w:val="zh-CN"/>
        </w:rPr>
        <w:t>5%</w:t>
      </w:r>
      <w:r>
        <w:rPr>
          <w:rFonts w:hint="eastAsia" w:ascii="仿宋_GB2312" w:hAnsi="仿宋_GB2312" w:eastAsia="仿宋_GB2312" w:cs="仿宋_GB2312"/>
          <w:color w:val="000000"/>
          <w:kern w:val="0"/>
          <w:sz w:val="32"/>
          <w:szCs w:val="32"/>
          <w:highlight w:val="none"/>
          <w:shd w:val="clear" w:color="auto" w:fill="FFFFFF"/>
          <w:lang w:val="en-US" w:eastAsia="zh-CN"/>
        </w:rPr>
        <w:t>;</w:t>
      </w:r>
      <w:r>
        <w:rPr>
          <w:rFonts w:hint="eastAsia" w:ascii="仿宋_GB2312" w:hAnsi="仿宋_GB2312" w:eastAsia="仿宋_GB2312" w:cs="仿宋_GB2312"/>
          <w:color w:val="000000"/>
          <w:kern w:val="0"/>
          <w:sz w:val="32"/>
          <w:szCs w:val="32"/>
          <w:highlight w:val="none"/>
          <w:shd w:val="clear" w:color="auto" w:fill="FFFFFF"/>
          <w:lang w:val="zh-CN"/>
        </w:rPr>
        <w:t>违规记录</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方面</w:t>
      </w:r>
      <w:r>
        <w:rPr>
          <w:rFonts w:hint="eastAsia" w:ascii="仿宋_GB2312" w:hAnsi="仿宋_GB2312" w:eastAsia="仿宋_GB2312" w:cs="仿宋_GB2312"/>
          <w:color w:val="000000"/>
          <w:kern w:val="0"/>
          <w:sz w:val="32"/>
          <w:szCs w:val="32"/>
          <w:highlight w:val="none"/>
          <w:shd w:val="clear" w:color="auto" w:fill="FFFFFF"/>
          <w:lang w:val="zh-CN"/>
        </w:rPr>
        <w:t>，根据审计监督、财政检查结果反映部门上一年度部门预算管理合规。</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3.特定目标类项目绩效分析</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color w:val="000000"/>
          <w:kern w:val="0"/>
          <w:sz w:val="32"/>
          <w:szCs w:val="32"/>
          <w:highlight w:val="none"/>
          <w:shd w:val="clear" w:color="auto" w:fill="FFFFFF"/>
          <w:lang w:val="zh-CN"/>
        </w:rPr>
      </w:pPr>
      <w:r>
        <w:rPr>
          <w:rFonts w:hint="eastAsia" w:ascii="仿宋_GB2312" w:hAnsi="仿宋_GB2312" w:eastAsia="仿宋_GB2312" w:cs="仿宋_GB2312"/>
          <w:b w:val="0"/>
          <w:bCs w:val="0"/>
          <w:color w:val="auto"/>
          <w:kern w:val="0"/>
          <w:sz w:val="32"/>
          <w:szCs w:val="32"/>
          <w:highlight w:val="none"/>
          <w:shd w:val="clear" w:color="auto" w:fill="FFFFFF"/>
          <w:lang w:val="zh-CN" w:eastAsia="zh-CN"/>
        </w:rPr>
        <w:t>目标制定</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方面，</w:t>
      </w:r>
      <w:r>
        <w:rPr>
          <w:rFonts w:hint="eastAsia" w:ascii="仿宋_GB2312" w:hAnsi="仿宋_GB2312" w:eastAsia="仿宋_GB2312" w:cs="仿宋_GB2312"/>
          <w:color w:val="000000"/>
          <w:kern w:val="0"/>
          <w:sz w:val="32"/>
          <w:szCs w:val="32"/>
          <w:highlight w:val="none"/>
          <w:shd w:val="clear" w:color="auto" w:fill="FFFFFF"/>
          <w:lang w:val="zh-CN"/>
        </w:rPr>
        <w:t>绩效目标编制要素完整、</w:t>
      </w:r>
      <w:r>
        <w:rPr>
          <w:rFonts w:hint="eastAsia" w:ascii="仿宋_GB2312" w:hAnsi="仿宋_GB2312" w:eastAsia="仿宋_GB2312" w:cs="仿宋_GB2312"/>
          <w:color w:val="000000"/>
          <w:kern w:val="0"/>
          <w:sz w:val="32"/>
          <w:szCs w:val="32"/>
          <w:highlight w:val="none"/>
          <w:shd w:val="clear" w:color="auto" w:fill="FFFFFF"/>
          <w:lang w:val="en-US" w:eastAsia="zh-CN"/>
        </w:rPr>
        <w:t>绩效</w:t>
      </w:r>
      <w:r>
        <w:rPr>
          <w:rFonts w:hint="eastAsia" w:ascii="仿宋_GB2312" w:hAnsi="仿宋_GB2312" w:eastAsia="仿宋_GB2312" w:cs="仿宋_GB2312"/>
          <w:color w:val="000000"/>
          <w:kern w:val="0"/>
          <w:sz w:val="32"/>
          <w:szCs w:val="32"/>
          <w:highlight w:val="none"/>
          <w:shd w:val="clear" w:color="auto" w:fill="FFFFFF"/>
          <w:lang w:val="zh-CN"/>
        </w:rPr>
        <w:t>指标细化量化、部门绩效目标纳入</w:t>
      </w:r>
      <w:r>
        <w:rPr>
          <w:rFonts w:hint="eastAsia" w:ascii="仿宋_GB2312" w:hAnsi="仿宋_GB2312" w:eastAsia="仿宋_GB2312" w:cs="仿宋_GB2312"/>
          <w:color w:val="000000"/>
          <w:kern w:val="0"/>
          <w:sz w:val="32"/>
          <w:szCs w:val="32"/>
          <w:highlight w:val="none"/>
          <w:shd w:val="clear" w:color="auto" w:fill="FFFFFF"/>
          <w:lang w:val="en-US" w:eastAsia="zh-CN"/>
        </w:rPr>
        <w:t>乡</w:t>
      </w:r>
      <w:r>
        <w:rPr>
          <w:rFonts w:hint="eastAsia" w:ascii="仿宋_GB2312" w:hAnsi="仿宋_GB2312" w:eastAsia="仿宋_GB2312" w:cs="仿宋_GB2312"/>
          <w:color w:val="000000"/>
          <w:kern w:val="0"/>
          <w:sz w:val="32"/>
          <w:szCs w:val="32"/>
          <w:highlight w:val="none"/>
          <w:shd w:val="clear" w:color="auto" w:fill="FFFFFF"/>
          <w:lang w:val="zh-CN"/>
        </w:rPr>
        <w:t>党组（委）会（办公会）集体决策范围；</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目标实现</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方面，</w:t>
      </w:r>
      <w:r>
        <w:rPr>
          <w:rFonts w:hint="eastAsia" w:ascii="仿宋_GB2312" w:hAnsi="仿宋_GB2312" w:eastAsia="仿宋_GB2312" w:cs="仿宋_GB2312"/>
          <w:color w:val="000000"/>
          <w:kern w:val="0"/>
          <w:sz w:val="32"/>
          <w:szCs w:val="32"/>
          <w:highlight w:val="none"/>
          <w:shd w:val="clear" w:color="auto" w:fill="FFFFFF"/>
          <w:lang w:val="zh-CN"/>
        </w:rPr>
        <w:t>特定目标类项目</w:t>
      </w:r>
      <w:r>
        <w:rPr>
          <w:rFonts w:hint="eastAsia" w:ascii="仿宋_GB2312" w:hAnsi="仿宋_GB2312" w:eastAsia="仿宋_GB2312" w:cs="仿宋_GB2312"/>
          <w:color w:val="000000"/>
          <w:kern w:val="0"/>
          <w:sz w:val="32"/>
          <w:szCs w:val="32"/>
          <w:highlight w:val="none"/>
          <w:shd w:val="clear" w:color="auto" w:fill="FFFFFF"/>
          <w:lang w:val="en-US" w:eastAsia="zh-CN"/>
        </w:rPr>
        <w:t>绩效目标实际实现程度与预期目标的无偏离度；</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支出控制</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方面，严格审核项目支出，严把支出流程关卡</w:t>
      </w:r>
      <w:r>
        <w:rPr>
          <w:rFonts w:hint="eastAsia" w:ascii="仿宋_GB2312" w:hAnsi="仿宋_GB2312" w:eastAsia="仿宋_GB2312" w:cs="仿宋_GB2312"/>
          <w:color w:val="000000"/>
          <w:kern w:val="0"/>
          <w:sz w:val="32"/>
          <w:szCs w:val="32"/>
          <w:highlight w:val="none"/>
          <w:shd w:val="clear" w:color="auto" w:fill="FFFFFF"/>
          <w:lang w:val="zh-CN"/>
        </w:rPr>
        <w:t>；</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执行进度</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方面，</w:t>
      </w:r>
      <w:r>
        <w:rPr>
          <w:rFonts w:hint="eastAsia" w:ascii="仿宋_GB2312" w:hAnsi="仿宋_GB2312" w:eastAsia="仿宋_GB2312" w:cs="仿宋_GB2312"/>
          <w:color w:val="000000"/>
          <w:kern w:val="0"/>
          <w:sz w:val="32"/>
          <w:szCs w:val="32"/>
          <w:highlight w:val="none"/>
          <w:shd w:val="clear" w:color="auto" w:fill="FFFFFF"/>
          <w:lang w:val="zh-CN"/>
        </w:rPr>
        <w:t>预算执行进度在6、9、11月</w:t>
      </w:r>
      <w:r>
        <w:rPr>
          <w:rFonts w:hint="eastAsia" w:ascii="仿宋_GB2312" w:hAnsi="仿宋_GB2312" w:eastAsia="仿宋_GB2312" w:cs="仿宋_GB2312"/>
          <w:color w:val="000000"/>
          <w:kern w:val="0"/>
          <w:sz w:val="32"/>
          <w:szCs w:val="32"/>
          <w:highlight w:val="none"/>
          <w:shd w:val="clear" w:color="auto" w:fill="FFFFFF"/>
          <w:lang w:val="en-US" w:eastAsia="zh-CN"/>
        </w:rPr>
        <w:t>的</w:t>
      </w:r>
      <w:r>
        <w:rPr>
          <w:rFonts w:hint="eastAsia" w:ascii="仿宋_GB2312" w:hAnsi="仿宋_GB2312" w:eastAsia="仿宋_GB2312" w:cs="仿宋_GB2312"/>
          <w:color w:val="000000"/>
          <w:kern w:val="0"/>
          <w:sz w:val="32"/>
          <w:szCs w:val="32"/>
          <w:highlight w:val="none"/>
          <w:shd w:val="clear" w:color="auto" w:fill="FFFFFF"/>
          <w:lang w:val="zh-CN"/>
        </w:rPr>
        <w:t>实际支出进度</w:t>
      </w:r>
      <w:r>
        <w:rPr>
          <w:rFonts w:hint="eastAsia" w:ascii="仿宋_GB2312" w:hAnsi="仿宋_GB2312" w:eastAsia="仿宋_GB2312" w:cs="仿宋_GB2312"/>
          <w:color w:val="000000"/>
          <w:kern w:val="0"/>
          <w:sz w:val="32"/>
          <w:szCs w:val="32"/>
          <w:highlight w:val="none"/>
          <w:shd w:val="clear" w:color="auto" w:fill="FFFFFF"/>
          <w:lang w:val="en-US" w:eastAsia="zh-CN"/>
        </w:rPr>
        <w:t>未</w:t>
      </w:r>
      <w:r>
        <w:rPr>
          <w:rFonts w:hint="eastAsia" w:ascii="仿宋_GB2312" w:hAnsi="仿宋_GB2312" w:eastAsia="仿宋_GB2312" w:cs="仿宋_GB2312"/>
          <w:color w:val="000000"/>
          <w:kern w:val="0"/>
          <w:sz w:val="32"/>
          <w:szCs w:val="32"/>
          <w:highlight w:val="none"/>
          <w:shd w:val="clear" w:color="auto" w:fill="FFFFFF"/>
          <w:lang w:val="zh-CN"/>
        </w:rPr>
        <w:t>分别达到</w:t>
      </w:r>
      <w:r>
        <w:rPr>
          <w:rFonts w:hint="eastAsia" w:ascii="仿宋_GB2312" w:hAnsi="仿宋_GB2312" w:eastAsia="仿宋_GB2312" w:cs="仿宋_GB2312"/>
          <w:color w:val="000000"/>
          <w:kern w:val="0"/>
          <w:sz w:val="32"/>
          <w:szCs w:val="32"/>
          <w:highlight w:val="none"/>
          <w:shd w:val="clear" w:color="auto" w:fill="FFFFFF"/>
          <w:lang w:val="en-US" w:eastAsia="zh-CN"/>
        </w:rPr>
        <w:t>81.72</w:t>
      </w:r>
      <w:r>
        <w:rPr>
          <w:rFonts w:hint="eastAsia" w:ascii="仿宋_GB2312" w:hAnsi="仿宋_GB2312" w:eastAsia="仿宋_GB2312" w:cs="仿宋_GB2312"/>
          <w:color w:val="000000"/>
          <w:kern w:val="0"/>
          <w:sz w:val="32"/>
          <w:szCs w:val="32"/>
          <w:highlight w:val="none"/>
          <w:shd w:val="clear" w:color="auto" w:fill="FFFFFF"/>
          <w:lang w:val="zh-CN"/>
        </w:rPr>
        <w:t>%、</w:t>
      </w:r>
      <w:r>
        <w:rPr>
          <w:rFonts w:hint="eastAsia" w:ascii="仿宋_GB2312" w:hAnsi="仿宋_GB2312" w:eastAsia="仿宋_GB2312" w:cs="仿宋_GB2312"/>
          <w:color w:val="000000"/>
          <w:kern w:val="0"/>
          <w:sz w:val="32"/>
          <w:szCs w:val="32"/>
          <w:highlight w:val="none"/>
          <w:shd w:val="clear" w:color="auto" w:fill="FFFFFF"/>
          <w:lang w:val="en-US" w:eastAsia="zh-CN"/>
        </w:rPr>
        <w:t>84.22</w:t>
      </w:r>
      <w:r>
        <w:rPr>
          <w:rFonts w:hint="eastAsia" w:ascii="仿宋_GB2312" w:hAnsi="仿宋_GB2312" w:eastAsia="仿宋_GB2312" w:cs="仿宋_GB2312"/>
          <w:color w:val="000000"/>
          <w:kern w:val="0"/>
          <w:sz w:val="32"/>
          <w:szCs w:val="32"/>
          <w:highlight w:val="none"/>
          <w:shd w:val="clear" w:color="auto" w:fill="FFFFFF"/>
          <w:lang w:val="zh-CN"/>
        </w:rPr>
        <w:t>%、</w:t>
      </w:r>
      <w:r>
        <w:rPr>
          <w:rFonts w:hint="eastAsia" w:ascii="仿宋_GB2312" w:hAnsi="仿宋_GB2312" w:eastAsia="仿宋_GB2312" w:cs="仿宋_GB2312"/>
          <w:color w:val="000000"/>
          <w:kern w:val="0"/>
          <w:sz w:val="32"/>
          <w:szCs w:val="32"/>
          <w:highlight w:val="none"/>
          <w:shd w:val="clear" w:color="auto" w:fill="FFFFFF"/>
          <w:lang w:val="en-US" w:eastAsia="zh-CN"/>
        </w:rPr>
        <w:t>89.6</w:t>
      </w:r>
      <w:r>
        <w:rPr>
          <w:rFonts w:hint="eastAsia" w:ascii="仿宋_GB2312" w:hAnsi="仿宋_GB2312" w:eastAsia="仿宋_GB2312" w:cs="仿宋_GB2312"/>
          <w:color w:val="000000"/>
          <w:kern w:val="0"/>
          <w:sz w:val="32"/>
          <w:szCs w:val="32"/>
          <w:highlight w:val="none"/>
          <w:shd w:val="clear" w:color="auto" w:fill="FFFFFF"/>
          <w:lang w:val="zh-CN"/>
        </w:rPr>
        <w:t>%</w:t>
      </w:r>
      <w:r>
        <w:rPr>
          <w:rFonts w:hint="eastAsia" w:ascii="仿宋_GB2312" w:hAnsi="仿宋_GB2312" w:eastAsia="仿宋_GB2312" w:cs="仿宋_GB2312"/>
          <w:color w:val="000000"/>
          <w:kern w:val="0"/>
          <w:sz w:val="32"/>
          <w:szCs w:val="32"/>
          <w:highlight w:val="none"/>
          <w:shd w:val="clear" w:color="auto" w:fill="FFFFFF"/>
          <w:lang w:val="en-US" w:eastAsia="zh-CN"/>
        </w:rPr>
        <w:t>;</w:t>
      </w:r>
      <w:r>
        <w:rPr>
          <w:rFonts w:hint="eastAsia" w:ascii="仿宋_GB2312" w:hAnsi="仿宋_GB2312" w:eastAsia="仿宋_GB2312" w:cs="仿宋_GB2312"/>
          <w:color w:val="000000"/>
          <w:kern w:val="0"/>
          <w:sz w:val="32"/>
          <w:szCs w:val="32"/>
          <w:highlight w:val="none"/>
          <w:shd w:val="clear" w:color="auto" w:fill="FFFFFF"/>
          <w:lang w:val="zh-CN"/>
        </w:rPr>
        <w:t>预算完成</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方面</w:t>
      </w:r>
      <w:r>
        <w:rPr>
          <w:rFonts w:hint="eastAsia" w:ascii="仿宋_GB2312" w:hAnsi="仿宋_GB2312" w:eastAsia="仿宋_GB2312" w:cs="仿宋_GB2312"/>
          <w:color w:val="000000"/>
          <w:kern w:val="0"/>
          <w:sz w:val="32"/>
          <w:szCs w:val="32"/>
          <w:highlight w:val="none"/>
          <w:shd w:val="clear" w:color="auto" w:fill="FFFFFF"/>
          <w:lang w:val="zh-CN"/>
        </w:rPr>
        <w:t>，预算项目12月预算执行进度达到100%</w:t>
      </w:r>
      <w:r>
        <w:rPr>
          <w:rFonts w:hint="eastAsia" w:ascii="仿宋_GB2312" w:hAnsi="仿宋_GB2312" w:eastAsia="仿宋_GB2312" w:cs="仿宋_GB2312"/>
          <w:color w:val="000000"/>
          <w:kern w:val="0"/>
          <w:sz w:val="32"/>
          <w:szCs w:val="32"/>
          <w:highlight w:val="none"/>
          <w:shd w:val="clear" w:color="auto" w:fill="FFFFFF"/>
          <w:lang w:val="en-US" w:eastAsia="zh-CN"/>
        </w:rPr>
        <w:t>;</w:t>
      </w:r>
      <w:r>
        <w:rPr>
          <w:rFonts w:hint="eastAsia" w:ascii="仿宋_GB2312" w:hAnsi="仿宋_GB2312" w:eastAsia="仿宋_GB2312" w:cs="仿宋_GB2312"/>
          <w:color w:val="000000"/>
          <w:kern w:val="0"/>
          <w:sz w:val="32"/>
          <w:szCs w:val="32"/>
          <w:highlight w:val="none"/>
          <w:shd w:val="clear" w:color="auto" w:fill="FFFFFF"/>
          <w:lang w:val="zh-CN"/>
        </w:rPr>
        <w:t>结转结余控制</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方面</w:t>
      </w:r>
      <w:r>
        <w:rPr>
          <w:rFonts w:hint="eastAsia" w:ascii="仿宋_GB2312" w:hAnsi="仿宋_GB2312" w:eastAsia="仿宋_GB2312" w:cs="仿宋_GB2312"/>
          <w:color w:val="000000"/>
          <w:kern w:val="0"/>
          <w:sz w:val="32"/>
          <w:szCs w:val="32"/>
          <w:highlight w:val="none"/>
          <w:shd w:val="clear" w:color="auto" w:fill="FFFFFF"/>
          <w:lang w:val="zh-CN"/>
        </w:rPr>
        <w:t>，本年度结转结余总额与上年结转结余总额增减比例低</w:t>
      </w:r>
      <w:r>
        <w:rPr>
          <w:rFonts w:hint="eastAsia" w:ascii="仿宋_GB2312" w:hAnsi="仿宋_GB2312" w:eastAsia="仿宋_GB2312" w:cs="仿宋_GB2312"/>
          <w:color w:val="000000"/>
          <w:kern w:val="0"/>
          <w:sz w:val="32"/>
          <w:szCs w:val="32"/>
          <w:highlight w:val="none"/>
          <w:shd w:val="clear" w:color="auto" w:fill="FFFFFF"/>
          <w:lang w:val="en-US" w:eastAsia="zh-CN"/>
        </w:rPr>
        <w:t>于</w:t>
      </w:r>
      <w:r>
        <w:rPr>
          <w:rFonts w:hint="eastAsia" w:ascii="仿宋_GB2312" w:hAnsi="仿宋_GB2312" w:eastAsia="仿宋_GB2312" w:cs="仿宋_GB2312"/>
          <w:color w:val="000000"/>
          <w:kern w:val="0"/>
          <w:sz w:val="32"/>
          <w:szCs w:val="32"/>
          <w:highlight w:val="none"/>
          <w:shd w:val="clear" w:color="auto" w:fill="FFFFFF"/>
          <w:lang w:val="zh-CN"/>
        </w:rPr>
        <w:t>5%</w:t>
      </w:r>
      <w:r>
        <w:rPr>
          <w:rFonts w:hint="eastAsia" w:ascii="仿宋_GB2312" w:hAnsi="仿宋_GB2312" w:eastAsia="仿宋_GB2312" w:cs="仿宋_GB2312"/>
          <w:color w:val="000000"/>
          <w:kern w:val="0"/>
          <w:sz w:val="32"/>
          <w:szCs w:val="32"/>
          <w:highlight w:val="none"/>
          <w:shd w:val="clear" w:color="auto" w:fill="FFFFFF"/>
          <w:lang w:val="en-US" w:eastAsia="zh-CN"/>
        </w:rPr>
        <w:t>;</w:t>
      </w:r>
      <w:r>
        <w:rPr>
          <w:rFonts w:hint="eastAsia" w:ascii="仿宋_GB2312" w:hAnsi="仿宋_GB2312" w:eastAsia="仿宋_GB2312" w:cs="仿宋_GB2312"/>
          <w:color w:val="000000"/>
          <w:kern w:val="0"/>
          <w:sz w:val="32"/>
          <w:szCs w:val="32"/>
          <w:highlight w:val="none"/>
          <w:shd w:val="clear" w:color="auto" w:fill="FFFFFF"/>
          <w:lang w:val="zh-CN"/>
        </w:rPr>
        <w:t>违规记录</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方面</w:t>
      </w:r>
      <w:r>
        <w:rPr>
          <w:rFonts w:hint="eastAsia" w:ascii="仿宋_GB2312" w:hAnsi="仿宋_GB2312" w:eastAsia="仿宋_GB2312" w:cs="仿宋_GB2312"/>
          <w:color w:val="000000"/>
          <w:kern w:val="0"/>
          <w:sz w:val="32"/>
          <w:szCs w:val="32"/>
          <w:highlight w:val="none"/>
          <w:shd w:val="clear" w:color="auto" w:fill="FFFFFF"/>
          <w:lang w:val="zh-CN"/>
        </w:rPr>
        <w:t>，根据审计监督、财政检查结果反映部门上一年度部门预算管理合规。</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（二）部门整体履职绩效分析。</w:t>
      </w:r>
    </w:p>
    <w:p>
      <w:pPr>
        <w:keepNext w:val="0"/>
        <w:keepLines w:val="0"/>
        <w:pageBreakBefore w:val="0"/>
        <w:widowControl/>
        <w:kinsoku/>
        <w:wordWrap/>
        <w:overflowPunct/>
        <w:topLinePunct w:val="0"/>
        <w:autoSpaceDE/>
        <w:autoSpaceDN/>
        <w:bidi w:val="0"/>
        <w:adjustRightInd w:val="0"/>
        <w:snapToGrid w:val="0"/>
        <w:spacing w:line="579"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我乡</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整体绩效目标完成</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较好，</w:t>
      </w:r>
      <w:r>
        <w:rPr>
          <w:rFonts w:hint="eastAsia" w:ascii="仿宋_GB2312" w:hAnsi="仿宋_GB2312" w:eastAsia="仿宋_GB2312" w:cs="仿宋_GB2312"/>
          <w:b w:val="0"/>
          <w:bCs w:val="0"/>
          <w:sz w:val="32"/>
          <w:szCs w:val="32"/>
          <w:lang w:val="en-US" w:eastAsia="zh-CN"/>
        </w:rPr>
        <w:t>在部门预算绩效管理、综合管理、绩效指标结果应用等方面严格按照</w:t>
      </w:r>
      <w:r>
        <w:rPr>
          <w:rFonts w:hint="eastAsia" w:ascii="仿宋_GB2312" w:hAnsi="仿宋_GB2312" w:eastAsia="仿宋_GB2312" w:cs="仿宋_GB2312"/>
          <w:b w:val="0"/>
          <w:bCs w:val="0"/>
          <w:sz w:val="32"/>
          <w:szCs w:val="32"/>
        </w:rPr>
        <w:t>预算绩效管理</w:t>
      </w:r>
      <w:r>
        <w:rPr>
          <w:rFonts w:hint="eastAsia" w:ascii="仿宋_GB2312" w:hAnsi="仿宋_GB2312" w:eastAsia="仿宋_GB2312" w:cs="仿宋_GB2312"/>
          <w:b w:val="0"/>
          <w:bCs w:val="0"/>
          <w:sz w:val="32"/>
          <w:szCs w:val="32"/>
          <w:lang w:val="en-US" w:eastAsia="zh-CN"/>
        </w:rPr>
        <w:t>要求执行，我乡</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部门履职情况</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整体向好，</w:t>
      </w:r>
      <w:r>
        <w:rPr>
          <w:rFonts w:hint="eastAsia" w:ascii="仿宋_GB2312" w:hAnsi="仿宋_GB2312" w:eastAsia="仿宋_GB2312" w:cs="仿宋_GB2312"/>
          <w:b w:val="0"/>
          <w:bCs w:val="0"/>
          <w:sz w:val="32"/>
          <w:szCs w:val="32"/>
          <w:lang w:val="en-US" w:eastAsia="zh-CN"/>
        </w:rPr>
        <w:t>强化了预算支出责任，优化了支出结构，提高了财政资金使用效益。</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（三）结果应用情况。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zh-CN" w:eastAsia="zh-CN"/>
        </w:rPr>
        <w:t>内部应用：</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我乡已实行整体支出绩效目标管理。</w:t>
      </w:r>
    </w:p>
    <w:p>
      <w:pPr>
        <w:keepNext w:val="0"/>
        <w:keepLines w:val="0"/>
        <w:pageBreakBefore w:val="0"/>
        <w:widowControl/>
        <w:kinsoku/>
        <w:wordWrap/>
        <w:overflowPunct/>
        <w:topLinePunct w:val="0"/>
        <w:autoSpaceDE/>
        <w:autoSpaceDN/>
        <w:bidi w:val="0"/>
        <w:adjustRightInd w:val="0"/>
        <w:snapToGrid w:val="0"/>
        <w:spacing w:line="579" w:lineRule="exact"/>
        <w:ind w:firstLine="640" w:firstLineChars="200"/>
        <w:contextualSpacing/>
        <w:jc w:val="left"/>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kern w:val="0"/>
          <w:sz w:val="32"/>
          <w:szCs w:val="32"/>
          <w:highlight w:val="none"/>
          <w:shd w:val="clear" w:color="auto" w:fill="FFFFFF"/>
          <w:lang w:val="zh-CN"/>
        </w:rPr>
        <w:t>自评公开：</w:t>
      </w:r>
      <w:r>
        <w:rPr>
          <w:rFonts w:hint="eastAsia" w:ascii="仿宋_GB2312" w:hAnsi="仿宋_GB2312" w:eastAsia="仿宋_GB2312" w:cs="仿宋_GB2312"/>
          <w:b w:val="0"/>
          <w:bCs w:val="0"/>
          <w:sz w:val="32"/>
          <w:szCs w:val="32"/>
          <w:lang w:val="zh-CN" w:eastAsia="zh-CN"/>
        </w:rPr>
        <w:t>我乡</w:t>
      </w:r>
      <w:r>
        <w:rPr>
          <w:rFonts w:hint="eastAsia" w:ascii="仿宋_GB2312" w:hAnsi="仿宋_GB2312" w:eastAsia="仿宋_GB2312" w:cs="仿宋_GB2312"/>
          <w:color w:val="000000"/>
          <w:kern w:val="0"/>
          <w:sz w:val="32"/>
          <w:szCs w:val="32"/>
          <w:highlight w:val="none"/>
          <w:shd w:val="clear" w:color="auto" w:fill="FFFFFF"/>
          <w:lang w:val="en-US" w:eastAsia="zh-CN"/>
        </w:rPr>
        <w:t>已</w:t>
      </w:r>
      <w:r>
        <w:rPr>
          <w:rFonts w:hint="eastAsia" w:ascii="仿宋_GB2312" w:hAnsi="仿宋_GB2312" w:eastAsia="仿宋_GB2312" w:cs="仿宋_GB2312"/>
          <w:color w:val="000000"/>
          <w:sz w:val="32"/>
          <w:szCs w:val="32"/>
          <w:highlight w:val="none"/>
          <w:lang w:eastAsia="zh-CN"/>
        </w:rPr>
        <w:t>按要求将部门整体绩效自评情况和自行组织的评价情况向社会公开。</w:t>
      </w:r>
    </w:p>
    <w:p>
      <w:pPr>
        <w:keepNext w:val="0"/>
        <w:keepLines w:val="0"/>
        <w:pageBreakBefore w:val="0"/>
        <w:widowControl/>
        <w:kinsoku/>
        <w:wordWrap/>
        <w:overflowPunct/>
        <w:topLinePunct w:val="0"/>
        <w:autoSpaceDE/>
        <w:autoSpaceDN/>
        <w:bidi w:val="0"/>
        <w:adjustRightInd w:val="0"/>
        <w:snapToGrid w:val="0"/>
        <w:spacing w:line="579" w:lineRule="exact"/>
        <w:ind w:firstLine="640" w:firstLineChars="200"/>
        <w:contextualSpacing/>
        <w:jc w:val="left"/>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kern w:val="0"/>
          <w:sz w:val="32"/>
          <w:szCs w:val="32"/>
          <w:shd w:val="clear" w:color="auto" w:fill="FFFFFF"/>
          <w:lang w:val="zh-CN"/>
        </w:rPr>
        <w:t>问题整改：</w:t>
      </w:r>
      <w:r>
        <w:rPr>
          <w:rFonts w:hint="eastAsia" w:ascii="仿宋_GB2312" w:hAnsi="仿宋_GB2312" w:eastAsia="仿宋_GB2312" w:cs="仿宋_GB2312"/>
          <w:b w:val="0"/>
          <w:bCs w:val="0"/>
          <w:sz w:val="32"/>
          <w:szCs w:val="32"/>
          <w:lang w:val="zh-CN" w:eastAsia="zh-CN"/>
        </w:rPr>
        <w:t>我乡</w:t>
      </w:r>
      <w:r>
        <w:rPr>
          <w:rFonts w:hint="eastAsia" w:ascii="仿宋_GB2312" w:hAnsi="仿宋_GB2312" w:eastAsia="仿宋_GB2312" w:cs="仿宋_GB2312"/>
          <w:color w:val="000000"/>
          <w:kern w:val="0"/>
          <w:sz w:val="32"/>
          <w:szCs w:val="32"/>
          <w:highlight w:val="none"/>
          <w:shd w:val="clear" w:color="auto" w:fill="FFFFFF"/>
          <w:lang w:val="en-US" w:eastAsia="zh-CN"/>
        </w:rPr>
        <w:t>已</w:t>
      </w:r>
      <w:r>
        <w:rPr>
          <w:rFonts w:hint="eastAsia" w:ascii="仿宋_GB2312" w:hAnsi="仿宋_GB2312" w:eastAsia="仿宋_GB2312" w:cs="仿宋_GB2312"/>
          <w:color w:val="000000"/>
          <w:sz w:val="32"/>
          <w:szCs w:val="32"/>
          <w:lang w:val="en-US" w:eastAsia="zh-CN"/>
        </w:rPr>
        <w:t>针对绩效管理过程中（包括绩效目标核查、绩效监控核查和重点绩效评价）提出的问题进行整改，将绩效管理结果与预算安排进行挂钩</w:t>
      </w:r>
    </w:p>
    <w:p>
      <w:pPr>
        <w:widowControl/>
        <w:adjustRightInd w:val="0"/>
        <w:snapToGrid w:val="0"/>
        <w:spacing w:line="580" w:lineRule="exact"/>
        <w:ind w:firstLine="640" w:firstLineChars="200"/>
        <w:contextualSpacing/>
        <w:jc w:val="left"/>
        <w:rPr>
          <w:rFonts w:hint="eastAsia"/>
          <w:lang w:val="zh-CN" w:eastAsia="zh-CN"/>
        </w:rPr>
      </w:pPr>
      <w:r>
        <w:rPr>
          <w:rFonts w:hint="eastAsia" w:ascii="仿宋_GB2312" w:hAnsi="仿宋_GB2312" w:eastAsia="仿宋_GB2312" w:cs="仿宋_GB2312"/>
          <w:color w:val="000000"/>
          <w:kern w:val="0"/>
          <w:sz w:val="32"/>
          <w:szCs w:val="32"/>
          <w:highlight w:val="none"/>
          <w:shd w:val="clear" w:color="auto" w:fill="FFFFFF"/>
          <w:lang w:val="zh-CN"/>
        </w:rPr>
        <w:t>应用反馈：</w:t>
      </w:r>
      <w:r>
        <w:rPr>
          <w:rFonts w:hint="eastAsia" w:ascii="仿宋_GB2312" w:hAnsi="仿宋_GB2312" w:eastAsia="仿宋_GB2312" w:cs="仿宋_GB2312"/>
          <w:b w:val="0"/>
          <w:bCs w:val="0"/>
          <w:sz w:val="32"/>
          <w:szCs w:val="32"/>
          <w:lang w:val="zh-CN" w:eastAsia="zh-CN"/>
        </w:rPr>
        <w:t>我乡</w:t>
      </w:r>
      <w:r>
        <w:rPr>
          <w:rFonts w:hint="eastAsia" w:ascii="仿宋_GB2312" w:hAnsi="仿宋_GB2312" w:eastAsia="仿宋_GB2312" w:cs="仿宋_GB2312"/>
          <w:color w:val="000000"/>
          <w:kern w:val="0"/>
          <w:sz w:val="32"/>
          <w:szCs w:val="32"/>
          <w:highlight w:val="none"/>
          <w:shd w:val="clear" w:color="auto" w:fill="FFFFFF"/>
          <w:lang w:val="en-US" w:eastAsia="zh-CN"/>
        </w:rPr>
        <w:t>已</w:t>
      </w:r>
      <w:r>
        <w:rPr>
          <w:rFonts w:hint="eastAsia" w:ascii="仿宋_GB2312" w:hAnsi="仿宋_GB2312" w:eastAsia="仿宋_GB2312" w:cs="仿宋_GB2312"/>
          <w:color w:val="000000"/>
          <w:sz w:val="32"/>
          <w:szCs w:val="32"/>
          <w:lang w:val="en-US" w:eastAsia="zh-CN"/>
        </w:rPr>
        <w:t>在规定时间内向财政部门反馈应用绩效结果报告。</w:t>
      </w:r>
    </w:p>
    <w:p>
      <w:pPr>
        <w:keepNext w:val="0"/>
        <w:keepLines w:val="0"/>
        <w:pageBreakBefore w:val="0"/>
        <w:widowControl/>
        <w:numPr>
          <w:ilvl w:val="0"/>
          <w:numId w:val="10"/>
        </w:numP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自评质量。</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sz w:val="32"/>
          <w:szCs w:val="32"/>
          <w:lang w:val="en-US" w:eastAsia="zh-CN"/>
        </w:rPr>
        <w:t>我乡</w:t>
      </w:r>
      <w:r>
        <w:rPr>
          <w:rFonts w:hint="eastAsia" w:ascii="仿宋_GB2312" w:hAnsi="仿宋_GB2312" w:eastAsia="仿宋_GB2312" w:cs="仿宋_GB2312"/>
          <w:color w:val="000000"/>
          <w:sz w:val="32"/>
          <w:szCs w:val="32"/>
          <w:lang w:val="zh-CN" w:eastAsia="zh-CN"/>
        </w:rPr>
        <w:t>部门整体支出自评得分与评价组抽查得分差异在5%以内，</w:t>
      </w:r>
      <w:r>
        <w:rPr>
          <w:rFonts w:hint="eastAsia" w:ascii="仿宋_GB2312" w:hAnsi="仿宋_GB2312" w:eastAsia="仿宋_GB2312" w:cs="仿宋_GB2312"/>
          <w:color w:val="000000"/>
          <w:sz w:val="32"/>
          <w:szCs w:val="32"/>
          <w:lang w:val="en-US" w:eastAsia="zh-CN"/>
        </w:rPr>
        <w:t>已</w:t>
      </w:r>
      <w:r>
        <w:rPr>
          <w:rFonts w:hint="eastAsia" w:ascii="仿宋_GB2312" w:hAnsi="仿宋_GB2312" w:eastAsia="仿宋_GB2312" w:cs="仿宋_GB2312"/>
          <w:color w:val="000000"/>
          <w:sz w:val="32"/>
          <w:szCs w:val="32"/>
          <w:lang w:val="zh-CN" w:eastAsia="zh-CN"/>
        </w:rPr>
        <w:t>对所有专项预算项目进行逐一自评，财政重点绩效评价工作开展过程中，被评价对象</w:t>
      </w:r>
      <w:r>
        <w:rPr>
          <w:rFonts w:hint="eastAsia" w:ascii="仿宋_GB2312" w:hAnsi="仿宋_GB2312" w:eastAsia="仿宋_GB2312" w:cs="仿宋_GB2312"/>
          <w:color w:val="000000"/>
          <w:sz w:val="32"/>
          <w:szCs w:val="32"/>
          <w:lang w:val="en-US" w:eastAsia="zh-CN"/>
        </w:rPr>
        <w:t>积极</w:t>
      </w:r>
      <w:r>
        <w:rPr>
          <w:rFonts w:hint="eastAsia" w:ascii="仿宋_GB2312" w:hAnsi="仿宋_GB2312" w:eastAsia="仿宋_GB2312" w:cs="仿宋_GB2312"/>
          <w:color w:val="000000"/>
          <w:sz w:val="32"/>
          <w:szCs w:val="32"/>
          <w:lang w:val="zh-CN" w:eastAsia="zh-CN"/>
        </w:rPr>
        <w:t>配合评价工作。</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r>
        <w:rPr>
          <w:rFonts w:hint="eastAsia" w:ascii="黑体" w:hAnsi="宋体" w:eastAsia="黑体" w:cs="宋体"/>
          <w:color w:val="auto"/>
          <w:kern w:val="0"/>
          <w:sz w:val="32"/>
          <w:szCs w:val="32"/>
          <w:highlight w:val="none"/>
          <w:shd w:val="clear" w:color="auto" w:fill="FFFFFF"/>
        </w:rPr>
        <w:t>四、评价结论及建议</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（一）评价结论。</w:t>
      </w:r>
    </w:p>
    <w:p>
      <w:pPr>
        <w:keepNext w:val="0"/>
        <w:keepLines w:val="0"/>
        <w:pageBreakBefore w:val="0"/>
        <w:widowControl/>
        <w:kinsoku/>
        <w:wordWrap/>
        <w:overflowPunct/>
        <w:topLinePunct w:val="0"/>
        <w:autoSpaceDE/>
        <w:autoSpaceDN/>
        <w:bidi w:val="0"/>
        <w:adjustRightInd w:val="0"/>
        <w:snapToGrid w:val="0"/>
        <w:spacing w:line="579" w:lineRule="exact"/>
        <w:ind w:firstLine="640" w:firstLineChars="200"/>
        <w:contextualSpacing/>
        <w:jc w:val="left"/>
        <w:textAlignment w:val="auto"/>
        <w:rPr>
          <w:rFonts w:hint="eastAsia"/>
          <w:lang w:val="zh-CN"/>
        </w:rPr>
      </w:pPr>
      <w:r>
        <w:rPr>
          <w:rFonts w:hint="eastAsia" w:ascii="仿宋_GB2312" w:hAnsi="仿宋_GB2312" w:eastAsia="仿宋_GB2312" w:cs="仿宋_GB2312"/>
          <w:b w:val="0"/>
          <w:bCs w:val="0"/>
          <w:sz w:val="32"/>
          <w:szCs w:val="32"/>
          <w:lang w:val="en-US" w:eastAsia="zh-CN"/>
        </w:rPr>
        <w:t>我乡参照《2023年部门预算绩效评价指标体系》评分表进行评分，得分 97 分。我乡在部门预算绩效管理、综合管理、绩效指标结果应用等方面严格按照</w:t>
      </w:r>
      <w:r>
        <w:rPr>
          <w:rFonts w:hint="eastAsia" w:ascii="仿宋_GB2312" w:hAnsi="仿宋_GB2312" w:eastAsia="仿宋_GB2312" w:cs="仿宋_GB2312"/>
          <w:b w:val="0"/>
          <w:bCs w:val="0"/>
          <w:sz w:val="32"/>
          <w:szCs w:val="32"/>
        </w:rPr>
        <w:t>预算绩效管理</w:t>
      </w:r>
      <w:r>
        <w:rPr>
          <w:rFonts w:hint="eastAsia" w:ascii="仿宋_GB2312" w:hAnsi="仿宋_GB2312" w:eastAsia="仿宋_GB2312" w:cs="仿宋_GB2312"/>
          <w:b w:val="0"/>
          <w:bCs w:val="0"/>
          <w:sz w:val="32"/>
          <w:szCs w:val="32"/>
          <w:lang w:val="en-US" w:eastAsia="zh-CN"/>
        </w:rPr>
        <w:t>要求执行，强化预算支出责任，优化支出结构，提高财政资金使用效益</w:t>
      </w:r>
    </w:p>
    <w:p>
      <w:pPr>
        <w:keepNext w:val="0"/>
        <w:keepLines w:val="0"/>
        <w:pageBreakBefore w:val="0"/>
        <w:widowControl/>
        <w:numPr>
          <w:ilvl w:val="0"/>
          <w:numId w:val="11"/>
        </w:numP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存在问题。</w:t>
      </w:r>
    </w:p>
    <w:p>
      <w:pPr>
        <w:keepNext w:val="0"/>
        <w:keepLines w:val="0"/>
        <w:pageBreakBefore w:val="0"/>
        <w:widowControl/>
        <w:kinsoku/>
        <w:wordWrap/>
        <w:overflowPunct/>
        <w:topLinePunct w:val="0"/>
        <w:autoSpaceDE/>
        <w:autoSpaceDN/>
        <w:bidi w:val="0"/>
        <w:adjustRightInd w:val="0"/>
        <w:snapToGrid w:val="0"/>
        <w:spacing w:line="579" w:lineRule="exact"/>
        <w:ind w:firstLine="420" w:firstLineChars="200"/>
        <w:contextualSpacing/>
        <w:jc w:val="left"/>
        <w:textAlignment w:val="auto"/>
        <w:rPr>
          <w:rFonts w:hint="eastAsia" w:ascii="仿宋_GB2312" w:hAnsi="仿宋_GB2312" w:eastAsia="仿宋_GB2312" w:cs="仿宋_GB2312"/>
          <w:b w:val="0"/>
          <w:bCs w:val="0"/>
          <w:sz w:val="32"/>
          <w:szCs w:val="32"/>
          <w:lang w:val="en-US" w:eastAsia="zh-CN"/>
        </w:rPr>
      </w:pPr>
      <w:r>
        <w:rPr>
          <w:rFonts w:hint="eastAsia"/>
          <w:lang w:val="en-US" w:eastAsia="zh-CN"/>
        </w:rPr>
        <w:t xml:space="preserve">   </w:t>
      </w:r>
      <w:r>
        <w:rPr>
          <w:rFonts w:hint="eastAsia" w:ascii="仿宋_GB2312" w:hAnsi="仿宋_GB2312" w:eastAsia="仿宋_GB2312" w:cs="仿宋_GB2312"/>
          <w:b w:val="0"/>
          <w:bCs w:val="0"/>
          <w:sz w:val="32"/>
          <w:szCs w:val="32"/>
          <w:lang w:val="en-US" w:eastAsia="zh-CN"/>
        </w:rPr>
        <w:t xml:space="preserve">1、绩效目标实际实现程度与预期目标的存在一定的偏离度。部门预算执行进度在6、9、11月未达到序时进度的80%、90%、90%，即实际支出进度未分别达到40%、67.5%、82.5%。 </w:t>
      </w:r>
    </w:p>
    <w:p>
      <w:pPr>
        <w:pStyle w:val="2"/>
        <w:numPr>
          <w:ilvl w:val="0"/>
          <w:numId w:val="0"/>
        </w:numPr>
        <w:ind w:firstLine="640" w:firstLineChars="200"/>
        <w:rPr>
          <w:rFonts w:hint="default" w:eastAsia="仿宋_GB2312"/>
          <w:lang w:val="en-US" w:eastAsia="zh-CN"/>
        </w:rPr>
      </w:pPr>
      <w:r>
        <w:rPr>
          <w:rFonts w:hint="eastAsia" w:ascii="仿宋_GB2312" w:hAnsi="仿宋_GB2312" w:eastAsia="仿宋_GB2312" w:cs="仿宋_GB2312"/>
          <w:b w:val="0"/>
          <w:bCs w:val="0"/>
          <w:sz w:val="32"/>
          <w:szCs w:val="32"/>
          <w:lang w:val="en-US" w:eastAsia="zh-CN"/>
        </w:rPr>
        <w:t>2、单位绩效管理基础牢固性不足。在我乡全面实施绩效管理过程中，绩效基础业务方面仍存在不足，绩效主要工作仍由相关财务人员承担，具体实施人员开展深度不够。</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（三）改进建议。</w:t>
      </w:r>
    </w:p>
    <w:p>
      <w:pPr>
        <w:keepNext w:val="0"/>
        <w:keepLines w:val="0"/>
        <w:pageBreakBefore w:val="0"/>
        <w:widowControl/>
        <w:kinsoku/>
        <w:wordWrap/>
        <w:overflowPunct/>
        <w:topLinePunct w:val="0"/>
        <w:autoSpaceDE/>
        <w:autoSpaceDN/>
        <w:bidi w:val="0"/>
        <w:adjustRightInd w:val="0"/>
        <w:snapToGrid w:val="0"/>
        <w:spacing w:line="579" w:lineRule="exact"/>
        <w:ind w:firstLine="643" w:firstLineChars="200"/>
        <w:contextualSpacing/>
        <w:jc w:val="left"/>
        <w:textAlignment w:val="auto"/>
        <w:rPr>
          <w:rFonts w:hint="eastAsia" w:ascii="仿宋_GB2312" w:hAnsi="仿宋_GB2312" w:eastAsia="仿宋_GB2312" w:cs="仿宋_GB2312"/>
          <w:b w:val="0"/>
          <w:bCs w:val="0"/>
          <w:sz w:val="32"/>
          <w:szCs w:val="32"/>
          <w:lang w:val="zh-CN" w:eastAsia="zh-CN"/>
        </w:rPr>
      </w:pPr>
      <w:r>
        <w:rPr>
          <w:rFonts w:hint="eastAsia" w:ascii="楷体_GB2312" w:hAnsi="楷体_GB2312" w:eastAsia="楷体_GB2312" w:cs="楷体_GB2312"/>
          <w:b/>
          <w:bCs/>
          <w:color w:val="auto"/>
          <w:kern w:val="0"/>
          <w:sz w:val="32"/>
          <w:szCs w:val="32"/>
          <w:highlight w:val="none"/>
          <w:shd w:val="clear" w:color="auto" w:fill="FFFFFF"/>
          <w:lang w:val="en-US" w:eastAsia="zh-CN"/>
        </w:rPr>
        <w:t xml:space="preserve">  </w:t>
      </w:r>
      <w:r>
        <w:rPr>
          <w:rFonts w:hint="eastAsia" w:ascii="仿宋_GB2312" w:hAnsi="仿宋_GB2312" w:eastAsia="仿宋_GB2312" w:cs="仿宋_GB2312"/>
          <w:b w:val="0"/>
          <w:bCs w:val="0"/>
          <w:sz w:val="32"/>
          <w:szCs w:val="32"/>
          <w:lang w:val="zh-CN" w:eastAsia="zh-CN"/>
        </w:rPr>
        <w:t>1、夯实绩效管理基础业务。</w:t>
      </w:r>
      <w:r>
        <w:rPr>
          <w:rFonts w:hint="eastAsia" w:ascii="仿宋_GB2312" w:hAnsi="仿宋_GB2312" w:eastAsia="仿宋_GB2312" w:cs="仿宋_GB2312"/>
          <w:b w:val="0"/>
          <w:bCs w:val="0"/>
          <w:sz w:val="32"/>
          <w:szCs w:val="32"/>
          <w:lang w:val="en-US" w:eastAsia="zh-CN"/>
        </w:rPr>
        <w:t>一是</w:t>
      </w:r>
      <w:r>
        <w:rPr>
          <w:rFonts w:hint="eastAsia" w:ascii="仿宋_GB2312" w:hAnsi="仿宋_GB2312" w:eastAsia="仿宋_GB2312" w:cs="仿宋_GB2312"/>
          <w:b w:val="0"/>
          <w:bCs w:val="0"/>
          <w:sz w:val="32"/>
          <w:szCs w:val="32"/>
          <w:lang w:val="zh-CN" w:eastAsia="zh-CN"/>
        </w:rPr>
        <w:t>优化绩效目标设置，强化绩效目标合理性，通过设置更为高质量、高精准的绩效指标，有效引导单位在绩效</w:t>
      </w:r>
      <w:r>
        <w:rPr>
          <w:rFonts w:hint="eastAsia" w:ascii="仿宋_GB2312" w:hAnsi="仿宋_GB2312" w:eastAsia="仿宋_GB2312" w:cs="仿宋_GB2312"/>
          <w:b w:val="0"/>
          <w:bCs w:val="0"/>
          <w:sz w:val="32"/>
          <w:szCs w:val="32"/>
          <w:lang w:val="en-US" w:eastAsia="zh-CN"/>
        </w:rPr>
        <w:t>管理</w:t>
      </w:r>
      <w:r>
        <w:rPr>
          <w:rFonts w:hint="eastAsia" w:ascii="仿宋_GB2312" w:hAnsi="仿宋_GB2312" w:eastAsia="仿宋_GB2312" w:cs="仿宋_GB2312"/>
          <w:b w:val="0"/>
          <w:bCs w:val="0"/>
          <w:sz w:val="32"/>
          <w:szCs w:val="32"/>
          <w:lang w:val="zh-CN" w:eastAsia="zh-CN"/>
        </w:rPr>
        <w:t>全过程中的贯通，保障绩效监控和绩效自评的有序开展；</w:t>
      </w:r>
      <w:r>
        <w:rPr>
          <w:rFonts w:hint="eastAsia" w:ascii="仿宋_GB2312" w:hAnsi="仿宋_GB2312" w:eastAsia="仿宋_GB2312" w:cs="仿宋_GB2312"/>
          <w:b w:val="0"/>
          <w:bCs w:val="0"/>
          <w:sz w:val="32"/>
          <w:szCs w:val="32"/>
          <w:lang w:val="en-US" w:eastAsia="zh-CN"/>
        </w:rPr>
        <w:t>二是</w:t>
      </w:r>
      <w:r>
        <w:rPr>
          <w:rFonts w:hint="eastAsia" w:ascii="仿宋_GB2312" w:hAnsi="仿宋_GB2312" w:eastAsia="仿宋_GB2312" w:cs="仿宋_GB2312"/>
          <w:b w:val="0"/>
          <w:bCs w:val="0"/>
          <w:sz w:val="32"/>
          <w:szCs w:val="32"/>
          <w:lang w:val="zh-CN" w:eastAsia="zh-CN"/>
        </w:rPr>
        <w:t>强化人员绩效意识，将绩效管理意识深入到各</w:t>
      </w:r>
      <w:r>
        <w:rPr>
          <w:rFonts w:hint="eastAsia" w:ascii="仿宋_GB2312" w:hAnsi="仿宋_GB2312" w:eastAsia="仿宋_GB2312" w:cs="仿宋_GB2312"/>
          <w:b w:val="0"/>
          <w:bCs w:val="0"/>
          <w:sz w:val="32"/>
          <w:szCs w:val="32"/>
          <w:lang w:val="en-US" w:eastAsia="zh-CN"/>
        </w:rPr>
        <w:t>部门</w:t>
      </w:r>
      <w:r>
        <w:rPr>
          <w:rFonts w:hint="eastAsia" w:ascii="仿宋_GB2312" w:hAnsi="仿宋_GB2312" w:eastAsia="仿宋_GB2312" w:cs="仿宋_GB2312"/>
          <w:b w:val="0"/>
          <w:bCs w:val="0"/>
          <w:sz w:val="32"/>
          <w:szCs w:val="32"/>
          <w:lang w:val="zh-CN" w:eastAsia="zh-CN"/>
        </w:rPr>
        <w:t>，后续通过绩效业务培训，在提升基层人员绩效业务技能的同时宣贯绩效理念，使绩效管理水平从根本上得到提升；</w:t>
      </w:r>
      <w:r>
        <w:rPr>
          <w:rFonts w:hint="eastAsia" w:ascii="仿宋_GB2312" w:hAnsi="仿宋_GB2312" w:eastAsia="仿宋_GB2312" w:cs="仿宋_GB2312"/>
          <w:b w:val="0"/>
          <w:bCs w:val="0"/>
          <w:sz w:val="32"/>
          <w:szCs w:val="32"/>
          <w:lang w:val="en-US" w:eastAsia="zh-CN"/>
        </w:rPr>
        <w:t>三是</w:t>
      </w:r>
      <w:r>
        <w:rPr>
          <w:rFonts w:hint="eastAsia" w:ascii="仿宋_GB2312" w:hAnsi="仿宋_GB2312" w:eastAsia="仿宋_GB2312" w:cs="仿宋_GB2312"/>
          <w:b w:val="0"/>
          <w:bCs w:val="0"/>
          <w:sz w:val="32"/>
          <w:szCs w:val="32"/>
          <w:lang w:val="zh-CN" w:eastAsia="zh-CN"/>
        </w:rPr>
        <w:t>深化绩效管理应用，做到绩效评价结果有反馈、反馈问题有整改、整改情况有落实。</w:t>
      </w:r>
    </w:p>
    <w:p>
      <w:pPr>
        <w:keepNext w:val="0"/>
        <w:keepLines w:val="0"/>
        <w:pageBreakBefore w:val="0"/>
        <w:widowControl/>
        <w:kinsoku/>
        <w:wordWrap/>
        <w:overflowPunct/>
        <w:topLinePunct w:val="0"/>
        <w:autoSpaceDE/>
        <w:autoSpaceDN/>
        <w:bidi w:val="0"/>
        <w:adjustRightInd w:val="0"/>
        <w:snapToGrid w:val="0"/>
        <w:spacing w:line="579" w:lineRule="exact"/>
        <w:ind w:firstLine="640" w:firstLineChars="200"/>
        <w:contextualSpacing/>
        <w:jc w:val="left"/>
        <w:textAlignment w:val="auto"/>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val="0"/>
          <w:bCs w:val="0"/>
          <w:sz w:val="32"/>
          <w:szCs w:val="32"/>
          <w:lang w:val="zh-CN" w:eastAsia="zh-CN"/>
        </w:rPr>
        <w:t>2、加强执行进度监管督促。</w:t>
      </w:r>
      <w:r>
        <w:rPr>
          <w:rFonts w:hint="eastAsia" w:ascii="仿宋_GB2312" w:hAnsi="仿宋_GB2312" w:eastAsia="仿宋_GB2312" w:cs="仿宋_GB2312"/>
          <w:b w:val="0"/>
          <w:bCs w:val="0"/>
          <w:sz w:val="32"/>
          <w:szCs w:val="32"/>
          <w:lang w:val="en-US" w:eastAsia="zh-CN"/>
        </w:rPr>
        <w:t>一是</w:t>
      </w:r>
      <w:r>
        <w:rPr>
          <w:rFonts w:hint="eastAsia" w:ascii="仿宋_GB2312" w:hAnsi="仿宋_GB2312" w:eastAsia="仿宋_GB2312" w:cs="仿宋_GB2312"/>
          <w:b w:val="0"/>
          <w:bCs w:val="0"/>
          <w:sz w:val="32"/>
          <w:szCs w:val="32"/>
          <w:lang w:val="zh-CN" w:eastAsia="zh-CN"/>
        </w:rPr>
        <w:t>强化事前评估工作，在项目开展前即完善相关项目支出计划，从事前落实项目执行情况；</w:t>
      </w:r>
      <w:r>
        <w:rPr>
          <w:rFonts w:hint="eastAsia" w:ascii="仿宋_GB2312" w:hAnsi="仿宋_GB2312" w:eastAsia="仿宋_GB2312" w:cs="仿宋_GB2312"/>
          <w:b w:val="0"/>
          <w:bCs w:val="0"/>
          <w:sz w:val="32"/>
          <w:szCs w:val="32"/>
          <w:lang w:val="en-US" w:eastAsia="zh-CN"/>
        </w:rPr>
        <w:t>二是</w:t>
      </w:r>
      <w:r>
        <w:rPr>
          <w:rFonts w:hint="eastAsia" w:ascii="仿宋_GB2312" w:hAnsi="仿宋_GB2312" w:eastAsia="仿宋_GB2312" w:cs="仿宋_GB2312"/>
          <w:b w:val="0"/>
          <w:bCs w:val="0"/>
          <w:sz w:val="32"/>
          <w:szCs w:val="32"/>
          <w:lang w:val="zh-CN" w:eastAsia="zh-CN"/>
        </w:rPr>
        <w:t>强化统筹和重点监管相结合，既要从全局出发，重视项目预算总体支出效率，又要从微观角度，切实抓好各个项目进度监管工作；</w:t>
      </w:r>
      <w:r>
        <w:rPr>
          <w:rFonts w:hint="eastAsia" w:ascii="仿宋_GB2312" w:hAnsi="仿宋_GB2312" w:eastAsia="仿宋_GB2312" w:cs="仿宋_GB2312"/>
          <w:b w:val="0"/>
          <w:bCs w:val="0"/>
          <w:sz w:val="32"/>
          <w:szCs w:val="32"/>
          <w:lang w:val="en-US" w:eastAsia="zh-CN"/>
        </w:rPr>
        <w:t>三是</w:t>
      </w:r>
      <w:r>
        <w:rPr>
          <w:rFonts w:hint="eastAsia" w:ascii="仿宋_GB2312" w:hAnsi="仿宋_GB2312" w:eastAsia="仿宋_GB2312" w:cs="仿宋_GB2312"/>
          <w:b w:val="0"/>
          <w:bCs w:val="0"/>
          <w:sz w:val="32"/>
          <w:szCs w:val="32"/>
          <w:lang w:val="zh-CN" w:eastAsia="zh-CN"/>
        </w:rPr>
        <w:t>强化绩效运行监控，根据监控预警情况及时排查分析监控问题和诱发原因，对存在影响支出进度的重大问题或者绩标难以完成的情况，要及时采取措施进行调整改进，通过对项目支出绩效双监控，有效提升项目预算执行率。</w:t>
      </w:r>
    </w:p>
    <w:p>
      <w:pPr>
        <w:pStyle w:val="2"/>
        <w:rPr>
          <w:rFonts w:hint="eastAsia" w:ascii="仿宋_GB2312" w:hAnsi="仿宋_GB2312" w:eastAsia="仿宋_GB2312" w:cs="仿宋_GB2312"/>
          <w:b w:val="0"/>
          <w:bCs w:val="0"/>
          <w:sz w:val="32"/>
          <w:szCs w:val="32"/>
          <w:lang w:val="zh-CN" w:eastAsia="zh-CN"/>
        </w:rPr>
      </w:pPr>
    </w:p>
    <w:p>
      <w:pPr>
        <w:pStyle w:val="2"/>
        <w:rPr>
          <w:rFonts w:hint="eastAsia" w:ascii="仿宋_GB2312" w:hAnsi="仿宋_GB2312" w:eastAsia="仿宋_GB2312" w:cs="仿宋_GB2312"/>
          <w:b w:val="0"/>
          <w:bCs w:val="0"/>
          <w:sz w:val="32"/>
          <w:szCs w:val="32"/>
          <w:lang w:val="zh-CN" w:eastAsia="zh-CN"/>
        </w:rPr>
      </w:pPr>
    </w:p>
    <w:p>
      <w:pPr>
        <w:pStyle w:val="2"/>
        <w:rPr>
          <w:rFonts w:hint="eastAsia" w:ascii="仿宋_GB2312" w:hAnsi="仿宋_GB2312" w:eastAsia="仿宋_GB2312" w:cs="仿宋_GB2312"/>
          <w:b w:val="0"/>
          <w:bCs w:val="0"/>
          <w:sz w:val="32"/>
          <w:szCs w:val="32"/>
          <w:lang w:val="zh-CN" w:eastAsia="zh-CN"/>
        </w:rPr>
      </w:pPr>
    </w:p>
    <w:p>
      <w:pPr>
        <w:pStyle w:val="1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zh-CN" w:eastAsia="zh-CN"/>
        </w:rPr>
      </w:pPr>
    </w:p>
    <w:p>
      <w:pPr>
        <w:pStyle w:val="1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zh-CN" w:eastAsia="zh-CN"/>
        </w:rPr>
      </w:pPr>
    </w:p>
    <w:p>
      <w:pPr>
        <w:pStyle w:val="1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附表：</w:t>
      </w:r>
      <w:r>
        <w:rPr>
          <w:rFonts w:hint="eastAsia" w:ascii="仿宋_GB2312" w:hAnsi="仿宋_GB2312" w:eastAsia="仿宋_GB2312" w:cs="仿宋_GB2312"/>
          <w:color w:val="auto"/>
          <w:sz w:val="32"/>
          <w:szCs w:val="32"/>
          <w:highlight w:val="none"/>
          <w:lang w:val="en-US" w:eastAsia="zh-CN"/>
        </w:rPr>
        <w:t>部门预算项目支出绩效自评表（2022年度）</w:t>
      </w:r>
    </w:p>
    <w:tbl>
      <w:tblPr>
        <w:tblStyle w:val="14"/>
        <w:tblpPr w:leftFromText="180" w:rightFromText="180" w:vertAnchor="text" w:horzAnchor="page" w:tblpX="344" w:tblpY="652"/>
        <w:tblOverlap w:val="never"/>
        <w:tblW w:w="112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1"/>
        <w:gridCol w:w="1068"/>
        <w:gridCol w:w="1070"/>
        <w:gridCol w:w="1206"/>
        <w:gridCol w:w="1064"/>
        <w:gridCol w:w="1066"/>
        <w:gridCol w:w="1064"/>
        <w:gridCol w:w="1074"/>
        <w:gridCol w:w="1068"/>
        <w:gridCol w:w="1068"/>
        <w:gridCol w:w="6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26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0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935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51000021Y000000011490-定额公用经费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0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35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51000021Y000000011490-日常公用经费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9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4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宣汉县三墩土家族乡人民政府本级</w:t>
            </w:r>
          </w:p>
        </w:tc>
        <w:tc>
          <w:tcPr>
            <w:tcW w:w="1074"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8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宣汉县三墩土家族乡人民政府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4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8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4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于2022年，计划投入62.29万元，用于日常公用经费支出，保障政府日常运转。</w:t>
            </w:r>
          </w:p>
        </w:tc>
        <w:tc>
          <w:tcPr>
            <w:tcW w:w="38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保障了单位日常运转，严格执行预算，预算完成率100%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935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按时申报并执行日常公用经费支出，保障政府日常运转。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1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62.40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62.29</w:t>
            </w:r>
          </w:p>
        </w:tc>
        <w:tc>
          <w:tcPr>
            <w:tcW w:w="31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62.29</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62.40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62.29</w:t>
            </w:r>
          </w:p>
        </w:tc>
        <w:tc>
          <w:tcPr>
            <w:tcW w:w="31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62.29</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1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预算编制准确率（计算方法为：∣（执行数-预算数）/预算数∣）</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45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042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项目自评得分100分，严格执行预算，保障单位日常运转。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042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总体执行完成率较好，具体到月度执行还有一定的偏离度。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042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加强执行进度监管督促，有效促进项目预算执行率。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01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4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0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6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6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6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7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7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26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935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51172222T000004926726-基层组织活动和公共服务运行经费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9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4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宣汉县三墩土家族乡人民政府本级</w:t>
            </w:r>
          </w:p>
        </w:tc>
        <w:tc>
          <w:tcPr>
            <w:tcW w:w="1074"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8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宣汉县三墩土家族乡人民政府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4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8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4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应于2022年用53万来开展基层组织活动和公共服务运行活动。</w:t>
            </w:r>
          </w:p>
        </w:tc>
        <w:tc>
          <w:tcPr>
            <w:tcW w:w="38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按时开展了基层组织活动和保障了公共运行服务，完成了基层党建活动任务，提升了服务群众水平。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935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按时申报并执行基层组织活动和公共服务运行经费支出，保障基层组织活动开展和公共运行服务。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1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53.00</w:t>
            </w:r>
          </w:p>
        </w:tc>
        <w:tc>
          <w:tcPr>
            <w:tcW w:w="31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53.00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53.00</w:t>
            </w:r>
          </w:p>
        </w:tc>
        <w:tc>
          <w:tcPr>
            <w:tcW w:w="31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53.00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1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慰问困难党员人数</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维修整治基层道路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公里</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开展基层党建工作次数</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维修整治村级道路合格率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基层党建活动及时性</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慰问困难党员物资发放标准</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300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基层党建工作管理机制健全性</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好坏</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健全</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服务基层群众人数</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500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45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042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项目自评得分99分，严格执行预算，按时开展了基层组织活动和保障了公共运行服务，完成了基层党建活动任务，提升了服务群众水平。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042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存在满意度问题，活动开展力度不够，公共运行服务建设还需健全。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042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进一步强化基层单位领导责任，加强基层党建活动开展力度，完善基层基础设施建设，满足群众出行及日常生活需求，提升群众满意度。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01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rPr>
          <w:rFonts w:hint="eastAsia" w:hAnsi="宋体" w:cs="宋体"/>
          <w:color w:val="auto"/>
          <w:kern w:val="0"/>
          <w:sz w:val="32"/>
          <w:szCs w:val="32"/>
          <w:highlight w:val="none"/>
          <w:shd w:val="clear" w:color="auto" w:fill="FFFFFF"/>
          <w:lang w:val="zh-CN"/>
        </w:rPr>
      </w:pPr>
      <w:r>
        <w:rPr>
          <w:rFonts w:hint="eastAsia" w:hAnsi="宋体" w:cs="宋体"/>
          <w:color w:val="auto"/>
          <w:kern w:val="0"/>
          <w:sz w:val="32"/>
          <w:szCs w:val="32"/>
          <w:highlight w:val="none"/>
          <w:shd w:val="clear" w:color="auto" w:fill="FFFFFF"/>
          <w:lang w:val="zh-CN"/>
        </w:rPr>
        <w:br w:type="page"/>
      </w:r>
    </w:p>
    <w:p>
      <w:pPr>
        <w:pStyle w:val="2"/>
        <w:rPr>
          <w:rFonts w:hint="eastAsia" w:eastAsia="仿宋_GB2312"/>
          <w:color w:val="auto"/>
          <w:sz w:val="32"/>
          <w:szCs w:val="32"/>
          <w:highlight w:val="none"/>
          <w:lang w:val="en-US" w:eastAsia="zh-CN"/>
        </w:rPr>
      </w:pPr>
      <w:r>
        <w:rPr>
          <w:rFonts w:hint="eastAsia" w:hAnsi="宋体" w:cs="宋体"/>
          <w:color w:val="auto"/>
          <w:kern w:val="0"/>
          <w:sz w:val="32"/>
          <w:szCs w:val="32"/>
          <w:highlight w:val="none"/>
          <w:shd w:val="clear" w:color="auto" w:fill="FFFFFF"/>
          <w:lang w:val="zh-CN"/>
        </w:rPr>
        <w:t>附件</w:t>
      </w:r>
      <w:r>
        <w:rPr>
          <w:rFonts w:hint="eastAsia" w:hAnsi="宋体" w:cs="宋体"/>
          <w:color w:val="auto"/>
          <w:kern w:val="0"/>
          <w:sz w:val="32"/>
          <w:szCs w:val="32"/>
          <w:highlight w:val="none"/>
          <w:shd w:val="clear" w:color="auto" w:fill="FFFFFF"/>
          <w:lang w:val="en-US" w:eastAsia="zh-CN"/>
        </w:rPr>
        <w:t>2</w:t>
      </w:r>
    </w:p>
    <w:p>
      <w:pPr>
        <w:pStyle w:val="33"/>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color w:val="auto"/>
          <w:kern w:val="2"/>
          <w:sz w:val="32"/>
          <w:szCs w:val="32"/>
          <w:highlight w:val="none"/>
          <w:lang w:val="en-US" w:eastAsia="zh-CN"/>
        </w:rPr>
      </w:pPr>
      <w:r>
        <w:rPr>
          <w:rFonts w:hint="eastAsia" w:ascii="方正小标宋简体" w:hAnsi="方正小标宋简体" w:eastAsia="方正小标宋简体" w:cs="方正小标宋简体"/>
          <w:color w:val="auto"/>
          <w:kern w:val="2"/>
          <w:sz w:val="32"/>
          <w:szCs w:val="32"/>
          <w:highlight w:val="none"/>
          <w:lang w:val="en-US" w:eastAsia="zh-CN"/>
        </w:rPr>
        <w:t>2023年专项资金预算项目绩效自评报告范本</w:t>
      </w:r>
    </w:p>
    <w:p>
      <w:pPr>
        <w:pStyle w:val="33"/>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color w:val="auto"/>
          <w:kern w:val="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lang w:val="zh-CN"/>
        </w:rPr>
      </w:pPr>
      <w:r>
        <w:rPr>
          <w:rFonts w:hint="eastAsia" w:ascii="黑体" w:hAnsi="宋体" w:eastAsia="黑体"/>
          <w:color w:val="auto"/>
          <w:sz w:val="32"/>
          <w:szCs w:val="32"/>
          <w:highlight w:val="none"/>
        </w:rPr>
        <w:t>一、</w:t>
      </w:r>
      <w:r>
        <w:rPr>
          <w:rFonts w:hint="eastAsia" w:ascii="黑体" w:hAnsi="宋体" w:eastAsia="黑体"/>
          <w:color w:val="auto"/>
          <w:sz w:val="32"/>
          <w:szCs w:val="32"/>
          <w:highlight w:val="none"/>
          <w:lang w:val="zh-CN"/>
        </w:rPr>
        <w:t>项目概况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（一）项目基本情况。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1．</w:t>
      </w:r>
      <w:r>
        <w:rPr>
          <w:rFonts w:hint="eastAsia" w:ascii="仿宋_GB2312" w:hAnsi="仿宋_GB2312" w:eastAsia="仿宋_GB2312" w:cs="仿宋_GB2312"/>
          <w:color w:val="auto"/>
          <w:kern w:val="0"/>
          <w:sz w:val="32"/>
          <w:szCs w:val="32"/>
          <w:highlight w:val="none"/>
          <w:u w:val="none"/>
          <w:shd w:val="clear" w:color="auto" w:fill="FFFFFF"/>
          <w:lang w:val="en-US" w:eastAsia="zh-CN"/>
        </w:rPr>
        <w:t>项目主管部门在</w:t>
      </w:r>
      <w:r>
        <w:rPr>
          <w:rFonts w:hint="eastAsia" w:ascii="仿宋_GB2312" w:hAnsi="仿宋_GB2312" w:eastAsia="仿宋_GB2312" w:cs="仿宋_GB2312"/>
          <w:color w:val="auto"/>
          <w:kern w:val="0"/>
          <w:sz w:val="32"/>
          <w:szCs w:val="32"/>
          <w:highlight w:val="none"/>
          <w:u w:val="none"/>
          <w:shd w:val="clear" w:color="auto" w:fill="FFFFFF"/>
          <w:lang w:val="zh-CN"/>
        </w:rPr>
        <w:t>项目实施过程中的职能职责</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项目主管部门在</w:t>
      </w:r>
      <w:r>
        <w:rPr>
          <w:rFonts w:hint="eastAsia" w:ascii="仿宋_GB2312" w:hAnsi="仿宋_GB2312" w:eastAsia="仿宋_GB2312" w:cs="仿宋_GB2312"/>
          <w:color w:val="auto"/>
          <w:kern w:val="0"/>
          <w:sz w:val="32"/>
          <w:szCs w:val="32"/>
          <w:highlight w:val="none"/>
          <w:u w:val="none"/>
          <w:shd w:val="clear" w:color="auto" w:fill="FFFFFF"/>
          <w:lang w:val="zh-CN"/>
        </w:rPr>
        <w:t>项目实施的过程中</w:t>
      </w:r>
      <w:r>
        <w:rPr>
          <w:rFonts w:hint="eastAsia" w:ascii="仿宋_GB2312" w:hAnsi="仿宋_GB2312" w:eastAsia="仿宋_GB2312" w:cs="仿宋_GB2312"/>
          <w:color w:val="auto"/>
          <w:kern w:val="0"/>
          <w:sz w:val="32"/>
          <w:szCs w:val="32"/>
          <w:highlight w:val="none"/>
          <w:u w:val="none"/>
          <w:shd w:val="clear" w:color="auto" w:fill="FFFFFF"/>
          <w:lang w:val="en-US" w:eastAsia="zh-CN"/>
        </w:rPr>
        <w:t>负</w:t>
      </w:r>
      <w:r>
        <w:rPr>
          <w:rFonts w:hint="eastAsia" w:ascii="仿宋_GB2312" w:hAnsi="仿宋_GB2312" w:eastAsia="仿宋_GB2312" w:cs="仿宋_GB2312"/>
          <w:color w:val="auto"/>
          <w:kern w:val="0"/>
          <w:sz w:val="32"/>
          <w:szCs w:val="32"/>
          <w:highlight w:val="none"/>
          <w:u w:val="none"/>
          <w:shd w:val="clear" w:color="auto" w:fill="FFFFFF"/>
          <w:lang w:val="zh-CN"/>
        </w:rPr>
        <w:t>有审批、发放、监管的职能职责。</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2．项目立项、资金申报的依据</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根据宣财预资金【2022】23号《宣汉县财政局关于下达2022年革命老区转移支付补助资金的通知》</w:t>
      </w:r>
      <w:r>
        <w:rPr>
          <w:rFonts w:hint="eastAsia" w:ascii="仿宋_GB2312" w:hAnsi="仿宋_GB2312" w:eastAsia="仿宋_GB2312" w:cs="仿宋_GB2312"/>
          <w:color w:val="auto"/>
          <w:kern w:val="0"/>
          <w:sz w:val="32"/>
          <w:szCs w:val="32"/>
          <w:highlight w:val="none"/>
          <w:u w:val="none"/>
          <w:shd w:val="clear" w:color="auto" w:fill="FFFFFF"/>
          <w:lang w:val="zh-CN"/>
        </w:rPr>
        <w:t>，</w:t>
      </w:r>
      <w:r>
        <w:rPr>
          <w:rFonts w:hint="eastAsia" w:ascii="仿宋_GB2312" w:hAnsi="仿宋_GB2312" w:eastAsia="仿宋_GB2312" w:cs="仿宋_GB2312"/>
          <w:color w:val="auto"/>
          <w:kern w:val="0"/>
          <w:sz w:val="32"/>
          <w:szCs w:val="32"/>
          <w:highlight w:val="none"/>
          <w:u w:val="none"/>
          <w:shd w:val="clear" w:color="auto" w:fill="FFFFFF"/>
          <w:lang w:val="en-US" w:eastAsia="zh-CN"/>
        </w:rPr>
        <w:t>按规定和要求申报和发放宣汉县三墩乡龙洞村至漆树乡花盆村新建泥结碎石路工程</w:t>
      </w:r>
      <w:r>
        <w:rPr>
          <w:rFonts w:hint="eastAsia" w:ascii="仿宋_GB2312" w:hAnsi="仿宋_GB2312" w:eastAsia="仿宋_GB2312" w:cs="仿宋_GB2312"/>
          <w:color w:val="auto"/>
          <w:kern w:val="0"/>
          <w:sz w:val="32"/>
          <w:szCs w:val="32"/>
          <w:highlight w:val="none"/>
          <w:u w:val="none"/>
          <w:shd w:val="clear" w:color="auto" w:fill="FFFFFF"/>
          <w:lang w:val="zh-CN"/>
        </w:rPr>
        <w:t>。</w:t>
      </w:r>
    </w:p>
    <w:p>
      <w:pPr>
        <w:keepNext w:val="0"/>
        <w:keepLines w:val="0"/>
        <w:pageBreakBefore w:val="0"/>
        <w:widowControl/>
        <w:numPr>
          <w:ilvl w:val="0"/>
          <w:numId w:val="0"/>
        </w:numPr>
        <w:tabs>
          <w:tab w:val="left" w:pos="1032"/>
        </w:tabs>
        <w:kinsoku/>
        <w:wordWrap/>
        <w:overflowPunct/>
        <w:topLinePunct w:val="0"/>
        <w:autoSpaceDE/>
        <w:autoSpaceDN/>
        <w:bidi w:val="0"/>
        <w:adjustRightInd w:val="0"/>
        <w:snapToGrid w:val="0"/>
        <w:spacing w:line="578" w:lineRule="exact"/>
        <w:ind w:left="630" w:leftChars="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3.资</w:t>
      </w:r>
      <w:r>
        <w:rPr>
          <w:rFonts w:hint="eastAsia" w:ascii="仿宋_GB2312" w:hAnsi="仿宋_GB2312" w:eastAsia="仿宋_GB2312" w:cs="仿宋_GB2312"/>
          <w:color w:val="auto"/>
          <w:kern w:val="0"/>
          <w:sz w:val="32"/>
          <w:szCs w:val="32"/>
          <w:highlight w:val="none"/>
          <w:u w:val="none"/>
          <w:shd w:val="clear" w:color="auto" w:fill="FFFFFF"/>
          <w:lang w:val="zh-CN"/>
        </w:rPr>
        <w:t>金</w:t>
      </w:r>
      <w:r>
        <w:rPr>
          <w:rFonts w:hint="eastAsia" w:ascii="仿宋_GB2312" w:hAnsi="仿宋_GB2312" w:eastAsia="仿宋_GB2312" w:cs="仿宋_GB2312"/>
          <w:color w:val="auto"/>
          <w:kern w:val="0"/>
          <w:sz w:val="32"/>
          <w:szCs w:val="32"/>
          <w:highlight w:val="none"/>
          <w:u w:val="none"/>
          <w:shd w:val="clear" w:color="auto" w:fill="FFFFFF"/>
          <w:lang w:val="en-US" w:eastAsia="zh-CN"/>
        </w:rPr>
        <w:t>或项目</w:t>
      </w:r>
      <w:r>
        <w:rPr>
          <w:rFonts w:hint="eastAsia" w:ascii="仿宋_GB2312" w:hAnsi="仿宋_GB2312" w:eastAsia="仿宋_GB2312" w:cs="仿宋_GB2312"/>
          <w:color w:val="auto"/>
          <w:kern w:val="0"/>
          <w:sz w:val="32"/>
          <w:szCs w:val="32"/>
          <w:highlight w:val="none"/>
          <w:u w:val="none"/>
          <w:shd w:val="clear" w:color="auto" w:fill="FFFFFF"/>
          <w:lang w:val="zh-CN"/>
        </w:rPr>
        <w:t>管理办法</w:t>
      </w:r>
    </w:p>
    <w:p>
      <w:pPr>
        <w:pStyle w:val="2"/>
        <w:numPr>
          <w:ilvl w:val="0"/>
          <w:numId w:val="0"/>
        </w:numPr>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sz w:val="30"/>
          <w:szCs w:val="30"/>
          <w:lang w:val="en-US" w:eastAsia="zh-CN"/>
        </w:rPr>
        <w:t xml:space="preserve"> </w:t>
      </w: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 xml:space="preserve">    严格按照</w:t>
      </w:r>
      <w:r>
        <w:rPr>
          <w:rFonts w:hint="eastAsia" w:hAnsi="仿宋_GB2312" w:cs="仿宋_GB2312"/>
          <w:color w:val="auto"/>
          <w:kern w:val="0"/>
          <w:sz w:val="32"/>
          <w:szCs w:val="32"/>
          <w:highlight w:val="none"/>
          <w:u w:val="none"/>
          <w:shd w:val="clear" w:color="auto" w:fill="FFFFFF"/>
          <w:lang w:val="en-US" w:eastAsia="zh-CN" w:bidi="ar-SA"/>
        </w:rPr>
        <w:t>《四川省革命老区转移支付资金管理办法》、《宣汉县财政局关于贯彻落实&lt;四川省革命老区转移支付资金管理办法&gt;的通知》等精神要求，严格履行项目管理程序及公开公示等相关规定，切实规范资金项目管理，切实加快项目实施进度，切实强化资金监管和使用绩效，严禁挤占、截留、挪用资金，不得将资金用于与项目建设无关的支出</w:t>
      </w:r>
      <w:r>
        <w:rPr>
          <w:rFonts w:hint="eastAsia" w:ascii="仿宋_GB2312" w:hAnsi="仿宋_GB2312" w:eastAsia="仿宋_GB2312" w:cs="仿宋_GB2312"/>
          <w:color w:val="auto"/>
          <w:kern w:val="0"/>
          <w:sz w:val="32"/>
          <w:szCs w:val="32"/>
          <w:highlight w:val="none"/>
          <w:u w:val="none"/>
          <w:shd w:val="clear" w:color="auto" w:fill="FFFFFF"/>
          <w:lang w:val="en-US"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630" w:leftChars="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4.</w:t>
      </w:r>
      <w:r>
        <w:rPr>
          <w:rFonts w:hint="eastAsia" w:ascii="仿宋_GB2312" w:hAnsi="仿宋_GB2312" w:eastAsia="仿宋_GB2312" w:cs="仿宋_GB2312"/>
          <w:color w:val="auto"/>
          <w:kern w:val="0"/>
          <w:sz w:val="32"/>
          <w:szCs w:val="32"/>
          <w:highlight w:val="none"/>
          <w:u w:val="none"/>
          <w:shd w:val="clear" w:color="auto" w:fill="FFFFFF"/>
          <w:lang w:val="zh-CN"/>
        </w:rPr>
        <w:t>资金分配的原则及考虑因素。</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eastAsia="仿宋_GB2312"/>
          <w:lang w:val="en-US" w:eastAsia="zh-CN"/>
        </w:rPr>
      </w:pPr>
      <w:r>
        <w:rPr>
          <w:rFonts w:hint="eastAsia" w:hAnsi="仿宋_GB2312" w:cs="仿宋_GB2312"/>
          <w:color w:val="auto"/>
          <w:kern w:val="0"/>
          <w:sz w:val="32"/>
          <w:szCs w:val="32"/>
          <w:highlight w:val="none"/>
          <w:u w:val="none"/>
          <w:shd w:val="clear" w:color="auto" w:fill="FFFFFF"/>
          <w:lang w:val="en-US" w:eastAsia="zh-CN" w:bidi="ar-SA"/>
        </w:rPr>
        <w:t>资金分配结合我县革命老区转移支付资金项目中长期规划和进一步促进稳增长、惠民生的原则下达补助资金。</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（二）项目绩效目标。</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1．项目主要内容。</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hAnsi="仿宋_GB2312" w:cs="仿宋_GB2312"/>
          <w:color w:val="auto"/>
          <w:kern w:val="0"/>
          <w:sz w:val="32"/>
          <w:szCs w:val="32"/>
          <w:highlight w:val="none"/>
          <w:u w:val="none"/>
          <w:shd w:val="clear" w:color="auto" w:fill="FFFFFF"/>
          <w:lang w:val="en-US" w:eastAsia="zh-CN" w:bidi="ar-SA"/>
        </w:rPr>
      </w:pPr>
      <w:r>
        <w:rPr>
          <w:rFonts w:hint="eastAsia" w:hAnsi="仿宋_GB2312" w:cs="仿宋_GB2312"/>
          <w:color w:val="auto"/>
          <w:kern w:val="0"/>
          <w:sz w:val="32"/>
          <w:szCs w:val="32"/>
          <w:highlight w:val="none"/>
          <w:u w:val="none"/>
          <w:shd w:val="clear" w:color="auto" w:fill="FFFFFF"/>
          <w:lang w:val="en-US" w:eastAsia="zh-CN" w:bidi="ar-SA"/>
        </w:rPr>
        <w:t>工程名称：宣汉县三墩乡龙洞村至漆树乡花盆村新建泥结碎石路工程；</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hAnsi="仿宋_GB2312" w:cs="仿宋_GB2312"/>
          <w:color w:val="auto"/>
          <w:kern w:val="0"/>
          <w:sz w:val="32"/>
          <w:szCs w:val="32"/>
          <w:highlight w:val="none"/>
          <w:u w:val="none"/>
          <w:shd w:val="clear" w:color="auto" w:fill="FFFFFF"/>
          <w:lang w:val="en-US" w:eastAsia="zh-CN" w:bidi="ar-SA"/>
        </w:rPr>
      </w:pPr>
      <w:r>
        <w:rPr>
          <w:rFonts w:hint="eastAsia" w:hAnsi="仿宋_GB2312" w:cs="仿宋_GB2312"/>
          <w:color w:val="auto"/>
          <w:kern w:val="0"/>
          <w:sz w:val="32"/>
          <w:szCs w:val="32"/>
          <w:highlight w:val="none"/>
          <w:u w:val="none"/>
          <w:shd w:val="clear" w:color="auto" w:fill="FFFFFF"/>
          <w:lang w:val="en-US" w:eastAsia="zh-CN" w:bidi="ar-SA"/>
        </w:rPr>
        <w:t>工程地点：三墩乡龙洞村4组至漆树乡花盆村；</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hAnsi="仿宋_GB2312" w:cs="仿宋_GB2312"/>
          <w:color w:val="auto"/>
          <w:kern w:val="0"/>
          <w:sz w:val="32"/>
          <w:szCs w:val="32"/>
          <w:highlight w:val="none"/>
          <w:u w:val="none"/>
          <w:shd w:val="clear" w:color="auto" w:fill="FFFFFF"/>
          <w:lang w:val="en-US" w:eastAsia="zh-CN" w:bidi="ar-SA"/>
        </w:rPr>
      </w:pPr>
      <w:r>
        <w:rPr>
          <w:rFonts w:hint="eastAsia" w:hAnsi="仿宋_GB2312" w:cs="仿宋_GB2312"/>
          <w:color w:val="auto"/>
          <w:kern w:val="0"/>
          <w:sz w:val="32"/>
          <w:szCs w:val="32"/>
          <w:highlight w:val="none"/>
          <w:u w:val="none"/>
          <w:shd w:val="clear" w:color="auto" w:fill="FFFFFF"/>
          <w:lang w:val="en-US" w:eastAsia="zh-CN" w:bidi="ar-SA"/>
        </w:rPr>
        <w:t>工程立项批准文号：（宣财预资金【2022】23号）文件；</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hAnsi="仿宋_GB2312" w:cs="仿宋_GB2312"/>
          <w:color w:val="auto"/>
          <w:kern w:val="0"/>
          <w:sz w:val="32"/>
          <w:szCs w:val="32"/>
          <w:highlight w:val="none"/>
          <w:u w:val="none"/>
          <w:shd w:val="clear" w:color="auto" w:fill="FFFFFF"/>
          <w:lang w:val="en-US" w:eastAsia="zh-CN" w:bidi="ar-SA"/>
        </w:rPr>
      </w:pPr>
      <w:r>
        <w:rPr>
          <w:rFonts w:hint="eastAsia" w:hAnsi="仿宋_GB2312" w:cs="仿宋_GB2312"/>
          <w:color w:val="auto"/>
          <w:kern w:val="0"/>
          <w:sz w:val="32"/>
          <w:szCs w:val="32"/>
          <w:highlight w:val="none"/>
          <w:u w:val="none"/>
          <w:shd w:val="clear" w:color="auto" w:fill="FFFFFF"/>
          <w:lang w:val="en-US" w:eastAsia="zh-CN" w:bidi="ar-SA"/>
        </w:rPr>
        <w:t>资金来源：2022年革命老区转移支付补助资金；</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hAnsi="仿宋_GB2312" w:cs="仿宋_GB2312"/>
          <w:color w:val="auto"/>
          <w:kern w:val="0"/>
          <w:sz w:val="32"/>
          <w:szCs w:val="32"/>
          <w:highlight w:val="none"/>
          <w:u w:val="none"/>
          <w:shd w:val="clear" w:color="auto" w:fill="FFFFFF"/>
          <w:lang w:val="en-US" w:eastAsia="zh-CN" w:bidi="ar-SA"/>
        </w:rPr>
      </w:pPr>
      <w:r>
        <w:rPr>
          <w:rFonts w:hint="eastAsia" w:hAnsi="仿宋_GB2312" w:cs="仿宋_GB2312"/>
          <w:color w:val="auto"/>
          <w:kern w:val="0"/>
          <w:sz w:val="32"/>
          <w:szCs w:val="32"/>
          <w:highlight w:val="none"/>
          <w:u w:val="none"/>
          <w:shd w:val="clear" w:color="auto" w:fill="FFFFFF"/>
          <w:lang w:val="en-US" w:eastAsia="zh-CN" w:bidi="ar-SA"/>
        </w:rPr>
        <w:t>工程内容：新建泥结碎石路752米（路基宽度4.5米，路面宽度3.5米）；</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hAnsi="仿宋_GB2312" w:cs="仿宋_GB2312"/>
          <w:color w:val="auto"/>
          <w:kern w:val="0"/>
          <w:sz w:val="32"/>
          <w:szCs w:val="32"/>
          <w:highlight w:val="none"/>
          <w:u w:val="none"/>
          <w:shd w:val="clear" w:color="auto" w:fill="FFFFFF"/>
          <w:lang w:val="en-US" w:eastAsia="zh-CN" w:bidi="ar-SA"/>
        </w:rPr>
      </w:pPr>
      <w:r>
        <w:rPr>
          <w:rFonts w:hint="eastAsia" w:hAnsi="仿宋_GB2312" w:cs="仿宋_GB2312"/>
          <w:color w:val="auto"/>
          <w:kern w:val="0"/>
          <w:sz w:val="32"/>
          <w:szCs w:val="32"/>
          <w:highlight w:val="none"/>
          <w:u w:val="none"/>
          <w:shd w:val="clear" w:color="auto" w:fill="FFFFFF"/>
          <w:lang w:val="en-US" w:eastAsia="zh-CN" w:bidi="ar-SA"/>
        </w:rPr>
        <w:t>工程承包范围：严格按照设计施工图及招标工程量清单所示内容。</w:t>
      </w:r>
    </w:p>
    <w:p>
      <w:pPr>
        <w:keepNext w:val="0"/>
        <w:keepLines w:val="0"/>
        <w:pageBreakBefore w:val="0"/>
        <w:widowControl/>
        <w:numPr>
          <w:ilvl w:val="0"/>
          <w:numId w:val="12"/>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项目</w:t>
      </w:r>
      <w:r>
        <w:rPr>
          <w:rFonts w:hint="eastAsia" w:ascii="仿宋_GB2312" w:hAnsi="仿宋_GB2312" w:eastAsia="仿宋_GB2312" w:cs="仿宋_GB2312"/>
          <w:color w:val="auto"/>
          <w:kern w:val="0"/>
          <w:sz w:val="32"/>
          <w:szCs w:val="32"/>
          <w:highlight w:val="none"/>
          <w:u w:val="none"/>
          <w:shd w:val="clear" w:color="auto" w:fill="FFFFFF"/>
          <w:lang w:val="zh-CN"/>
        </w:rPr>
        <w:t>绩效目标</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hAnsi="仿宋_GB2312" w:cs="仿宋_GB2312"/>
          <w:color w:val="auto"/>
          <w:kern w:val="0"/>
          <w:sz w:val="32"/>
          <w:szCs w:val="32"/>
          <w:highlight w:val="none"/>
          <w:u w:val="none"/>
          <w:shd w:val="clear" w:color="auto" w:fill="FFFFFF"/>
          <w:lang w:val="en-US" w:eastAsia="zh-CN"/>
        </w:rPr>
      </w:pPr>
      <w:r>
        <w:rPr>
          <w:rFonts w:hint="eastAsia" w:hAnsi="仿宋_GB2312" w:cs="仿宋_GB2312"/>
          <w:color w:val="auto"/>
          <w:kern w:val="0"/>
          <w:sz w:val="32"/>
          <w:szCs w:val="32"/>
          <w:highlight w:val="none"/>
          <w:u w:val="none"/>
          <w:shd w:val="clear" w:color="auto" w:fill="FFFFFF"/>
          <w:lang w:val="en-US" w:eastAsia="zh-CN"/>
        </w:rPr>
        <w:t>该项目的年度总体目标是：</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hAnsi="仿宋_GB2312" w:cs="仿宋_GB2312"/>
          <w:color w:val="auto"/>
          <w:kern w:val="0"/>
          <w:sz w:val="32"/>
          <w:szCs w:val="32"/>
          <w:highlight w:val="none"/>
          <w:u w:val="none"/>
          <w:shd w:val="clear" w:color="auto" w:fill="FFFFFF"/>
          <w:lang w:val="en-US" w:eastAsia="zh-CN"/>
        </w:rPr>
      </w:pPr>
      <w:r>
        <w:rPr>
          <w:rFonts w:hint="eastAsia" w:hAnsi="仿宋_GB2312" w:cs="仿宋_GB2312"/>
          <w:color w:val="auto"/>
          <w:kern w:val="0"/>
          <w:sz w:val="32"/>
          <w:szCs w:val="32"/>
          <w:highlight w:val="none"/>
          <w:u w:val="none"/>
          <w:shd w:val="clear" w:color="auto" w:fill="FFFFFF"/>
          <w:lang w:val="en-US" w:eastAsia="zh-CN"/>
        </w:rPr>
        <w:t>目标1：新建泥结碎石路752米； 目标2：提升群众满意度。</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hAnsi="仿宋_GB2312" w:cs="仿宋_GB2312"/>
          <w:color w:val="auto"/>
          <w:kern w:val="0"/>
          <w:sz w:val="32"/>
          <w:szCs w:val="32"/>
          <w:highlight w:val="none"/>
          <w:u w:val="none"/>
          <w:shd w:val="clear" w:color="auto" w:fill="FFFFFF"/>
          <w:lang w:val="en-US" w:eastAsia="zh-CN"/>
        </w:rPr>
      </w:pPr>
      <w:r>
        <w:rPr>
          <w:rFonts w:hint="eastAsia" w:hAnsi="仿宋_GB2312" w:cs="仿宋_GB2312"/>
          <w:color w:val="auto"/>
          <w:kern w:val="0"/>
          <w:sz w:val="32"/>
          <w:szCs w:val="32"/>
          <w:highlight w:val="none"/>
          <w:u w:val="none"/>
          <w:shd w:val="clear" w:color="auto" w:fill="FFFFFF"/>
          <w:lang w:val="en-US" w:eastAsia="zh-CN"/>
        </w:rPr>
        <w:t>数量指标：新建泥结碎石路752米</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hAnsi="仿宋_GB2312" w:cs="仿宋_GB2312"/>
          <w:color w:val="auto"/>
          <w:kern w:val="0"/>
          <w:sz w:val="32"/>
          <w:szCs w:val="32"/>
          <w:highlight w:val="none"/>
          <w:u w:val="none"/>
          <w:shd w:val="clear" w:color="auto" w:fill="FFFFFF"/>
          <w:lang w:val="en-US" w:eastAsia="zh-CN"/>
        </w:rPr>
      </w:pPr>
      <w:r>
        <w:rPr>
          <w:rFonts w:hint="eastAsia" w:hAnsi="仿宋_GB2312" w:cs="仿宋_GB2312"/>
          <w:color w:val="auto"/>
          <w:kern w:val="0"/>
          <w:sz w:val="32"/>
          <w:szCs w:val="32"/>
          <w:highlight w:val="none"/>
          <w:u w:val="none"/>
          <w:shd w:val="clear" w:color="auto" w:fill="FFFFFF"/>
          <w:lang w:val="en-US" w:eastAsia="zh-CN"/>
        </w:rPr>
        <w:t>质量指标: 项目（工程）验收合格率≥100%</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hAnsi="仿宋_GB2312" w:cs="仿宋_GB2312"/>
          <w:color w:val="auto"/>
          <w:kern w:val="0"/>
          <w:sz w:val="32"/>
          <w:szCs w:val="32"/>
          <w:highlight w:val="none"/>
          <w:u w:val="none"/>
          <w:shd w:val="clear" w:color="auto" w:fill="FFFFFF"/>
          <w:lang w:val="en-US" w:eastAsia="zh-CN"/>
        </w:rPr>
      </w:pPr>
      <w:r>
        <w:rPr>
          <w:rFonts w:hint="eastAsia" w:hAnsi="仿宋_GB2312" w:cs="仿宋_GB2312"/>
          <w:color w:val="auto"/>
          <w:kern w:val="0"/>
          <w:sz w:val="32"/>
          <w:szCs w:val="32"/>
          <w:highlight w:val="none"/>
          <w:u w:val="none"/>
          <w:shd w:val="clear" w:color="auto" w:fill="FFFFFF"/>
          <w:lang w:val="en-US" w:eastAsia="zh-CN"/>
        </w:rPr>
        <w:t>时效指标: 项目（工程）完成及时率≥100%</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hAnsi="仿宋_GB2312" w:cs="仿宋_GB2312"/>
          <w:color w:val="auto"/>
          <w:kern w:val="0"/>
          <w:sz w:val="32"/>
          <w:szCs w:val="32"/>
          <w:highlight w:val="none"/>
          <w:u w:val="none"/>
          <w:shd w:val="clear" w:color="auto" w:fill="FFFFFF"/>
          <w:lang w:val="en-US" w:eastAsia="zh-CN"/>
        </w:rPr>
      </w:pPr>
      <w:r>
        <w:rPr>
          <w:rFonts w:hint="eastAsia" w:hAnsi="仿宋_GB2312" w:cs="仿宋_GB2312"/>
          <w:color w:val="auto"/>
          <w:kern w:val="0"/>
          <w:sz w:val="32"/>
          <w:szCs w:val="32"/>
          <w:highlight w:val="none"/>
          <w:u w:val="none"/>
          <w:shd w:val="clear" w:color="auto" w:fill="FFFFFF"/>
          <w:lang w:val="en-US" w:eastAsia="zh-CN"/>
        </w:rPr>
        <w:t>成本控制指标：工程成本控制≤50万元</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hAnsi="仿宋_GB2312" w:cs="仿宋_GB2312"/>
          <w:color w:val="auto"/>
          <w:kern w:val="0"/>
          <w:sz w:val="32"/>
          <w:szCs w:val="32"/>
          <w:highlight w:val="none"/>
          <w:u w:val="none"/>
          <w:shd w:val="clear" w:color="auto" w:fill="FFFFFF"/>
          <w:lang w:val="en-US" w:eastAsia="zh-CN"/>
        </w:rPr>
      </w:pPr>
      <w:r>
        <w:rPr>
          <w:rFonts w:hint="eastAsia" w:hAnsi="仿宋_GB2312" w:cs="仿宋_GB2312"/>
          <w:color w:val="auto"/>
          <w:kern w:val="0"/>
          <w:sz w:val="32"/>
          <w:szCs w:val="32"/>
          <w:highlight w:val="none"/>
          <w:u w:val="none"/>
          <w:shd w:val="clear" w:color="auto" w:fill="FFFFFF"/>
          <w:lang w:val="en-US" w:eastAsia="zh-CN"/>
        </w:rPr>
        <w:t>社会效益指标: 三墩至漆树道路完全便利率≥100%</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eastAsia="仿宋_GB2312"/>
          <w:lang w:val="en-US" w:eastAsia="zh-CN"/>
        </w:rPr>
      </w:pPr>
      <w:r>
        <w:rPr>
          <w:rFonts w:hint="eastAsia" w:hAnsi="仿宋_GB2312" w:cs="仿宋_GB2312"/>
          <w:color w:val="auto"/>
          <w:kern w:val="0"/>
          <w:sz w:val="32"/>
          <w:szCs w:val="32"/>
          <w:highlight w:val="none"/>
          <w:u w:val="none"/>
          <w:shd w:val="clear" w:color="auto" w:fill="FFFFFF"/>
          <w:lang w:val="en-US" w:eastAsia="zh-CN"/>
        </w:rPr>
        <w:t>服务对象满意度指标: 受益人口满意度≥90%</w:t>
      </w:r>
    </w:p>
    <w:p>
      <w:pPr>
        <w:pStyle w:val="33"/>
        <w:spacing w:line="560" w:lineRule="exact"/>
        <w:ind w:firstLine="480" w:firstLineChars="150"/>
        <w:rPr>
          <w:rFonts w:hint="default" w:ascii="仿宋_GB2312" w:hAnsi="仿宋_GB2312" w:eastAsia="仿宋_GB2312" w:cs="仿宋_GB2312"/>
          <w:color w:val="auto"/>
          <w:kern w:val="0"/>
          <w:sz w:val="32"/>
          <w:szCs w:val="32"/>
          <w:highlight w:val="none"/>
          <w:u w:val="none"/>
          <w:shd w:val="clear" w:color="auto" w:fill="FFFFFF"/>
          <w:lang w:val="en-US" w:eastAsia="zh-CN"/>
        </w:rPr>
      </w:pPr>
      <w:r>
        <w:rPr>
          <w:rFonts w:hint="eastAsia" w:ascii="仿宋_GB2312" w:hAnsi="仿宋_GB2312" w:eastAsia="仿宋_GB2312" w:cs="仿宋_GB2312"/>
          <w:color w:val="auto"/>
          <w:kern w:val="0"/>
          <w:sz w:val="32"/>
          <w:szCs w:val="32"/>
          <w:highlight w:val="none"/>
          <w:u w:val="none"/>
          <w:shd w:val="clear" w:color="auto" w:fill="FFFFFF"/>
          <w:lang w:val="zh-CN"/>
        </w:rPr>
        <w:t>3．</w:t>
      </w:r>
      <w:r>
        <w:rPr>
          <w:rFonts w:hint="eastAsia" w:ascii="仿宋_GB2312" w:hAnsi="仿宋_GB2312" w:eastAsia="仿宋_GB2312" w:cs="仿宋_GB2312"/>
          <w:color w:val="auto"/>
          <w:kern w:val="0"/>
          <w:sz w:val="32"/>
          <w:szCs w:val="32"/>
          <w:highlight w:val="none"/>
          <w:u w:val="none"/>
          <w:shd w:val="clear" w:color="auto" w:fill="FFFFFF"/>
          <w:lang w:val="en-US" w:eastAsia="zh-CN"/>
        </w:rPr>
        <w:t>项目资金申报的相符性</w:t>
      </w:r>
    </w:p>
    <w:p>
      <w:pPr>
        <w:pStyle w:val="3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该项目申报内容与实施内容相符，申报绩效目标合理可行。</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（三）项目自评步骤及方法。</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仿宋_GB2312" w:hAnsi="仿宋_GB2312" w:eastAsia="仿宋_GB2312" w:cs="仿宋_GB2312"/>
          <w:color w:val="auto"/>
          <w:kern w:val="0"/>
          <w:sz w:val="32"/>
          <w:szCs w:val="32"/>
          <w:highlight w:val="none"/>
          <w:u w:val="none"/>
          <w:shd w:val="clear" w:color="auto" w:fill="FFFFFF"/>
          <w:lang w:val="en-US" w:eastAsia="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确定自评的目标和范围，收集整理相关数据，确定评估标准，对照指标分析，跟踪项目进展和问题，进行自评总结并形成报告。</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u w:val="none"/>
        </w:rPr>
      </w:pPr>
      <w:r>
        <w:rPr>
          <w:rFonts w:hint="eastAsia" w:ascii="黑体" w:hAnsi="宋体" w:eastAsia="黑体"/>
          <w:color w:val="auto"/>
          <w:sz w:val="32"/>
          <w:szCs w:val="32"/>
          <w:highlight w:val="none"/>
          <w:u w:val="none"/>
        </w:rPr>
        <w:t>二、项目资金申报及使用情况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（一）项目资金申报及批复情况。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default" w:ascii="仿宋_GB2312" w:hAnsi="仿宋_GB2312" w:eastAsia="仿宋_GB2312" w:cs="仿宋_GB2312"/>
          <w:color w:val="auto"/>
          <w:kern w:val="0"/>
          <w:sz w:val="32"/>
          <w:szCs w:val="32"/>
          <w:highlight w:val="none"/>
          <w:u w:val="none"/>
          <w:shd w:val="clear" w:color="auto" w:fill="FFFFFF"/>
          <w:lang w:val="en-US" w:eastAsia="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该项目资金由县财政局根据《四川省财政厅关于提前下达2022年部分转移支付资金的通知》等文件精神，结合我县革命老区转移支付资金项目中长期规划和进一步促进稳增长、惠民生的原则下达的补助资金。</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仿宋_GB2312" w:hAnsi="宋体"/>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（二）资金计划、到位及使用情况。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仿宋_GB2312" w:cs="仿宋_GB2312"/>
          <w:color w:val="auto"/>
          <w:kern w:val="0"/>
          <w:sz w:val="32"/>
          <w:szCs w:val="32"/>
          <w:highlight w:val="none"/>
          <w:u w:val="none"/>
          <w:shd w:val="clear" w:color="auto" w:fill="FFFFFF"/>
          <w:lang w:val="en-US" w:eastAsia="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1．资金计划及到位。</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仿宋_GB2312" w:cs="仿宋_GB2312"/>
          <w:color w:val="auto"/>
          <w:kern w:val="0"/>
          <w:sz w:val="32"/>
          <w:szCs w:val="32"/>
          <w:highlight w:val="none"/>
          <w:u w:val="none"/>
          <w:shd w:val="clear" w:color="auto" w:fill="FFFFFF"/>
          <w:lang w:val="en-US" w:eastAsia="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资金计划50万元，按审定金额已全额到位资金49.0521万元。</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仿宋_GB2312" w:cs="仿宋_GB2312"/>
          <w:color w:val="auto"/>
          <w:kern w:val="0"/>
          <w:sz w:val="32"/>
          <w:szCs w:val="32"/>
          <w:highlight w:val="none"/>
          <w:u w:val="none"/>
          <w:shd w:val="clear" w:color="auto" w:fill="FFFFFF"/>
          <w:lang w:val="en-US" w:eastAsia="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2．资金使用。</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按照资金管理要求，截止目前项目资金实行乡镇申报代拨报账制度，报账时项目实施单位提供报账资料齐全，项目资金使用安全规范。</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（三）项目财务管理情况。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项目实施单位财务管理制度健全，严格执行财务管理制度，账务处理及时，会计核算规范。</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u w:val="none"/>
        </w:rPr>
      </w:pPr>
      <w:r>
        <w:rPr>
          <w:rFonts w:hint="eastAsia" w:ascii="黑体" w:hAnsi="宋体" w:eastAsia="黑体"/>
          <w:color w:val="auto"/>
          <w:sz w:val="32"/>
          <w:szCs w:val="32"/>
          <w:highlight w:val="none"/>
          <w:u w:val="none"/>
        </w:rPr>
        <w:t>三、项目实施及管理情况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（一）项目组织架构及实施流程。</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default" w:ascii="仿宋_GB2312" w:hAnsi="仿宋_GB2312" w:eastAsia="仿宋_GB2312" w:cs="仿宋_GB2312"/>
          <w:color w:val="auto"/>
          <w:kern w:val="0"/>
          <w:sz w:val="32"/>
          <w:szCs w:val="32"/>
          <w:highlight w:val="none"/>
          <w:u w:val="none"/>
          <w:shd w:val="clear" w:color="auto" w:fill="FFFFFF"/>
          <w:lang w:val="en-US" w:eastAsia="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 xml:space="preserve"> </w:t>
      </w:r>
      <w:r>
        <w:rPr>
          <w:rFonts w:hint="eastAsia" w:ascii="仿宋_GB2312" w:hAnsi="仿宋_GB2312" w:eastAsia="仿宋_GB2312" w:cs="仿宋_GB2312"/>
          <w:color w:val="auto"/>
          <w:kern w:val="0"/>
          <w:sz w:val="32"/>
          <w:szCs w:val="32"/>
          <w:highlight w:val="none"/>
          <w:u w:val="none"/>
          <w:shd w:val="clear" w:color="auto" w:fill="FFFFFF"/>
          <w:lang w:val="zh-CN"/>
        </w:rPr>
        <w:t>县财政局负责下达革命老区项目年度预算，指导和督促革命老区项目资金的预算执行、绩效评价、</w:t>
      </w:r>
      <w:r>
        <w:rPr>
          <w:rFonts w:hint="eastAsia" w:ascii="仿宋_GB2312" w:hAnsi="仿宋_GB2312" w:eastAsia="仿宋_GB2312" w:cs="仿宋_GB2312"/>
          <w:color w:val="auto"/>
          <w:kern w:val="0"/>
          <w:sz w:val="32"/>
          <w:szCs w:val="32"/>
          <w:highlight w:val="none"/>
          <w:u w:val="none"/>
          <w:shd w:val="clear" w:color="auto" w:fill="FFFFFF"/>
          <w:lang w:val="en-US" w:eastAsia="zh-CN"/>
        </w:rPr>
        <w:t>投资评审</w:t>
      </w:r>
      <w:r>
        <w:rPr>
          <w:rFonts w:hint="eastAsia" w:ascii="仿宋_GB2312" w:hAnsi="仿宋_GB2312" w:eastAsia="仿宋_GB2312" w:cs="仿宋_GB2312"/>
          <w:color w:val="auto"/>
          <w:kern w:val="0"/>
          <w:sz w:val="32"/>
          <w:szCs w:val="32"/>
          <w:highlight w:val="none"/>
          <w:u w:val="none"/>
          <w:shd w:val="clear" w:color="auto" w:fill="FFFFFF"/>
          <w:lang w:val="zh-CN"/>
        </w:rPr>
        <w:t>等，加强资金的监督管理；项目实施单位负责项目前期工作，招标建设、实施管理、质量监督、项目</w:t>
      </w:r>
      <w:r>
        <w:rPr>
          <w:rFonts w:hint="eastAsia" w:ascii="仿宋_GB2312" w:hAnsi="仿宋_GB2312" w:eastAsia="仿宋_GB2312" w:cs="仿宋_GB2312"/>
          <w:color w:val="auto"/>
          <w:kern w:val="0"/>
          <w:sz w:val="32"/>
          <w:szCs w:val="32"/>
          <w:highlight w:val="none"/>
          <w:u w:val="none"/>
          <w:shd w:val="clear" w:color="auto" w:fill="FFFFFF"/>
          <w:lang w:val="en-US" w:eastAsia="zh-CN"/>
        </w:rPr>
        <w:t>自验</w:t>
      </w:r>
      <w:r>
        <w:rPr>
          <w:rFonts w:hint="eastAsia" w:ascii="仿宋_GB2312" w:hAnsi="仿宋_GB2312" w:eastAsia="仿宋_GB2312" w:cs="仿宋_GB2312"/>
          <w:color w:val="auto"/>
          <w:kern w:val="0"/>
          <w:sz w:val="32"/>
          <w:szCs w:val="32"/>
          <w:highlight w:val="none"/>
          <w:u w:val="none"/>
          <w:shd w:val="clear" w:color="auto" w:fill="FFFFFF"/>
          <w:lang w:val="zh-CN"/>
        </w:rPr>
        <w:t>等工作；项目实施地村委负责建设所需用地的征收工作，并负责当地各类资源协调。同时负责项目后续的管理及使用。</w:t>
      </w:r>
    </w:p>
    <w:p>
      <w:pPr>
        <w:keepNext w:val="0"/>
        <w:keepLines w:val="0"/>
        <w:pageBreakBefore w:val="0"/>
        <w:numPr>
          <w:ilvl w:val="0"/>
          <w:numId w:val="11"/>
        </w:numPr>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项目管理情况。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严格按照《四川省革命老区转移支付资金管理办法》、《宣汉县财政局关于贯彻落实&lt;四川省革命老区转移支付资金管理办法&gt;的通知》等精神要求，严格履行项目管理程序及公开公示等相关规定，切实规范资金项目管理，切实加快项目实施进度，切实强化资金监管和使用绩效，严禁挤占、截留、挪用资金，不得将资金用于与项目建设无关的支出</w:t>
      </w:r>
      <w:r>
        <w:rPr>
          <w:rFonts w:hint="eastAsia" w:ascii="仿宋_GB2312" w:hAnsi="仿宋_GB2312" w:eastAsia="仿宋_GB2312" w:cs="仿宋_GB2312"/>
          <w:color w:val="auto"/>
          <w:kern w:val="0"/>
          <w:sz w:val="32"/>
          <w:szCs w:val="32"/>
          <w:highlight w:val="none"/>
          <w:u w:val="none"/>
          <w:shd w:val="clear" w:color="auto" w:fill="FFFFFF"/>
          <w:lang w:val="zh-CN"/>
        </w:rPr>
        <w:t>。</w:t>
      </w:r>
    </w:p>
    <w:p>
      <w:pPr>
        <w:keepNext w:val="0"/>
        <w:keepLines w:val="0"/>
        <w:pageBreakBefore w:val="0"/>
        <w:numPr>
          <w:ilvl w:val="0"/>
          <w:numId w:val="11"/>
        </w:numPr>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项目监管情况。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Chars="100" w:firstLine="640" w:firstLineChars="200"/>
        <w:textAlignment w:val="auto"/>
        <w:rPr>
          <w:rFonts w:hint="eastAsia" w:ascii="仿宋_GB2312" w:hAnsi="仿宋_GB2312" w:eastAsia="仿宋_GB2312" w:cs="仿宋_GB2312"/>
          <w:color w:val="auto"/>
          <w:kern w:val="0"/>
          <w:sz w:val="32"/>
          <w:szCs w:val="32"/>
          <w:highlight w:val="none"/>
          <w:u w:val="none"/>
          <w:shd w:val="clear" w:color="auto" w:fill="FFFFFF"/>
          <w:lang w:val="en-US" w:eastAsia="zh-CN" w:bidi="ar-SA"/>
        </w:rPr>
      </w:pP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我乡在宣汉县三墩乡龙洞村至漆树乡花盆村新建泥结碎石路工程资金管理中严格按照专项资金管理有关政策法规规定，一是监督到位。成立了专项资金督查组，定期或不定期项目工程工作进行抽查和全面督查；二是问责到位。建立责任追究制，对不按政策执行造成不良社会影响的，严格追究经办人的直接责任和相关的领导责任；三是管理到位。规范管理档案，项目资料归档项目办，大大提高了工作效率。</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Chars="100" w:firstLine="640" w:firstLineChars="200"/>
        <w:textAlignment w:val="auto"/>
        <w:rPr>
          <w:rFonts w:ascii="仿宋_GB2312" w:hAnsi="宋体"/>
          <w:color w:val="auto"/>
          <w:sz w:val="32"/>
          <w:szCs w:val="32"/>
          <w:highlight w:val="none"/>
          <w:u w:val="none"/>
          <w:lang w:val="zh-CN"/>
        </w:rPr>
      </w:pPr>
      <w:r>
        <w:rPr>
          <w:rFonts w:hint="eastAsia" w:ascii="黑体" w:hAnsi="宋体" w:eastAsia="黑体"/>
          <w:color w:val="auto"/>
          <w:sz w:val="32"/>
          <w:szCs w:val="32"/>
          <w:highlight w:val="none"/>
          <w:u w:val="none"/>
        </w:rPr>
        <w:t>四、项目绩效情况</w:t>
      </w:r>
      <w:r>
        <w:rPr>
          <w:rFonts w:hint="eastAsia" w:ascii="仿宋_GB2312" w:hAnsi="宋体"/>
          <w:color w:val="auto"/>
          <w:sz w:val="32"/>
          <w:szCs w:val="32"/>
          <w:highlight w:val="none"/>
          <w:u w:val="none"/>
          <w:lang w:val="zh-CN"/>
        </w:rPr>
        <w:tab/>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（一）项目完成情况。</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hAnsi="仿宋_GB2312" w:cs="仿宋_GB2312"/>
          <w:color w:val="auto"/>
          <w:kern w:val="0"/>
          <w:sz w:val="32"/>
          <w:szCs w:val="32"/>
          <w:highlight w:val="none"/>
          <w:u w:val="none"/>
          <w:shd w:val="clear" w:color="auto" w:fill="FFFFFF"/>
          <w:lang w:val="en-US" w:eastAsia="zh-CN"/>
        </w:rPr>
      </w:pPr>
      <w:r>
        <w:rPr>
          <w:rFonts w:hint="eastAsia" w:ascii="仿宋_GB2312" w:hAnsi="仿宋_GB2312" w:eastAsia="仿宋_GB2312" w:cs="仿宋_GB2312"/>
          <w:color w:val="auto"/>
          <w:kern w:val="0"/>
          <w:sz w:val="32"/>
          <w:szCs w:val="32"/>
          <w:highlight w:val="none"/>
          <w:u w:val="none"/>
          <w:shd w:val="clear" w:color="auto" w:fill="FFFFFF"/>
          <w:lang w:val="zh-CN"/>
        </w:rPr>
        <w:t>数量</w:t>
      </w:r>
      <w:r>
        <w:rPr>
          <w:rFonts w:hint="eastAsia" w:ascii="仿宋_GB2312" w:hAnsi="仿宋_GB2312" w:eastAsia="仿宋_GB2312" w:cs="仿宋_GB2312"/>
          <w:color w:val="auto"/>
          <w:kern w:val="0"/>
          <w:sz w:val="32"/>
          <w:szCs w:val="32"/>
          <w:highlight w:val="none"/>
          <w:u w:val="none"/>
          <w:shd w:val="clear" w:color="auto" w:fill="FFFFFF"/>
          <w:lang w:val="en-US" w:eastAsia="zh-CN"/>
        </w:rPr>
        <w:t>指标完成情况：</w:t>
      </w:r>
      <w:r>
        <w:rPr>
          <w:rFonts w:hint="eastAsia" w:hAnsi="仿宋_GB2312" w:cs="仿宋_GB2312"/>
          <w:color w:val="auto"/>
          <w:kern w:val="0"/>
          <w:sz w:val="32"/>
          <w:szCs w:val="32"/>
          <w:highlight w:val="none"/>
          <w:u w:val="none"/>
          <w:shd w:val="clear" w:color="auto" w:fill="FFFFFF"/>
          <w:lang w:val="en-US" w:eastAsia="zh-CN"/>
        </w:rPr>
        <w:t>新建泥结碎石路752米，指标完成率100%；</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kern w:val="0"/>
          <w:sz w:val="32"/>
          <w:szCs w:val="32"/>
          <w:highlight w:val="none"/>
          <w:u w:val="none"/>
          <w:shd w:val="clear" w:color="auto" w:fill="FFFFFF"/>
          <w:lang w:val="en-US" w:eastAsia="zh-CN" w:bidi="ar-SA"/>
        </w:rPr>
      </w:pPr>
      <w:r>
        <w:rPr>
          <w:rFonts w:hint="eastAsia" w:ascii="仿宋_GB2312" w:hAnsi="仿宋_GB2312" w:eastAsia="仿宋_GB2312" w:cs="仿宋_GB2312"/>
          <w:color w:val="auto"/>
          <w:kern w:val="0"/>
          <w:sz w:val="32"/>
          <w:szCs w:val="32"/>
          <w:highlight w:val="none"/>
          <w:u w:val="none"/>
          <w:shd w:val="clear" w:color="auto" w:fill="FFFFFF"/>
          <w:lang w:val="zh-CN"/>
        </w:rPr>
        <w:t>质量</w:t>
      </w:r>
      <w:r>
        <w:rPr>
          <w:rFonts w:hint="eastAsia" w:ascii="仿宋_GB2312" w:hAnsi="仿宋_GB2312" w:eastAsia="仿宋_GB2312" w:cs="仿宋_GB2312"/>
          <w:color w:val="auto"/>
          <w:kern w:val="0"/>
          <w:sz w:val="32"/>
          <w:szCs w:val="32"/>
          <w:highlight w:val="none"/>
          <w:u w:val="none"/>
          <w:shd w:val="clear" w:color="auto" w:fill="FFFFFF"/>
          <w:lang w:val="en-US" w:eastAsia="zh-CN"/>
        </w:rPr>
        <w:t>指标完成情况：</w:t>
      </w: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项目（工程）验收合格率为100%，</w:t>
      </w:r>
      <w:r>
        <w:rPr>
          <w:rFonts w:hint="eastAsia" w:hAnsi="仿宋_GB2312" w:cs="仿宋_GB2312"/>
          <w:color w:val="auto"/>
          <w:kern w:val="0"/>
          <w:sz w:val="32"/>
          <w:szCs w:val="32"/>
          <w:highlight w:val="none"/>
          <w:u w:val="none"/>
          <w:shd w:val="clear" w:color="auto" w:fill="FFFFFF"/>
          <w:lang w:val="en-US" w:eastAsia="zh-CN"/>
        </w:rPr>
        <w:t>指标完成率100%；</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kern w:val="0"/>
          <w:sz w:val="32"/>
          <w:szCs w:val="32"/>
          <w:highlight w:val="none"/>
          <w:u w:val="none"/>
          <w:shd w:val="clear" w:color="auto" w:fill="FFFFFF"/>
          <w:lang w:val="en-US" w:eastAsia="zh-CN"/>
        </w:rPr>
      </w:pPr>
      <w:r>
        <w:rPr>
          <w:rFonts w:hint="eastAsia" w:ascii="仿宋_GB2312" w:hAnsi="仿宋_GB2312" w:eastAsia="仿宋_GB2312" w:cs="仿宋_GB2312"/>
          <w:color w:val="auto"/>
          <w:kern w:val="0"/>
          <w:sz w:val="32"/>
          <w:szCs w:val="32"/>
          <w:highlight w:val="none"/>
          <w:u w:val="none"/>
          <w:shd w:val="clear" w:color="auto" w:fill="FFFFFF"/>
          <w:lang w:val="zh-CN"/>
        </w:rPr>
        <w:t>时效</w:t>
      </w:r>
      <w:r>
        <w:rPr>
          <w:rFonts w:hint="eastAsia" w:ascii="仿宋_GB2312" w:hAnsi="仿宋_GB2312" w:eastAsia="仿宋_GB2312" w:cs="仿宋_GB2312"/>
          <w:color w:val="auto"/>
          <w:kern w:val="0"/>
          <w:sz w:val="32"/>
          <w:szCs w:val="32"/>
          <w:highlight w:val="none"/>
          <w:u w:val="none"/>
          <w:shd w:val="clear" w:color="auto" w:fill="FFFFFF"/>
          <w:lang w:val="en-US" w:eastAsia="zh-CN"/>
        </w:rPr>
        <w:t>指标完成情况：</w:t>
      </w:r>
      <w:r>
        <w:rPr>
          <w:rFonts w:hint="eastAsia" w:hAnsi="仿宋_GB2312" w:cs="仿宋_GB2312"/>
          <w:color w:val="auto"/>
          <w:kern w:val="0"/>
          <w:sz w:val="32"/>
          <w:szCs w:val="32"/>
          <w:highlight w:val="none"/>
          <w:u w:val="none"/>
          <w:shd w:val="clear" w:color="auto" w:fill="FFFFFF"/>
          <w:lang w:val="en-US" w:eastAsia="zh-CN"/>
        </w:rPr>
        <w:t>项目（工程）完工时间2022年12月30日，指标完成率100%；</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无</w:t>
      </w:r>
      <w:r>
        <w:rPr>
          <w:rFonts w:hint="eastAsia" w:ascii="仿宋_GB2312" w:hAnsi="仿宋_GB2312" w:eastAsia="仿宋_GB2312" w:cs="仿宋_GB2312"/>
          <w:color w:val="auto"/>
          <w:kern w:val="0"/>
          <w:sz w:val="32"/>
          <w:szCs w:val="32"/>
          <w:highlight w:val="none"/>
          <w:u w:val="none"/>
          <w:shd w:val="clear" w:color="auto" w:fill="FFFFFF"/>
          <w:lang w:val="zh-CN"/>
        </w:rPr>
        <w:t>资金结余情况，</w:t>
      </w:r>
      <w:r>
        <w:rPr>
          <w:rFonts w:hint="eastAsia" w:ascii="仿宋_GB2312" w:hAnsi="仿宋_GB2312" w:eastAsia="仿宋_GB2312" w:cs="仿宋_GB2312"/>
          <w:color w:val="auto"/>
          <w:kern w:val="0"/>
          <w:sz w:val="32"/>
          <w:szCs w:val="32"/>
          <w:highlight w:val="none"/>
          <w:u w:val="none"/>
          <w:shd w:val="clear" w:color="auto" w:fill="FFFFFF"/>
          <w:lang w:val="en-US" w:eastAsia="zh-CN"/>
        </w:rPr>
        <w:t>无</w:t>
      </w:r>
      <w:r>
        <w:rPr>
          <w:rFonts w:hint="eastAsia" w:ascii="仿宋_GB2312" w:hAnsi="仿宋_GB2312" w:eastAsia="仿宋_GB2312" w:cs="仿宋_GB2312"/>
          <w:color w:val="auto"/>
          <w:kern w:val="0"/>
          <w:sz w:val="32"/>
          <w:szCs w:val="32"/>
          <w:highlight w:val="none"/>
          <w:u w:val="none"/>
          <w:shd w:val="clear" w:color="auto" w:fill="FFFFFF"/>
          <w:lang w:val="zh-CN"/>
        </w:rPr>
        <w:t>违规记录。</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（二）项目效益情况。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default" w:ascii="仿宋_GB2312" w:hAnsi="仿宋_GB2312" w:eastAsia="仿宋_GB2312" w:cs="仿宋_GB2312"/>
          <w:color w:val="auto"/>
          <w:kern w:val="0"/>
          <w:sz w:val="32"/>
          <w:szCs w:val="32"/>
          <w:highlight w:val="none"/>
          <w:u w:val="none"/>
          <w:shd w:val="clear" w:color="auto" w:fill="FFFFFF"/>
          <w:lang w:val="en-US" w:eastAsia="zh-CN"/>
        </w:rPr>
      </w:pPr>
      <w:r>
        <w:rPr>
          <w:rFonts w:hint="eastAsia" w:ascii="仿宋_GB2312" w:hAnsi="仿宋_GB2312" w:eastAsia="仿宋_GB2312" w:cs="仿宋_GB2312"/>
          <w:color w:val="auto"/>
          <w:kern w:val="0"/>
          <w:sz w:val="32"/>
          <w:szCs w:val="32"/>
          <w:highlight w:val="none"/>
          <w:u w:val="none"/>
          <w:shd w:val="clear" w:color="auto" w:fill="FFFFFF"/>
          <w:lang w:val="zh-CN"/>
        </w:rPr>
        <w:t>经济效益</w:t>
      </w:r>
      <w:r>
        <w:rPr>
          <w:rFonts w:hint="eastAsia" w:ascii="仿宋_GB2312" w:hAnsi="仿宋_GB2312" w:eastAsia="仿宋_GB2312" w:cs="仿宋_GB2312"/>
          <w:color w:val="auto"/>
          <w:kern w:val="0"/>
          <w:sz w:val="32"/>
          <w:szCs w:val="32"/>
          <w:highlight w:val="none"/>
          <w:u w:val="none"/>
          <w:shd w:val="clear" w:color="auto" w:fill="FFFFFF"/>
          <w:lang w:val="en-US" w:eastAsia="zh-CN"/>
        </w:rPr>
        <w:t>情况：成本控制在49.0521万元，成本控制手段执行较好；</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default" w:ascii="仿宋_GB2312" w:hAnsi="仿宋_GB2312" w:eastAsia="仿宋_GB2312" w:cs="仿宋_GB2312"/>
          <w:color w:val="auto"/>
          <w:kern w:val="0"/>
          <w:sz w:val="32"/>
          <w:szCs w:val="32"/>
          <w:highlight w:val="none"/>
          <w:u w:val="none"/>
          <w:shd w:val="clear" w:color="auto" w:fill="FFFFFF"/>
          <w:lang w:val="en-US" w:eastAsia="zh-CN"/>
        </w:rPr>
      </w:pPr>
      <w:r>
        <w:rPr>
          <w:rFonts w:hint="eastAsia" w:ascii="仿宋_GB2312" w:hAnsi="仿宋_GB2312" w:eastAsia="仿宋_GB2312" w:cs="仿宋_GB2312"/>
          <w:color w:val="auto"/>
          <w:kern w:val="0"/>
          <w:sz w:val="32"/>
          <w:szCs w:val="32"/>
          <w:highlight w:val="none"/>
          <w:u w:val="none"/>
          <w:shd w:val="clear" w:color="auto" w:fill="FFFFFF"/>
          <w:lang w:val="zh-CN"/>
        </w:rPr>
        <w:t>社会效益</w:t>
      </w:r>
      <w:r>
        <w:rPr>
          <w:rFonts w:hint="eastAsia" w:ascii="仿宋_GB2312" w:hAnsi="仿宋_GB2312" w:eastAsia="仿宋_GB2312" w:cs="仿宋_GB2312"/>
          <w:color w:val="auto"/>
          <w:kern w:val="0"/>
          <w:sz w:val="32"/>
          <w:szCs w:val="32"/>
          <w:highlight w:val="none"/>
          <w:u w:val="none"/>
          <w:shd w:val="clear" w:color="auto" w:fill="FFFFFF"/>
          <w:lang w:val="en-US" w:eastAsia="zh-CN"/>
        </w:rPr>
        <w:t>情况：畅通三墩至漆树村社道路，方便群众出行，保障群众出行安全；</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可持续效益</w:t>
      </w:r>
      <w:r>
        <w:rPr>
          <w:rFonts w:hint="eastAsia" w:ascii="仿宋_GB2312" w:hAnsi="仿宋_GB2312" w:eastAsia="仿宋_GB2312" w:cs="仿宋_GB2312"/>
          <w:color w:val="auto"/>
          <w:kern w:val="0"/>
          <w:sz w:val="32"/>
          <w:szCs w:val="32"/>
          <w:highlight w:val="none"/>
          <w:u w:val="none"/>
          <w:shd w:val="clear" w:color="auto" w:fill="FFFFFF"/>
          <w:lang w:val="en-US" w:eastAsia="zh-CN"/>
        </w:rPr>
        <w:t>情况：完善当地基础设施，健全管理机制；</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服务对象满意度</w:t>
      </w:r>
      <w:r>
        <w:rPr>
          <w:rFonts w:hint="eastAsia" w:ascii="仿宋_GB2312" w:hAnsi="仿宋_GB2312" w:eastAsia="仿宋_GB2312" w:cs="仿宋_GB2312"/>
          <w:color w:val="auto"/>
          <w:kern w:val="0"/>
          <w:sz w:val="32"/>
          <w:szCs w:val="32"/>
          <w:highlight w:val="none"/>
          <w:u w:val="none"/>
          <w:shd w:val="clear" w:color="auto" w:fill="FFFFFF"/>
          <w:lang w:val="en-US" w:eastAsia="zh-CN"/>
        </w:rPr>
        <w:t>情况：切实解决当地群众出行问题，项目实施效果良好，群众满意度高</w:t>
      </w:r>
      <w:r>
        <w:rPr>
          <w:rFonts w:hint="eastAsia" w:ascii="仿宋_GB2312" w:hAnsi="仿宋_GB2312" w:eastAsia="仿宋_GB2312" w:cs="仿宋_GB2312"/>
          <w:color w:val="auto"/>
          <w:kern w:val="0"/>
          <w:sz w:val="32"/>
          <w:szCs w:val="32"/>
          <w:highlight w:val="none"/>
          <w:u w:val="none"/>
          <w:shd w:val="clear" w:color="auto" w:fill="FFFFFF"/>
          <w:lang w:val="zh-CN"/>
        </w:rPr>
        <w:t>。</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u w:val="none"/>
        </w:rPr>
      </w:pPr>
      <w:r>
        <w:rPr>
          <w:rFonts w:hint="eastAsia" w:ascii="黑体" w:hAnsi="宋体" w:eastAsia="黑体"/>
          <w:color w:val="auto"/>
          <w:sz w:val="32"/>
          <w:szCs w:val="32"/>
          <w:highlight w:val="none"/>
          <w:u w:val="none"/>
        </w:rPr>
        <w:t>五、评价结论及建议</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（一）评价结论。</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在一定程度上改善了当地居民的生产生活条件，缓解了群众的出行压力，同时为</w:t>
      </w:r>
      <w:r>
        <w:rPr>
          <w:rFonts w:hint="eastAsia" w:ascii="仿宋_GB2312" w:hAnsi="仿宋_GB2312" w:eastAsia="仿宋_GB2312" w:cs="仿宋_GB2312"/>
          <w:color w:val="auto"/>
          <w:kern w:val="0"/>
          <w:sz w:val="32"/>
          <w:szCs w:val="32"/>
          <w:highlight w:val="none"/>
          <w:u w:val="none"/>
          <w:shd w:val="clear" w:color="auto" w:fill="FFFFFF"/>
          <w:lang w:val="en-US" w:eastAsia="zh-CN"/>
        </w:rPr>
        <w:t>乡村振兴</w:t>
      </w:r>
      <w:r>
        <w:rPr>
          <w:rFonts w:hint="eastAsia" w:ascii="仿宋_GB2312" w:hAnsi="仿宋_GB2312" w:eastAsia="仿宋_GB2312" w:cs="仿宋_GB2312"/>
          <w:color w:val="auto"/>
          <w:kern w:val="0"/>
          <w:sz w:val="32"/>
          <w:szCs w:val="32"/>
          <w:highlight w:val="none"/>
          <w:u w:val="none"/>
          <w:shd w:val="clear" w:color="auto" w:fill="FFFFFF"/>
          <w:lang w:val="zh-CN"/>
        </w:rPr>
        <w:t>的发展打下基础。</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（二）存在的问题。</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en-US" w:eastAsia="zh-CN"/>
        </w:rPr>
      </w:pPr>
      <w:r>
        <w:rPr>
          <w:rFonts w:hint="eastAsia" w:ascii="仿宋_GB2312" w:hAnsi="仿宋_GB2312" w:eastAsia="仿宋_GB2312" w:cs="仿宋_GB2312"/>
          <w:sz w:val="32"/>
          <w:szCs w:val="32"/>
          <w:lang w:val="en-US" w:eastAsia="zh-CN"/>
        </w:rPr>
        <w:t>后续管理工作推进力度不足，未形成</w:t>
      </w:r>
      <w:r>
        <w:rPr>
          <w:rFonts w:hint="eastAsia" w:ascii="仿宋_GB2312" w:hAnsi="仿宋_GB2312" w:eastAsia="仿宋_GB2312" w:cs="仿宋_GB2312"/>
          <w:sz w:val="32"/>
          <w:szCs w:val="32"/>
        </w:rPr>
        <w:t>形成相关管理文件，以实现项目的长效管理，推动项目可持续发展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尚未形成基础设施后续管理办法</w:t>
      </w:r>
      <w:r>
        <w:rPr>
          <w:rFonts w:hint="eastAsia" w:ascii="仿宋_GB2312" w:hAnsi="仿宋_GB2312" w:eastAsia="仿宋_GB2312" w:cs="仿宋_GB2312"/>
          <w:color w:val="auto"/>
          <w:kern w:val="0"/>
          <w:sz w:val="32"/>
          <w:szCs w:val="32"/>
          <w:highlight w:val="none"/>
          <w:u w:val="none"/>
          <w:shd w:val="clear" w:color="auto" w:fill="FFFFFF"/>
          <w:lang w:val="en-US" w:eastAsia="zh-CN"/>
        </w:rPr>
        <w:t>。</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（三）相关建议。</w:t>
      </w:r>
    </w:p>
    <w:p>
      <w:pPr>
        <w:autoSpaceDE w:val="0"/>
        <w:autoSpaceDN w:val="0"/>
        <w:adjustRightInd w:val="0"/>
        <w:spacing w:line="600" w:lineRule="exact"/>
        <w:ind w:firstLine="640" w:firstLineChars="200"/>
        <w:jc w:val="both"/>
        <w:rPr>
          <w:rFonts w:hint="eastAsia" w:ascii="仿宋_GB2312" w:hAnsi="仿宋_GB2312" w:eastAsia="仿宋_GB2312" w:cs="仿宋_GB2312"/>
          <w:b/>
          <w:bCs w:val="0"/>
          <w:color w:val="auto"/>
          <w:sz w:val="32"/>
          <w:szCs w:val="32"/>
          <w:highlight w:val="none"/>
          <w:lang w:eastAsia="zh-CN"/>
        </w:rPr>
      </w:pPr>
      <w:r>
        <w:rPr>
          <w:rFonts w:hint="eastAsia" w:ascii="仿宋_GB2312" w:hAnsi="仿宋_GB2312" w:eastAsia="仿宋_GB2312" w:cs="仿宋_GB2312"/>
          <w:sz w:val="32"/>
          <w:szCs w:val="32"/>
        </w:rPr>
        <w:t>建立项目后续管理制度，有效推进项目长效管理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是建议加快落实项目移交管理使用制度，把建后的项目交付使用管理纳入乡镇、村年度目标管理考核范围，对项目管理到位、管护规范、管护效果好的、年度考核分值良好的乡镇，在第二年项目规划安排中予以优先考虑。同时建立项目移交协议，严格建后使用移交手续，明确管护责任主体，做到项目建成后交付使用明确、管理落实到村到屯。二是建议加强与其他部门的联动，针对道路安全问题，应根据群众需求，分析其合理性后，将相关配套设施工作纳入下一年建设计划中，保证道路使用安全，持续提升受益群众的满意度，实现项目效益最大化。</w:t>
      </w:r>
    </w:p>
    <w:p>
      <w:pPr>
        <w:rPr>
          <w:rFonts w:hint="eastAsia" w:hAnsi="宋体" w:cs="宋体"/>
          <w:color w:val="auto"/>
          <w:kern w:val="0"/>
          <w:sz w:val="32"/>
          <w:szCs w:val="32"/>
          <w:highlight w:val="none"/>
          <w:shd w:val="clear" w:color="auto" w:fill="FFFFFF"/>
          <w:lang w:val="zh-CN"/>
        </w:rPr>
      </w:pPr>
      <w:r>
        <w:rPr>
          <w:rFonts w:hint="eastAsia" w:hAnsi="宋体" w:cs="宋体"/>
          <w:color w:val="auto"/>
          <w:kern w:val="0"/>
          <w:sz w:val="32"/>
          <w:szCs w:val="32"/>
          <w:highlight w:val="none"/>
          <w:shd w:val="clear" w:color="auto" w:fill="FFFFFF"/>
          <w:lang w:val="zh-CN"/>
        </w:rPr>
        <w:br w:type="page"/>
      </w:r>
    </w:p>
    <w:p>
      <w:pPr>
        <w:pStyle w:val="2"/>
        <w:rPr>
          <w:rFonts w:hint="eastAsia"/>
          <w:lang w:val="zh-CN"/>
        </w:rPr>
      </w:pPr>
    </w:p>
    <w:p>
      <w:pPr>
        <w:spacing w:line="600" w:lineRule="exact"/>
        <w:jc w:val="center"/>
        <w:outlineLvl w:val="0"/>
        <w:rPr>
          <w:rFonts w:hint="eastAsia" w:ascii="仿宋" w:hAnsi="仿宋" w:eastAsia="仿宋"/>
          <w:b w:val="0"/>
          <w:color w:val="auto"/>
          <w:highlight w:val="none"/>
        </w:rPr>
      </w:pPr>
      <w:bookmarkStart w:id="76" w:name="_Toc15396618"/>
      <w:bookmarkStart w:id="77" w:name="_Toc25104"/>
      <w:r>
        <w:rPr>
          <w:rFonts w:hint="eastAsia" w:ascii="黑体" w:hAnsi="黑体" w:eastAsia="黑体"/>
          <w:color w:val="auto"/>
          <w:sz w:val="44"/>
          <w:szCs w:val="44"/>
          <w:highlight w:val="none"/>
        </w:rPr>
        <w:t>第</w:t>
      </w:r>
      <w:r>
        <w:rPr>
          <w:rStyle w:val="27"/>
          <w:rFonts w:hint="eastAsia" w:ascii="黑体" w:hAnsi="黑体" w:eastAsia="黑体"/>
          <w:b w:val="0"/>
          <w:color w:val="auto"/>
          <w:highlight w:val="none"/>
        </w:rPr>
        <w:t>五部分 附表</w:t>
      </w:r>
      <w:bookmarkEnd w:id="73"/>
      <w:bookmarkEnd w:id="76"/>
      <w:bookmarkEnd w:id="77"/>
      <w:bookmarkStart w:id="78" w:name="_Toc15396619"/>
    </w:p>
    <w:p>
      <w:pPr>
        <w:pStyle w:val="4"/>
        <w:rPr>
          <w:rFonts w:hint="eastAsia" w:ascii="仿宋_GB2312" w:hAnsi="仿宋_GB2312" w:eastAsia="仿宋_GB2312" w:cs="仿宋_GB2312"/>
          <w:color w:val="auto"/>
          <w:highlight w:val="none"/>
        </w:rPr>
      </w:pPr>
      <w:bookmarkStart w:id="79" w:name="_Toc17453"/>
      <w:r>
        <w:rPr>
          <w:rFonts w:hint="eastAsia" w:ascii="仿宋_GB2312" w:hAnsi="仿宋_GB2312" w:eastAsia="仿宋_GB2312" w:cs="仿宋_GB2312"/>
          <w:b w:val="0"/>
          <w:color w:val="auto"/>
          <w:highlight w:val="none"/>
        </w:rPr>
        <w:t>一、收</w:t>
      </w:r>
      <w:r>
        <w:rPr>
          <w:rStyle w:val="28"/>
          <w:rFonts w:hint="eastAsia" w:ascii="仿宋_GB2312" w:hAnsi="仿宋_GB2312" w:eastAsia="仿宋_GB2312" w:cs="仿宋_GB2312"/>
          <w:b w:val="0"/>
          <w:bCs w:val="0"/>
          <w:color w:val="auto"/>
          <w:highlight w:val="none"/>
        </w:rPr>
        <w:t>入支出决算总表</w:t>
      </w:r>
      <w:bookmarkEnd w:id="78"/>
      <w:bookmarkEnd w:id="79"/>
    </w:p>
    <w:p>
      <w:pPr>
        <w:pStyle w:val="4"/>
        <w:rPr>
          <w:rFonts w:hint="eastAsia" w:ascii="仿宋_GB2312" w:hAnsi="仿宋_GB2312" w:eastAsia="仿宋_GB2312" w:cs="仿宋_GB2312"/>
          <w:color w:val="auto"/>
          <w:highlight w:val="none"/>
        </w:rPr>
      </w:pPr>
      <w:bookmarkStart w:id="80" w:name="_Toc15396620"/>
      <w:bookmarkStart w:id="81" w:name="_Toc23545"/>
      <w:r>
        <w:rPr>
          <w:rFonts w:hint="eastAsia" w:ascii="仿宋_GB2312" w:hAnsi="仿宋_GB2312" w:eastAsia="仿宋_GB2312" w:cs="仿宋_GB2312"/>
          <w:b w:val="0"/>
          <w:color w:val="auto"/>
          <w:highlight w:val="none"/>
        </w:rPr>
        <w:t>二、收</w:t>
      </w:r>
      <w:r>
        <w:rPr>
          <w:rStyle w:val="28"/>
          <w:rFonts w:hint="eastAsia" w:ascii="仿宋_GB2312" w:hAnsi="仿宋_GB2312" w:eastAsia="仿宋_GB2312" w:cs="仿宋_GB2312"/>
          <w:b w:val="0"/>
          <w:bCs w:val="0"/>
          <w:color w:val="auto"/>
          <w:highlight w:val="none"/>
        </w:rPr>
        <w:t>入决算表</w:t>
      </w:r>
      <w:bookmarkEnd w:id="80"/>
      <w:bookmarkEnd w:id="81"/>
    </w:p>
    <w:p>
      <w:pPr>
        <w:pStyle w:val="4"/>
        <w:rPr>
          <w:rFonts w:hint="eastAsia" w:ascii="仿宋_GB2312" w:hAnsi="仿宋_GB2312" w:eastAsia="仿宋_GB2312" w:cs="仿宋_GB2312"/>
          <w:color w:val="auto"/>
          <w:highlight w:val="none"/>
        </w:rPr>
      </w:pPr>
      <w:bookmarkStart w:id="82" w:name="_Toc15396621"/>
      <w:bookmarkStart w:id="83" w:name="_Toc25120"/>
      <w:r>
        <w:rPr>
          <w:rStyle w:val="28"/>
          <w:rFonts w:hint="eastAsia" w:ascii="仿宋_GB2312" w:hAnsi="仿宋_GB2312" w:eastAsia="仿宋_GB2312" w:cs="仿宋_GB2312"/>
          <w:b w:val="0"/>
          <w:bCs w:val="0"/>
          <w:color w:val="auto"/>
          <w:highlight w:val="none"/>
        </w:rPr>
        <w:t>三、</w:t>
      </w:r>
      <w:r>
        <w:rPr>
          <w:rFonts w:hint="eastAsia" w:ascii="仿宋_GB2312" w:hAnsi="仿宋_GB2312" w:eastAsia="仿宋_GB2312" w:cs="仿宋_GB2312"/>
          <w:b w:val="0"/>
          <w:color w:val="auto"/>
          <w:highlight w:val="none"/>
        </w:rPr>
        <w:t>支</w:t>
      </w:r>
      <w:r>
        <w:rPr>
          <w:rStyle w:val="28"/>
          <w:rFonts w:hint="eastAsia" w:ascii="仿宋_GB2312" w:hAnsi="仿宋_GB2312" w:eastAsia="仿宋_GB2312" w:cs="仿宋_GB2312"/>
          <w:b w:val="0"/>
          <w:bCs w:val="0"/>
          <w:color w:val="auto"/>
          <w:highlight w:val="none"/>
        </w:rPr>
        <w:t>出决算表</w:t>
      </w:r>
      <w:bookmarkEnd w:id="82"/>
      <w:bookmarkEnd w:id="83"/>
    </w:p>
    <w:p>
      <w:pPr>
        <w:pStyle w:val="4"/>
        <w:rPr>
          <w:rFonts w:hint="eastAsia" w:ascii="仿宋_GB2312" w:hAnsi="仿宋_GB2312" w:eastAsia="仿宋_GB2312" w:cs="仿宋_GB2312"/>
          <w:b w:val="0"/>
          <w:color w:val="auto"/>
          <w:highlight w:val="none"/>
        </w:rPr>
      </w:pPr>
      <w:bookmarkStart w:id="84" w:name="_Toc15396622"/>
      <w:bookmarkStart w:id="85" w:name="_Toc3895"/>
      <w:r>
        <w:rPr>
          <w:rStyle w:val="28"/>
          <w:rFonts w:hint="eastAsia" w:ascii="仿宋_GB2312" w:hAnsi="仿宋_GB2312" w:eastAsia="仿宋_GB2312" w:cs="仿宋_GB2312"/>
          <w:b w:val="0"/>
          <w:bCs w:val="0"/>
          <w:color w:val="auto"/>
          <w:highlight w:val="none"/>
        </w:rPr>
        <w:t>四、</w:t>
      </w:r>
      <w:r>
        <w:rPr>
          <w:rFonts w:hint="eastAsia" w:ascii="仿宋_GB2312" w:hAnsi="仿宋_GB2312" w:eastAsia="仿宋_GB2312" w:cs="仿宋_GB2312"/>
          <w:b w:val="0"/>
          <w:color w:val="auto"/>
          <w:highlight w:val="none"/>
        </w:rPr>
        <w:t>财</w:t>
      </w:r>
      <w:r>
        <w:rPr>
          <w:rStyle w:val="28"/>
          <w:rFonts w:hint="eastAsia" w:ascii="仿宋_GB2312" w:hAnsi="仿宋_GB2312" w:eastAsia="仿宋_GB2312" w:cs="仿宋_GB2312"/>
          <w:b w:val="0"/>
          <w:bCs w:val="0"/>
          <w:color w:val="auto"/>
          <w:highlight w:val="none"/>
        </w:rPr>
        <w:t>政拨款收入支出决算总表</w:t>
      </w:r>
      <w:bookmarkEnd w:id="84"/>
      <w:bookmarkEnd w:id="85"/>
    </w:p>
    <w:p>
      <w:pPr>
        <w:pStyle w:val="4"/>
        <w:rPr>
          <w:rStyle w:val="28"/>
          <w:rFonts w:hint="eastAsia" w:ascii="仿宋_GB2312" w:hAnsi="仿宋_GB2312" w:eastAsia="仿宋_GB2312" w:cs="仿宋_GB2312"/>
          <w:b w:val="0"/>
          <w:bCs w:val="0"/>
          <w:color w:val="auto"/>
          <w:highlight w:val="none"/>
        </w:rPr>
      </w:pPr>
      <w:bookmarkStart w:id="86" w:name="_Toc15396623"/>
      <w:bookmarkStart w:id="87" w:name="_Toc4289"/>
      <w:r>
        <w:rPr>
          <w:rStyle w:val="28"/>
          <w:rFonts w:hint="eastAsia" w:ascii="仿宋_GB2312" w:hAnsi="仿宋_GB2312" w:eastAsia="仿宋_GB2312" w:cs="仿宋_GB2312"/>
          <w:b w:val="0"/>
          <w:bCs w:val="0"/>
          <w:color w:val="auto"/>
          <w:highlight w:val="none"/>
        </w:rPr>
        <w:t>五、</w:t>
      </w:r>
      <w:r>
        <w:rPr>
          <w:rFonts w:hint="eastAsia" w:ascii="仿宋_GB2312" w:hAnsi="仿宋_GB2312" w:eastAsia="仿宋_GB2312" w:cs="仿宋_GB2312"/>
          <w:b w:val="0"/>
          <w:color w:val="auto"/>
          <w:highlight w:val="none"/>
        </w:rPr>
        <w:t>财</w:t>
      </w:r>
      <w:r>
        <w:rPr>
          <w:rStyle w:val="28"/>
          <w:rFonts w:hint="eastAsia" w:ascii="仿宋_GB2312" w:hAnsi="仿宋_GB2312" w:eastAsia="仿宋_GB2312" w:cs="仿宋_GB2312"/>
          <w:b w:val="0"/>
          <w:bCs w:val="0"/>
          <w:color w:val="auto"/>
          <w:highlight w:val="none"/>
        </w:rPr>
        <w:t>政拨款支出决算明细表</w:t>
      </w:r>
      <w:bookmarkEnd w:id="86"/>
      <w:bookmarkEnd w:id="87"/>
      <w:bookmarkStart w:id="88" w:name="_Toc15396624"/>
    </w:p>
    <w:p>
      <w:pPr>
        <w:pStyle w:val="4"/>
        <w:rPr>
          <w:rFonts w:hint="eastAsia" w:ascii="仿宋_GB2312" w:hAnsi="仿宋_GB2312" w:eastAsia="仿宋_GB2312" w:cs="仿宋_GB2312"/>
          <w:color w:val="auto"/>
          <w:highlight w:val="none"/>
        </w:rPr>
      </w:pPr>
      <w:bookmarkStart w:id="89" w:name="_Toc23397"/>
      <w:r>
        <w:rPr>
          <w:rStyle w:val="28"/>
          <w:rFonts w:hint="eastAsia" w:ascii="仿宋_GB2312" w:hAnsi="仿宋_GB2312" w:eastAsia="仿宋_GB2312" w:cs="仿宋_GB2312"/>
          <w:b w:val="0"/>
          <w:bCs w:val="0"/>
          <w:color w:val="auto"/>
          <w:highlight w:val="none"/>
        </w:rPr>
        <w:t>六、</w:t>
      </w:r>
      <w:r>
        <w:rPr>
          <w:rFonts w:hint="eastAsia" w:ascii="仿宋_GB2312" w:hAnsi="仿宋_GB2312" w:eastAsia="仿宋_GB2312" w:cs="仿宋_GB2312"/>
          <w:b w:val="0"/>
          <w:color w:val="auto"/>
          <w:highlight w:val="none"/>
        </w:rPr>
        <w:t>一</w:t>
      </w:r>
      <w:r>
        <w:rPr>
          <w:rStyle w:val="28"/>
          <w:rFonts w:hint="eastAsia" w:ascii="仿宋_GB2312" w:hAnsi="仿宋_GB2312" w:eastAsia="仿宋_GB2312" w:cs="仿宋_GB2312"/>
          <w:b w:val="0"/>
          <w:bCs w:val="0"/>
          <w:color w:val="auto"/>
          <w:highlight w:val="none"/>
        </w:rPr>
        <w:t>般公共预算财政拨款支出决算表</w:t>
      </w:r>
      <w:bookmarkEnd w:id="88"/>
      <w:bookmarkEnd w:id="89"/>
    </w:p>
    <w:p>
      <w:pPr>
        <w:pStyle w:val="4"/>
        <w:rPr>
          <w:rFonts w:hint="eastAsia" w:ascii="仿宋_GB2312" w:hAnsi="仿宋_GB2312" w:eastAsia="仿宋_GB2312" w:cs="仿宋_GB2312"/>
          <w:color w:val="auto"/>
          <w:highlight w:val="none"/>
        </w:rPr>
      </w:pPr>
      <w:bookmarkStart w:id="90" w:name="_Toc15396625"/>
      <w:bookmarkStart w:id="91" w:name="_Toc4253"/>
      <w:r>
        <w:rPr>
          <w:rStyle w:val="28"/>
          <w:rFonts w:hint="eastAsia" w:ascii="仿宋_GB2312" w:hAnsi="仿宋_GB2312" w:eastAsia="仿宋_GB2312" w:cs="仿宋_GB2312"/>
          <w:b w:val="0"/>
          <w:bCs w:val="0"/>
          <w:color w:val="auto"/>
          <w:highlight w:val="none"/>
        </w:rPr>
        <w:t>七、</w:t>
      </w:r>
      <w:r>
        <w:rPr>
          <w:rFonts w:hint="eastAsia" w:ascii="仿宋_GB2312" w:hAnsi="仿宋_GB2312" w:eastAsia="仿宋_GB2312" w:cs="仿宋_GB2312"/>
          <w:b w:val="0"/>
          <w:color w:val="auto"/>
          <w:highlight w:val="none"/>
        </w:rPr>
        <w:t>一</w:t>
      </w:r>
      <w:r>
        <w:rPr>
          <w:rStyle w:val="28"/>
          <w:rFonts w:hint="eastAsia" w:ascii="仿宋_GB2312" w:hAnsi="仿宋_GB2312" w:eastAsia="仿宋_GB2312" w:cs="仿宋_GB2312"/>
          <w:b w:val="0"/>
          <w:bCs w:val="0"/>
          <w:color w:val="auto"/>
          <w:highlight w:val="none"/>
        </w:rPr>
        <w:t>般公共预算财政拨款支出决算明细表</w:t>
      </w:r>
      <w:bookmarkEnd w:id="90"/>
      <w:bookmarkEnd w:id="91"/>
    </w:p>
    <w:p>
      <w:pPr>
        <w:pStyle w:val="4"/>
        <w:rPr>
          <w:rFonts w:hint="eastAsia" w:ascii="仿宋_GB2312" w:hAnsi="仿宋_GB2312" w:eastAsia="仿宋_GB2312" w:cs="仿宋_GB2312"/>
          <w:color w:val="auto"/>
          <w:highlight w:val="none"/>
        </w:rPr>
      </w:pPr>
      <w:bookmarkStart w:id="92" w:name="_Toc15396626"/>
      <w:bookmarkStart w:id="93" w:name="_Toc26809"/>
      <w:r>
        <w:rPr>
          <w:rStyle w:val="28"/>
          <w:rFonts w:hint="eastAsia" w:ascii="仿宋_GB2312" w:hAnsi="仿宋_GB2312" w:eastAsia="仿宋_GB2312" w:cs="仿宋_GB2312"/>
          <w:b w:val="0"/>
          <w:bCs w:val="0"/>
          <w:color w:val="auto"/>
          <w:highlight w:val="none"/>
        </w:rPr>
        <w:t>八、</w:t>
      </w:r>
      <w:r>
        <w:rPr>
          <w:rFonts w:hint="eastAsia" w:ascii="仿宋_GB2312" w:hAnsi="仿宋_GB2312" w:eastAsia="仿宋_GB2312" w:cs="仿宋_GB2312"/>
          <w:b w:val="0"/>
          <w:color w:val="auto"/>
          <w:highlight w:val="none"/>
        </w:rPr>
        <w:t>一</w:t>
      </w:r>
      <w:r>
        <w:rPr>
          <w:rStyle w:val="28"/>
          <w:rFonts w:hint="eastAsia" w:ascii="仿宋_GB2312" w:hAnsi="仿宋_GB2312" w:eastAsia="仿宋_GB2312" w:cs="仿宋_GB2312"/>
          <w:b w:val="0"/>
          <w:bCs w:val="0"/>
          <w:color w:val="auto"/>
          <w:highlight w:val="none"/>
        </w:rPr>
        <w:t>般公共预算财政拨款基本支出决算表</w:t>
      </w:r>
      <w:bookmarkEnd w:id="92"/>
      <w:bookmarkEnd w:id="93"/>
    </w:p>
    <w:p>
      <w:pPr>
        <w:pStyle w:val="4"/>
        <w:rPr>
          <w:rFonts w:hint="eastAsia" w:ascii="仿宋_GB2312" w:hAnsi="仿宋_GB2312" w:eastAsia="仿宋_GB2312" w:cs="仿宋_GB2312"/>
          <w:color w:val="auto"/>
          <w:highlight w:val="none"/>
        </w:rPr>
      </w:pPr>
      <w:bookmarkStart w:id="94" w:name="_Toc15396627"/>
      <w:bookmarkStart w:id="95" w:name="_Toc5002"/>
      <w:r>
        <w:rPr>
          <w:rStyle w:val="28"/>
          <w:rFonts w:hint="eastAsia" w:ascii="仿宋_GB2312" w:hAnsi="仿宋_GB2312" w:eastAsia="仿宋_GB2312" w:cs="仿宋_GB2312"/>
          <w:b w:val="0"/>
          <w:bCs w:val="0"/>
          <w:color w:val="auto"/>
          <w:highlight w:val="none"/>
        </w:rPr>
        <w:t>九、</w:t>
      </w:r>
      <w:r>
        <w:rPr>
          <w:rFonts w:hint="eastAsia" w:ascii="仿宋_GB2312" w:hAnsi="仿宋_GB2312" w:eastAsia="仿宋_GB2312" w:cs="仿宋_GB2312"/>
          <w:b w:val="0"/>
          <w:color w:val="auto"/>
          <w:highlight w:val="none"/>
        </w:rPr>
        <w:t>一</w:t>
      </w:r>
      <w:r>
        <w:rPr>
          <w:rStyle w:val="28"/>
          <w:rFonts w:hint="eastAsia" w:ascii="仿宋_GB2312" w:hAnsi="仿宋_GB2312" w:eastAsia="仿宋_GB2312" w:cs="仿宋_GB2312"/>
          <w:b w:val="0"/>
          <w:bCs w:val="0"/>
          <w:color w:val="auto"/>
          <w:highlight w:val="none"/>
        </w:rPr>
        <w:t>般公共预算财政拨款项目支出决算表</w:t>
      </w:r>
      <w:bookmarkEnd w:id="94"/>
      <w:bookmarkEnd w:id="95"/>
    </w:p>
    <w:p>
      <w:pPr>
        <w:pStyle w:val="4"/>
        <w:rPr>
          <w:rFonts w:hint="eastAsia" w:ascii="仿宋_GB2312" w:hAnsi="仿宋_GB2312" w:eastAsia="仿宋_GB2312" w:cs="仿宋_GB2312"/>
          <w:color w:val="auto"/>
          <w:highlight w:val="none"/>
        </w:rPr>
      </w:pPr>
      <w:bookmarkStart w:id="96" w:name="_Toc15396628"/>
      <w:bookmarkStart w:id="97" w:name="_Toc27226"/>
      <w:r>
        <w:rPr>
          <w:rStyle w:val="28"/>
          <w:rFonts w:hint="eastAsia" w:ascii="仿宋_GB2312" w:hAnsi="仿宋_GB2312" w:eastAsia="仿宋_GB2312" w:cs="仿宋_GB2312"/>
          <w:b w:val="0"/>
          <w:bCs w:val="0"/>
          <w:color w:val="auto"/>
          <w:highlight w:val="none"/>
        </w:rPr>
        <w:t>十、</w:t>
      </w:r>
      <w:bookmarkEnd w:id="96"/>
      <w:r>
        <w:rPr>
          <w:rFonts w:hint="eastAsia" w:ascii="仿宋_GB2312" w:hAnsi="仿宋_GB2312" w:eastAsia="仿宋_GB2312" w:cs="仿宋_GB2312"/>
          <w:b w:val="0"/>
          <w:color w:val="auto"/>
          <w:highlight w:val="none"/>
        </w:rPr>
        <w:t>政</w:t>
      </w:r>
      <w:r>
        <w:rPr>
          <w:rStyle w:val="28"/>
          <w:rFonts w:hint="eastAsia" w:ascii="仿宋_GB2312" w:hAnsi="仿宋_GB2312" w:eastAsia="仿宋_GB2312" w:cs="仿宋_GB2312"/>
          <w:b w:val="0"/>
          <w:bCs w:val="0"/>
          <w:color w:val="auto"/>
          <w:highlight w:val="none"/>
        </w:rPr>
        <w:t>府性基金预算财政拨款收入支出决算表</w:t>
      </w:r>
      <w:bookmarkEnd w:id="97"/>
    </w:p>
    <w:p>
      <w:pPr>
        <w:pStyle w:val="4"/>
        <w:rPr>
          <w:rFonts w:hint="eastAsia" w:ascii="仿宋_GB2312" w:hAnsi="仿宋_GB2312" w:eastAsia="仿宋_GB2312" w:cs="仿宋_GB2312"/>
          <w:color w:val="auto"/>
          <w:highlight w:val="none"/>
        </w:rPr>
      </w:pPr>
      <w:bookmarkStart w:id="98" w:name="_Toc15396629"/>
      <w:bookmarkStart w:id="99" w:name="_Toc19987"/>
      <w:r>
        <w:rPr>
          <w:rStyle w:val="28"/>
          <w:rFonts w:hint="eastAsia" w:ascii="仿宋_GB2312" w:hAnsi="仿宋_GB2312" w:eastAsia="仿宋_GB2312" w:cs="仿宋_GB2312"/>
          <w:b w:val="0"/>
          <w:bCs w:val="0"/>
          <w:color w:val="auto"/>
          <w:highlight w:val="none"/>
        </w:rPr>
        <w:t>十一、</w:t>
      </w:r>
      <w:bookmarkEnd w:id="98"/>
      <w:r>
        <w:rPr>
          <w:rFonts w:hint="eastAsia" w:ascii="仿宋_GB2312" w:hAnsi="仿宋_GB2312" w:eastAsia="仿宋_GB2312" w:cs="仿宋_GB2312"/>
          <w:b w:val="0"/>
          <w:color w:val="auto"/>
          <w:highlight w:val="none"/>
        </w:rPr>
        <w:t>国</w:t>
      </w:r>
      <w:r>
        <w:rPr>
          <w:rStyle w:val="28"/>
          <w:rFonts w:hint="eastAsia" w:ascii="仿宋_GB2312" w:hAnsi="仿宋_GB2312" w:eastAsia="仿宋_GB2312" w:cs="仿宋_GB2312"/>
          <w:b w:val="0"/>
          <w:bCs w:val="0"/>
          <w:color w:val="auto"/>
          <w:highlight w:val="none"/>
        </w:rPr>
        <w:t>有资本经营预算</w:t>
      </w:r>
      <w:r>
        <w:rPr>
          <w:rStyle w:val="28"/>
          <w:rFonts w:hint="eastAsia" w:ascii="仿宋_GB2312" w:hAnsi="仿宋_GB2312" w:eastAsia="仿宋_GB2312" w:cs="仿宋_GB2312"/>
          <w:b w:val="0"/>
          <w:bCs w:val="0"/>
          <w:color w:val="auto"/>
          <w:highlight w:val="none"/>
          <w:lang w:eastAsia="zh-CN"/>
        </w:rPr>
        <w:t>财政拨款收入</w:t>
      </w:r>
      <w:r>
        <w:rPr>
          <w:rStyle w:val="28"/>
          <w:rFonts w:hint="eastAsia" w:ascii="仿宋_GB2312" w:hAnsi="仿宋_GB2312" w:eastAsia="仿宋_GB2312" w:cs="仿宋_GB2312"/>
          <w:b w:val="0"/>
          <w:bCs w:val="0"/>
          <w:color w:val="auto"/>
          <w:highlight w:val="none"/>
        </w:rPr>
        <w:t>支出决算表</w:t>
      </w:r>
      <w:bookmarkEnd w:id="99"/>
    </w:p>
    <w:p>
      <w:pPr>
        <w:pStyle w:val="4"/>
        <w:rPr>
          <w:rFonts w:hint="eastAsia" w:ascii="仿宋_GB2312" w:hAnsi="仿宋_GB2312" w:eastAsia="仿宋_GB2312" w:cs="仿宋_GB2312"/>
          <w:color w:val="auto"/>
          <w:highlight w:val="none"/>
        </w:rPr>
      </w:pPr>
      <w:bookmarkStart w:id="100" w:name="_Toc15396630"/>
      <w:bookmarkStart w:id="101" w:name="_Toc24735"/>
      <w:r>
        <w:rPr>
          <w:rStyle w:val="28"/>
          <w:rFonts w:hint="eastAsia" w:ascii="仿宋_GB2312" w:hAnsi="仿宋_GB2312" w:eastAsia="仿宋_GB2312" w:cs="仿宋_GB2312"/>
          <w:b w:val="0"/>
          <w:bCs w:val="0"/>
          <w:color w:val="auto"/>
          <w:highlight w:val="none"/>
        </w:rPr>
        <w:t>十二、</w:t>
      </w:r>
      <w:bookmarkEnd w:id="100"/>
      <w:r>
        <w:rPr>
          <w:rStyle w:val="28"/>
          <w:rFonts w:hint="eastAsia" w:ascii="仿宋_GB2312" w:hAnsi="仿宋_GB2312" w:eastAsia="仿宋_GB2312" w:cs="仿宋_GB2312"/>
          <w:b w:val="0"/>
          <w:bCs w:val="0"/>
          <w:color w:val="auto"/>
          <w:highlight w:val="none"/>
          <w:lang w:eastAsia="zh-CN"/>
        </w:rPr>
        <w:t>国有资本经营预算财政拨款支出决算表</w:t>
      </w:r>
      <w:bookmarkEnd w:id="101"/>
    </w:p>
    <w:p>
      <w:pPr>
        <w:pStyle w:val="4"/>
        <w:rPr>
          <w:rFonts w:hint="eastAsia" w:ascii="仿宋_GB2312" w:hAnsi="仿宋_GB2312" w:eastAsia="仿宋_GB2312" w:cs="仿宋_GB2312"/>
          <w:color w:val="auto"/>
          <w:highlight w:val="none"/>
          <w:lang w:eastAsia="zh-CN"/>
        </w:rPr>
      </w:pPr>
      <w:bookmarkStart w:id="102" w:name="_Toc15396631"/>
      <w:bookmarkStart w:id="103" w:name="_Toc19777"/>
      <w:r>
        <w:rPr>
          <w:rStyle w:val="28"/>
          <w:rFonts w:hint="eastAsia" w:ascii="仿宋_GB2312" w:hAnsi="仿宋_GB2312" w:eastAsia="仿宋_GB2312" w:cs="仿宋_GB2312"/>
          <w:b w:val="0"/>
          <w:bCs w:val="0"/>
          <w:color w:val="auto"/>
          <w:highlight w:val="none"/>
        </w:rPr>
        <w:t>十三、</w:t>
      </w:r>
      <w:bookmarkEnd w:id="102"/>
      <w:r>
        <w:rPr>
          <w:rStyle w:val="28"/>
          <w:rFonts w:hint="eastAsia" w:ascii="仿宋_GB2312" w:hAnsi="仿宋_GB2312" w:eastAsia="仿宋_GB2312" w:cs="仿宋_GB2312"/>
          <w:b w:val="0"/>
          <w:bCs w:val="0"/>
          <w:color w:val="auto"/>
          <w:highlight w:val="none"/>
          <w:lang w:eastAsia="zh-CN"/>
        </w:rPr>
        <w:t>财政拨款“三公”经费支出决算表</w:t>
      </w:r>
      <w:bookmarkEnd w:id="103"/>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9"/>
          <w:jc w:val="center"/>
        </w:pPr>
        <w:r>
          <w:fldChar w:fldCharType="begin"/>
        </w:r>
        <w:r>
          <w:instrText xml:space="preserve">PAGE   \* MERGEFORMAT</w:instrText>
        </w:r>
        <w:r>
          <w:fldChar w:fldCharType="separate"/>
        </w:r>
        <w:r>
          <w:rPr>
            <w:lang w:val="zh-CN"/>
          </w:rPr>
          <w:t>8</w:t>
        </w:r>
        <w: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F9EF9F"/>
    <w:multiLevelType w:val="singleLevel"/>
    <w:tmpl w:val="99F9EF9F"/>
    <w:lvl w:ilvl="0" w:tentative="0">
      <w:start w:val="1"/>
      <w:numFmt w:val="chineseCounting"/>
      <w:suff w:val="nothing"/>
      <w:lvlText w:val="（%1）"/>
      <w:lvlJc w:val="left"/>
      <w:rPr>
        <w:rFonts w:hint="eastAsia"/>
      </w:rPr>
    </w:lvl>
  </w:abstractNum>
  <w:abstractNum w:abstractNumId="1">
    <w:nsid w:val="A264480B"/>
    <w:multiLevelType w:val="singleLevel"/>
    <w:tmpl w:val="A264480B"/>
    <w:lvl w:ilvl="0" w:tentative="0">
      <w:start w:val="2"/>
      <w:numFmt w:val="decimal"/>
      <w:lvlText w:val="%1."/>
      <w:lvlJc w:val="left"/>
      <w:pPr>
        <w:tabs>
          <w:tab w:val="left" w:pos="312"/>
        </w:tabs>
        <w:ind w:left="-10"/>
      </w:pPr>
    </w:lvl>
  </w:abstractNum>
  <w:abstractNum w:abstractNumId="2">
    <w:nsid w:val="B74A1FBB"/>
    <w:multiLevelType w:val="singleLevel"/>
    <w:tmpl w:val="B74A1FBB"/>
    <w:lvl w:ilvl="0" w:tentative="0">
      <w:start w:val="2"/>
      <w:numFmt w:val="chineseCounting"/>
      <w:suff w:val="nothing"/>
      <w:lvlText w:val="（%1）"/>
      <w:lvlJc w:val="left"/>
      <w:rPr>
        <w:rFonts w:hint="eastAsia"/>
      </w:rPr>
    </w:lvl>
  </w:abstractNum>
  <w:abstractNum w:abstractNumId="3">
    <w:nsid w:val="CF652CEC"/>
    <w:multiLevelType w:val="singleLevel"/>
    <w:tmpl w:val="CF652CEC"/>
    <w:lvl w:ilvl="0" w:tentative="0">
      <w:start w:val="9"/>
      <w:numFmt w:val="chineseCounting"/>
      <w:suff w:val="nothing"/>
      <w:lvlText w:val="%1、"/>
      <w:lvlJc w:val="left"/>
      <w:rPr>
        <w:rFonts w:hint="eastAsia"/>
      </w:rPr>
    </w:lvl>
  </w:abstractNum>
  <w:abstractNum w:abstractNumId="4">
    <w:nsid w:val="D1646E21"/>
    <w:multiLevelType w:val="singleLevel"/>
    <w:tmpl w:val="D1646E21"/>
    <w:lvl w:ilvl="0" w:tentative="0">
      <w:start w:val="1"/>
      <w:numFmt w:val="decimal"/>
      <w:lvlText w:val="%1."/>
      <w:lvlJc w:val="left"/>
      <w:pPr>
        <w:tabs>
          <w:tab w:val="left" w:pos="312"/>
        </w:tabs>
      </w:pPr>
    </w:lvl>
  </w:abstractNum>
  <w:abstractNum w:abstractNumId="5">
    <w:nsid w:val="DEBEF323"/>
    <w:multiLevelType w:val="singleLevel"/>
    <w:tmpl w:val="DEBEF323"/>
    <w:lvl w:ilvl="0" w:tentative="0">
      <w:start w:val="4"/>
      <w:numFmt w:val="chineseCounting"/>
      <w:suff w:val="nothing"/>
      <w:lvlText w:val="（%1）"/>
      <w:lvlJc w:val="left"/>
      <w:rPr>
        <w:rFonts w:hint="eastAsia"/>
      </w:rPr>
    </w:lvl>
  </w:abstractNum>
  <w:abstractNum w:abstractNumId="6">
    <w:nsid w:val="E2FA047D"/>
    <w:multiLevelType w:val="singleLevel"/>
    <w:tmpl w:val="E2FA047D"/>
    <w:lvl w:ilvl="0" w:tentative="0">
      <w:start w:val="3"/>
      <w:numFmt w:val="chineseCounting"/>
      <w:suff w:val="space"/>
      <w:lvlText w:val="第%1部分"/>
      <w:lvlJc w:val="left"/>
      <w:rPr>
        <w:rFonts w:hint="eastAsia"/>
      </w:rPr>
    </w:lvl>
  </w:abstractNum>
  <w:abstractNum w:abstractNumId="7">
    <w:nsid w:val="FDE9EE71"/>
    <w:multiLevelType w:val="singleLevel"/>
    <w:tmpl w:val="FDE9EE71"/>
    <w:lvl w:ilvl="0" w:tentative="0">
      <w:start w:val="2"/>
      <w:numFmt w:val="decimal"/>
      <w:suff w:val="nothing"/>
      <w:lvlText w:val="%1．"/>
      <w:lvlJc w:val="left"/>
    </w:lvl>
  </w:abstractNum>
  <w:abstractNum w:abstractNumId="8">
    <w:nsid w:val="FFF674BC"/>
    <w:multiLevelType w:val="singleLevel"/>
    <w:tmpl w:val="FFF674BC"/>
    <w:lvl w:ilvl="0" w:tentative="0">
      <w:start w:val="1"/>
      <w:numFmt w:val="chineseCounting"/>
      <w:suff w:val="nothing"/>
      <w:lvlText w:val="%1、"/>
      <w:lvlJc w:val="left"/>
      <w:rPr>
        <w:rFonts w:hint="eastAsia"/>
      </w:rPr>
    </w:lvl>
  </w:abstractNum>
  <w:abstractNum w:abstractNumId="9">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0">
    <w:nsid w:val="3B39E231"/>
    <w:multiLevelType w:val="singleLevel"/>
    <w:tmpl w:val="3B39E231"/>
    <w:lvl w:ilvl="0" w:tentative="0">
      <w:start w:val="1"/>
      <w:numFmt w:val="chineseCounting"/>
      <w:suff w:val="nothing"/>
      <w:lvlText w:val="%1、"/>
      <w:lvlJc w:val="left"/>
      <w:rPr>
        <w:rFonts w:hint="eastAsia"/>
      </w:rPr>
    </w:lvl>
  </w:abstractNum>
  <w:abstractNum w:abstractNumId="11">
    <w:nsid w:val="62621CDC"/>
    <w:multiLevelType w:val="multilevel"/>
    <w:tmpl w:val="62621CDC"/>
    <w:lvl w:ilvl="0" w:tentative="0">
      <w:start w:val="1"/>
      <w:numFmt w:val="decimal"/>
      <w:lvlText w:val="%1."/>
      <w:lvlJc w:val="left"/>
      <w:pPr>
        <w:ind w:left="1152" w:hanging="480"/>
      </w:pPr>
      <w:rPr>
        <w:rFonts w:hint="default"/>
      </w:rPr>
    </w:lvl>
    <w:lvl w:ilvl="1" w:tentative="0">
      <w:start w:val="1"/>
      <w:numFmt w:val="lowerLetter"/>
      <w:lvlText w:val="%2)"/>
      <w:lvlJc w:val="left"/>
      <w:pPr>
        <w:ind w:left="1512" w:hanging="420"/>
      </w:pPr>
    </w:lvl>
    <w:lvl w:ilvl="2" w:tentative="0">
      <w:start w:val="1"/>
      <w:numFmt w:val="lowerRoman"/>
      <w:lvlText w:val="%3."/>
      <w:lvlJc w:val="right"/>
      <w:pPr>
        <w:ind w:left="1932" w:hanging="420"/>
      </w:pPr>
    </w:lvl>
    <w:lvl w:ilvl="3" w:tentative="0">
      <w:start w:val="1"/>
      <w:numFmt w:val="decimal"/>
      <w:lvlText w:val="%4."/>
      <w:lvlJc w:val="left"/>
      <w:pPr>
        <w:ind w:left="2352" w:hanging="420"/>
      </w:pPr>
    </w:lvl>
    <w:lvl w:ilvl="4" w:tentative="0">
      <w:start w:val="1"/>
      <w:numFmt w:val="lowerLetter"/>
      <w:lvlText w:val="%5)"/>
      <w:lvlJc w:val="left"/>
      <w:pPr>
        <w:ind w:left="2772" w:hanging="420"/>
      </w:pPr>
    </w:lvl>
    <w:lvl w:ilvl="5" w:tentative="0">
      <w:start w:val="1"/>
      <w:numFmt w:val="lowerRoman"/>
      <w:lvlText w:val="%6."/>
      <w:lvlJc w:val="right"/>
      <w:pPr>
        <w:ind w:left="3192" w:hanging="420"/>
      </w:pPr>
    </w:lvl>
    <w:lvl w:ilvl="6" w:tentative="0">
      <w:start w:val="1"/>
      <w:numFmt w:val="decimal"/>
      <w:lvlText w:val="%7."/>
      <w:lvlJc w:val="left"/>
      <w:pPr>
        <w:ind w:left="3612" w:hanging="420"/>
      </w:pPr>
    </w:lvl>
    <w:lvl w:ilvl="7" w:tentative="0">
      <w:start w:val="1"/>
      <w:numFmt w:val="lowerLetter"/>
      <w:lvlText w:val="%8)"/>
      <w:lvlJc w:val="left"/>
      <w:pPr>
        <w:ind w:left="4032" w:hanging="420"/>
      </w:pPr>
    </w:lvl>
    <w:lvl w:ilvl="8" w:tentative="0">
      <w:start w:val="1"/>
      <w:numFmt w:val="lowerRoman"/>
      <w:lvlText w:val="%9."/>
      <w:lvlJc w:val="right"/>
      <w:pPr>
        <w:ind w:left="4452" w:hanging="420"/>
      </w:pPr>
    </w:lvl>
  </w:abstractNum>
  <w:num w:numId="1">
    <w:abstractNumId w:val="10"/>
  </w:num>
  <w:num w:numId="2">
    <w:abstractNumId w:val="11"/>
  </w:num>
  <w:num w:numId="3">
    <w:abstractNumId w:val="9"/>
  </w:num>
  <w:num w:numId="4">
    <w:abstractNumId w:val="3"/>
  </w:num>
  <w:num w:numId="5">
    <w:abstractNumId w:val="6"/>
  </w:num>
  <w:num w:numId="6">
    <w:abstractNumId w:val="8"/>
  </w:num>
  <w:num w:numId="7">
    <w:abstractNumId w:val="0"/>
  </w:num>
  <w:num w:numId="8">
    <w:abstractNumId w:val="4"/>
  </w:num>
  <w:num w:numId="9">
    <w:abstractNumId w:val="1"/>
  </w:num>
  <w:num w:numId="10">
    <w:abstractNumId w:val="5"/>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3NjU5Y2VlY2NiM2UwNzc0ZDNiNDhhMzBjNjE5ZGM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2143E91"/>
    <w:rsid w:val="02A03581"/>
    <w:rsid w:val="04E71EA6"/>
    <w:rsid w:val="05F20F74"/>
    <w:rsid w:val="066E0107"/>
    <w:rsid w:val="07996F6E"/>
    <w:rsid w:val="09146F08"/>
    <w:rsid w:val="0A2032A3"/>
    <w:rsid w:val="0BDB3BD2"/>
    <w:rsid w:val="0F135482"/>
    <w:rsid w:val="0F98263C"/>
    <w:rsid w:val="101860EC"/>
    <w:rsid w:val="10C055FF"/>
    <w:rsid w:val="118107EC"/>
    <w:rsid w:val="11EB4770"/>
    <w:rsid w:val="13D50BC4"/>
    <w:rsid w:val="14EE6BB0"/>
    <w:rsid w:val="16170859"/>
    <w:rsid w:val="16BB723D"/>
    <w:rsid w:val="1BE8440E"/>
    <w:rsid w:val="1D155CEE"/>
    <w:rsid w:val="1FF35744"/>
    <w:rsid w:val="20CA738D"/>
    <w:rsid w:val="23250A35"/>
    <w:rsid w:val="23860B96"/>
    <w:rsid w:val="240371BF"/>
    <w:rsid w:val="24424696"/>
    <w:rsid w:val="25CF674C"/>
    <w:rsid w:val="26CC77A3"/>
    <w:rsid w:val="28413C45"/>
    <w:rsid w:val="29FD04D3"/>
    <w:rsid w:val="2C8A61B5"/>
    <w:rsid w:val="2DF04E50"/>
    <w:rsid w:val="2F040D46"/>
    <w:rsid w:val="319F7F4E"/>
    <w:rsid w:val="3304709D"/>
    <w:rsid w:val="36AA5135"/>
    <w:rsid w:val="376D39B2"/>
    <w:rsid w:val="37E16F03"/>
    <w:rsid w:val="38D469F0"/>
    <w:rsid w:val="3ADF36FC"/>
    <w:rsid w:val="3D98207C"/>
    <w:rsid w:val="3E78745D"/>
    <w:rsid w:val="44E268DA"/>
    <w:rsid w:val="48DE29B1"/>
    <w:rsid w:val="49C424EF"/>
    <w:rsid w:val="4A627F82"/>
    <w:rsid w:val="4B0E749A"/>
    <w:rsid w:val="4B4F25DA"/>
    <w:rsid w:val="4BE068DB"/>
    <w:rsid w:val="4C763CD6"/>
    <w:rsid w:val="4D577224"/>
    <w:rsid w:val="4EAB630A"/>
    <w:rsid w:val="4ECE2238"/>
    <w:rsid w:val="537E6D0A"/>
    <w:rsid w:val="5AF92295"/>
    <w:rsid w:val="5CD71FC4"/>
    <w:rsid w:val="608B127A"/>
    <w:rsid w:val="64E25743"/>
    <w:rsid w:val="655C7B7E"/>
    <w:rsid w:val="65C5256D"/>
    <w:rsid w:val="6C2E63BC"/>
    <w:rsid w:val="6C41462D"/>
    <w:rsid w:val="6C4A05C8"/>
    <w:rsid w:val="6D193A63"/>
    <w:rsid w:val="6E7E3605"/>
    <w:rsid w:val="6FF5CC65"/>
    <w:rsid w:val="715C0E4B"/>
    <w:rsid w:val="72734D90"/>
    <w:rsid w:val="73AD73D5"/>
    <w:rsid w:val="73B6EB34"/>
    <w:rsid w:val="744731E5"/>
    <w:rsid w:val="768E473A"/>
    <w:rsid w:val="76E3355F"/>
    <w:rsid w:val="778769C8"/>
    <w:rsid w:val="796E4475"/>
    <w:rsid w:val="79EE5BA4"/>
    <w:rsid w:val="7A5E0A3D"/>
    <w:rsid w:val="7A894339"/>
    <w:rsid w:val="7EEF11D3"/>
    <w:rsid w:val="7FA30C79"/>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5">
    <w:name w:val="Default Paragraph Font"/>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4"/>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0"/>
    <w:semiHidden/>
    <w:unhideWhenUsed/>
    <w:qFormat/>
    <w:uiPriority w:val="99"/>
    <w:rPr>
      <w:sz w:val="18"/>
      <w:szCs w:val="18"/>
    </w:rPr>
  </w:style>
  <w:style w:type="paragraph" w:styleId="9">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Body Text First Indent 2"/>
    <w:basedOn w:val="6"/>
    <w:unhideWhenUsed/>
    <w:qFormat/>
    <w:uiPriority w:val="99"/>
    <w:pPr>
      <w:ind w:firstLine="420" w:firstLine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paragraph" w:customStyle="1" w:styleId="18">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19">
    <w:name w:val="Header Char"/>
    <w:basedOn w:val="15"/>
    <w:semiHidden/>
    <w:qFormat/>
    <w:uiPriority w:val="99"/>
    <w:rPr>
      <w:rFonts w:ascii="Times New Roman" w:hAnsi="Times New Roman"/>
      <w:sz w:val="18"/>
      <w:szCs w:val="18"/>
    </w:rPr>
  </w:style>
  <w:style w:type="character" w:customStyle="1" w:styleId="20">
    <w:name w:val="页眉 Char"/>
    <w:link w:val="10"/>
    <w:semiHidden/>
    <w:qFormat/>
    <w:locked/>
    <w:uiPriority w:val="99"/>
    <w:rPr>
      <w:sz w:val="18"/>
    </w:rPr>
  </w:style>
  <w:style w:type="character" w:customStyle="1" w:styleId="21">
    <w:name w:val="Footer Char"/>
    <w:basedOn w:val="15"/>
    <w:semiHidden/>
    <w:qFormat/>
    <w:uiPriority w:val="99"/>
    <w:rPr>
      <w:rFonts w:ascii="Times New Roman" w:hAnsi="Times New Roman"/>
      <w:sz w:val="18"/>
      <w:szCs w:val="18"/>
    </w:rPr>
  </w:style>
  <w:style w:type="character" w:customStyle="1" w:styleId="22">
    <w:name w:val="页脚 Char"/>
    <w:link w:val="9"/>
    <w:qFormat/>
    <w:locked/>
    <w:uiPriority w:val="99"/>
    <w:rPr>
      <w:sz w:val="18"/>
    </w:rPr>
  </w:style>
  <w:style w:type="character" w:customStyle="1" w:styleId="23">
    <w:name w:val="Body Text Char"/>
    <w:basedOn w:val="15"/>
    <w:semiHidden/>
    <w:qFormat/>
    <w:uiPriority w:val="99"/>
    <w:rPr>
      <w:rFonts w:ascii="Times New Roman" w:hAnsi="Times New Roman"/>
      <w:szCs w:val="24"/>
    </w:rPr>
  </w:style>
  <w:style w:type="character" w:customStyle="1" w:styleId="24">
    <w:name w:val="正文文本 Char"/>
    <w:link w:val="2"/>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Char"/>
    <w:basedOn w:val="15"/>
    <w:link w:val="3"/>
    <w:qFormat/>
    <w:uiPriority w:val="9"/>
    <w:rPr>
      <w:rFonts w:ascii="Times New Roman" w:hAnsi="Times New Roman"/>
      <w:b/>
      <w:bCs/>
      <w:kern w:val="44"/>
      <w:sz w:val="44"/>
      <w:szCs w:val="44"/>
    </w:rPr>
  </w:style>
  <w:style w:type="character" w:customStyle="1" w:styleId="28">
    <w:name w:val="标题 2 Char"/>
    <w:basedOn w:val="15"/>
    <w:link w:val="4"/>
    <w:qFormat/>
    <w:uiPriority w:val="9"/>
    <w:rPr>
      <w:rFonts w:asciiTheme="majorHAnsi" w:hAnsiTheme="majorHAnsi" w:eastAsiaTheme="majorEastAsia" w:cstheme="majorBidi"/>
      <w:b/>
      <w:bCs/>
      <w:kern w:val="2"/>
      <w:sz w:val="32"/>
      <w:szCs w:val="32"/>
    </w:rPr>
  </w:style>
  <w:style w:type="paragraph" w:customStyle="1" w:styleId="29">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Char"/>
    <w:basedOn w:val="15"/>
    <w:link w:val="8"/>
    <w:semiHidden/>
    <w:qFormat/>
    <w:uiPriority w:val="99"/>
    <w:rPr>
      <w:rFonts w:ascii="Times New Roman" w:hAnsi="Times New Roman"/>
      <w:kern w:val="2"/>
      <w:sz w:val="18"/>
      <w:szCs w:val="18"/>
    </w:rPr>
  </w:style>
  <w:style w:type="character" w:customStyle="1" w:styleId="31">
    <w:name w:val="标题 3 Char"/>
    <w:basedOn w:val="15"/>
    <w:link w:val="5"/>
    <w:qFormat/>
    <w:uiPriority w:val="9"/>
    <w:rPr>
      <w:rFonts w:ascii="Times New Roman" w:hAnsi="Times New Roman"/>
      <w:b/>
      <w:bCs/>
      <w:kern w:val="2"/>
      <w:sz w:val="32"/>
      <w:szCs w:val="32"/>
    </w:rPr>
  </w:style>
  <w:style w:type="paragraph" w:customStyle="1" w:styleId="32">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3">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2022&#24180;&#37096;&#38376;&#20915;&#31639;&#19979;&#21457;&#36164;&#26009;\2022&#20915;&#31639;&#25968;&#25454;&#23548;&#20986;\2022&#20915;&#31639;&#25253;&#21578;&#22270;&#3492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8.xml"/><Relationship Id="rId2" Type="http://schemas.microsoft.com/office/2011/relationships/chartStyle" Target="style8.xml"/><Relationship Id="rId1" Type="http://schemas.openxmlformats.org/officeDocument/2006/relationships/oleObject" Target="file:///C:\Users\Administrator\Desktop\2022&#24180;&#37096;&#38376;&#20915;&#31639;&#19979;&#21457;&#36164;&#26009;\2022&#20915;&#31639;&#25968;&#25454;&#23548;&#20986;\2022&#20915;&#31639;&#25253;&#21578;&#22270;&#3492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4.xlsx"/></Relationships>
</file>

<file path=word/charts/_rels/chart7.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5.xlsx"/></Relationships>
</file>

<file path=word/charts/_rels/chart8.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49075"/>
          <c:y val="0.0796666666666667"/>
          <c:w val="0.927925"/>
          <c:h val="0.716566666666667"/>
        </c:manualLayout>
      </c:layout>
      <c:barChart>
        <c:barDir val="col"/>
        <c:grouping val="clustered"/>
        <c:varyColors val="0"/>
        <c:ser>
          <c:idx val="0"/>
          <c:order val="0"/>
          <c:tx>
            <c:strRef>
              <c:f>Sheet1!$B$1</c:f>
              <c:strCache>
                <c:ptCount val="1"/>
                <c:pt idx="0">
                  <c:v>收、支预算总计</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2021年</c:v>
                </c:pt>
                <c:pt idx="1">
                  <c:v>2022年</c:v>
                </c:pt>
              </c:strCache>
            </c:strRef>
          </c:cat>
          <c:val>
            <c:numRef>
              <c:f>Sheet1!$B$2:$B$3</c:f>
              <c:numCache>
                <c:formatCode>General</c:formatCode>
                <c:ptCount val="2"/>
                <c:pt idx="0">
                  <c:v>1191.46</c:v>
                </c:pt>
                <c:pt idx="1">
                  <c:v>1274.45</c:v>
                </c:pt>
              </c:numCache>
            </c:numRef>
          </c:val>
        </c:ser>
        <c:dLbls>
          <c:showLegendKey val="0"/>
          <c:showVal val="1"/>
          <c:showCatName val="0"/>
          <c:showSerName val="0"/>
          <c:showPercent val="0"/>
          <c:showBubbleSize val="0"/>
        </c:dLbls>
        <c:gapWidth val="219"/>
        <c:overlap val="-27"/>
        <c:axId val="484201922"/>
        <c:axId val="566535361"/>
      </c:barChart>
      <c:catAx>
        <c:axId val="48420192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66535361"/>
        <c:crosses val="autoZero"/>
        <c:auto val="1"/>
        <c:lblAlgn val="ctr"/>
        <c:lblOffset val="100"/>
        <c:noMultiLvlLbl val="0"/>
      </c:catAx>
      <c:valAx>
        <c:axId val="56653536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8420192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本年收入</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政府性基金预算财政拨款收入</c:v>
                </c:pt>
              </c:strCache>
            </c:strRef>
          </c:cat>
          <c:val>
            <c:numRef>
              <c:f>Sheet1!$B$2:$B$3</c:f>
              <c:numCache>
                <c:formatCode>General</c:formatCode>
                <c:ptCount val="2"/>
                <c:pt idx="0">
                  <c:v>1110.86</c:v>
                </c:pt>
                <c:pt idx="1">
                  <c:v>163.59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本年支出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972.44</c:v>
                </c:pt>
                <c:pt idx="1">
                  <c:v>302.01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1" i="0" u="none" strike="noStrike" kern="1200" spc="100" baseline="0">
                <a:solidFill>
                  <a:srgbClr val="F2F2F2">
                    <a:lumMod val="95000"/>
                  </a:srgbClr>
                </a:solidFill>
                <a:effectLst>
                  <a:outerShdw blurRad="50800" dist="38100" dir="5400000" algn="t" rotWithShape="0">
                    <a:prstClr val="black">
                      <a:alpha val="40000"/>
                    </a:prstClr>
                  </a:outerShdw>
                </a:effectLst>
                <a:latin typeface="+mn-lt"/>
                <a:ea typeface="+mn-ea"/>
                <a:cs typeface="+mn-cs"/>
              </a:defRPr>
            </a:pPr>
            <a:r>
              <a:t>收入变动情况图</a:t>
            </a:r>
          </a:p>
        </c:rich>
      </c:tx>
      <c:layout/>
      <c:overlay val="0"/>
      <c:spPr>
        <a:noFill/>
        <a:ln>
          <a:noFill/>
        </a:ln>
        <a:effectLst/>
      </c:spPr>
    </c:title>
    <c:autoTitleDeleted val="0"/>
    <c:plotArea>
      <c:layout/>
      <c:barChart>
        <c:barDir val="col"/>
        <c:grouping val="clustered"/>
        <c:varyColors val="0"/>
        <c:ser>
          <c:idx val="0"/>
          <c:order val="0"/>
          <c:spPr>
            <a:gradFill rotWithShape="1">
              <a:gsLst>
                <a:gs pos="0">
                  <a:srgbClr val="688FC5">
                    <a:satMod val="103000"/>
                    <a:lumMod val="102000"/>
                    <a:tint val="94000"/>
                  </a:srgbClr>
                </a:gs>
                <a:gs pos="50000">
                  <a:srgbClr val="4A81C3">
                    <a:satMod val="110000"/>
                    <a:lumMod val="100000"/>
                    <a:shade val="100000"/>
                  </a:srgbClr>
                </a:gs>
                <a:gs pos="100000">
                  <a:srgbClr val="3A71B2">
                    <a:lumMod val="99000"/>
                    <a:satMod val="120000"/>
                    <a:shade val="78000"/>
                  </a:srgb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D9D9D9">
                        <a:lumMod val="8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rgbClr val="F2F2F2">
                          <a:lumMod val="95000"/>
                          <a:alpha val="54000"/>
                        </a:srgbClr>
                      </a:solidFill>
                    </a:ln>
                    <a:effectLst/>
                  </c:spPr>
                </c15:leaderLines>
              </c:ext>
            </c:extLst>
          </c:dLbls>
          <c:trendline>
            <c:spPr>
              <a:ln w="19050" cap="rnd">
                <a:solidFill>
                  <a:srgbClr val="4F81BD"/>
                </a:solidFill>
              </a:ln>
              <a:effectLst/>
            </c:spPr>
            <c:trendlineType val="linear"/>
            <c:dispRSqr val="0"/>
            <c:dispEq val="0"/>
          </c:trendline>
          <c:cat>
            <c:strRef>
              <c:f>[2022决算报告图表.xlsx]Sheet1!$A$34:$A$35</c:f>
              <c:strCache>
                <c:ptCount val="2"/>
                <c:pt idx="0">
                  <c:v>2021年度</c:v>
                </c:pt>
                <c:pt idx="1">
                  <c:v>2022年度</c:v>
                </c:pt>
              </c:strCache>
            </c:strRef>
          </c:cat>
          <c:val>
            <c:numRef>
              <c:f>[2022决算报告图表.xlsx]Sheet1!$B$34:$B$35</c:f>
              <c:numCache>
                <c:formatCode>General</c:formatCode>
                <c:ptCount val="2"/>
                <c:pt idx="0">
                  <c:v>1191.46</c:v>
                </c:pt>
                <c:pt idx="1" c:formatCode="#,##0.00_ ">
                  <c:v>1274.45</c:v>
                </c:pt>
              </c:numCache>
            </c:numRef>
          </c:val>
        </c:ser>
        <c:dLbls>
          <c:showLegendKey val="0"/>
          <c:showVal val="1"/>
          <c:showCatName val="0"/>
          <c:showSerName val="0"/>
          <c:showPercent val="0"/>
          <c:showBubbleSize val="0"/>
        </c:dLbls>
        <c:gapWidth val="100"/>
        <c:overlap val="-24"/>
        <c:axId val="622602283"/>
        <c:axId val="409457356"/>
      </c:barChart>
      <c:catAx>
        <c:axId val="622602283"/>
        <c:scaling>
          <c:orientation val="minMax"/>
        </c:scaling>
        <c:delete val="0"/>
        <c:axPos val="b"/>
        <c:title>
          <c:tx>
            <c:rich>
              <a:bodyPr rot="0" spcFirstLastPara="0" vertOverflow="ellipsis" vert="horz" wrap="square" anchor="ctr" anchorCtr="1"/>
              <a:lstStyle/>
              <a:p>
                <a:pPr defTabSz="914400">
                  <a:defRPr lang="zh-CN" sz="900" b="1" i="0" u="none" strike="noStrike" kern="1200" cap="all" baseline="0">
                    <a:solidFill>
                      <a:srgbClr val="D9D9D9">
                        <a:lumMod val="85000"/>
                      </a:srgbClr>
                    </a:solidFill>
                    <a:latin typeface="+mn-lt"/>
                    <a:ea typeface="+mn-ea"/>
                    <a:cs typeface="+mn-cs"/>
                  </a:defRPr>
                </a:pPr>
                <a:r>
                  <a:t>单位：万元</a:t>
                </a:r>
              </a:p>
              <a:p>
                <a:pPr defTabSz="914400">
                  <a:defRPr lang="zh-CN" sz="900" b="1" i="0" u="none" strike="noStrike" kern="1200" cap="all" baseline="0">
                    <a:solidFill>
                      <a:srgbClr val="D9D9D9">
                        <a:lumMod val="85000"/>
                      </a:srgbClr>
                    </a:solidFill>
                    <a:latin typeface="+mn-lt"/>
                    <a:ea typeface="+mn-ea"/>
                    <a:cs typeface="+mn-cs"/>
                  </a:defRPr>
                </a:pPr>
              </a:p>
            </c:rich>
          </c:tx>
          <c:layout/>
          <c:overlay val="0"/>
          <c:spPr>
            <a:noFill/>
            <a:ln>
              <a:noFill/>
            </a:ln>
            <a:effectLst/>
          </c:spPr>
        </c:title>
        <c:majorTickMark val="none"/>
        <c:minorTickMark val="none"/>
        <c:tickLblPos val="nextTo"/>
        <c:spPr>
          <a:noFill/>
          <a:ln w="12700" cap="flat" cmpd="sng" algn="ctr">
            <a:solidFill>
              <a:srgbClr val="F2F2F2">
                <a:lumMod val="95000"/>
                <a:alpha val="54000"/>
              </a:srgbClr>
            </a:solidFill>
            <a:round/>
          </a:ln>
          <a:effectLst/>
        </c:spPr>
        <c:txPr>
          <a:bodyPr rot="-60000000" spcFirstLastPara="0" vertOverflow="ellipsis" vert="horz" wrap="square" anchor="ctr" anchorCtr="1"/>
          <a:lstStyle/>
          <a:p>
            <a:pPr>
              <a:defRPr lang="zh-CN" sz="900" b="0" i="0" u="none" strike="noStrike" kern="1200" baseline="0">
                <a:solidFill>
                  <a:srgbClr val="D9D9D9">
                    <a:lumMod val="85000"/>
                  </a:srgbClr>
                </a:solidFill>
                <a:latin typeface="+mn-lt"/>
                <a:ea typeface="+mn-ea"/>
                <a:cs typeface="+mn-cs"/>
              </a:defRPr>
            </a:pPr>
          </a:p>
        </c:txPr>
        <c:crossAx val="409457356"/>
        <c:crosses val="autoZero"/>
        <c:auto val="1"/>
        <c:lblAlgn val="ctr"/>
        <c:lblOffset val="100"/>
        <c:noMultiLvlLbl val="0"/>
      </c:catAx>
      <c:valAx>
        <c:axId val="409457356"/>
        <c:scaling>
          <c:orientation val="minMax"/>
        </c:scaling>
        <c:delete val="0"/>
        <c:axPos val="l"/>
        <c:majorGridlines>
          <c:spPr>
            <a:ln w="9525" cap="flat" cmpd="sng" algn="ctr">
              <a:solidFill>
                <a:srgbClr val="F2F2F2">
                  <a:lumMod val="95000"/>
                  <a:alpha val="10000"/>
                </a:srgb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D9D9D9">
                    <a:lumMod val="85000"/>
                  </a:srgbClr>
                </a:solidFill>
                <a:latin typeface="+mn-lt"/>
                <a:ea typeface="+mn-ea"/>
                <a:cs typeface="+mn-cs"/>
              </a:defRPr>
            </a:pPr>
          </a:p>
        </c:txPr>
        <c:crossAx val="622602283"/>
        <c:crosses val="autoZero"/>
        <c:crossBetween val="between"/>
      </c:valAx>
      <c:spPr>
        <a:noFill/>
        <a:ln>
          <a:noFill/>
        </a:ln>
        <a:effectLst/>
      </c:spPr>
    </c:plotArea>
    <c:plotVisOnly val="1"/>
    <c:dispBlanksAs val="gap"/>
    <c:showDLblsOverMax val="0"/>
  </c:chart>
  <c:spPr>
    <a:gradFill flip="none" rotWithShape="1">
      <a:gsLst>
        <a:gs pos="0">
          <a:srgbClr val="595959">
            <a:lumMod val="65000"/>
            <a:lumOff val="35000"/>
          </a:srgbClr>
        </a:gs>
        <a:gs pos="100000">
          <a:srgbClr val="262626">
            <a:lumMod val="85000"/>
            <a:lumOff val="15000"/>
          </a:srgbClr>
        </a:gs>
      </a:gsLst>
      <a:path path="circle">
        <a:fillToRect l="50000" t="50000" r="50000" b="50000"/>
      </a:path>
    </a:gradFill>
    <a:ln>
      <a:noFill/>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1" i="0" u="none" strike="noStrike" kern="1200" spc="100" baseline="0">
                <a:solidFill>
                  <a:srgbClr val="F2F2F2">
                    <a:lumMod val="95000"/>
                  </a:srgbClr>
                </a:solidFill>
                <a:effectLst>
                  <a:outerShdw blurRad="50800" dist="38100" dir="5400000" algn="t" rotWithShape="0">
                    <a:prstClr val="black">
                      <a:alpha val="40000"/>
                    </a:prstClr>
                  </a:outerShdw>
                </a:effectLst>
                <a:latin typeface="+mn-lt"/>
                <a:ea typeface="+mn-ea"/>
                <a:cs typeface="+mn-cs"/>
              </a:defRPr>
            </a:pPr>
            <a:r>
              <a:t>支出变动情况图</a:t>
            </a:r>
          </a:p>
        </c:rich>
      </c:tx>
      <c:layout>
        <c:manualLayout>
          <c:xMode val="edge"/>
          <c:yMode val="edge"/>
          <c:x val="0.281221374045802"/>
          <c:y val="0.0488997555012225"/>
        </c:manualLayout>
      </c:layout>
      <c:overlay val="0"/>
      <c:spPr>
        <a:noFill/>
        <a:ln>
          <a:noFill/>
        </a:ln>
        <a:effectLst/>
      </c:spPr>
    </c:title>
    <c:autoTitleDeleted val="0"/>
    <c:plotArea>
      <c:layout/>
      <c:barChart>
        <c:barDir val="col"/>
        <c:grouping val="clustered"/>
        <c:varyColors val="0"/>
        <c:ser>
          <c:idx val="0"/>
          <c:order val="0"/>
          <c:spPr>
            <a:gradFill rotWithShape="1">
              <a:gsLst>
                <a:gs pos="0">
                  <a:srgbClr val="688FC5">
                    <a:satMod val="103000"/>
                    <a:lumMod val="102000"/>
                    <a:tint val="94000"/>
                  </a:srgbClr>
                </a:gs>
                <a:gs pos="50000">
                  <a:srgbClr val="4A81C3">
                    <a:satMod val="110000"/>
                    <a:lumMod val="100000"/>
                    <a:shade val="100000"/>
                  </a:srgbClr>
                </a:gs>
                <a:gs pos="100000">
                  <a:srgbClr val="3A71B2">
                    <a:lumMod val="99000"/>
                    <a:satMod val="120000"/>
                    <a:shade val="78000"/>
                  </a:srgb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D9D9D9">
                        <a:lumMod val="8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rgbClr val="F2F2F2">
                          <a:lumMod val="95000"/>
                          <a:alpha val="54000"/>
                        </a:srgbClr>
                      </a:solidFill>
                    </a:ln>
                    <a:effectLst/>
                  </c:spPr>
                </c15:leaderLines>
              </c:ext>
            </c:extLst>
          </c:dLbls>
          <c:trendline>
            <c:spPr>
              <a:ln w="19050" cap="rnd">
                <a:solidFill>
                  <a:srgbClr val="4F81BD"/>
                </a:solidFill>
              </a:ln>
              <a:effectLst/>
            </c:spPr>
            <c:trendlineType val="linear"/>
            <c:dispRSqr val="0"/>
            <c:dispEq val="0"/>
          </c:trendline>
          <c:cat>
            <c:strRef>
              <c:f>[2022决算报告图表.xlsx]Sheet1!$A$34:$A$35</c:f>
              <c:strCache>
                <c:ptCount val="2"/>
                <c:pt idx="0">
                  <c:v>2021年度</c:v>
                </c:pt>
                <c:pt idx="1">
                  <c:v>2022年度</c:v>
                </c:pt>
              </c:strCache>
            </c:strRef>
          </c:cat>
          <c:val>
            <c:numRef>
              <c:f>[2022决算报告图表.xlsx]Sheet1!$B$34:$B$35</c:f>
              <c:numCache>
                <c:formatCode>General</c:formatCode>
                <c:ptCount val="2"/>
                <c:pt idx="0">
                  <c:v>1191.46</c:v>
                </c:pt>
                <c:pt idx="1" c:formatCode="#,##0.00_ ">
                  <c:v>1274.45</c:v>
                </c:pt>
              </c:numCache>
            </c:numRef>
          </c:val>
        </c:ser>
        <c:dLbls>
          <c:showLegendKey val="0"/>
          <c:showVal val="1"/>
          <c:showCatName val="0"/>
          <c:showSerName val="0"/>
          <c:showPercent val="0"/>
          <c:showBubbleSize val="0"/>
        </c:dLbls>
        <c:gapWidth val="100"/>
        <c:overlap val="-24"/>
        <c:axId val="622602283"/>
        <c:axId val="409457356"/>
      </c:barChart>
      <c:catAx>
        <c:axId val="622602283"/>
        <c:scaling>
          <c:orientation val="minMax"/>
        </c:scaling>
        <c:delete val="0"/>
        <c:axPos val="b"/>
        <c:title>
          <c:tx>
            <c:rich>
              <a:bodyPr rot="0" spcFirstLastPara="0" vertOverflow="ellipsis" vert="horz" wrap="square" anchor="ctr" anchorCtr="1"/>
              <a:lstStyle/>
              <a:p>
                <a:pPr defTabSz="914400">
                  <a:defRPr lang="zh-CN" sz="900" b="1" i="0" u="none" strike="noStrike" kern="1200" cap="all" baseline="0">
                    <a:solidFill>
                      <a:srgbClr val="D9D9D9">
                        <a:lumMod val="85000"/>
                      </a:srgbClr>
                    </a:solidFill>
                    <a:latin typeface="+mn-lt"/>
                    <a:ea typeface="+mn-ea"/>
                    <a:cs typeface="+mn-cs"/>
                  </a:defRPr>
                </a:pPr>
                <a:r>
                  <a:t>单位：万元</a:t>
                </a:r>
              </a:p>
              <a:p>
                <a:pPr defTabSz="914400">
                  <a:defRPr lang="zh-CN" sz="900" b="1" i="0" u="none" strike="noStrike" kern="1200" cap="all" baseline="0">
                    <a:solidFill>
                      <a:srgbClr val="D9D9D9">
                        <a:lumMod val="85000"/>
                      </a:srgbClr>
                    </a:solidFill>
                    <a:latin typeface="+mn-lt"/>
                    <a:ea typeface="+mn-ea"/>
                    <a:cs typeface="+mn-cs"/>
                  </a:defRPr>
                </a:pPr>
              </a:p>
            </c:rich>
          </c:tx>
          <c:layout/>
          <c:overlay val="0"/>
          <c:spPr>
            <a:noFill/>
            <a:ln>
              <a:noFill/>
            </a:ln>
            <a:effectLst/>
          </c:spPr>
        </c:title>
        <c:majorTickMark val="none"/>
        <c:minorTickMark val="none"/>
        <c:tickLblPos val="nextTo"/>
        <c:spPr>
          <a:noFill/>
          <a:ln w="12700" cap="flat" cmpd="sng" algn="ctr">
            <a:solidFill>
              <a:srgbClr val="F2F2F2">
                <a:lumMod val="95000"/>
                <a:alpha val="54000"/>
              </a:srgbClr>
            </a:solidFill>
            <a:round/>
          </a:ln>
          <a:effectLst/>
        </c:spPr>
        <c:txPr>
          <a:bodyPr rot="-60000000" spcFirstLastPara="0" vertOverflow="ellipsis" vert="horz" wrap="square" anchor="ctr" anchorCtr="1"/>
          <a:lstStyle/>
          <a:p>
            <a:pPr>
              <a:defRPr lang="zh-CN" sz="900" b="0" i="0" u="none" strike="noStrike" kern="1200" baseline="0">
                <a:solidFill>
                  <a:srgbClr val="D9D9D9">
                    <a:lumMod val="85000"/>
                  </a:srgbClr>
                </a:solidFill>
                <a:latin typeface="+mn-lt"/>
                <a:ea typeface="+mn-ea"/>
                <a:cs typeface="+mn-cs"/>
              </a:defRPr>
            </a:pPr>
          </a:p>
        </c:txPr>
        <c:crossAx val="409457356"/>
        <c:crosses val="autoZero"/>
        <c:auto val="1"/>
        <c:lblAlgn val="ctr"/>
        <c:lblOffset val="100"/>
        <c:noMultiLvlLbl val="0"/>
      </c:catAx>
      <c:valAx>
        <c:axId val="409457356"/>
        <c:scaling>
          <c:orientation val="minMax"/>
        </c:scaling>
        <c:delete val="0"/>
        <c:axPos val="l"/>
        <c:majorGridlines>
          <c:spPr>
            <a:ln w="9525" cap="flat" cmpd="sng" algn="ctr">
              <a:solidFill>
                <a:srgbClr val="F2F2F2">
                  <a:lumMod val="95000"/>
                  <a:alpha val="10000"/>
                </a:srgb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D9D9D9">
                    <a:lumMod val="85000"/>
                  </a:srgbClr>
                </a:solidFill>
                <a:latin typeface="+mn-lt"/>
                <a:ea typeface="+mn-ea"/>
                <a:cs typeface="+mn-cs"/>
              </a:defRPr>
            </a:pPr>
          </a:p>
        </c:txPr>
        <c:crossAx val="622602283"/>
        <c:crosses val="autoZero"/>
        <c:crossBetween val="between"/>
      </c:valAx>
      <c:spPr>
        <a:noFill/>
        <a:ln>
          <a:noFill/>
        </a:ln>
        <a:effectLst/>
      </c:spPr>
    </c:plotArea>
    <c:plotVisOnly val="1"/>
    <c:dispBlanksAs val="gap"/>
    <c:showDLblsOverMax val="0"/>
  </c:chart>
  <c:spPr>
    <a:gradFill flip="none" rotWithShape="1">
      <a:gsLst>
        <a:gs pos="0">
          <a:srgbClr val="595959">
            <a:lumMod val="65000"/>
            <a:lumOff val="35000"/>
          </a:srgbClr>
        </a:gs>
        <a:gs pos="100000">
          <a:srgbClr val="262626">
            <a:lumMod val="85000"/>
            <a:lumOff val="15000"/>
          </a:srgbClr>
        </a:gs>
      </a:gsLst>
      <a:path path="circle">
        <a:fillToRect l="50000" t="50000" r="50000" b="50000"/>
      </a:path>
    </a:gradFill>
    <a:ln>
      <a:noFill/>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一般公共预算财政拨款支出</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2021</c:v>
                </c:pt>
                <c:pt idx="1">
                  <c:v>2022</c:v>
                </c:pt>
              </c:numCache>
            </c:numRef>
          </c:cat>
          <c:val>
            <c:numRef>
              <c:f>Sheet1!$B$2:$B$3</c:f>
              <c:numCache>
                <c:formatCode>General</c:formatCode>
                <c:ptCount val="2"/>
                <c:pt idx="0">
                  <c:v>1128.46</c:v>
                </c:pt>
                <c:pt idx="1">
                  <c:v>1110.86</c:v>
                </c:pt>
              </c:numCache>
            </c:numRef>
          </c:val>
        </c:ser>
        <c:dLbls>
          <c:showLegendKey val="0"/>
          <c:showVal val="1"/>
          <c:showCatName val="0"/>
          <c:showSerName val="0"/>
          <c:showPercent val="0"/>
          <c:showBubbleSize val="0"/>
        </c:dLbls>
        <c:gapWidth val="219"/>
        <c:overlap val="-27"/>
        <c:axId val="769731372"/>
        <c:axId val="740682449"/>
      </c:barChart>
      <c:catAx>
        <c:axId val="76973137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40682449"/>
        <c:crosses val="autoZero"/>
        <c:auto val="1"/>
        <c:lblAlgn val="ctr"/>
        <c:lblOffset val="100"/>
        <c:noMultiLvlLbl val="0"/>
      </c:catAx>
      <c:valAx>
        <c:axId val="74068244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6973137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一般公共服务支出</c:v>
                </c:pt>
                <c:pt idx="1">
                  <c:v>社会保障和就业支出</c:v>
                </c:pt>
                <c:pt idx="2">
                  <c:v>卫生健康支出</c:v>
                </c:pt>
                <c:pt idx="3">
                  <c:v>住房保障支出</c:v>
                </c:pt>
                <c:pt idx="4">
                  <c:v>城乡社区支出</c:v>
                </c:pt>
                <c:pt idx="5">
                  <c:v>农林水支出</c:v>
                </c:pt>
              </c:strCache>
            </c:strRef>
          </c:cat>
          <c:val>
            <c:numRef>
              <c:f>Sheet1!$B$2:$B$7</c:f>
              <c:numCache>
                <c:formatCode>General</c:formatCode>
                <c:ptCount val="6"/>
                <c:pt idx="0">
                  <c:v>750.34</c:v>
                </c:pt>
                <c:pt idx="1">
                  <c:v>77</c:v>
                </c:pt>
                <c:pt idx="2">
                  <c:v>33.58</c:v>
                </c:pt>
                <c:pt idx="3">
                  <c:v>44.32</c:v>
                </c:pt>
                <c:pt idx="4">
                  <c:v>13</c:v>
                </c:pt>
                <c:pt idx="5">
                  <c:v>192.63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c:v>
                </c:pt>
              </c:strCache>
            </c:strRef>
          </c:tx>
          <c:spPr/>
          <c:explosion val="0"/>
          <c:dPt>
            <c:idx val="0"/>
            <c:bubble3D val="0"/>
            <c:spPr>
              <a:solidFill>
                <a:schemeClr val="accent1"/>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公务接待费</c:v>
                </c:pt>
              </c:strCache>
            </c:strRef>
          </c:cat>
          <c:val>
            <c:numRef>
              <c:f>Sheet1!$B$2</c:f>
              <c:numCache>
                <c:formatCode>General</c:formatCode>
                <c:ptCount val="1"/>
                <c:pt idx="0">
                  <c:v>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9">
  <cs:axisTitle>
    <cs:lnRef idx="0"/>
    <cs:fillRef idx="0"/>
    <cs:effectRef idx="0"/>
    <cs:fontRef idx="minor">
      <a:srgbClr val="D9D9D9">
        <a:lumMod val="85000"/>
      </a:srgbClr>
    </cs:fontRef>
    <cs:defRPr sz="900" b="1" kern="1200" cap="all"/>
  </cs:axisTitle>
  <cs:categoryAxis>
    <cs:lnRef idx="0"/>
    <cs:fillRef idx="0"/>
    <cs:effectRef idx="0"/>
    <cs:fontRef idx="minor">
      <a:srgbClr val="D9D9D9">
        <a:lumMod val="85000"/>
      </a:srgbClr>
    </cs:fontRef>
    <cs:spPr>
      <a:ln w="12700" cap="flat" cmpd="sng" algn="ctr">
        <a:solidFill>
          <a:srgbClr val="F2F2F2">
            <a:lumMod val="95000"/>
            <a:alpha val="54000"/>
          </a:srgbClr>
        </a:solidFill>
        <a:round/>
      </a:ln>
    </cs:spPr>
    <cs:defRPr sz="900" kern="1200"/>
  </cs:categoryAxis>
  <cs:chartArea>
    <cs:lnRef idx="0"/>
    <cs:fillRef idx="0"/>
    <cs:effectRef idx="0"/>
    <cs:fontRef idx="minor">
      <a:srgbClr val="000000"/>
    </cs:fontRef>
    <cs:spPr>
      <a:gradFill flip="none" rotWithShape="1">
        <a:gsLst>
          <a:gs pos="0">
            <a:srgbClr val="595959">
              <a:lumMod val="65000"/>
              <a:lumOff val="35000"/>
            </a:srgbClr>
          </a:gs>
          <a:gs pos="100000">
            <a:srgbClr val="262626">
              <a:lumMod val="85000"/>
              <a:lumOff val="15000"/>
            </a:srgbClr>
          </a:gs>
        </a:gsLst>
        <a:path path="circle">
          <a:fillToRect l="50000" t="50000" r="50000" b="50000"/>
        </a:path>
      </a:gradFill>
    </cs:spPr>
    <cs:defRPr sz="1000" kern="1200"/>
  </cs:chartArea>
  <cs:dataLabel>
    <cs:lnRef idx="0"/>
    <cs:fillRef idx="0"/>
    <cs:effectRef idx="0"/>
    <cs:fontRef idx="minor">
      <a:srgbClr val="D9D9D9">
        <a:lumMod val="85000"/>
      </a:srgbClr>
    </cs:fontRef>
    <cs:defRPr sz="900" kern="1200"/>
  </cs:dataLabel>
  <cs:dataLabelCallout>
    <cs:lnRef idx="0"/>
    <cs:fillRef idx="0"/>
    <cs:effectRef idx="0"/>
    <cs:fontRef idx="minor">
      <a:srgbClr val="595959">
        <a:lumMod val="65000"/>
        <a:lumOff val="35000"/>
      </a:srgbClr>
    </cs:fontRef>
    <cs:spPr>
      <a:solidFill>
        <a:srgbClr val="FFFFFF"/>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rgbClr val="FFFFFF"/>
    </cs:fontRef>
  </cs:dataPoint>
  <cs:dataPoint3D>
    <cs:lnRef idx="0"/>
    <cs:fillRef idx="3">
      <cs:styleClr val="auto"/>
    </cs:fillRef>
    <cs:effectRef idx="3"/>
    <cs:fontRef idx="minor">
      <a:srgbClr val="FFFFFF"/>
    </cs:fontRef>
  </cs:dataPoint3D>
  <cs:dataPointLine>
    <cs:lnRef idx="0">
      <cs:styleClr val="auto"/>
    </cs:lnRef>
    <cs:fillRef idx="3"/>
    <cs:effectRef idx="3"/>
    <cs:fontRef idx="minor">
      <a:srgbClr val="FFFFFF"/>
    </cs:fontRef>
    <cs:spPr>
      <a:ln w="34925" cap="rnd">
        <a:solidFill>
          <a:srgbClr val="FFFFFF"/>
        </a:solidFill>
        <a:round/>
      </a:ln>
    </cs:spPr>
  </cs:dataPointLine>
  <cs:dataPointMarker>
    <cs:lnRef idx="0">
      <cs:styleClr val="auto"/>
    </cs:lnRef>
    <cs:fillRef idx="3">
      <cs:styleClr val="auto"/>
    </cs:fillRef>
    <cs:effectRef idx="3"/>
    <cs:fontRef idx="minor">
      <a:srgbClr val="FFFFFF"/>
    </cs:fontRef>
    <cs:spPr>
      <a:ln w="9525">
        <a:solidFill>
          <a:srgbClr val="FFFFFF"/>
        </a:solidFill>
        <a:round/>
      </a:ln>
    </cs:spPr>
  </cs:dataPointMarker>
  <cs:dataPointMarkerLayout symbol="circle" size="6"/>
  <cs:dataPointWireframe>
    <cs:lnRef idx="0">
      <cs:styleClr val="auto"/>
    </cs:lnRef>
    <cs:fillRef idx="3"/>
    <cs:effectRef idx="3"/>
    <cs:fontRef idx="minor">
      <a:srgbClr val="FFFFFF"/>
    </cs:fontRef>
    <cs:spPr>
      <a:ln w="9525" cap="rnd">
        <a:solidFill>
          <a:srgbClr val="FFFFFF"/>
        </a:solidFill>
        <a:round/>
      </a:ln>
    </cs:spPr>
  </cs:dataPointWireframe>
  <cs:dataTable>
    <cs:lnRef idx="0"/>
    <cs:fillRef idx="0"/>
    <cs:effectRef idx="0"/>
    <cs:fontRef idx="minor">
      <a:srgbClr val="D9D9D9">
        <a:lumMod val="85000"/>
      </a:srgbClr>
    </cs:fontRef>
    <cs:spPr>
      <a:ln w="9525">
        <a:solidFill>
          <a:srgbClr val="F2F2F2">
            <a:lumMod val="95000"/>
            <a:alpha val="54000"/>
          </a:srgbClr>
        </a:solidFill>
      </a:ln>
    </cs:spPr>
    <cs:defRPr sz="900" kern="1200"/>
  </cs:dataTable>
  <cs:downBar>
    <cs:lnRef idx="0"/>
    <cs:fillRef idx="0"/>
    <cs:effectRef idx="0"/>
    <cs:fontRef idx="minor">
      <a:srgbClr val="FFFFFF"/>
    </cs:fontRef>
    <cs:spPr>
      <a:solidFill>
        <a:srgbClr val="404040">
          <a:lumMod val="75000"/>
          <a:lumOff val="25000"/>
        </a:srgbClr>
      </a:solidFill>
      <a:ln w="9525">
        <a:solidFill>
          <a:srgbClr val="F2F2F2">
            <a:lumMod val="95000"/>
            <a:alpha val="54000"/>
          </a:srgbClr>
        </a:solidFill>
      </a:ln>
    </cs:spPr>
  </cs:downBar>
  <cs:dropLine>
    <cs:lnRef idx="0"/>
    <cs:fillRef idx="0"/>
    <cs:effectRef idx="0"/>
    <cs:fontRef idx="minor">
      <a:srgbClr val="FFFFFF"/>
    </cs:fontRef>
    <cs:spPr>
      <a:ln w="9525">
        <a:solidFill>
          <a:srgbClr val="F2F2F2">
            <a:lumMod val="95000"/>
            <a:alpha val="54000"/>
          </a:srgbClr>
        </a:solidFill>
        <a:prstDash val="dash"/>
      </a:ln>
    </cs:spPr>
  </cs:dropLine>
  <cs:errorBar>
    <cs:lnRef idx="0"/>
    <cs:fillRef idx="0"/>
    <cs:effectRef idx="0"/>
    <cs:fontRef idx="minor">
      <a:srgbClr val="FFFFFF"/>
    </cs:fontRef>
    <cs:spPr>
      <a:ln w="9525" cap="flat" cmpd="sng" algn="ctr">
        <a:solidFill>
          <a:srgbClr val="F2F2F2">
            <a:lumMod val="95000"/>
          </a:srgbClr>
        </a:solidFill>
        <a:round/>
      </a:ln>
    </cs:spPr>
  </cs:errorBar>
  <cs:floor>
    <cs:lnRef idx="0"/>
    <cs:fillRef idx="0"/>
    <cs:effectRef idx="0"/>
    <cs:fontRef idx="minor">
      <a:srgbClr val="FFFFFF"/>
    </cs:fontRef>
  </cs:floor>
  <cs:gridlineMajor>
    <cs:lnRef idx="0"/>
    <cs:fillRef idx="0"/>
    <cs:effectRef idx="0"/>
    <cs:fontRef idx="minor">
      <a:srgbClr val="FFFFFF"/>
    </cs:fontRef>
    <cs:spPr>
      <a:ln w="9525" cap="flat" cmpd="sng" algn="ctr">
        <a:solidFill>
          <a:srgbClr val="F2F2F2">
            <a:lumMod val="95000"/>
            <a:alpha val="10000"/>
          </a:srgbClr>
        </a:solidFill>
        <a:round/>
      </a:ln>
    </cs:spPr>
  </cs:gridlineMajor>
  <cs:gridlineMinor>
    <cs:lnRef idx="0"/>
    <cs:fillRef idx="0"/>
    <cs:effectRef idx="0"/>
    <cs:fontRef idx="minor">
      <a:srgbClr val="FFFFFF"/>
    </cs:fontRef>
    <cs:spPr>
      <a:ln>
        <a:solidFill>
          <a:srgbClr val="F2F2F2">
            <a:lumMod val="95000"/>
            <a:alpha val="5000"/>
          </a:srgbClr>
        </a:solidFill>
      </a:ln>
    </cs:spPr>
  </cs:gridlineMinor>
  <cs:hiLoLine>
    <cs:lnRef idx="0"/>
    <cs:fillRef idx="0"/>
    <cs:effectRef idx="0"/>
    <cs:fontRef idx="minor">
      <a:srgbClr val="FFFFFF"/>
    </cs:fontRef>
    <cs:spPr>
      <a:ln w="9525">
        <a:solidFill>
          <a:srgbClr val="F2F2F2">
            <a:lumMod val="95000"/>
            <a:alpha val="54000"/>
          </a:srgbClr>
        </a:solidFill>
        <a:prstDash val="dash"/>
      </a:ln>
    </cs:spPr>
  </cs:hiLoLine>
  <cs:leaderLine>
    <cs:lnRef idx="0"/>
    <cs:fillRef idx="0"/>
    <cs:effectRef idx="0"/>
    <cs:fontRef idx="minor">
      <a:srgbClr val="FFFFFF"/>
    </cs:fontRef>
    <cs:spPr>
      <a:ln w="9525">
        <a:solidFill>
          <a:srgbClr val="F2F2F2">
            <a:lumMod val="95000"/>
            <a:alpha val="54000"/>
          </a:srgbClr>
        </a:solidFill>
      </a:ln>
    </cs:spPr>
  </cs:leaderLine>
  <cs:legend>
    <cs:lnRef idx="0"/>
    <cs:fillRef idx="0"/>
    <cs:effectRef idx="0"/>
    <cs:fontRef idx="minor">
      <a:srgbClr val="D9D9D9">
        <a:lumMod val="85000"/>
      </a:srgbClr>
    </cs:fontRef>
    <cs:defRPr sz="900" kern="1200"/>
  </cs:legend>
  <cs:plotArea>
    <cs:lnRef idx="0"/>
    <cs:fillRef idx="0"/>
    <cs:effectRef idx="0"/>
    <cs:fontRef idx="minor">
      <a:srgbClr val="FFFFFF"/>
    </cs:fontRef>
  </cs:plotArea>
  <cs:plotArea3D>
    <cs:lnRef idx="0"/>
    <cs:fillRef idx="0"/>
    <cs:effectRef idx="0"/>
    <cs:fontRef idx="minor">
      <a:srgbClr val="FFFFFF"/>
    </cs:fontRef>
  </cs:plotArea3D>
  <cs:seriesAxis>
    <cs:lnRef idx="0"/>
    <cs:fillRef idx="0"/>
    <cs:effectRef idx="0"/>
    <cs:fontRef idx="minor">
      <a:srgbClr val="D9D9D9">
        <a:lumMod val="85000"/>
      </a:srgbClr>
    </cs:fontRef>
    <cs:spPr>
      <a:ln w="12700" cap="flat" cmpd="sng" algn="ctr">
        <a:solidFill>
          <a:srgbClr val="F2F2F2">
            <a:lumMod val="95000"/>
            <a:alpha val="54000"/>
          </a:srgbClr>
        </a:solidFill>
        <a:round/>
      </a:ln>
    </cs:spPr>
    <cs:defRPr sz="900" kern="1200"/>
  </cs:seriesAxis>
  <cs:seriesLine>
    <cs:lnRef idx="0"/>
    <cs:fillRef idx="0"/>
    <cs:effectRef idx="0"/>
    <cs:fontRef idx="minor">
      <a:srgbClr val="FFFFFF"/>
    </cs:fontRef>
    <cs:spPr>
      <a:ln w="9525" cap="flat" cmpd="sng" algn="ctr">
        <a:solidFill>
          <a:srgbClr val="F2F2F2">
            <a:lumMod val="95000"/>
            <a:alpha val="54000"/>
          </a:srgbClr>
        </a:solidFill>
        <a:round/>
      </a:ln>
    </cs:spPr>
  </cs:seriesLine>
  <cs:title>
    <cs:lnRef idx="0"/>
    <cs:fillRef idx="0"/>
    <cs:effectRef idx="0"/>
    <cs:fontRef idx="minor">
      <a:srgbClr val="F2F2F2">
        <a:lumMod val="95000"/>
      </a:srgb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rgbClr val="FFFFFF"/>
    </cs:fontRef>
    <cs:spPr>
      <a:ln w="19050" cap="rnd">
        <a:solidFill>
          <a:srgbClr val="FFFFFF"/>
        </a:solidFill>
      </a:ln>
    </cs:spPr>
  </cs:trendline>
  <cs:trendlineLabel>
    <cs:lnRef idx="0"/>
    <cs:fillRef idx="0"/>
    <cs:effectRef idx="0"/>
    <cs:fontRef idx="minor">
      <a:srgbClr val="D9D9D9">
        <a:lumMod val="85000"/>
      </a:srgbClr>
    </cs:fontRef>
    <cs:defRPr sz="900" kern="1200"/>
  </cs:trendlineLabel>
  <cs:upBar>
    <cs:lnRef idx="0"/>
    <cs:fillRef idx="0"/>
    <cs:effectRef idx="0"/>
    <cs:fontRef idx="minor">
      <a:srgbClr val="FFFFFF"/>
    </cs:fontRef>
    <cs:spPr>
      <a:solidFill>
        <a:srgbClr val="FFFFFF"/>
      </a:solidFill>
      <a:ln w="9525">
        <a:solidFill>
          <a:srgbClr val="F2F2F2">
            <a:lumMod val="95000"/>
            <a:alpha val="54000"/>
          </a:srgbClr>
        </a:solidFill>
      </a:ln>
    </cs:spPr>
  </cs:upBar>
  <cs:valueAxis>
    <cs:lnRef idx="0"/>
    <cs:fillRef idx="0"/>
    <cs:effectRef idx="0"/>
    <cs:fontRef idx="minor">
      <a:srgbClr val="D9D9D9">
        <a:lumMod val="85000"/>
      </a:srgbClr>
    </cs:fontRef>
    <cs:defRPr sz="900" kern="1200"/>
  </cs:valueAxis>
  <cs:wall>
    <cs:lnRef idx="0"/>
    <cs:fillRef idx="0"/>
    <cs:effectRef idx="0"/>
    <cs:fontRef idx="minor">
      <a:srgbClr val="FFFFFF"/>
    </cs:fontRef>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9">
  <cs:axisTitle>
    <cs:lnRef idx="0"/>
    <cs:fillRef idx="0"/>
    <cs:effectRef idx="0"/>
    <cs:fontRef idx="minor">
      <a:srgbClr val="D9D9D9">
        <a:lumMod val="85000"/>
      </a:srgbClr>
    </cs:fontRef>
    <cs:defRPr sz="900" b="1" kern="1200" cap="all"/>
  </cs:axisTitle>
  <cs:categoryAxis>
    <cs:lnRef idx="0"/>
    <cs:fillRef idx="0"/>
    <cs:effectRef idx="0"/>
    <cs:fontRef idx="minor">
      <a:srgbClr val="D9D9D9">
        <a:lumMod val="85000"/>
      </a:srgbClr>
    </cs:fontRef>
    <cs:spPr>
      <a:ln w="12700" cap="flat" cmpd="sng" algn="ctr">
        <a:solidFill>
          <a:srgbClr val="F2F2F2">
            <a:lumMod val="95000"/>
            <a:alpha val="54000"/>
          </a:srgbClr>
        </a:solidFill>
        <a:round/>
      </a:ln>
    </cs:spPr>
    <cs:defRPr sz="900" kern="1200"/>
  </cs:categoryAxis>
  <cs:chartArea>
    <cs:lnRef idx="0"/>
    <cs:fillRef idx="0"/>
    <cs:effectRef idx="0"/>
    <cs:fontRef idx="minor">
      <a:srgbClr val="000000"/>
    </cs:fontRef>
    <cs:spPr>
      <a:gradFill flip="none" rotWithShape="1">
        <a:gsLst>
          <a:gs pos="0">
            <a:srgbClr val="595959">
              <a:lumMod val="65000"/>
              <a:lumOff val="35000"/>
            </a:srgbClr>
          </a:gs>
          <a:gs pos="100000">
            <a:srgbClr val="262626">
              <a:lumMod val="85000"/>
              <a:lumOff val="15000"/>
            </a:srgbClr>
          </a:gs>
        </a:gsLst>
        <a:path path="circle">
          <a:fillToRect l="50000" t="50000" r="50000" b="50000"/>
        </a:path>
      </a:gradFill>
    </cs:spPr>
    <cs:defRPr sz="1000" kern="1200"/>
  </cs:chartArea>
  <cs:dataLabel>
    <cs:lnRef idx="0"/>
    <cs:fillRef idx="0"/>
    <cs:effectRef idx="0"/>
    <cs:fontRef idx="minor">
      <a:srgbClr val="D9D9D9">
        <a:lumMod val="85000"/>
      </a:srgbClr>
    </cs:fontRef>
    <cs:defRPr sz="900" kern="1200"/>
  </cs:dataLabel>
  <cs:dataLabelCallout>
    <cs:lnRef idx="0"/>
    <cs:fillRef idx="0"/>
    <cs:effectRef idx="0"/>
    <cs:fontRef idx="minor">
      <a:srgbClr val="595959">
        <a:lumMod val="65000"/>
        <a:lumOff val="35000"/>
      </a:srgbClr>
    </cs:fontRef>
    <cs:spPr>
      <a:solidFill>
        <a:srgbClr val="FFFFFF"/>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rgbClr val="FFFFFF"/>
    </cs:fontRef>
  </cs:dataPoint>
  <cs:dataPoint3D>
    <cs:lnRef idx="0"/>
    <cs:fillRef idx="3">
      <cs:styleClr val="auto"/>
    </cs:fillRef>
    <cs:effectRef idx="3"/>
    <cs:fontRef idx="minor">
      <a:srgbClr val="FFFFFF"/>
    </cs:fontRef>
  </cs:dataPoint3D>
  <cs:dataPointLine>
    <cs:lnRef idx="0">
      <cs:styleClr val="auto"/>
    </cs:lnRef>
    <cs:fillRef idx="3"/>
    <cs:effectRef idx="3"/>
    <cs:fontRef idx="minor">
      <a:srgbClr val="FFFFFF"/>
    </cs:fontRef>
    <cs:spPr>
      <a:ln w="34925" cap="rnd">
        <a:solidFill>
          <a:srgbClr val="FFFFFF"/>
        </a:solidFill>
        <a:round/>
      </a:ln>
    </cs:spPr>
  </cs:dataPointLine>
  <cs:dataPointMarker>
    <cs:lnRef idx="0">
      <cs:styleClr val="auto"/>
    </cs:lnRef>
    <cs:fillRef idx="3">
      <cs:styleClr val="auto"/>
    </cs:fillRef>
    <cs:effectRef idx="3"/>
    <cs:fontRef idx="minor">
      <a:srgbClr val="FFFFFF"/>
    </cs:fontRef>
    <cs:spPr>
      <a:ln w="9525">
        <a:solidFill>
          <a:srgbClr val="FFFFFF"/>
        </a:solidFill>
        <a:round/>
      </a:ln>
    </cs:spPr>
  </cs:dataPointMarker>
  <cs:dataPointMarkerLayout symbol="circle" size="6"/>
  <cs:dataPointWireframe>
    <cs:lnRef idx="0">
      <cs:styleClr val="auto"/>
    </cs:lnRef>
    <cs:fillRef idx="3"/>
    <cs:effectRef idx="3"/>
    <cs:fontRef idx="minor">
      <a:srgbClr val="FFFFFF"/>
    </cs:fontRef>
    <cs:spPr>
      <a:ln w="9525" cap="rnd">
        <a:solidFill>
          <a:srgbClr val="FFFFFF"/>
        </a:solidFill>
        <a:round/>
      </a:ln>
    </cs:spPr>
  </cs:dataPointWireframe>
  <cs:dataTable>
    <cs:lnRef idx="0"/>
    <cs:fillRef idx="0"/>
    <cs:effectRef idx="0"/>
    <cs:fontRef idx="minor">
      <a:srgbClr val="D9D9D9">
        <a:lumMod val="85000"/>
      </a:srgbClr>
    </cs:fontRef>
    <cs:spPr>
      <a:ln w="9525">
        <a:solidFill>
          <a:srgbClr val="F2F2F2">
            <a:lumMod val="95000"/>
            <a:alpha val="54000"/>
          </a:srgbClr>
        </a:solidFill>
      </a:ln>
    </cs:spPr>
    <cs:defRPr sz="900" kern="1200"/>
  </cs:dataTable>
  <cs:downBar>
    <cs:lnRef idx="0"/>
    <cs:fillRef idx="0"/>
    <cs:effectRef idx="0"/>
    <cs:fontRef idx="minor">
      <a:srgbClr val="FFFFFF"/>
    </cs:fontRef>
    <cs:spPr>
      <a:solidFill>
        <a:srgbClr val="404040">
          <a:lumMod val="75000"/>
          <a:lumOff val="25000"/>
        </a:srgbClr>
      </a:solidFill>
      <a:ln w="9525">
        <a:solidFill>
          <a:srgbClr val="F2F2F2">
            <a:lumMod val="95000"/>
            <a:alpha val="54000"/>
          </a:srgbClr>
        </a:solidFill>
      </a:ln>
    </cs:spPr>
  </cs:downBar>
  <cs:dropLine>
    <cs:lnRef idx="0"/>
    <cs:fillRef idx="0"/>
    <cs:effectRef idx="0"/>
    <cs:fontRef idx="minor">
      <a:srgbClr val="FFFFFF"/>
    </cs:fontRef>
    <cs:spPr>
      <a:ln w="9525">
        <a:solidFill>
          <a:srgbClr val="F2F2F2">
            <a:lumMod val="95000"/>
            <a:alpha val="54000"/>
          </a:srgbClr>
        </a:solidFill>
        <a:prstDash val="dash"/>
      </a:ln>
    </cs:spPr>
  </cs:dropLine>
  <cs:errorBar>
    <cs:lnRef idx="0"/>
    <cs:fillRef idx="0"/>
    <cs:effectRef idx="0"/>
    <cs:fontRef idx="minor">
      <a:srgbClr val="FFFFFF"/>
    </cs:fontRef>
    <cs:spPr>
      <a:ln w="9525" cap="flat" cmpd="sng" algn="ctr">
        <a:solidFill>
          <a:srgbClr val="F2F2F2">
            <a:lumMod val="95000"/>
          </a:srgbClr>
        </a:solidFill>
        <a:round/>
      </a:ln>
    </cs:spPr>
  </cs:errorBar>
  <cs:floor>
    <cs:lnRef idx="0"/>
    <cs:fillRef idx="0"/>
    <cs:effectRef idx="0"/>
    <cs:fontRef idx="minor">
      <a:srgbClr val="FFFFFF"/>
    </cs:fontRef>
  </cs:floor>
  <cs:gridlineMajor>
    <cs:lnRef idx="0"/>
    <cs:fillRef idx="0"/>
    <cs:effectRef idx="0"/>
    <cs:fontRef idx="minor">
      <a:srgbClr val="FFFFFF"/>
    </cs:fontRef>
    <cs:spPr>
      <a:ln w="9525" cap="flat" cmpd="sng" algn="ctr">
        <a:solidFill>
          <a:srgbClr val="F2F2F2">
            <a:lumMod val="95000"/>
            <a:alpha val="10000"/>
          </a:srgbClr>
        </a:solidFill>
        <a:round/>
      </a:ln>
    </cs:spPr>
  </cs:gridlineMajor>
  <cs:gridlineMinor>
    <cs:lnRef idx="0"/>
    <cs:fillRef idx="0"/>
    <cs:effectRef idx="0"/>
    <cs:fontRef idx="minor">
      <a:srgbClr val="FFFFFF"/>
    </cs:fontRef>
    <cs:spPr>
      <a:ln>
        <a:solidFill>
          <a:srgbClr val="F2F2F2">
            <a:lumMod val="95000"/>
            <a:alpha val="5000"/>
          </a:srgbClr>
        </a:solidFill>
      </a:ln>
    </cs:spPr>
  </cs:gridlineMinor>
  <cs:hiLoLine>
    <cs:lnRef idx="0"/>
    <cs:fillRef idx="0"/>
    <cs:effectRef idx="0"/>
    <cs:fontRef idx="minor">
      <a:srgbClr val="FFFFFF"/>
    </cs:fontRef>
    <cs:spPr>
      <a:ln w="9525">
        <a:solidFill>
          <a:srgbClr val="F2F2F2">
            <a:lumMod val="95000"/>
            <a:alpha val="54000"/>
          </a:srgbClr>
        </a:solidFill>
        <a:prstDash val="dash"/>
      </a:ln>
    </cs:spPr>
  </cs:hiLoLine>
  <cs:leaderLine>
    <cs:lnRef idx="0"/>
    <cs:fillRef idx="0"/>
    <cs:effectRef idx="0"/>
    <cs:fontRef idx="minor">
      <a:srgbClr val="FFFFFF"/>
    </cs:fontRef>
    <cs:spPr>
      <a:ln w="9525">
        <a:solidFill>
          <a:srgbClr val="F2F2F2">
            <a:lumMod val="95000"/>
            <a:alpha val="54000"/>
          </a:srgbClr>
        </a:solidFill>
      </a:ln>
    </cs:spPr>
  </cs:leaderLine>
  <cs:legend>
    <cs:lnRef idx="0"/>
    <cs:fillRef idx="0"/>
    <cs:effectRef idx="0"/>
    <cs:fontRef idx="minor">
      <a:srgbClr val="D9D9D9">
        <a:lumMod val="85000"/>
      </a:srgbClr>
    </cs:fontRef>
    <cs:defRPr sz="900" kern="1200"/>
  </cs:legend>
  <cs:plotArea>
    <cs:lnRef idx="0"/>
    <cs:fillRef idx="0"/>
    <cs:effectRef idx="0"/>
    <cs:fontRef idx="minor">
      <a:srgbClr val="FFFFFF"/>
    </cs:fontRef>
  </cs:plotArea>
  <cs:plotArea3D>
    <cs:lnRef idx="0"/>
    <cs:fillRef idx="0"/>
    <cs:effectRef idx="0"/>
    <cs:fontRef idx="minor">
      <a:srgbClr val="FFFFFF"/>
    </cs:fontRef>
  </cs:plotArea3D>
  <cs:seriesAxis>
    <cs:lnRef idx="0"/>
    <cs:fillRef idx="0"/>
    <cs:effectRef idx="0"/>
    <cs:fontRef idx="minor">
      <a:srgbClr val="D9D9D9">
        <a:lumMod val="85000"/>
      </a:srgbClr>
    </cs:fontRef>
    <cs:spPr>
      <a:ln w="12700" cap="flat" cmpd="sng" algn="ctr">
        <a:solidFill>
          <a:srgbClr val="F2F2F2">
            <a:lumMod val="95000"/>
            <a:alpha val="54000"/>
          </a:srgbClr>
        </a:solidFill>
        <a:round/>
      </a:ln>
    </cs:spPr>
    <cs:defRPr sz="900" kern="1200"/>
  </cs:seriesAxis>
  <cs:seriesLine>
    <cs:lnRef idx="0"/>
    <cs:fillRef idx="0"/>
    <cs:effectRef idx="0"/>
    <cs:fontRef idx="minor">
      <a:srgbClr val="FFFFFF"/>
    </cs:fontRef>
    <cs:spPr>
      <a:ln w="9525" cap="flat" cmpd="sng" algn="ctr">
        <a:solidFill>
          <a:srgbClr val="F2F2F2">
            <a:lumMod val="95000"/>
            <a:alpha val="54000"/>
          </a:srgbClr>
        </a:solidFill>
        <a:round/>
      </a:ln>
    </cs:spPr>
  </cs:seriesLine>
  <cs:title>
    <cs:lnRef idx="0"/>
    <cs:fillRef idx="0"/>
    <cs:effectRef idx="0"/>
    <cs:fontRef idx="minor">
      <a:srgbClr val="F2F2F2">
        <a:lumMod val="95000"/>
      </a:srgb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rgbClr val="FFFFFF"/>
    </cs:fontRef>
    <cs:spPr>
      <a:ln w="19050" cap="rnd">
        <a:solidFill>
          <a:srgbClr val="FFFFFF"/>
        </a:solidFill>
      </a:ln>
    </cs:spPr>
  </cs:trendline>
  <cs:trendlineLabel>
    <cs:lnRef idx="0"/>
    <cs:fillRef idx="0"/>
    <cs:effectRef idx="0"/>
    <cs:fontRef idx="minor">
      <a:srgbClr val="D9D9D9">
        <a:lumMod val="85000"/>
      </a:srgbClr>
    </cs:fontRef>
    <cs:defRPr sz="900" kern="1200"/>
  </cs:trendlineLabel>
  <cs:upBar>
    <cs:lnRef idx="0"/>
    <cs:fillRef idx="0"/>
    <cs:effectRef idx="0"/>
    <cs:fontRef idx="minor">
      <a:srgbClr val="FFFFFF"/>
    </cs:fontRef>
    <cs:spPr>
      <a:solidFill>
        <a:srgbClr val="FFFFFF"/>
      </a:solidFill>
      <a:ln w="9525">
        <a:solidFill>
          <a:srgbClr val="F2F2F2">
            <a:lumMod val="95000"/>
            <a:alpha val="54000"/>
          </a:srgbClr>
        </a:solidFill>
      </a:ln>
    </cs:spPr>
  </cs:upBar>
  <cs:valueAxis>
    <cs:lnRef idx="0"/>
    <cs:fillRef idx="0"/>
    <cs:effectRef idx="0"/>
    <cs:fontRef idx="minor">
      <a:srgbClr val="D9D9D9">
        <a:lumMod val="85000"/>
      </a:srgbClr>
    </cs:fontRef>
    <cs:defRPr sz="900" kern="1200"/>
  </cs:valueAxis>
  <cs:wall>
    <cs:lnRef idx="0"/>
    <cs:fillRef idx="0"/>
    <cs:effectRef idx="0"/>
    <cs:fontRef idx="minor">
      <a:srgbClr val="FFFFFF"/>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39</Pages>
  <Words>13822</Words>
  <Characters>15337</Characters>
  <Lines>61</Lines>
  <Paragraphs>17</Paragraphs>
  <TotalTime>0</TotalTime>
  <ScaleCrop>false</ScaleCrop>
  <LinksUpToDate>false</LinksUpToDate>
  <CharactersWithSpaces>15582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谭茜月</cp:lastModifiedBy>
  <cp:lastPrinted>2023-07-31T02:35:00Z</cp:lastPrinted>
  <dcterms:modified xsi:type="dcterms:W3CDTF">2023-11-09T06:46:12Z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56A2F3AD6C0B40F2A4CEAB9E2D69CFEA</vt:lpwstr>
  </property>
</Properties>
</file>